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rFonts w:hint="eastAsia"/>
          <w:sz w:val="60"/>
          <w:szCs w:val="60"/>
        </w:rPr>
      </w:pPr>
    </w:p>
    <w:p>
      <w:pPr>
        <w:spacing w:line="360" w:lineRule="auto"/>
        <w:ind w:firstLine="300" w:firstLineChars="50"/>
        <w:rPr>
          <w:sz w:val="60"/>
          <w:szCs w:val="60"/>
        </w:rPr>
      </w:pPr>
    </w:p>
    <w:p>
      <w:pPr>
        <w:jc w:val="center"/>
        <w:rPr>
          <w:b/>
          <w:bCs/>
          <w:sz w:val="60"/>
          <w:szCs w:val="60"/>
        </w:rPr>
      </w:pPr>
      <w:r>
        <w:rPr>
          <w:b/>
          <w:bCs/>
          <w:sz w:val="60"/>
          <w:szCs w:val="60"/>
        </w:rPr>
        <w:t>北京市政府采购项目</w:t>
      </w:r>
    </w:p>
    <w:p>
      <w:pPr>
        <w:jc w:val="center"/>
        <w:rPr>
          <w:b/>
          <w:bCs/>
          <w:sz w:val="60"/>
          <w:szCs w:val="60"/>
        </w:rPr>
      </w:pPr>
      <w:r>
        <w:rPr>
          <w:b/>
          <w:bCs/>
          <w:sz w:val="60"/>
          <w:szCs w:val="60"/>
        </w:rPr>
        <w:t>竞争性谈判文件</w:t>
      </w:r>
    </w:p>
    <w:p>
      <w:pPr>
        <w:jc w:val="center"/>
        <w:rPr>
          <w:rFonts w:eastAsiaTheme="minorEastAsia"/>
          <w:b/>
          <w:bCs/>
          <w:sz w:val="60"/>
          <w:szCs w:val="60"/>
        </w:rPr>
      </w:pPr>
    </w:p>
    <w:p>
      <w:pPr>
        <w:jc w:val="center"/>
        <w:rPr>
          <w:rFonts w:eastAsiaTheme="minorEastAsia"/>
          <w:b/>
          <w:bCs/>
          <w:i/>
          <w:sz w:val="60"/>
          <w:szCs w:val="60"/>
        </w:rPr>
      </w:pPr>
    </w:p>
    <w:p>
      <w:pPr>
        <w:jc w:val="center"/>
        <w:rPr>
          <w:rFonts w:eastAsiaTheme="minorEastAsia"/>
          <w:b/>
          <w:bCs/>
          <w:i/>
          <w:sz w:val="60"/>
          <w:szCs w:val="60"/>
        </w:rPr>
      </w:pPr>
    </w:p>
    <w:p>
      <w:pPr>
        <w:tabs>
          <w:tab w:val="left" w:pos="3240"/>
          <w:tab w:val="left" w:pos="3420"/>
        </w:tabs>
        <w:spacing w:line="360" w:lineRule="auto"/>
        <w:ind w:left="2832" w:leftChars="444" w:hanging="1900" w:hangingChars="528"/>
        <w:jc w:val="left"/>
        <w:rPr>
          <w:bCs/>
          <w:sz w:val="36"/>
          <w:szCs w:val="36"/>
        </w:rPr>
      </w:pPr>
      <w:r>
        <w:rPr>
          <w:bCs/>
          <w:sz w:val="36"/>
          <w:szCs w:val="36"/>
        </w:rPr>
        <w:t>项目名称：</w:t>
      </w:r>
      <w:r>
        <w:rPr>
          <w:rFonts w:hint="eastAsia"/>
          <w:spacing w:val="-4"/>
          <w:w w:val="90"/>
          <w:sz w:val="36"/>
          <w:szCs w:val="36"/>
        </w:rPr>
        <w:t>北京市延庆区第三小学改扩建设备购置项目</w:t>
      </w:r>
    </w:p>
    <w:p>
      <w:pPr>
        <w:tabs>
          <w:tab w:val="left" w:pos="3240"/>
          <w:tab w:val="left" w:pos="3420"/>
        </w:tabs>
        <w:spacing w:line="360" w:lineRule="auto"/>
        <w:ind w:left="2832" w:leftChars="444" w:hanging="1900" w:hangingChars="528"/>
        <w:jc w:val="left"/>
        <w:rPr>
          <w:bCs/>
          <w:sz w:val="36"/>
          <w:szCs w:val="36"/>
        </w:rPr>
      </w:pPr>
      <w:r>
        <w:rPr>
          <w:bCs/>
          <w:sz w:val="36"/>
          <w:szCs w:val="36"/>
        </w:rPr>
        <w:t>项目编号：11011925210200012943-XM001</w:t>
      </w:r>
    </w:p>
    <w:p>
      <w:pPr>
        <w:tabs>
          <w:tab w:val="left" w:pos="3240"/>
          <w:tab w:val="left" w:pos="3420"/>
        </w:tabs>
        <w:spacing w:line="360" w:lineRule="auto"/>
        <w:ind w:left="2832" w:leftChars="444" w:hanging="1900" w:hangingChars="528"/>
        <w:jc w:val="left"/>
        <w:rPr>
          <w:bCs/>
          <w:sz w:val="36"/>
          <w:szCs w:val="36"/>
        </w:rPr>
      </w:pPr>
      <w:r>
        <w:rPr>
          <w:bCs/>
          <w:sz w:val="36"/>
          <w:szCs w:val="36"/>
        </w:rPr>
        <w:t>采购人：</w:t>
      </w:r>
      <w:r>
        <w:rPr>
          <w:rFonts w:hint="eastAsia"/>
          <w:bCs/>
          <w:sz w:val="36"/>
          <w:szCs w:val="36"/>
        </w:rPr>
        <w:t>北京市延庆区第三小学</w:t>
      </w:r>
    </w:p>
    <w:p>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北京市延庆区政府采购中心</w:t>
      </w:r>
    </w:p>
    <w:p>
      <w:pPr>
        <w:widowControl/>
        <w:jc w:val="left"/>
        <w:rPr>
          <w:b/>
          <w:bCs/>
          <w:sz w:val="44"/>
        </w:rPr>
      </w:pPr>
      <w:r>
        <w:rPr>
          <w:b/>
          <w:bCs/>
          <w:sz w:val="44"/>
        </w:rPr>
        <w:br w:type="page"/>
      </w:r>
    </w:p>
    <w:p>
      <w:pPr>
        <w:spacing w:line="360" w:lineRule="auto"/>
        <w:ind w:firstLine="7228" w:firstLineChars="1000"/>
        <w:rPr>
          <w:b/>
          <w:sz w:val="72"/>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0" w:name="_Toc99301372"/>
      <w:r>
        <w:rPr>
          <w:b/>
          <w:sz w:val="36"/>
          <w:szCs w:val="36"/>
        </w:rPr>
        <w:t>目录</w:t>
      </w:r>
      <w:bookmarkEnd w:id="0"/>
    </w:p>
    <w:p/>
    <w:p/>
    <w:p/>
    <w:p>
      <w:pPr>
        <w:pStyle w:val="31"/>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31"/>
        <w:spacing w:line="360" w:lineRule="auto"/>
        <w:rPr>
          <w:rFonts w:ascii="Times New Roman" w:hAnsi="Times New Roman" w:eastAsiaTheme="minorEastAsia"/>
          <w:b w:val="0"/>
          <w:sz w:val="21"/>
          <w:szCs w:val="22"/>
        </w:rPr>
      </w:pPr>
      <w:r>
        <w:fldChar w:fldCharType="begin"/>
      </w:r>
      <w:r>
        <w:instrText xml:space="preserve"> HYPERLINK \l "_Toc99301373" </w:instrText>
      </w:r>
      <w:r>
        <w:fldChar w:fldCharType="separate"/>
      </w:r>
      <w:r>
        <w:rPr>
          <w:rStyle w:val="53"/>
          <w:rFonts w:ascii="Times New Roman" w:hAnsi="Times New Roman"/>
        </w:rPr>
        <w:t>第一章</w:t>
      </w:r>
      <w:r>
        <w:rPr>
          <w:rStyle w:val="53"/>
          <w:rFonts w:hint="eastAsia" w:ascii="Times New Roman" w:hAnsi="Times New Roman"/>
        </w:rPr>
        <w:t xml:space="preserve">   </w:t>
      </w:r>
      <w:r>
        <w:rPr>
          <w:rStyle w:val="53"/>
          <w:rFonts w:ascii="Times New Roman" w:hAnsi="Times New Roman"/>
        </w:rPr>
        <w:t>采购邀请</w:t>
      </w:r>
      <w:r>
        <w:rPr>
          <w:rFonts w:ascii="Times New Roman" w:hAnsi="Times New Roman"/>
        </w:rPr>
        <w:tab/>
      </w:r>
      <w:r>
        <w:rPr>
          <w:rFonts w:ascii="Times New Roman" w:hAnsi="Times New Roman"/>
        </w:rPr>
        <w:fldChar w:fldCharType="end"/>
      </w:r>
      <w:r>
        <w:rPr>
          <w:rFonts w:ascii="Times New Roman" w:hAnsi="Times New Roman"/>
        </w:rPr>
        <w:t>1</w:t>
      </w:r>
    </w:p>
    <w:p>
      <w:pPr>
        <w:pStyle w:val="31"/>
        <w:spacing w:line="360" w:lineRule="auto"/>
        <w:rPr>
          <w:rFonts w:ascii="Times New Roman" w:hAnsi="Times New Roman" w:eastAsiaTheme="minorEastAsia"/>
          <w:b w:val="0"/>
          <w:sz w:val="21"/>
          <w:szCs w:val="22"/>
        </w:rPr>
      </w:pPr>
      <w:r>
        <w:fldChar w:fldCharType="begin"/>
      </w:r>
      <w:r>
        <w:instrText xml:space="preserve"> HYPERLINK \l "_Toc99301374" </w:instrText>
      </w:r>
      <w:r>
        <w:fldChar w:fldCharType="separate"/>
      </w:r>
      <w:r>
        <w:rPr>
          <w:rStyle w:val="53"/>
          <w:rFonts w:ascii="Times New Roman" w:hAnsi="Times New Roman"/>
        </w:rPr>
        <w:t>第二章</w:t>
      </w:r>
      <w:r>
        <w:rPr>
          <w:rStyle w:val="53"/>
          <w:rFonts w:hint="eastAsia" w:ascii="Times New Roman" w:hAnsi="Times New Roman"/>
        </w:rPr>
        <w:t xml:space="preserve">   </w:t>
      </w:r>
      <w:r>
        <w:rPr>
          <w:rStyle w:val="53"/>
          <w:rFonts w:ascii="Times New Roman" w:hAnsi="Times New Roman"/>
        </w:rPr>
        <w:t>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"_Toc99301375" </w:instrText>
      </w:r>
      <w:r>
        <w:fldChar w:fldCharType="separate"/>
      </w:r>
      <w:r>
        <w:rPr>
          <w:rStyle w:val="53"/>
          <w:rFonts w:ascii="Times New Roman" w:hAnsi="Times New Roman"/>
        </w:rPr>
        <w:t>第三章</w:t>
      </w:r>
      <w:r>
        <w:rPr>
          <w:rStyle w:val="53"/>
          <w:rFonts w:hint="eastAsia" w:ascii="Times New Roman" w:hAnsi="Times New Roman"/>
        </w:rPr>
        <w:t xml:space="preserve">   </w:t>
      </w:r>
      <w:r>
        <w:rPr>
          <w:rStyle w:val="53"/>
          <w:rFonts w:ascii="Times New Roman" w:hAnsi="Times New Roman"/>
        </w:rPr>
        <w:t>评审程序和评定成交的标准</w:t>
      </w:r>
      <w:r>
        <w:rPr>
          <w:rFonts w:ascii="Times New Roman" w:hAnsi="Times New Roman"/>
        </w:rPr>
        <w:tab/>
      </w:r>
      <w:r>
        <w:rPr>
          <w:rFonts w:hint="eastAsia" w:ascii="Times New Roman" w:hAnsi="Times New Roman"/>
        </w:rPr>
        <w:t>2</w:t>
      </w:r>
      <w:r>
        <w:rPr>
          <w:rFonts w:hint="eastAsia" w:ascii="Times New Roman" w:hAnsi="Times New Roman"/>
        </w:rPr>
        <w:fldChar w:fldCharType="end"/>
      </w:r>
      <w:r>
        <w:rPr>
          <w:rFonts w:hint="eastAsia" w:ascii="Times New Roman" w:hAnsi="Times New Roman"/>
        </w:rPr>
        <w:t>0</w:t>
      </w:r>
    </w:p>
    <w:p>
      <w:pPr>
        <w:pStyle w:val="31"/>
        <w:spacing w:line="360" w:lineRule="auto"/>
        <w:rPr>
          <w:rFonts w:ascii="Times New Roman" w:hAnsi="Times New Roman" w:eastAsiaTheme="minorEastAsia"/>
          <w:b w:val="0"/>
          <w:sz w:val="21"/>
          <w:szCs w:val="22"/>
        </w:rPr>
      </w:pPr>
      <w:r>
        <w:fldChar w:fldCharType="begin"/>
      </w:r>
      <w:r>
        <w:instrText xml:space="preserve"> HYPERLINK \l "_Toc99301376" </w:instrText>
      </w:r>
      <w:r>
        <w:fldChar w:fldCharType="separate"/>
      </w:r>
      <w:r>
        <w:rPr>
          <w:rStyle w:val="53"/>
          <w:rFonts w:ascii="Times New Roman" w:hAnsi="Times New Roman"/>
        </w:rPr>
        <w:t>第四章</w:t>
      </w:r>
      <w:r>
        <w:rPr>
          <w:rStyle w:val="53"/>
          <w:rFonts w:hint="eastAsia" w:ascii="Times New Roman" w:hAnsi="Times New Roman"/>
        </w:rPr>
        <w:t xml:space="preserve">   </w:t>
      </w:r>
      <w:r>
        <w:rPr>
          <w:rStyle w:val="53"/>
          <w:rFonts w:ascii="Times New Roman" w:hAnsi="Times New Roman"/>
        </w:rPr>
        <w:t>采购需求</w:t>
      </w:r>
      <w:r>
        <w:rPr>
          <w:rFonts w:ascii="Times New Roman" w:hAnsi="Times New Roman"/>
        </w:rPr>
        <w:tab/>
      </w:r>
      <w:r>
        <w:rPr>
          <w:rFonts w:hint="eastAsia" w:ascii="Times New Roman" w:hAnsi="Times New Roman"/>
        </w:rPr>
        <w:t>27</w:t>
      </w:r>
      <w:r>
        <w:rPr>
          <w:rFonts w:hint="eastAsia"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"_Toc99301377" </w:instrText>
      </w:r>
      <w:r>
        <w:fldChar w:fldCharType="separate"/>
      </w:r>
      <w:r>
        <w:rPr>
          <w:rStyle w:val="53"/>
          <w:rFonts w:ascii="Times New Roman" w:hAnsi="Times New Roman"/>
        </w:rPr>
        <w:t>第五章</w:t>
      </w:r>
      <w:r>
        <w:rPr>
          <w:rStyle w:val="53"/>
          <w:rFonts w:hint="eastAsia" w:ascii="Times New Roman" w:hAnsi="Times New Roman"/>
        </w:rPr>
        <w:t xml:space="preserve">   </w:t>
      </w:r>
      <w:r>
        <w:rPr>
          <w:rStyle w:val="53"/>
          <w:rFonts w:ascii="Times New Roman" w:hAnsi="Times New Roman"/>
        </w:rPr>
        <w:t>合同草案条款</w:t>
      </w:r>
      <w:r>
        <w:rPr>
          <w:rFonts w:ascii="Times New Roman" w:hAnsi="Times New Roman"/>
        </w:rPr>
        <w:tab/>
      </w:r>
      <w:r>
        <w:rPr>
          <w:rFonts w:hint="eastAsia" w:ascii="Times New Roman" w:hAnsi="Times New Roman"/>
        </w:rPr>
        <w:t>64</w:t>
      </w:r>
      <w:r>
        <w:rPr>
          <w:rFonts w:hint="eastAsia" w:ascii="Times New Roman" w:hAnsi="Times New Roman"/>
        </w:rPr>
        <w:fldChar w:fldCharType="end"/>
      </w:r>
    </w:p>
    <w:p>
      <w:pPr>
        <w:pStyle w:val="31"/>
        <w:spacing w:line="360" w:lineRule="auto"/>
        <w:rPr>
          <w:rFonts w:ascii="Times New Roman" w:hAnsi="Times New Roman" w:eastAsiaTheme="minorEastAsia"/>
          <w:b w:val="0"/>
          <w:sz w:val="21"/>
          <w:szCs w:val="22"/>
        </w:rPr>
      </w:pPr>
      <w:r>
        <w:fldChar w:fldCharType="begin"/>
      </w:r>
      <w:r>
        <w:instrText xml:space="preserve"> HYPERLINK \l "_Toc99301378" </w:instrText>
      </w:r>
      <w:r>
        <w:fldChar w:fldCharType="separate"/>
      </w:r>
      <w:r>
        <w:rPr>
          <w:rStyle w:val="53"/>
          <w:rFonts w:ascii="Times New Roman" w:hAnsi="Times New Roman"/>
        </w:rPr>
        <w:t>第六章</w:t>
      </w:r>
      <w:r>
        <w:rPr>
          <w:rStyle w:val="53"/>
          <w:rFonts w:hint="eastAsia" w:ascii="Times New Roman" w:hAnsi="Times New Roman"/>
        </w:rPr>
        <w:t xml:space="preserve">   </w:t>
      </w:r>
      <w:r>
        <w:rPr>
          <w:rStyle w:val="53"/>
          <w:rFonts w:ascii="Times New Roman" w:hAnsi="Times New Roman"/>
        </w:rPr>
        <w:t>响应文件格式</w:t>
      </w:r>
      <w:r>
        <w:rPr>
          <w:rFonts w:ascii="Times New Roman" w:hAnsi="Times New Roman"/>
        </w:rPr>
        <w:tab/>
      </w:r>
      <w:r>
        <w:rPr>
          <w:rFonts w:ascii="Times New Roman" w:hAnsi="Times New Roman"/>
        </w:rPr>
        <w:fldChar w:fldCharType="end"/>
      </w:r>
      <w:r>
        <w:rPr>
          <w:rFonts w:ascii="Times New Roman" w:hAnsi="Times New Roman"/>
        </w:rPr>
        <w:t>8</w:t>
      </w:r>
      <w:r>
        <w:rPr>
          <w:rFonts w:hint="eastAsia" w:ascii="Times New Roman" w:hAnsi="Times New Roman"/>
        </w:rPr>
        <w:t>2</w:t>
      </w:r>
    </w:p>
    <w:p>
      <w:pPr>
        <w:pStyle w:val="31"/>
        <w:spacing w:line="480" w:lineRule="auto"/>
        <w:rPr>
          <w:rFonts w:ascii="Times New Roman" w:hAnsi="Times New Roman" w:eastAsiaTheme="minorEastAsia"/>
          <w:b w:val="0"/>
        </w:rPr>
      </w:pPr>
      <w:r>
        <w:rPr>
          <w:b w:val="0"/>
        </w:rPr>
        <w:fldChar w:fldCharType="end"/>
      </w:r>
    </w:p>
    <w:p/>
    <w:p>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pPr>
        <w:spacing w:line="480" w:lineRule="auto"/>
        <w:rPr>
          <w:b/>
          <w:sz w:val="36"/>
          <w:szCs w:val="36"/>
        </w:rPr>
      </w:pPr>
    </w:p>
    <w:p>
      <w:pPr>
        <w:widowControl/>
        <w:jc w:val="left"/>
        <w:rPr>
          <w:b/>
          <w:sz w:val="36"/>
          <w:szCs w:val="36"/>
        </w:rPr>
      </w:pPr>
      <w:bookmarkStart w:id="1" w:name="_Toc99301373"/>
      <w:r>
        <w:rPr>
          <w:b/>
          <w:sz w:val="36"/>
          <w:szCs w:val="36"/>
        </w:rPr>
        <w:br w:type="page"/>
      </w:r>
      <w:r>
        <w:rPr>
          <w:rFonts w:hint="eastAsia"/>
          <w:b/>
          <w:sz w:val="36"/>
          <w:szCs w:val="36"/>
        </w:rPr>
        <w:t xml:space="preserve"> </w:t>
      </w:r>
    </w:p>
    <w:bookmarkEnd w:id="1"/>
    <w:p>
      <w:pPr>
        <w:spacing w:line="360" w:lineRule="auto"/>
        <w:jc w:val="center"/>
        <w:outlineLvl w:val="0"/>
        <w:rPr>
          <w:b/>
          <w:sz w:val="36"/>
          <w:szCs w:val="36"/>
        </w:rPr>
      </w:pPr>
      <w:r>
        <w:rPr>
          <w:b/>
          <w:sz w:val="36"/>
          <w:szCs w:val="36"/>
        </w:rPr>
        <w:t>第一章采购邀请</w:t>
      </w:r>
    </w:p>
    <w:p>
      <w:pPr>
        <w:spacing w:line="360" w:lineRule="auto"/>
        <w:ind w:firstLine="640" w:firstLineChars="200"/>
        <w:rPr>
          <w:sz w:val="32"/>
          <w:szCs w:val="32"/>
        </w:rPr>
      </w:pPr>
    </w:p>
    <w:p>
      <w:pPr>
        <w:pStyle w:val="3"/>
        <w:spacing w:before="0" w:line="360" w:lineRule="auto"/>
        <w:jc w:val="left"/>
        <w:rPr>
          <w:rFonts w:ascii="Times New Roman" w:hAnsi="Times New Roman" w:eastAsia="宋体"/>
          <w:sz w:val="24"/>
          <w:szCs w:val="24"/>
        </w:rPr>
      </w:pPr>
      <w:bookmarkStart w:id="2" w:name="_Toc28359002"/>
      <w:bookmarkStart w:id="3" w:name="_Toc28359079"/>
      <w:bookmarkStart w:id="4" w:name="_Toc35393621"/>
      <w:bookmarkStart w:id="5" w:name="_Toc35393790"/>
      <w:bookmarkStart w:id="6" w:name="_Hlk24379207"/>
      <w:r>
        <w:rPr>
          <w:rFonts w:ascii="Times New Roman" w:hAnsi="Times New Roman" w:eastAsia="宋体"/>
          <w:sz w:val="24"/>
          <w:szCs w:val="24"/>
        </w:rPr>
        <w:t>一、项目基本情况</w:t>
      </w:r>
      <w:bookmarkEnd w:id="2"/>
      <w:bookmarkEnd w:id="3"/>
      <w:bookmarkEnd w:id="4"/>
      <w:bookmarkEnd w:id="5"/>
    </w:p>
    <w:p>
      <w:pPr>
        <w:spacing w:line="360" w:lineRule="auto"/>
        <w:ind w:firstLine="480" w:firstLineChars="200"/>
        <w:rPr>
          <w:sz w:val="24"/>
        </w:rPr>
      </w:pPr>
      <w:r>
        <w:rPr>
          <w:sz w:val="24"/>
        </w:rPr>
        <w:t>1.项目编号：</w:t>
      </w:r>
      <w:r>
        <w:rPr>
          <w:rFonts w:hint="eastAsia"/>
          <w:sz w:val="24"/>
        </w:rPr>
        <w:t>11011925210200012943-XM001</w:t>
      </w:r>
    </w:p>
    <w:p>
      <w:pPr>
        <w:spacing w:line="360" w:lineRule="auto"/>
        <w:ind w:firstLine="480" w:firstLineChars="200"/>
        <w:rPr>
          <w:sz w:val="24"/>
        </w:rPr>
      </w:pPr>
      <w:r>
        <w:rPr>
          <w:sz w:val="24"/>
        </w:rPr>
        <w:t>2.项目名称：</w:t>
      </w:r>
      <w:r>
        <w:rPr>
          <w:rFonts w:hint="eastAsia"/>
          <w:sz w:val="24"/>
        </w:rPr>
        <w:t>北京市延庆区第三小学改扩建设备购置项目</w:t>
      </w:r>
    </w:p>
    <w:p>
      <w:pPr>
        <w:spacing w:line="360" w:lineRule="auto"/>
        <w:ind w:firstLine="480" w:firstLineChars="200"/>
        <w:rPr>
          <w:sz w:val="24"/>
        </w:rPr>
      </w:pPr>
      <w:r>
        <w:rPr>
          <w:sz w:val="24"/>
        </w:rPr>
        <w:t>3.采购方式：竞争性谈判</w:t>
      </w:r>
    </w:p>
    <w:bookmarkEnd w:id="6"/>
    <w:p>
      <w:pPr>
        <w:spacing w:line="360" w:lineRule="auto"/>
        <w:ind w:firstLine="480" w:firstLineChars="200"/>
        <w:rPr>
          <w:sz w:val="24"/>
        </w:rPr>
      </w:pPr>
      <w:r>
        <w:rPr>
          <w:sz w:val="24"/>
        </w:rPr>
        <w:t>4.项目预算金额：</w:t>
      </w:r>
      <w:r>
        <w:rPr>
          <w:rFonts w:hint="eastAsia"/>
          <w:sz w:val="24"/>
        </w:rPr>
        <w:t>321.9612</w:t>
      </w:r>
      <w:r>
        <w:rPr>
          <w:sz w:val="24"/>
        </w:rPr>
        <w:t>万元、项目最高限价：</w:t>
      </w:r>
      <w:r>
        <w:rPr>
          <w:rFonts w:hint="eastAsia"/>
          <w:sz w:val="24"/>
        </w:rPr>
        <w:t>321.9612</w:t>
      </w:r>
      <w:r>
        <w:rPr>
          <w:sz w:val="24"/>
        </w:rPr>
        <w:t>万元</w:t>
      </w:r>
    </w:p>
    <w:p>
      <w:pPr>
        <w:spacing w:line="360" w:lineRule="auto"/>
        <w:ind w:firstLine="480" w:firstLineChars="200"/>
        <w:rPr>
          <w:sz w:val="24"/>
        </w:rPr>
      </w:pPr>
      <w:r>
        <w:rPr>
          <w:sz w:val="24"/>
        </w:rPr>
        <w:t>5.采购需求：</w:t>
      </w:r>
    </w:p>
    <w:tbl>
      <w:tblPr>
        <w:tblStyle w:val="44"/>
        <w:tblW w:w="46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736"/>
        <w:gridCol w:w="7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pct"/>
            <w:vAlign w:val="center"/>
          </w:tcPr>
          <w:p>
            <w:pPr>
              <w:jc w:val="center"/>
              <w:rPr>
                <w:bCs/>
                <w:szCs w:val="21"/>
              </w:rPr>
            </w:pPr>
            <w:r>
              <w:rPr>
                <w:bCs/>
                <w:szCs w:val="21"/>
              </w:rPr>
              <w:t>标的名称</w:t>
            </w:r>
          </w:p>
        </w:tc>
        <w:tc>
          <w:tcPr>
            <w:tcW w:w="996" w:type="pct"/>
            <w:vAlign w:val="center"/>
          </w:tcPr>
          <w:p>
            <w:pPr>
              <w:jc w:val="center"/>
              <w:rPr>
                <w:bCs/>
                <w:szCs w:val="21"/>
              </w:rPr>
            </w:pPr>
            <w:r>
              <w:rPr>
                <w:bCs/>
                <w:szCs w:val="21"/>
              </w:rPr>
              <w:t>采购包预算金额</w:t>
            </w:r>
          </w:p>
          <w:p>
            <w:pPr>
              <w:jc w:val="center"/>
              <w:rPr>
                <w:bCs/>
                <w:szCs w:val="21"/>
              </w:rPr>
            </w:pPr>
            <w:r>
              <w:rPr>
                <w:bCs/>
                <w:szCs w:val="21"/>
              </w:rPr>
              <w:t>（万元）</w:t>
            </w:r>
          </w:p>
        </w:tc>
        <w:tc>
          <w:tcPr>
            <w:tcW w:w="421" w:type="pct"/>
            <w:vAlign w:val="center"/>
          </w:tcPr>
          <w:p>
            <w:pPr>
              <w:jc w:val="center"/>
              <w:rPr>
                <w:bCs/>
                <w:szCs w:val="21"/>
              </w:rPr>
            </w:pPr>
            <w:r>
              <w:rPr>
                <w:bCs/>
                <w:szCs w:val="21"/>
              </w:rPr>
              <w:t>数量</w:t>
            </w:r>
          </w:p>
        </w:tc>
        <w:tc>
          <w:tcPr>
            <w:tcW w:w="2276" w:type="pct"/>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4" w:type="pct"/>
            <w:vAlign w:val="center"/>
          </w:tcPr>
          <w:p>
            <w:pPr>
              <w:jc w:val="center"/>
              <w:rPr>
                <w:bCs/>
                <w:szCs w:val="21"/>
              </w:rPr>
            </w:pPr>
            <w:r>
              <w:rPr>
                <w:rFonts w:hint="eastAsia" w:eastAsiaTheme="minorEastAsia"/>
                <w:bCs/>
                <w:sz w:val="24"/>
              </w:rPr>
              <w:t>台式计算机、教学多媒体、</w:t>
            </w:r>
            <w:r>
              <w:rPr>
                <w:rFonts w:hint="eastAsia" w:asciiTheme="minorEastAsia" w:hAnsiTheme="minorEastAsia"/>
                <w:sz w:val="24"/>
              </w:rPr>
              <w:t>操作系统、办公软件、</w:t>
            </w:r>
            <w:r>
              <w:rPr>
                <w:rFonts w:hint="eastAsia" w:eastAsiaTheme="minorEastAsia"/>
                <w:bCs/>
                <w:sz w:val="24"/>
              </w:rPr>
              <w:t>复印件、打印机、速印机、摄像机、三脚架</w:t>
            </w:r>
          </w:p>
        </w:tc>
        <w:tc>
          <w:tcPr>
            <w:tcW w:w="996" w:type="pct"/>
            <w:vAlign w:val="center"/>
          </w:tcPr>
          <w:p>
            <w:pPr>
              <w:jc w:val="center"/>
              <w:rPr>
                <w:bCs/>
                <w:szCs w:val="21"/>
              </w:rPr>
            </w:pPr>
            <w:r>
              <w:rPr>
                <w:rFonts w:hint="eastAsia"/>
                <w:sz w:val="24"/>
              </w:rPr>
              <w:t>321.9612</w:t>
            </w:r>
          </w:p>
        </w:tc>
        <w:tc>
          <w:tcPr>
            <w:tcW w:w="421" w:type="pct"/>
            <w:vAlign w:val="center"/>
          </w:tcPr>
          <w:p>
            <w:pPr>
              <w:jc w:val="center"/>
              <w:rPr>
                <w:bCs/>
                <w:szCs w:val="21"/>
              </w:rPr>
            </w:pPr>
            <w:r>
              <w:rPr>
                <w:rFonts w:hint="eastAsia"/>
                <w:bCs/>
                <w:szCs w:val="21"/>
              </w:rPr>
              <w:t>1批</w:t>
            </w:r>
          </w:p>
        </w:tc>
        <w:tc>
          <w:tcPr>
            <w:tcW w:w="2276" w:type="pct"/>
            <w:vAlign w:val="center"/>
          </w:tcPr>
          <w:p>
            <w:pPr>
              <w:jc w:val="center"/>
              <w:rPr>
                <w:kern w:val="0"/>
                <w:szCs w:val="21"/>
              </w:rPr>
            </w:pPr>
            <w:r>
              <w:rPr>
                <w:rFonts w:hint="eastAsia" w:asciiTheme="minorEastAsia" w:hAnsiTheme="minorEastAsia"/>
                <w:sz w:val="24"/>
              </w:rPr>
              <w:t>本次采购主要包括台式计算机148台、教学多媒体42台、操作系统148套、办公软件56套、复印机1台、打印机16台、速印机1台、摄像机1台、三脚架1个。（详见第四章采购需求）</w:t>
            </w:r>
          </w:p>
        </w:tc>
      </w:tr>
    </w:tbl>
    <w:p>
      <w:pPr>
        <w:tabs>
          <w:tab w:val="left" w:pos="312"/>
        </w:tabs>
        <w:spacing w:line="360" w:lineRule="auto"/>
        <w:ind w:firstLine="480" w:firstLineChars="200"/>
        <w:rPr>
          <w:rFonts w:asciiTheme="minorEastAsia" w:hAnsiTheme="minorEastAsia"/>
          <w:sz w:val="24"/>
          <w:u w:val="single"/>
        </w:rPr>
      </w:pPr>
      <w:r>
        <w:rPr>
          <w:rFonts w:hint="eastAsia"/>
          <w:sz w:val="24"/>
        </w:rPr>
        <w:t>6.</w:t>
      </w:r>
      <w:r>
        <w:rPr>
          <w:sz w:val="24"/>
        </w:rPr>
        <w:t>合同履行期限：</w:t>
      </w:r>
      <w:r>
        <w:rPr>
          <w:rFonts w:hint="eastAsia" w:asciiTheme="minorEastAsia" w:hAnsiTheme="minorEastAsia"/>
          <w:sz w:val="24"/>
          <w:u w:val="single"/>
        </w:rPr>
        <w:t>60个</w:t>
      </w:r>
      <w:r>
        <w:rPr>
          <w:rFonts w:asciiTheme="minorEastAsia" w:hAnsiTheme="minorEastAsia"/>
          <w:sz w:val="24"/>
          <w:u w:val="single"/>
        </w:rPr>
        <w:t>日历日内</w:t>
      </w:r>
      <w:r>
        <w:rPr>
          <w:rFonts w:hint="eastAsia" w:asciiTheme="minorEastAsia" w:hAnsiTheme="minorEastAsia"/>
          <w:sz w:val="24"/>
          <w:u w:val="single"/>
        </w:rPr>
        <w:t>完成安装调试。</w:t>
      </w:r>
    </w:p>
    <w:p>
      <w:pPr>
        <w:spacing w:line="360" w:lineRule="auto"/>
        <w:ind w:firstLine="480" w:firstLineChars="200"/>
        <w:rPr>
          <w:sz w:val="24"/>
        </w:rPr>
      </w:pPr>
      <w:r>
        <w:rPr>
          <w:sz w:val="24"/>
        </w:rPr>
        <w:t>7.本项目是否接受联合体：□是</w:t>
      </w:r>
      <w:r>
        <w:rPr>
          <w:rFonts w:eastAsiaTheme="minorEastAsia"/>
          <w:sz w:val="24"/>
        </w:rPr>
        <w:t>■</w:t>
      </w:r>
      <w:r>
        <w:rPr>
          <w:sz w:val="24"/>
        </w:rPr>
        <w:t>否。</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7" w:name="_Toc35393622"/>
      <w:bookmarkStart w:id="8" w:name="_Toc28359003"/>
      <w:bookmarkStart w:id="9" w:name="_Toc35393791"/>
      <w:bookmarkStart w:id="10" w:name="_Toc28359080"/>
      <w:r>
        <w:rPr>
          <w:rFonts w:ascii="Times New Roman" w:hAnsi="Times New Roman" w:eastAsia="宋体"/>
          <w:sz w:val="24"/>
          <w:szCs w:val="24"/>
        </w:rPr>
        <w:t>二、申请人的资格要求（须同时满足）</w:t>
      </w:r>
      <w:bookmarkEnd w:id="7"/>
      <w:bookmarkEnd w:id="8"/>
      <w:bookmarkEnd w:id="9"/>
      <w:bookmarkEnd w:id="10"/>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1" w:name="_Toc28359004"/>
      <w:bookmarkStart w:id="12"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r>
        <w:rPr>
          <w:rFonts w:eastAsiaTheme="minorEastAsia"/>
          <w:sz w:val="24"/>
        </w:rPr>
        <w:t>■</w:t>
      </w:r>
      <w:r>
        <w:rPr>
          <w:sz w:val="24"/>
        </w:rPr>
        <w:t>本项目不专门面向中小企业预留采购份额。</w:t>
      </w:r>
    </w:p>
    <w:p>
      <w:pPr>
        <w:spacing w:line="360" w:lineRule="auto"/>
        <w:ind w:firstLine="480" w:firstLineChars="200"/>
        <w:rPr>
          <w:sz w:val="24"/>
        </w:rPr>
      </w:pPr>
      <w:r>
        <w:rPr>
          <w:sz w:val="24"/>
        </w:rPr>
        <w:t>□本项目专门面向  □中小 □小微企业采购。即：提供的货物全部由符合政策要求的中小/小微企业制造、服务全部由符合政策要求的中小/小微企业承接。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w:t>
      </w:r>
      <w:r>
        <w:rPr>
          <w:rFonts w:hint="eastAsia"/>
          <w:sz w:val="24"/>
        </w:rPr>
        <w:t>\</w:t>
      </w:r>
      <w:r>
        <w:rPr>
          <w:sz w:val="24"/>
        </w:rPr>
        <w:t>_________</w:t>
      </w:r>
    </w:p>
    <w:p>
      <w:pPr>
        <w:spacing w:line="360" w:lineRule="auto"/>
        <w:ind w:firstLine="480" w:firstLineChars="200"/>
        <w:rPr>
          <w:sz w:val="24"/>
          <w:u w:val="single"/>
        </w:rPr>
      </w:pPr>
      <w:r>
        <w:rPr>
          <w:sz w:val="24"/>
        </w:rPr>
        <w:t>2.2 其它落实政府采购政策的资格要求：</w:t>
      </w:r>
      <w:r>
        <w:rPr>
          <w:rFonts w:hint="eastAsia"/>
          <w:sz w:val="24"/>
        </w:rPr>
        <w:t xml:space="preserve"> </w:t>
      </w:r>
      <w:r>
        <w:rPr>
          <w:rFonts w:hint="eastAsia"/>
          <w:sz w:val="24"/>
          <w:u w:val="single"/>
        </w:rPr>
        <w:t xml:space="preserve"> </w:t>
      </w:r>
      <w:r>
        <w:rPr>
          <w:sz w:val="24"/>
          <w:u w:val="single"/>
        </w:rPr>
        <w:t xml:space="preserve">   </w:t>
      </w:r>
      <w:r>
        <w:rPr>
          <w:rFonts w:hint="eastAsia"/>
          <w:sz w:val="24"/>
          <w:u w:val="single"/>
        </w:rPr>
        <w:t xml:space="preserve">无   </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eastAsiaTheme="minorEastAsia"/>
          <w:sz w:val="24"/>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：____</w:t>
      </w:r>
      <w:r>
        <w:rPr>
          <w:rFonts w:hint="eastAsia" w:eastAsiaTheme="minorEastAsia"/>
          <w:sz w:val="24"/>
        </w:rPr>
        <w:t>无</w:t>
      </w:r>
      <w:r>
        <w:rPr>
          <w:rFonts w:eastAsiaTheme="minorEastAsia"/>
          <w:sz w:val="24"/>
        </w:rPr>
        <w:t>_____</w:t>
      </w:r>
      <w:r>
        <w:rPr>
          <w:sz w:val="24"/>
        </w:rPr>
        <w:t>。</w:t>
      </w:r>
    </w:p>
    <w:p>
      <w:pPr>
        <w:spacing w:line="360" w:lineRule="auto"/>
        <w:ind w:firstLine="480" w:firstLineChars="200"/>
        <w:rPr>
          <w:i/>
          <w:iCs/>
          <w:sz w:val="24"/>
          <w:u w:val="single"/>
        </w:rPr>
      </w:pPr>
    </w:p>
    <w:bookmarkEnd w:id="11"/>
    <w:bookmarkEnd w:id="12"/>
    <w:p>
      <w:pPr>
        <w:pStyle w:val="3"/>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w:t>
      </w:r>
      <w:bookmarkEnd w:id="13"/>
      <w:bookmarkEnd w:id="14"/>
      <w:r>
        <w:rPr>
          <w:rFonts w:ascii="Times New Roman" w:hAnsi="Times New Roman" w:eastAsia="宋体"/>
          <w:sz w:val="24"/>
          <w:szCs w:val="24"/>
        </w:rPr>
        <w:t>采购文件</w:t>
      </w:r>
    </w:p>
    <w:p>
      <w:pPr>
        <w:adjustRightInd w:val="0"/>
        <w:snapToGrid w:val="0"/>
        <w:spacing w:line="360" w:lineRule="auto"/>
        <w:ind w:firstLine="480" w:firstLineChars="200"/>
        <w:rPr>
          <w:sz w:val="24"/>
        </w:rPr>
      </w:pPr>
      <w:r>
        <w:rPr>
          <w:sz w:val="24"/>
        </w:rPr>
        <w:t>1.时间：</w:t>
      </w:r>
      <w:r>
        <w:rPr>
          <w:rFonts w:hint="eastAsia"/>
          <w:sz w:val="24"/>
        </w:rPr>
        <w:t>2025</w:t>
      </w:r>
      <w:r>
        <w:rPr>
          <w:sz w:val="24"/>
        </w:rPr>
        <w:t>年</w:t>
      </w:r>
      <w:r>
        <w:rPr>
          <w:rFonts w:hint="eastAsia"/>
          <w:sz w:val="24"/>
        </w:rPr>
        <w:t>7</w:t>
      </w:r>
      <w:r>
        <w:rPr>
          <w:sz w:val="24"/>
        </w:rPr>
        <w:t>月</w:t>
      </w:r>
      <w:r>
        <w:rPr>
          <w:rFonts w:hint="eastAsia"/>
          <w:sz w:val="24"/>
        </w:rPr>
        <w:t>7</w:t>
      </w:r>
      <w:r>
        <w:rPr>
          <w:sz w:val="24"/>
        </w:rPr>
        <w:t>日至</w:t>
      </w:r>
      <w:r>
        <w:rPr>
          <w:rFonts w:hint="eastAsia"/>
          <w:sz w:val="24"/>
        </w:rPr>
        <w:t>2025</w:t>
      </w:r>
      <w:r>
        <w:rPr>
          <w:sz w:val="24"/>
        </w:rPr>
        <w:t>年</w:t>
      </w:r>
      <w:r>
        <w:rPr>
          <w:rFonts w:hint="eastAsia"/>
          <w:sz w:val="24"/>
        </w:rPr>
        <w:t>7</w:t>
      </w:r>
      <w:r>
        <w:rPr>
          <w:sz w:val="24"/>
        </w:rPr>
        <w:t>月</w:t>
      </w:r>
      <w:r>
        <w:rPr>
          <w:rFonts w:hint="eastAsia"/>
          <w:sz w:val="24"/>
        </w:rPr>
        <w:t>9</w:t>
      </w:r>
      <w:r>
        <w:rPr>
          <w:sz w:val="24"/>
        </w:rPr>
        <w:t>日，每天上午</w:t>
      </w:r>
      <w:r>
        <w:rPr>
          <w:rFonts w:hint="eastAsia"/>
          <w:sz w:val="24"/>
        </w:rPr>
        <w:t>0:00</w:t>
      </w:r>
      <w:r>
        <w:rPr>
          <w:sz w:val="24"/>
        </w:rPr>
        <w:t>至下午24:00（北京时间，法定节假日除外）。</w:t>
      </w:r>
    </w:p>
    <w:p>
      <w:pPr>
        <w:adjustRightInd w:val="0"/>
        <w:snapToGrid w:val="0"/>
        <w:spacing w:line="360" w:lineRule="auto"/>
        <w:ind w:firstLine="480" w:firstLineChars="200"/>
        <w:rPr>
          <w:sz w:val="24"/>
        </w:rPr>
      </w:pPr>
      <w:r>
        <w:rPr>
          <w:sz w:val="24"/>
        </w:rPr>
        <w:t>2.地点：北京市政府采购电子交易平台</w:t>
      </w:r>
    </w:p>
    <w:p>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w:t>
      </w:r>
      <w:r>
        <w:rPr>
          <w:rFonts w:eastAsiaTheme="minorEastAsia"/>
          <w:sz w:val="24"/>
        </w:rPr>
        <w:t>（http://zbcg-bjzc.zhongcy.com/bjczj-portal-site/index.html#/home）</w:t>
      </w:r>
      <w:r>
        <w:rPr>
          <w:sz w:val="24"/>
        </w:rPr>
        <w:t>获取电子版谈判文件。</w:t>
      </w:r>
    </w:p>
    <w:p>
      <w:pPr>
        <w:widowControl/>
        <w:adjustRightInd w:val="0"/>
        <w:snapToGrid w:val="0"/>
        <w:spacing w:line="360" w:lineRule="auto"/>
        <w:ind w:firstLine="480" w:firstLineChars="200"/>
        <w:jc w:val="left"/>
        <w:rPr>
          <w:sz w:val="24"/>
        </w:rPr>
      </w:pPr>
      <w:r>
        <w:rPr>
          <w:sz w:val="24"/>
        </w:rPr>
        <w:t>4.售价：0元。</w:t>
      </w:r>
    </w:p>
    <w:p>
      <w:pPr>
        <w:tabs>
          <w:tab w:val="left" w:pos="900"/>
          <w:tab w:val="left" w:pos="1980"/>
        </w:tabs>
        <w:snapToGrid w:val="0"/>
        <w:spacing w:line="360" w:lineRule="auto"/>
        <w:ind w:left="840"/>
        <w:rPr>
          <w:sz w:val="24"/>
        </w:rPr>
      </w:pPr>
    </w:p>
    <w:p>
      <w:pPr>
        <w:pStyle w:val="3"/>
        <w:widowControl/>
        <w:spacing w:before="0" w:line="360" w:lineRule="auto"/>
        <w:jc w:val="left"/>
        <w:rPr>
          <w:rFonts w:ascii="Times New Roman" w:hAnsi="Times New Roman" w:eastAsia="宋体"/>
          <w:sz w:val="24"/>
          <w:szCs w:val="24"/>
        </w:rPr>
      </w:pPr>
      <w:bookmarkStart w:id="15" w:name="_Toc28359082"/>
      <w:bookmarkStart w:id="16" w:name="_Toc35393624"/>
      <w:bookmarkStart w:id="17" w:name="_Toc35393793"/>
      <w:bookmarkStart w:id="18" w:name="_Toc28359005"/>
      <w:r>
        <w:rPr>
          <w:rFonts w:ascii="Times New Roman" w:hAnsi="Times New Roman" w:eastAsia="宋体"/>
          <w:sz w:val="24"/>
          <w:szCs w:val="24"/>
        </w:rPr>
        <w:t>四、</w:t>
      </w:r>
      <w:bookmarkEnd w:id="15"/>
      <w:bookmarkEnd w:id="16"/>
      <w:bookmarkEnd w:id="17"/>
      <w:bookmarkEnd w:id="18"/>
      <w:r>
        <w:rPr>
          <w:rFonts w:ascii="Times New Roman" w:hAnsi="Times New Roman" w:eastAsia="宋体"/>
          <w:sz w:val="24"/>
          <w:szCs w:val="24"/>
        </w:rPr>
        <w:t>响应文件提交</w:t>
      </w:r>
    </w:p>
    <w:p>
      <w:pPr>
        <w:spacing w:line="360" w:lineRule="auto"/>
        <w:ind w:firstLine="480" w:firstLineChars="200"/>
        <w:rPr>
          <w:bCs/>
          <w:sz w:val="24"/>
          <w:u w:val="single"/>
        </w:rPr>
      </w:pPr>
      <w:r>
        <w:rPr>
          <w:sz w:val="24"/>
        </w:rPr>
        <w:t>截止时间：</w:t>
      </w:r>
      <w:r>
        <w:rPr>
          <w:rFonts w:hint="eastAsia"/>
          <w:sz w:val="24"/>
        </w:rPr>
        <w:t>2025</w:t>
      </w:r>
      <w:r>
        <w:rPr>
          <w:sz w:val="24"/>
        </w:rPr>
        <w:t>年</w:t>
      </w:r>
      <w:r>
        <w:rPr>
          <w:rFonts w:hint="eastAsia"/>
          <w:sz w:val="24"/>
        </w:rPr>
        <w:t>7</w:t>
      </w:r>
      <w:r>
        <w:rPr>
          <w:sz w:val="24"/>
        </w:rPr>
        <w:t>月</w:t>
      </w:r>
      <w:r>
        <w:rPr>
          <w:rFonts w:hint="eastAsia"/>
          <w:sz w:val="24"/>
        </w:rPr>
        <w:t xml:space="preserve">10 </w:t>
      </w:r>
      <w:r>
        <w:rPr>
          <w:sz w:val="24"/>
        </w:rPr>
        <w:t>日</w:t>
      </w:r>
      <w:r>
        <w:rPr>
          <w:rFonts w:hint="eastAsia"/>
          <w:sz w:val="24"/>
        </w:rPr>
        <w:t>9</w:t>
      </w:r>
      <w:r>
        <w:rPr>
          <w:sz w:val="24"/>
        </w:rPr>
        <w:t>点</w:t>
      </w:r>
      <w:r>
        <w:rPr>
          <w:rFonts w:hint="eastAsia"/>
          <w:sz w:val="24"/>
        </w:rPr>
        <w:t>00</w:t>
      </w:r>
      <w:r>
        <w:rPr>
          <w:sz w:val="24"/>
        </w:rPr>
        <w:t>分</w:t>
      </w:r>
      <w:r>
        <w:rPr>
          <w:bCs/>
          <w:sz w:val="24"/>
        </w:rPr>
        <w:t>（北京时间）</w:t>
      </w:r>
      <w:r>
        <w:rPr>
          <w:iCs/>
          <w:sz w:val="24"/>
        </w:rPr>
        <w:t>。</w:t>
      </w:r>
    </w:p>
    <w:p>
      <w:pPr>
        <w:spacing w:line="360" w:lineRule="auto"/>
        <w:ind w:firstLine="480" w:firstLineChars="200"/>
        <w:rPr>
          <w:sz w:val="24"/>
          <w:lang w:val="zh-TW"/>
        </w:rPr>
      </w:pPr>
      <w:r>
        <w:rPr>
          <w:sz w:val="24"/>
        </w:rPr>
        <w:t>地点：北京市政府采购电子交易平台</w:t>
      </w:r>
      <w:r>
        <w:rPr>
          <w:sz w:val="24"/>
          <w:lang w:val="zh-TW"/>
        </w:rPr>
        <w:t>。</w:t>
      </w:r>
    </w:p>
    <w:p>
      <w:pPr>
        <w:spacing w:line="360" w:lineRule="auto"/>
        <w:ind w:firstLine="480" w:firstLineChars="200"/>
        <w:rPr>
          <w:bCs/>
          <w:sz w:val="24"/>
          <w:u w:val="single"/>
        </w:rPr>
      </w:pPr>
    </w:p>
    <w:p>
      <w:pPr>
        <w:pStyle w:val="3"/>
        <w:spacing w:before="0" w:line="360" w:lineRule="auto"/>
        <w:jc w:val="left"/>
        <w:rPr>
          <w:rFonts w:ascii="Times New Roman" w:hAnsi="Times New Roman" w:eastAsia="宋体"/>
          <w:sz w:val="24"/>
          <w:szCs w:val="24"/>
        </w:rPr>
      </w:pPr>
      <w:bookmarkStart w:id="19" w:name="_Toc35393625"/>
      <w:bookmarkStart w:id="20" w:name="_Toc28359084"/>
      <w:bookmarkStart w:id="21" w:name="_Toc28359007"/>
      <w:bookmarkStart w:id="22" w:name="_Toc35393794"/>
      <w:r>
        <w:rPr>
          <w:rFonts w:ascii="Times New Roman" w:hAnsi="Times New Roman" w:eastAsia="宋体"/>
          <w:sz w:val="24"/>
          <w:szCs w:val="24"/>
        </w:rPr>
        <w:t>五、</w:t>
      </w:r>
      <w:bookmarkEnd w:id="19"/>
      <w:bookmarkEnd w:id="20"/>
      <w:bookmarkEnd w:id="21"/>
      <w:bookmarkEnd w:id="22"/>
      <w:r>
        <w:rPr>
          <w:rFonts w:ascii="Times New Roman" w:hAnsi="Times New Roman" w:eastAsia="宋体"/>
          <w:sz w:val="24"/>
          <w:szCs w:val="24"/>
        </w:rPr>
        <w:t>公告期限</w:t>
      </w:r>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3"/>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六、其他补充事宜</w:t>
      </w:r>
      <w:bookmarkEnd w:id="23"/>
      <w:bookmarkEnd w:id="24"/>
    </w:p>
    <w:p>
      <w:pPr>
        <w:spacing w:line="360" w:lineRule="auto"/>
        <w:ind w:firstLine="480" w:firstLineChars="200"/>
        <w:rPr>
          <w:sz w:val="24"/>
        </w:rPr>
      </w:pPr>
      <w:r>
        <w:rPr>
          <w:sz w:val="24"/>
        </w:rPr>
        <w:t>1.本项目需要落实的政府采购政策：</w:t>
      </w:r>
      <w:r>
        <w:rPr>
          <w:rFonts w:hint="eastAsia"/>
          <w:sz w:val="24"/>
        </w:rPr>
        <w:t>供应商所报产品</w:t>
      </w:r>
      <w:r>
        <w:rPr>
          <w:sz w:val="24"/>
        </w:rPr>
        <w:t>对应</w:t>
      </w:r>
      <w:r>
        <w:rPr>
          <w:rFonts w:hint="eastAsia"/>
          <w:sz w:val="24"/>
        </w:rPr>
        <w:t>满足《台式计算机政府采购需求标准（2023年版）》（财库〔2023〕29号）、《操作系统政府采购需求标准（2023年版）》（财库〔2023〕34号）、《关于印发节能产品政府采购品目清单的通知》（财库〔2019〕19号）、《关于调整优化节能产品、环境标志产品政府采购执行机制的通知》（财库〔2019〕9号）、《关于印发环境标志产品政府采购品目清单的通知》《财库〔2019〕18号)的要求。</w:t>
      </w:r>
    </w:p>
    <w:p>
      <w:pPr>
        <w:spacing w:line="360" w:lineRule="auto"/>
        <w:ind w:firstLine="480" w:firstLineChars="200"/>
        <w:rPr>
          <w:bCs/>
          <w:sz w:val="24"/>
        </w:rPr>
      </w:pPr>
      <w:r>
        <w:rPr>
          <w:sz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w:t>
      </w:r>
      <w:r>
        <w:rPr>
          <w:bCs/>
          <w:sz w:val="24"/>
        </w:rPr>
        <w:t>情况确认是否符合本项目电子化采购流程要求。</w:t>
      </w:r>
    </w:p>
    <w:p>
      <w:pPr>
        <w:adjustRightInd w:val="0"/>
        <w:snapToGrid w:val="0"/>
        <w:spacing w:line="360" w:lineRule="auto"/>
        <w:ind w:firstLine="480" w:firstLineChars="200"/>
        <w:rPr>
          <w:sz w:val="24"/>
        </w:rPr>
      </w:pPr>
      <w:r>
        <w:rPr>
          <w:sz w:val="24"/>
        </w:rPr>
        <w:t>CA数字证书服务热线 010-58511086</w:t>
      </w:r>
    </w:p>
    <w:p>
      <w:pPr>
        <w:adjustRightInd w:val="0"/>
        <w:snapToGrid w:val="0"/>
        <w:spacing w:line="360" w:lineRule="auto"/>
        <w:ind w:firstLine="480" w:firstLineChars="200"/>
        <w:rPr>
          <w:sz w:val="24"/>
        </w:rPr>
      </w:pPr>
      <w:r>
        <w:rPr>
          <w:sz w:val="24"/>
        </w:rPr>
        <w:t>电子营业执照服务热线 400-699-7000</w:t>
      </w:r>
    </w:p>
    <w:p>
      <w:pPr>
        <w:adjustRightInd w:val="0"/>
        <w:snapToGrid w:val="0"/>
        <w:spacing w:line="360" w:lineRule="auto"/>
        <w:ind w:firstLine="480" w:firstLineChars="200"/>
        <w:rPr>
          <w:sz w:val="24"/>
        </w:rPr>
      </w:pPr>
      <w:r>
        <w:rPr>
          <w:sz w:val="24"/>
        </w:rPr>
        <w:t>技术支持服务热线    010-86483801</w:t>
      </w:r>
    </w:p>
    <w:p>
      <w:pPr>
        <w:widowControl/>
        <w:adjustRightInd w:val="0"/>
        <w:snapToGrid w:val="0"/>
        <w:spacing w:line="360" w:lineRule="auto"/>
        <w:ind w:firstLine="480" w:firstLineChars="200"/>
        <w:jc w:val="left"/>
        <w:rPr>
          <w:sz w:val="24"/>
        </w:rPr>
      </w:pPr>
      <w:r>
        <w:rPr>
          <w:rFonts w:hint="eastAsia"/>
          <w:sz w:val="24"/>
        </w:rPr>
        <w:t>2</w:t>
      </w:r>
      <w:r>
        <w:rPr>
          <w:sz w:val="24"/>
        </w:rPr>
        <w:t>.1办理CA数字证书或电子营业执照</w:t>
      </w:r>
    </w:p>
    <w:p>
      <w:pPr>
        <w:widowControl/>
        <w:adjustRightInd w:val="0"/>
        <w:snapToGrid w:val="0"/>
        <w:spacing w:line="360" w:lineRule="auto"/>
        <w:ind w:firstLine="480" w:firstLineChars="200"/>
        <w:jc w:val="left"/>
        <w:rPr>
          <w:sz w:val="24"/>
        </w:rPr>
      </w:pPr>
      <w:r>
        <w:rPr>
          <w:sz w:val="24"/>
        </w:rPr>
        <w:t>供应商登录北京市政府采购电子交易平台查阅 “用户指南”—“操作指南”—“市场主体CA办理操作流程指引” /“电子营业执照使用指南”，按照程序要求办理。</w:t>
      </w:r>
    </w:p>
    <w:p>
      <w:pPr>
        <w:adjustRightInd w:val="0"/>
        <w:snapToGrid w:val="0"/>
        <w:spacing w:line="360" w:lineRule="auto"/>
        <w:ind w:firstLine="480" w:firstLineChars="200"/>
        <w:rPr>
          <w:sz w:val="24"/>
        </w:rPr>
      </w:pPr>
      <w:r>
        <w:rPr>
          <w:rFonts w:hint="eastAsia"/>
          <w:sz w:val="24"/>
        </w:rPr>
        <w:t>2</w:t>
      </w:r>
      <w:r>
        <w:rPr>
          <w:sz w:val="24"/>
        </w:rPr>
        <w:t>.2注册</w:t>
      </w:r>
    </w:p>
    <w:p>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rPr>
      </w:pPr>
      <w:r>
        <w:rPr>
          <w:rFonts w:hint="eastAsia"/>
          <w:sz w:val="24"/>
        </w:rPr>
        <w:t>2</w:t>
      </w:r>
      <w:r>
        <w:rPr>
          <w:sz w:val="24"/>
        </w:rPr>
        <w:t>.3驱动、客户端下载</w:t>
      </w:r>
    </w:p>
    <w:p>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pPr>
        <w:adjustRightInd w:val="0"/>
        <w:snapToGrid w:val="0"/>
        <w:spacing w:line="360" w:lineRule="auto"/>
        <w:ind w:firstLine="480" w:firstLineChars="200"/>
        <w:rPr>
          <w:sz w:val="24"/>
        </w:rPr>
      </w:pPr>
      <w:r>
        <w:rPr>
          <w:rFonts w:hint="eastAsia"/>
          <w:sz w:val="24"/>
        </w:rPr>
        <w:t>2</w:t>
      </w:r>
      <w:r>
        <w:rPr>
          <w:sz w:val="24"/>
        </w:rPr>
        <w:t>.4 获取电子谈判文件</w:t>
      </w:r>
    </w:p>
    <w:p>
      <w:pPr>
        <w:adjustRightInd w:val="0"/>
        <w:snapToGrid w:val="0"/>
        <w:spacing w:line="360" w:lineRule="auto"/>
        <w:ind w:firstLine="480" w:firstLineChars="200"/>
        <w:rPr>
          <w:sz w:val="24"/>
        </w:rPr>
      </w:pPr>
      <w:r>
        <w:rPr>
          <w:sz w:val="24"/>
        </w:rPr>
        <w:t>供应商使用CA数字证书或电子营业执照登录北京市政府采购电子交易平台获取电子谈判文件。</w:t>
      </w:r>
    </w:p>
    <w:p>
      <w:pPr>
        <w:adjustRightInd w:val="0"/>
        <w:snapToGrid w:val="0"/>
        <w:spacing w:line="360" w:lineRule="auto"/>
        <w:ind w:firstLine="480" w:firstLineChars="200"/>
        <w:rPr>
          <w:sz w:val="24"/>
        </w:rPr>
      </w:pPr>
      <w:r>
        <w:rPr>
          <w:sz w:val="24"/>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pPr>
        <w:adjustRightInd w:val="0"/>
        <w:snapToGrid w:val="0"/>
        <w:spacing w:line="360" w:lineRule="auto"/>
        <w:ind w:firstLine="480" w:firstLineChars="200"/>
        <w:rPr>
          <w:sz w:val="24"/>
        </w:rPr>
      </w:pPr>
      <w:r>
        <w:rPr>
          <w:rFonts w:hint="eastAsia"/>
          <w:sz w:val="24"/>
        </w:rPr>
        <w:t>2</w:t>
      </w:r>
      <w:r>
        <w:rPr>
          <w:sz w:val="24"/>
        </w:rPr>
        <w:t>.5编制电子响应文件</w:t>
      </w:r>
    </w:p>
    <w:p>
      <w:pPr>
        <w:adjustRightInd w:val="0"/>
        <w:snapToGrid w:val="0"/>
        <w:spacing w:line="360" w:lineRule="auto"/>
        <w:ind w:firstLine="480" w:firstLineChars="200"/>
        <w:rPr>
          <w:sz w:val="24"/>
        </w:rPr>
      </w:pPr>
      <w:r>
        <w:rPr>
          <w:sz w:val="24"/>
        </w:rPr>
        <w:t>供应商应使用电子投标客户端编制电子响应文件并进行线上响应，供应商电子响应文件需要加密并加盖电子签章</w:t>
      </w:r>
      <w:r>
        <w:rPr>
          <w:bCs/>
          <w:sz w:val="24"/>
        </w:rPr>
        <w:t>，如无法按照要求在电子响应文件中加盖电子签章和加密，请及时通过技术支持服务热线联系技术人员</w:t>
      </w:r>
      <w:r>
        <w:rPr>
          <w:sz w:val="24"/>
        </w:rPr>
        <w:t>。</w:t>
      </w:r>
    </w:p>
    <w:p>
      <w:pPr>
        <w:widowControl/>
        <w:spacing w:line="360" w:lineRule="auto"/>
        <w:ind w:firstLine="480" w:firstLineChars="200"/>
        <w:jc w:val="left"/>
        <w:rPr>
          <w:sz w:val="24"/>
          <w:lang w:val="zh-TW"/>
        </w:rPr>
      </w:pPr>
      <w:r>
        <w:rPr>
          <w:rFonts w:hint="eastAsia"/>
          <w:sz w:val="24"/>
        </w:rPr>
        <w:t>2</w:t>
      </w:r>
      <w:r>
        <w:rPr>
          <w:sz w:val="24"/>
          <w:lang w:val="zh-TW" w:eastAsia="zh-TW"/>
        </w:rPr>
        <w:t>.6</w:t>
      </w:r>
      <w:r>
        <w:rPr>
          <w:sz w:val="24"/>
          <w:lang w:val="zh-TW"/>
        </w:rPr>
        <w:t>提交电子响应文件</w:t>
      </w:r>
    </w:p>
    <w:p>
      <w:pPr>
        <w:widowControl/>
        <w:spacing w:line="360" w:lineRule="auto"/>
        <w:ind w:firstLine="480" w:firstLineChars="200"/>
        <w:jc w:val="left"/>
        <w:rPr>
          <w:sz w:val="24"/>
        </w:rPr>
      </w:pPr>
      <w:r>
        <w:rPr>
          <w:sz w:val="24"/>
        </w:rPr>
        <w:t>供应商应于响应文件提交截止时间前在北京市政府采购电子交易平台提交电子响应文件，上传电子响应文件过程中请保持与互联网的连接畅通。</w:t>
      </w:r>
    </w:p>
    <w:p>
      <w:pPr>
        <w:pStyle w:val="3"/>
        <w:spacing w:before="0" w:line="360" w:lineRule="auto"/>
        <w:jc w:val="left"/>
        <w:rPr>
          <w:rFonts w:ascii="Times New Roman" w:hAnsi="Times New Roman" w:eastAsia="宋体"/>
          <w:sz w:val="24"/>
          <w:szCs w:val="24"/>
        </w:rPr>
      </w:pPr>
      <w:bookmarkStart w:id="25" w:name="_Toc28359008"/>
      <w:bookmarkStart w:id="26" w:name="_Toc35393796"/>
      <w:bookmarkStart w:id="27" w:name="_Toc35393627"/>
      <w:bookmarkStart w:id="28" w:name="_Toc28359085"/>
      <w:r>
        <w:rPr>
          <w:rFonts w:ascii="Times New Roman" w:hAnsi="Times New Roman" w:eastAsia="宋体"/>
          <w:sz w:val="24"/>
          <w:szCs w:val="24"/>
        </w:rPr>
        <w:t>七、对本次采购提出询问，请按以下方式联系。</w:t>
      </w:r>
      <w:bookmarkEnd w:id="25"/>
      <w:bookmarkEnd w:id="26"/>
      <w:bookmarkEnd w:id="27"/>
      <w:bookmarkEnd w:id="28"/>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u w:val="single"/>
        </w:rPr>
      </w:pPr>
      <w:bookmarkStart w:id="29" w:name="_Toc28359086"/>
      <w:bookmarkStart w:id="30" w:name="_Toc28359009"/>
      <w:r>
        <w:rPr>
          <w:sz w:val="24"/>
        </w:rPr>
        <w:t>名称：</w:t>
      </w:r>
      <w:r>
        <w:rPr>
          <w:rFonts w:hint="eastAsia"/>
          <w:sz w:val="24"/>
          <w:u w:val="single"/>
        </w:rPr>
        <w:t>北京市延庆区第三小学</w:t>
      </w:r>
    </w:p>
    <w:p>
      <w:pPr>
        <w:spacing w:line="360" w:lineRule="auto"/>
        <w:ind w:left="1079" w:leftChars="371" w:hanging="300" w:hangingChars="125"/>
        <w:jc w:val="left"/>
        <w:rPr>
          <w:sz w:val="24"/>
          <w:u w:val="single"/>
        </w:rPr>
      </w:pPr>
      <w:r>
        <w:rPr>
          <w:sz w:val="24"/>
        </w:rPr>
        <w:t>地址：</w:t>
      </w:r>
      <w:r>
        <w:rPr>
          <w:rFonts w:hint="eastAsia"/>
          <w:sz w:val="24"/>
          <w:u w:val="single"/>
        </w:rPr>
        <w:t>北京市延庆区东外大街66号</w:t>
      </w:r>
    </w:p>
    <w:p>
      <w:pPr>
        <w:spacing w:line="360" w:lineRule="auto"/>
        <w:ind w:left="1079" w:leftChars="371" w:hanging="300" w:hangingChars="125"/>
        <w:jc w:val="left"/>
        <w:rPr>
          <w:sz w:val="24"/>
          <w:u w:val="single"/>
        </w:rPr>
      </w:pPr>
      <w:r>
        <w:rPr>
          <w:sz w:val="24"/>
        </w:rPr>
        <w:t>联系方式：</w:t>
      </w:r>
      <w:r>
        <w:rPr>
          <w:rFonts w:hint="eastAsia"/>
          <w:sz w:val="24"/>
          <w:u w:val="single"/>
        </w:rPr>
        <w:t>15910305068</w:t>
      </w:r>
    </w:p>
    <w:p>
      <w:pPr>
        <w:spacing w:line="360" w:lineRule="auto"/>
        <w:ind w:left="1080" w:leftChars="371" w:hanging="301" w:hangingChars="125"/>
        <w:jc w:val="left"/>
        <w:rPr>
          <w:b/>
          <w:sz w:val="24"/>
        </w:rPr>
      </w:pPr>
      <w:r>
        <w:rPr>
          <w:b/>
          <w:sz w:val="24"/>
        </w:rPr>
        <w:t>2.采购代理机构信息</w:t>
      </w:r>
      <w:bookmarkEnd w:id="29"/>
      <w:bookmarkEnd w:id="30"/>
    </w:p>
    <w:p>
      <w:pPr>
        <w:spacing w:line="360" w:lineRule="auto"/>
        <w:ind w:left="1079" w:leftChars="371" w:hanging="300" w:hangingChars="125"/>
        <w:jc w:val="left"/>
        <w:rPr>
          <w:sz w:val="24"/>
        </w:rPr>
      </w:pPr>
      <w:bookmarkStart w:id="31" w:name="_Toc28359087"/>
      <w:bookmarkStart w:id="32" w:name="_Toc28359010"/>
      <w:r>
        <w:rPr>
          <w:sz w:val="24"/>
        </w:rPr>
        <w:t>名称：</w:t>
      </w:r>
      <w:r>
        <w:rPr>
          <w:rFonts w:hint="eastAsia"/>
          <w:sz w:val="24"/>
          <w:u w:val="single"/>
        </w:rPr>
        <w:t>北京市延庆区政府采购中心</w:t>
      </w:r>
    </w:p>
    <w:p>
      <w:pPr>
        <w:spacing w:line="360" w:lineRule="auto"/>
        <w:ind w:left="1079" w:leftChars="371" w:hanging="300" w:hangingChars="125"/>
        <w:jc w:val="left"/>
        <w:rPr>
          <w:sz w:val="24"/>
          <w:u w:val="single"/>
        </w:rPr>
      </w:pPr>
      <w:r>
        <w:rPr>
          <w:sz w:val="24"/>
        </w:rPr>
        <w:t>地址：</w:t>
      </w:r>
      <w:r>
        <w:rPr>
          <w:rFonts w:hint="eastAsia"/>
          <w:sz w:val="24"/>
          <w:u w:val="single"/>
        </w:rPr>
        <w:t>北京市延庆区庆园街60号</w:t>
      </w:r>
    </w:p>
    <w:p>
      <w:pPr>
        <w:spacing w:line="360" w:lineRule="auto"/>
        <w:ind w:left="1079" w:leftChars="371" w:hanging="300" w:hangingChars="125"/>
        <w:jc w:val="left"/>
        <w:rPr>
          <w:sz w:val="24"/>
          <w:u w:val="single"/>
        </w:rPr>
      </w:pPr>
      <w:r>
        <w:rPr>
          <w:sz w:val="24"/>
        </w:rPr>
        <w:t>联系方式：</w:t>
      </w:r>
      <w:r>
        <w:rPr>
          <w:rFonts w:hint="eastAsia"/>
          <w:sz w:val="24"/>
          <w:u w:val="single"/>
        </w:rPr>
        <w:t>69141782</w:t>
      </w:r>
    </w:p>
    <w:p>
      <w:pPr>
        <w:spacing w:line="360" w:lineRule="auto"/>
        <w:ind w:firstLine="723" w:firstLineChars="300"/>
        <w:rPr>
          <w:b/>
          <w:sz w:val="24"/>
          <w:u w:val="single"/>
        </w:rPr>
      </w:pPr>
      <w:r>
        <w:rPr>
          <w:b/>
          <w:sz w:val="24"/>
        </w:rPr>
        <w:t>3.项目联系方式</w:t>
      </w:r>
      <w:bookmarkEnd w:id="31"/>
      <w:bookmarkEnd w:id="32"/>
    </w:p>
    <w:p>
      <w:pPr>
        <w:pStyle w:val="23"/>
        <w:spacing w:line="360" w:lineRule="auto"/>
        <w:ind w:firstLine="720" w:firstLineChars="300"/>
        <w:rPr>
          <w:rFonts w:hint="default" w:ascii="Times New Roman" w:hAnsi="Times New Roman"/>
          <w:sz w:val="24"/>
          <w:szCs w:val="24"/>
          <w:u w:val="single"/>
        </w:rPr>
      </w:pPr>
      <w:r>
        <w:rPr>
          <w:rFonts w:hint="default" w:ascii="Times New Roman" w:hAnsi="Times New Roman"/>
          <w:sz w:val="24"/>
          <w:szCs w:val="24"/>
        </w:rPr>
        <w:t>项目联系人：</w:t>
      </w:r>
      <w:r>
        <w:rPr>
          <w:rFonts w:ascii="Times New Roman" w:hAnsi="Times New Roman"/>
          <w:sz w:val="24"/>
          <w:u w:val="single"/>
        </w:rPr>
        <w:t>董赢烁、赵静</w:t>
      </w:r>
    </w:p>
    <w:p>
      <w:pPr>
        <w:pStyle w:val="23"/>
        <w:spacing w:line="360" w:lineRule="auto"/>
        <w:ind w:firstLine="720" w:firstLineChars="300"/>
        <w:rPr>
          <w:rFonts w:hint="default" w:ascii="Times New Roman" w:hAnsi="Times New Roman"/>
          <w:sz w:val="24"/>
          <w:szCs w:val="24"/>
          <w:u w:val="single"/>
        </w:rPr>
      </w:pPr>
      <w:r>
        <w:rPr>
          <w:rFonts w:hint="default" w:ascii="Times New Roman" w:hAnsi="Times New Roman"/>
          <w:sz w:val="24"/>
        </w:rPr>
        <w:t>电话：</w:t>
      </w:r>
      <w:r>
        <w:rPr>
          <w:rFonts w:ascii="Times New Roman" w:hAnsi="Times New Roman"/>
          <w:sz w:val="24"/>
          <w:u w:val="single"/>
        </w:rPr>
        <w:t>69141782</w:t>
      </w:r>
    </w:p>
    <w:p>
      <w:pPr>
        <w:spacing w:line="360" w:lineRule="auto"/>
        <w:ind w:firstLine="5880" w:firstLineChars="2450"/>
        <w:jc w:val="right"/>
        <w:rPr>
          <w:sz w:val="24"/>
        </w:rPr>
      </w:pPr>
    </w:p>
    <w:p>
      <w:pPr>
        <w:spacing w:line="360" w:lineRule="auto"/>
        <w:jc w:val="center"/>
        <w:outlineLvl w:val="0"/>
        <w:rPr>
          <w:b/>
          <w:sz w:val="32"/>
          <w:szCs w:val="32"/>
        </w:rPr>
      </w:pPr>
      <w:r>
        <w:rPr>
          <w:sz w:val="24"/>
        </w:rPr>
        <w:br w:type="page"/>
      </w:r>
      <w:bookmarkStart w:id="33" w:name="_Toc512937850"/>
      <w:bookmarkStart w:id="34" w:name="_Toc127151777"/>
      <w:bookmarkStart w:id="35" w:name="_Toc305158928"/>
      <w:bookmarkStart w:id="36" w:name="_Toc265228423"/>
      <w:bookmarkStart w:id="37" w:name="_Toc305158854"/>
      <w:bookmarkStart w:id="38" w:name="_Toc195842950"/>
      <w:bookmarkStart w:id="39" w:name="_Toc264969275"/>
      <w:bookmarkStart w:id="40" w:name="_Toc127161488"/>
      <w:bookmarkStart w:id="41" w:name="_Toc226965856"/>
      <w:bookmarkStart w:id="42" w:name="_Toc150774783"/>
      <w:bookmarkStart w:id="43" w:name="_Toc99301374"/>
      <w:bookmarkStart w:id="44" w:name="_Toc353825548"/>
      <w:bookmarkStart w:id="45" w:name="_Toc353873938"/>
      <w:bookmarkStart w:id="46" w:name="_Toc226965709"/>
      <w:bookmarkStart w:id="47" w:name="_Toc164351613"/>
      <w:bookmarkStart w:id="48" w:name="_Toc151193689"/>
      <w:bookmarkStart w:id="49" w:name="_Toc150480757"/>
      <w:bookmarkStart w:id="50" w:name="_Toc226309763"/>
      <w:bookmarkStart w:id="51" w:name="_Toc164608633"/>
      <w:bookmarkStart w:id="52" w:name="_Toc149720812"/>
      <w:bookmarkStart w:id="53" w:name="_Toc151193833"/>
      <w:bookmarkStart w:id="54" w:name="_Toc226965792"/>
      <w:bookmarkStart w:id="55" w:name="_Toc226337215"/>
      <w:bookmarkStart w:id="56" w:name="_Toc164608788"/>
      <w:bookmarkStart w:id="57" w:name="_Toc520356144"/>
      <w:bookmarkStart w:id="58" w:name="_Toc151193761"/>
      <w:bookmarkStart w:id="59" w:name="_Toc150774724"/>
      <w:bookmarkStart w:id="60" w:name="_Toc164229360"/>
      <w:bookmarkStart w:id="61" w:name="_Toc164229214"/>
      <w:bookmarkStart w:id="62" w:name="_Toc151193907"/>
      <w:bookmarkStart w:id="63" w:name="_Toc151193617"/>
      <w:bookmarkStart w:id="64" w:name="_Toc127151720"/>
      <w:bookmarkStart w:id="65" w:name="_Toc150509270"/>
      <w:bookmarkStart w:id="66" w:name="_Toc127151519"/>
      <w:bookmarkStart w:id="67" w:name="_Toc151190146"/>
      <w:bookmarkStart w:id="68" w:name="_Toc195842884"/>
      <w:bookmarkStart w:id="69" w:name="_Toc127161433"/>
      <w:bookmarkStart w:id="70" w:name="_Toc150774619"/>
      <w:bookmarkStart w:id="71" w:name="_Toc142311021"/>
      <w:r>
        <w:rPr>
          <w:b/>
          <w:sz w:val="36"/>
          <w:szCs w:val="36"/>
        </w:rPr>
        <w:t>第二章供应商须知</w:t>
      </w:r>
      <w:bookmarkEnd w:id="33"/>
      <w:bookmarkEnd w:id="34"/>
      <w:bookmarkEnd w:id="35"/>
      <w:bookmarkEnd w:id="36"/>
      <w:bookmarkEnd w:id="37"/>
      <w:bookmarkEnd w:id="38"/>
      <w:bookmarkEnd w:id="39"/>
      <w:bookmarkEnd w:id="40"/>
      <w:bookmarkEnd w:id="41"/>
      <w:bookmarkEnd w:id="42"/>
      <w:bookmarkEnd w:id="43"/>
      <w:bookmarkEnd w:id="44"/>
      <w:bookmarkEnd w:id="45"/>
    </w:p>
    <w:p>
      <w:pPr>
        <w:keepNext/>
        <w:keepLines/>
        <w:tabs>
          <w:tab w:val="center" w:pos="4592"/>
          <w:tab w:val="left" w:pos="7860"/>
        </w:tabs>
        <w:autoSpaceDE w:val="0"/>
        <w:autoSpaceDN w:val="0"/>
        <w:adjustRightInd w:val="0"/>
        <w:spacing w:line="360" w:lineRule="auto"/>
        <w:jc w:val="center"/>
        <w:outlineLvl w:val="1"/>
        <w:rPr>
          <w:b/>
          <w:kern w:val="0"/>
          <w:sz w:val="28"/>
          <w:szCs w:val="20"/>
        </w:rPr>
      </w:pPr>
      <w:bookmarkStart w:id="72" w:name="_Hlk97750450"/>
      <w:r>
        <w:rPr>
          <w:b/>
          <w:kern w:val="0"/>
          <w:sz w:val="28"/>
          <w:szCs w:val="20"/>
        </w:rPr>
        <w:t>供应商须知资料表</w:t>
      </w:r>
      <w:bookmarkEnd w:id="72"/>
    </w:p>
    <w:p>
      <w:pPr>
        <w:jc w:val="center"/>
        <w:rPr>
          <w:b/>
          <w:sz w:val="28"/>
          <w:szCs w:val="28"/>
        </w:rPr>
      </w:pPr>
    </w:p>
    <w:p>
      <w:pPr>
        <w:spacing w:line="360" w:lineRule="auto"/>
        <w:ind w:firstLine="480"/>
        <w:rPr>
          <w:sz w:val="24"/>
        </w:rPr>
      </w:pPr>
      <w:r>
        <w:rPr>
          <w:sz w:val="24"/>
        </w:rPr>
        <w:t>本表是对供应商须知的具体补充和修改，如有矛盾，均以本资料表为准。</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253"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2.2</w:t>
            </w:r>
          </w:p>
        </w:tc>
        <w:tc>
          <w:tcPr>
            <w:tcW w:w="1701" w:type="dxa"/>
            <w:vAlign w:val="center"/>
          </w:tcPr>
          <w:p>
            <w:pPr>
              <w:jc w:val="center"/>
              <w:rPr>
                <w:sz w:val="24"/>
              </w:rPr>
            </w:pPr>
            <w:r>
              <w:rPr>
                <w:sz w:val="24"/>
              </w:rPr>
              <w:t>科研仪器设备</w:t>
            </w:r>
          </w:p>
        </w:tc>
        <w:tc>
          <w:tcPr>
            <w:tcW w:w="7253" w:type="dxa"/>
            <w:vAlign w:val="center"/>
          </w:tcPr>
          <w:p>
            <w:pPr>
              <w:jc w:val="left"/>
              <w:rPr>
                <w:sz w:val="24"/>
              </w:rPr>
            </w:pPr>
            <w:r>
              <w:rPr>
                <w:sz w:val="24"/>
              </w:rPr>
              <w:t>是否属于科研仪器设备采购项目：</w:t>
            </w:r>
          </w:p>
          <w:p>
            <w:pPr>
              <w:jc w:val="left"/>
              <w:rPr>
                <w:sz w:val="24"/>
              </w:rPr>
            </w:pPr>
            <w:r>
              <w:rPr>
                <w:sz w:val="24"/>
              </w:rPr>
              <w:t>□是</w:t>
            </w:r>
          </w:p>
          <w:p>
            <w:pPr>
              <w:jc w:val="left"/>
              <w:rPr>
                <w:sz w:val="24"/>
              </w:rPr>
            </w:pPr>
            <w:r>
              <w:rPr>
                <w:rFonts w:eastAsiaTheme="minorEastAsia"/>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88" w:type="dxa"/>
            <w:vAlign w:val="center"/>
          </w:tcPr>
          <w:p>
            <w:pPr>
              <w:adjustRightInd w:val="0"/>
              <w:snapToGrid w:val="0"/>
              <w:jc w:val="center"/>
              <w:rPr>
                <w:sz w:val="24"/>
              </w:rPr>
            </w:pPr>
            <w:r>
              <w:rPr>
                <w:sz w:val="24"/>
              </w:rPr>
              <w:t>3.2.5</w:t>
            </w:r>
          </w:p>
        </w:tc>
        <w:tc>
          <w:tcPr>
            <w:tcW w:w="1701" w:type="dxa"/>
            <w:vAlign w:val="center"/>
          </w:tcPr>
          <w:p>
            <w:pPr>
              <w:jc w:val="center"/>
              <w:rPr>
                <w:sz w:val="24"/>
              </w:rPr>
            </w:pPr>
            <w:r>
              <w:rPr>
                <w:sz w:val="24"/>
              </w:rPr>
              <w:t>标的所属行业</w:t>
            </w:r>
          </w:p>
        </w:tc>
        <w:tc>
          <w:tcPr>
            <w:tcW w:w="7253" w:type="dxa"/>
            <w:vAlign w:val="center"/>
          </w:tcPr>
          <w:p>
            <w:pPr>
              <w:jc w:val="left"/>
              <w:rPr>
                <w:sz w:val="24"/>
              </w:rPr>
            </w:pPr>
            <w:r>
              <w:rPr>
                <w:sz w:val="24"/>
              </w:rPr>
              <w:t>本项目采购标的对应的中小企业划分标准所属行业：</w:t>
            </w:r>
          </w:p>
          <w:tbl>
            <w:tblPr>
              <w:tblStyle w:val="44"/>
              <w:tblW w:w="45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222"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eastAsiaTheme="minorEastAsia"/>
                      <w:bCs/>
                      <w:sz w:val="24"/>
                    </w:rPr>
                    <w:t>标的名称</w:t>
                  </w:r>
                </w:p>
              </w:tc>
              <w:tc>
                <w:tcPr>
                  <w:tcW w:w="2777"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eastAsiaTheme="minorEastAsia"/>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22"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台式计算机、教学多媒体、复印件、打印机、速印机、摄像机、三脚架</w:t>
                  </w:r>
                </w:p>
              </w:tc>
              <w:tc>
                <w:tcPr>
                  <w:tcW w:w="2777"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24"/>
                    </w:rPr>
                  </w:pPr>
                  <w:r>
                    <w:rPr>
                      <w:rFonts w:hint="eastAsia" w:eastAsiaTheme="minorEastAsia"/>
                      <w:kern w:val="0"/>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22"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操作系统、办公软件</w:t>
                  </w:r>
                </w:p>
              </w:tc>
              <w:tc>
                <w:tcPr>
                  <w:tcW w:w="2777"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24"/>
                    </w:rPr>
                  </w:pPr>
                  <w:r>
                    <w:rPr>
                      <w:rFonts w:hint="eastAsia" w:eastAsiaTheme="minorEastAsia"/>
                      <w:kern w:val="0"/>
                      <w:sz w:val="24"/>
                    </w:rPr>
                    <w:t>软件和信息技术服务业</w:t>
                  </w: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88" w:type="dxa"/>
            <w:vAlign w:val="center"/>
          </w:tcPr>
          <w:p>
            <w:pPr>
              <w:adjustRightInd w:val="0"/>
              <w:snapToGrid w:val="0"/>
              <w:jc w:val="center"/>
              <w:rPr>
                <w:sz w:val="24"/>
              </w:rPr>
            </w:pPr>
            <w:r>
              <w:rPr>
                <w:sz w:val="24"/>
              </w:rPr>
              <w:t>9.2</w:t>
            </w:r>
          </w:p>
        </w:tc>
        <w:tc>
          <w:tcPr>
            <w:tcW w:w="1701" w:type="dxa"/>
            <w:vAlign w:val="center"/>
          </w:tcPr>
          <w:p>
            <w:pPr>
              <w:jc w:val="center"/>
              <w:rPr>
                <w:sz w:val="24"/>
              </w:rPr>
            </w:pPr>
            <w:r>
              <w:rPr>
                <w:sz w:val="24"/>
              </w:rPr>
              <w:t>报价</w:t>
            </w:r>
          </w:p>
        </w:tc>
        <w:tc>
          <w:tcPr>
            <w:tcW w:w="7253" w:type="dxa"/>
            <w:vAlign w:val="center"/>
          </w:tcPr>
          <w:p>
            <w:pPr>
              <w:jc w:val="left"/>
              <w:rPr>
                <w:sz w:val="24"/>
              </w:rPr>
            </w:pPr>
            <w:r>
              <w:rPr>
                <w:sz w:val="24"/>
              </w:rPr>
              <w:t>报价的特殊规定：__________。</w:t>
            </w:r>
          </w:p>
          <w:p>
            <w:pPr>
              <w:jc w:val="left"/>
              <w:rPr>
                <w:sz w:val="24"/>
              </w:rPr>
            </w:pPr>
            <w:r>
              <w:rPr>
                <w:sz w:val="24"/>
              </w:rPr>
              <w:t>□无</w:t>
            </w:r>
          </w:p>
          <w:p>
            <w:pPr>
              <w:jc w:val="left"/>
              <w:rPr>
                <w:sz w:val="24"/>
              </w:rPr>
            </w:pPr>
            <w:r>
              <w:rPr>
                <w:rFonts w:eastAsiaTheme="minorEastAsia"/>
                <w:sz w:val="24"/>
              </w:rPr>
              <w:t>■</w:t>
            </w:r>
            <w:r>
              <w:rPr>
                <w:sz w:val="24"/>
              </w:rPr>
              <w:t>有，具体情形：__________。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10</w:t>
            </w:r>
          </w:p>
        </w:tc>
        <w:tc>
          <w:tcPr>
            <w:tcW w:w="1701" w:type="dxa"/>
            <w:vAlign w:val="center"/>
          </w:tcPr>
          <w:p>
            <w:pPr>
              <w:jc w:val="center"/>
              <w:rPr>
                <w:sz w:val="24"/>
              </w:rPr>
            </w:pPr>
            <w:r>
              <w:rPr>
                <w:sz w:val="24"/>
              </w:rPr>
              <w:t>保证金</w:t>
            </w:r>
          </w:p>
        </w:tc>
        <w:tc>
          <w:tcPr>
            <w:tcW w:w="7253" w:type="dxa"/>
            <w:vAlign w:val="center"/>
          </w:tcPr>
          <w:p>
            <w:pPr>
              <w:jc w:val="left"/>
              <w:rPr>
                <w:sz w:val="24"/>
              </w:rPr>
            </w:pPr>
            <w:r>
              <w:rPr>
                <w:rFonts w:hint="eastAsia"/>
                <w:sz w:val="24"/>
              </w:rPr>
              <w:t>本项目不收取谈判保证金。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11.1</w:t>
            </w:r>
          </w:p>
        </w:tc>
        <w:tc>
          <w:tcPr>
            <w:tcW w:w="1701" w:type="dxa"/>
            <w:vAlign w:val="center"/>
          </w:tcPr>
          <w:p>
            <w:pPr>
              <w:jc w:val="center"/>
              <w:rPr>
                <w:sz w:val="24"/>
              </w:rPr>
            </w:pPr>
            <w:r>
              <w:rPr>
                <w:sz w:val="24"/>
              </w:rPr>
              <w:t>响应有效期</w:t>
            </w:r>
          </w:p>
        </w:tc>
        <w:tc>
          <w:tcPr>
            <w:tcW w:w="7253" w:type="dxa"/>
            <w:vAlign w:val="center"/>
          </w:tcPr>
          <w:p>
            <w:pPr>
              <w:jc w:val="left"/>
              <w:rPr>
                <w:sz w:val="24"/>
              </w:rPr>
            </w:pPr>
            <w:r>
              <w:rPr>
                <w:sz w:val="24"/>
              </w:rPr>
              <w:t>自响应文件提交截止之日起算__</w:t>
            </w:r>
            <w:r>
              <w:rPr>
                <w:rFonts w:hint="eastAsia"/>
                <w:sz w:val="24"/>
              </w:rPr>
              <w:t>60</w:t>
            </w:r>
            <w:r>
              <w:rPr>
                <w:sz w:val="24"/>
              </w:rPr>
              <w:t>__日历天。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16.1</w:t>
            </w:r>
          </w:p>
        </w:tc>
        <w:tc>
          <w:tcPr>
            <w:tcW w:w="1701" w:type="dxa"/>
            <w:vAlign w:val="center"/>
          </w:tcPr>
          <w:p>
            <w:pPr>
              <w:jc w:val="center"/>
              <w:rPr>
                <w:sz w:val="24"/>
              </w:rPr>
            </w:pPr>
            <w:r>
              <w:rPr>
                <w:sz w:val="24"/>
              </w:rPr>
              <w:t>解密地点</w:t>
            </w:r>
          </w:p>
        </w:tc>
        <w:tc>
          <w:tcPr>
            <w:tcW w:w="7253" w:type="dxa"/>
            <w:vAlign w:val="center"/>
          </w:tcPr>
          <w:p>
            <w:pPr>
              <w:jc w:val="left"/>
              <w:rPr>
                <w:sz w:val="24"/>
              </w:rPr>
            </w:pPr>
            <w:r>
              <w:rPr>
                <w:rFonts w:hint="eastAsia"/>
                <w:sz w:val="24"/>
              </w:rPr>
              <w:t>解密</w:t>
            </w:r>
            <w:r>
              <w:rPr>
                <w:sz w:val="24"/>
              </w:rPr>
              <w:t>地点：_</w:t>
            </w:r>
            <w:r>
              <w:rPr>
                <w:sz w:val="24"/>
                <w:u w:val="single"/>
              </w:rPr>
              <w:t>北京市政府采购电子交易平台</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16.2</w:t>
            </w:r>
          </w:p>
        </w:tc>
        <w:tc>
          <w:tcPr>
            <w:tcW w:w="1701" w:type="dxa"/>
            <w:vAlign w:val="center"/>
          </w:tcPr>
          <w:p>
            <w:pPr>
              <w:jc w:val="center"/>
              <w:rPr>
                <w:sz w:val="24"/>
              </w:rPr>
            </w:pPr>
            <w:r>
              <w:rPr>
                <w:rFonts w:hint="eastAsia" w:eastAsiaTheme="minorEastAsia"/>
                <w:sz w:val="24"/>
              </w:rPr>
              <w:t>解密时间</w:t>
            </w:r>
          </w:p>
        </w:tc>
        <w:tc>
          <w:tcPr>
            <w:tcW w:w="7253" w:type="dxa"/>
            <w:vAlign w:val="center"/>
          </w:tcPr>
          <w:p>
            <w:pPr>
              <w:jc w:val="left"/>
              <w:rPr>
                <w:sz w:val="24"/>
              </w:rPr>
            </w:pPr>
            <w:r>
              <w:rPr>
                <w:rFonts w:hint="eastAsia" w:ascii="宋体" w:hAnsi="宋体"/>
                <w:sz w:val="24"/>
              </w:rPr>
              <w:t>解密时间：</w:t>
            </w:r>
            <w:r>
              <w:rPr>
                <w:rFonts w:hint="eastAsia" w:ascii="宋体" w:hAnsi="宋体"/>
                <w:sz w:val="24"/>
                <w:u w:val="single"/>
              </w:rPr>
              <w:t xml:space="preserve">  30    </w:t>
            </w:r>
            <w:r>
              <w:rPr>
                <w:rFonts w:hint="eastAsia" w:ascii="宋体" w:hAnsi="宋体"/>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19.1</w:t>
            </w:r>
          </w:p>
        </w:tc>
        <w:tc>
          <w:tcPr>
            <w:tcW w:w="1701" w:type="dxa"/>
            <w:vAlign w:val="center"/>
          </w:tcPr>
          <w:p>
            <w:pPr>
              <w:jc w:val="center"/>
              <w:rPr>
                <w:sz w:val="24"/>
              </w:rPr>
            </w:pPr>
            <w:r>
              <w:rPr>
                <w:color w:val="000000"/>
                <w:sz w:val="24"/>
              </w:rPr>
              <w:t>确定成交供应商</w:t>
            </w:r>
          </w:p>
        </w:tc>
        <w:tc>
          <w:tcPr>
            <w:tcW w:w="7253" w:type="dxa"/>
            <w:vAlign w:val="center"/>
          </w:tcPr>
          <w:p>
            <w:pPr>
              <w:adjustRightInd w:val="0"/>
              <w:snapToGrid w:val="0"/>
              <w:rPr>
                <w:sz w:val="24"/>
                <w:szCs w:val="20"/>
              </w:rPr>
            </w:pPr>
            <w:r>
              <w:rPr>
                <w:sz w:val="24"/>
                <w:szCs w:val="20"/>
              </w:rPr>
              <w:t>采购人是否</w:t>
            </w:r>
            <w:r>
              <w:rPr>
                <w:color w:val="000000"/>
                <w:sz w:val="24"/>
                <w:szCs w:val="20"/>
              </w:rPr>
              <w:t>授权谈判小组直接确定成交供应商</w:t>
            </w:r>
            <w:r>
              <w:rPr>
                <w:sz w:val="24"/>
                <w:szCs w:val="20"/>
              </w:rPr>
              <w:t>：</w:t>
            </w:r>
          </w:p>
          <w:p>
            <w:pPr>
              <w:adjustRightInd w:val="0"/>
              <w:snapToGrid w:val="0"/>
              <w:rPr>
                <w:sz w:val="24"/>
                <w:szCs w:val="20"/>
              </w:rPr>
            </w:pPr>
            <w:r>
              <w:rPr>
                <w:rFonts w:eastAsiaTheme="minorEastAsia"/>
                <w:sz w:val="24"/>
                <w:szCs w:val="20"/>
              </w:rPr>
              <w:t>■</w:t>
            </w:r>
            <w:r>
              <w:rPr>
                <w:sz w:val="24"/>
                <w:szCs w:val="20"/>
              </w:rPr>
              <w:t>否</w:t>
            </w:r>
          </w:p>
          <w:p>
            <w:pPr>
              <w:jc w:val="left"/>
              <w:rPr>
                <w:sz w:val="24"/>
              </w:rPr>
            </w:pPr>
            <w:r>
              <w:rPr>
                <w:sz w:val="24"/>
              </w:rPr>
              <w:t>□是</w:t>
            </w:r>
          </w:p>
          <w:p>
            <w:pPr>
              <w:jc w:val="left"/>
              <w:rPr>
                <w:sz w:val="24"/>
              </w:rPr>
            </w:pPr>
            <w:r>
              <w:rPr>
                <w:sz w:val="24"/>
              </w:rPr>
              <w:t>成交候选人并列的，按照以下方式确定成交供应商：</w:t>
            </w:r>
            <w:r>
              <w:rPr>
                <w:rFonts w:hint="eastAsia"/>
                <w:sz w:val="24"/>
              </w:rPr>
              <w:t>随机抽取</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22.5</w:t>
            </w:r>
          </w:p>
        </w:tc>
        <w:tc>
          <w:tcPr>
            <w:tcW w:w="1701" w:type="dxa"/>
            <w:vAlign w:val="center"/>
          </w:tcPr>
          <w:p>
            <w:pPr>
              <w:jc w:val="center"/>
              <w:rPr>
                <w:sz w:val="24"/>
              </w:rPr>
            </w:pPr>
            <w:r>
              <w:rPr>
                <w:sz w:val="24"/>
              </w:rPr>
              <w:t>分包</w:t>
            </w:r>
          </w:p>
        </w:tc>
        <w:tc>
          <w:tcPr>
            <w:tcW w:w="7253" w:type="dxa"/>
            <w:vAlign w:val="center"/>
          </w:tcPr>
          <w:p>
            <w:pPr>
              <w:jc w:val="left"/>
              <w:rPr>
                <w:sz w:val="24"/>
              </w:rPr>
            </w:pPr>
            <w:r>
              <w:rPr>
                <w:sz w:val="24"/>
              </w:rPr>
              <w:t>本项目是否允许分包：</w:t>
            </w:r>
          </w:p>
          <w:p>
            <w:pPr>
              <w:jc w:val="left"/>
              <w:rPr>
                <w:sz w:val="24"/>
              </w:rPr>
            </w:pPr>
            <w:r>
              <w:rPr>
                <w:rFonts w:eastAsiaTheme="minorEastAsia"/>
                <w:sz w:val="24"/>
              </w:rPr>
              <w:t>■</w:t>
            </w:r>
            <w:r>
              <w:rPr>
                <w:sz w:val="24"/>
              </w:rPr>
              <w:t>不允许</w:t>
            </w:r>
          </w:p>
          <w:p>
            <w:pPr>
              <w:jc w:val="left"/>
              <w:rPr>
                <w:sz w:val="24"/>
              </w:rPr>
            </w:pPr>
            <w:r>
              <w:rPr>
                <w:sz w:val="24"/>
              </w:rPr>
              <w:t>□允许，具体要求：</w:t>
            </w:r>
          </w:p>
          <w:p>
            <w:pPr>
              <w:jc w:val="left"/>
              <w:rPr>
                <w:sz w:val="24"/>
              </w:rPr>
            </w:pPr>
            <w:r>
              <w:rPr>
                <w:sz w:val="24"/>
              </w:rPr>
              <w:t>（1）可以分包履行的具体内容：__________；</w:t>
            </w:r>
          </w:p>
          <w:p>
            <w:pPr>
              <w:jc w:val="left"/>
              <w:rPr>
                <w:sz w:val="24"/>
              </w:rPr>
            </w:pPr>
            <w:r>
              <w:rPr>
                <w:sz w:val="24"/>
              </w:rPr>
              <w:t>（2）允许分包的金额或者比例：__________；</w:t>
            </w:r>
          </w:p>
          <w:p>
            <w:pPr>
              <w:jc w:val="left"/>
              <w:rPr>
                <w:sz w:val="24"/>
              </w:rPr>
            </w:pPr>
            <w:r>
              <w:rPr>
                <w:sz w:val="24"/>
              </w:rPr>
              <w:t>（3）其他要求：__________。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22.6</w:t>
            </w:r>
          </w:p>
        </w:tc>
        <w:tc>
          <w:tcPr>
            <w:tcW w:w="1701" w:type="dxa"/>
            <w:vAlign w:val="center"/>
          </w:tcPr>
          <w:p>
            <w:pPr>
              <w:jc w:val="center"/>
              <w:rPr>
                <w:sz w:val="24"/>
              </w:rPr>
            </w:pPr>
            <w:r>
              <w:rPr>
                <w:rFonts w:hint="eastAsia"/>
                <w:sz w:val="24"/>
              </w:rPr>
              <w:t>政采贷</w:t>
            </w:r>
          </w:p>
        </w:tc>
        <w:tc>
          <w:tcPr>
            <w:tcW w:w="7253" w:type="dxa"/>
            <w:vAlign w:val="center"/>
          </w:tcPr>
          <w:p>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23.1.1</w:t>
            </w:r>
          </w:p>
        </w:tc>
        <w:tc>
          <w:tcPr>
            <w:tcW w:w="1701" w:type="dxa"/>
            <w:vAlign w:val="center"/>
          </w:tcPr>
          <w:p>
            <w:pPr>
              <w:jc w:val="center"/>
              <w:rPr>
                <w:sz w:val="24"/>
              </w:rPr>
            </w:pPr>
            <w:r>
              <w:rPr>
                <w:sz w:val="24"/>
              </w:rPr>
              <w:t>询问</w:t>
            </w:r>
          </w:p>
        </w:tc>
        <w:tc>
          <w:tcPr>
            <w:tcW w:w="7253" w:type="dxa"/>
            <w:vAlign w:val="center"/>
          </w:tcPr>
          <w:p>
            <w:pPr>
              <w:adjustRightInd w:val="0"/>
              <w:snapToGrid w:val="0"/>
              <w:jc w:val="left"/>
              <w:rPr>
                <w:sz w:val="24"/>
                <w:szCs w:val="20"/>
                <w:u w:val="single"/>
              </w:rPr>
            </w:pPr>
            <w:r>
              <w:rPr>
                <w:sz w:val="24"/>
                <w:szCs w:val="20"/>
              </w:rPr>
              <w:t>询问提出形式：___</w:t>
            </w:r>
            <w:r>
              <w:rPr>
                <w:rFonts w:hint="eastAsia"/>
                <w:sz w:val="24"/>
                <w:szCs w:val="20"/>
              </w:rPr>
              <w:t>电话</w:t>
            </w:r>
            <w:r>
              <w:rPr>
                <w:sz w:val="24"/>
                <w:szCs w:val="20"/>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23.3</w:t>
            </w:r>
          </w:p>
        </w:tc>
        <w:tc>
          <w:tcPr>
            <w:tcW w:w="1701" w:type="dxa"/>
            <w:vAlign w:val="center"/>
          </w:tcPr>
          <w:p>
            <w:pPr>
              <w:jc w:val="center"/>
              <w:rPr>
                <w:sz w:val="24"/>
              </w:rPr>
            </w:pPr>
            <w:r>
              <w:rPr>
                <w:sz w:val="24"/>
              </w:rPr>
              <w:t>联系方式</w:t>
            </w:r>
          </w:p>
        </w:tc>
        <w:tc>
          <w:tcPr>
            <w:tcW w:w="7253" w:type="dxa"/>
            <w:vAlign w:val="center"/>
          </w:tcPr>
          <w:p>
            <w:pPr>
              <w:jc w:val="left"/>
              <w:rPr>
                <w:sz w:val="24"/>
              </w:rPr>
            </w:pPr>
            <w:r>
              <w:rPr>
                <w:sz w:val="24"/>
              </w:rPr>
              <w:t>接收询问和质疑的联系方式：</w:t>
            </w:r>
          </w:p>
          <w:p>
            <w:pPr>
              <w:jc w:val="left"/>
              <w:rPr>
                <w:rFonts w:eastAsiaTheme="minorEastAsia"/>
                <w:sz w:val="24"/>
              </w:rPr>
            </w:pPr>
            <w:r>
              <w:rPr>
                <w:rFonts w:eastAsiaTheme="minorEastAsia"/>
                <w:sz w:val="24"/>
              </w:rPr>
              <w:t>联系部门：</w:t>
            </w:r>
            <w:r>
              <w:rPr>
                <w:rFonts w:hint="eastAsia" w:eastAsiaTheme="minorEastAsia"/>
                <w:sz w:val="24"/>
                <w:u w:val="single"/>
              </w:rPr>
              <w:t>北京市延庆区第三小学</w:t>
            </w:r>
            <w:r>
              <w:rPr>
                <w:rFonts w:hint="eastAsia"/>
                <w:sz w:val="24"/>
                <w:u w:val="single"/>
              </w:rPr>
              <w:t>、北京市延庆区政府采购中心</w:t>
            </w:r>
            <w:r>
              <w:rPr>
                <w:rFonts w:eastAsiaTheme="minorEastAsia"/>
                <w:sz w:val="24"/>
              </w:rPr>
              <w:t>；</w:t>
            </w:r>
          </w:p>
          <w:p>
            <w:pPr>
              <w:jc w:val="left"/>
              <w:rPr>
                <w:rFonts w:eastAsiaTheme="minorEastAsia"/>
                <w:sz w:val="24"/>
              </w:rPr>
            </w:pPr>
            <w:r>
              <w:rPr>
                <w:rFonts w:eastAsiaTheme="minorEastAsia"/>
                <w:sz w:val="24"/>
              </w:rPr>
              <w:t>联系电话：</w:t>
            </w:r>
            <w:r>
              <w:rPr>
                <w:rFonts w:hint="eastAsia" w:eastAsiaTheme="minorEastAsia"/>
                <w:sz w:val="24"/>
                <w:u w:val="single"/>
              </w:rPr>
              <w:t>15910305068</w:t>
            </w:r>
            <w:r>
              <w:rPr>
                <w:rFonts w:hint="eastAsia"/>
                <w:sz w:val="24"/>
                <w:u w:val="single"/>
              </w:rPr>
              <w:t>、</w:t>
            </w:r>
            <w:r>
              <w:rPr>
                <w:sz w:val="24"/>
                <w:u w:val="single"/>
              </w:rPr>
              <w:t xml:space="preserve">69141782 </w:t>
            </w:r>
            <w:r>
              <w:rPr>
                <w:rFonts w:eastAsiaTheme="minorEastAsia"/>
                <w:sz w:val="24"/>
              </w:rPr>
              <w:t>_；</w:t>
            </w:r>
          </w:p>
          <w:p>
            <w:pPr>
              <w:jc w:val="left"/>
              <w:rPr>
                <w:sz w:val="24"/>
              </w:rPr>
            </w:pPr>
            <w:r>
              <w:rPr>
                <w:rFonts w:eastAsiaTheme="minorEastAsia"/>
                <w:sz w:val="24"/>
              </w:rPr>
              <w:t>通讯地址：</w:t>
            </w:r>
            <w:r>
              <w:rPr>
                <w:rFonts w:hint="eastAsia"/>
                <w:sz w:val="24"/>
                <w:u w:val="single"/>
              </w:rPr>
              <w:t>北京市</w:t>
            </w:r>
            <w:r>
              <w:rPr>
                <w:sz w:val="24"/>
                <w:u w:val="single"/>
              </w:rPr>
              <w:t>延庆区</w:t>
            </w:r>
            <w:r>
              <w:rPr>
                <w:rFonts w:hint="eastAsia"/>
                <w:sz w:val="24"/>
                <w:u w:val="single"/>
              </w:rPr>
              <w:t>东外大街66号、北京市延庆区庆园街60号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adjustRightInd w:val="0"/>
              <w:snapToGrid w:val="0"/>
              <w:jc w:val="center"/>
              <w:rPr>
                <w:sz w:val="24"/>
              </w:rPr>
            </w:pPr>
            <w:r>
              <w:rPr>
                <w:sz w:val="24"/>
              </w:rPr>
              <w:t>24.1</w:t>
            </w:r>
          </w:p>
        </w:tc>
        <w:tc>
          <w:tcPr>
            <w:tcW w:w="1701" w:type="dxa"/>
            <w:vAlign w:val="center"/>
          </w:tcPr>
          <w:p>
            <w:pPr>
              <w:jc w:val="center"/>
              <w:rPr>
                <w:sz w:val="24"/>
              </w:rPr>
            </w:pPr>
            <w:r>
              <w:rPr>
                <w:sz w:val="24"/>
              </w:rPr>
              <w:t>代理费</w:t>
            </w:r>
          </w:p>
        </w:tc>
        <w:tc>
          <w:tcPr>
            <w:tcW w:w="7253" w:type="dxa"/>
            <w:vAlign w:val="center"/>
          </w:tcPr>
          <w:p>
            <w:pPr>
              <w:jc w:val="left"/>
              <w:rPr>
                <w:sz w:val="24"/>
              </w:rPr>
            </w:pPr>
            <w:r>
              <w:rPr>
                <w:rFonts w:hint="eastAsia" w:eastAsiaTheme="minorEastAsia"/>
                <w:sz w:val="24"/>
              </w:rPr>
              <w:t>本项目不收取代理费。</w:t>
            </w:r>
          </w:p>
        </w:tc>
      </w:tr>
    </w:tbl>
    <w:p>
      <w:pPr>
        <w:spacing w:line="360" w:lineRule="auto"/>
        <w:jc w:val="center"/>
        <w:outlineLvl w:val="0"/>
        <w:rPr>
          <w:sz w:val="24"/>
        </w:rPr>
        <w:sectPr>
          <w:headerReference r:id="rId9" w:type="first"/>
          <w:footerReference r:id="rId11" w:type="first"/>
          <w:headerReference r:id="rId8" w:type="default"/>
          <w:footerReference r:id="rId10" w:type="default"/>
          <w:type w:val="nextColumn"/>
          <w:pgSz w:w="11907" w:h="16840"/>
          <w:pgMar w:top="1418" w:right="1134" w:bottom="1418" w:left="1701" w:header="851" w:footer="851" w:gutter="0"/>
          <w:pgNumType w:start="0"/>
          <w:cols w:space="720" w:num="1"/>
          <w:titlePg/>
          <w:docGrid w:linePitch="462" w:charSpace="0"/>
        </w:sectPr>
      </w:pPr>
    </w:p>
    <w:p>
      <w:pPr>
        <w:spacing w:before="312" w:beforeLines="100" w:after="312" w:afterLines="100"/>
        <w:jc w:val="center"/>
        <w:rPr>
          <w:b/>
          <w:sz w:val="28"/>
          <w:szCs w:val="28"/>
        </w:rPr>
      </w:pPr>
      <w:bookmarkStart w:id="73" w:name="_Toc150480755"/>
      <w:bookmarkStart w:id="74" w:name="_Toc150774722"/>
      <w:bookmarkStart w:id="75" w:name="_Toc226337213"/>
      <w:bookmarkStart w:id="76" w:name="_Toc226965790"/>
      <w:bookmarkStart w:id="77" w:name="_Toc195842882"/>
      <w:bookmarkStart w:id="78" w:name="_Toc265228355"/>
      <w:bookmarkStart w:id="79" w:name="_Toc305158785"/>
      <w:bookmarkStart w:id="80" w:name="_Toc264969207"/>
      <w:bookmarkStart w:id="81" w:name="_Toc127151517"/>
      <w:bookmarkStart w:id="82" w:name="_Toc142311019"/>
      <w:bookmarkStart w:id="83" w:name="_Toc353825542"/>
      <w:bookmarkStart w:id="84" w:name="_Toc353873932"/>
      <w:bookmarkStart w:id="85" w:name="_Toc353873662"/>
      <w:bookmarkStart w:id="86" w:name="_Toc305158859"/>
      <w:r>
        <w:rPr>
          <w:b/>
          <w:sz w:val="28"/>
          <w:szCs w:val="28"/>
        </w:rPr>
        <w:t>供应商须知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3"/>
        <w:tabs>
          <w:tab w:val="center" w:pos="4592"/>
          <w:tab w:val="left" w:pos="7860"/>
        </w:tabs>
        <w:spacing w:before="0" w:line="360" w:lineRule="auto"/>
        <w:jc w:val="left"/>
        <w:rPr>
          <w:rFonts w:ascii="Times New Roman" w:hAnsi="Times New Roman" w:eastAsia="宋体"/>
          <w:sz w:val="28"/>
        </w:rPr>
      </w:pPr>
      <w:bookmarkStart w:id="87" w:name="_Toc127151518"/>
      <w:bookmarkStart w:id="88" w:name="_Toc520356143"/>
      <w:r>
        <w:rPr>
          <w:rFonts w:ascii="Times New Roman" w:hAnsi="Times New Roman" w:eastAsia="宋体"/>
          <w:sz w:val="28"/>
        </w:rPr>
        <w:tab/>
      </w:r>
      <w:bookmarkStart w:id="89" w:name="_Toc264969208"/>
      <w:bookmarkStart w:id="90" w:name="_Toc305158860"/>
      <w:bookmarkStart w:id="91" w:name="_Toc151190145"/>
      <w:bookmarkStart w:id="92" w:name="_Toc226309762"/>
      <w:bookmarkStart w:id="93" w:name="_Toc226337214"/>
      <w:bookmarkStart w:id="94" w:name="_Toc150509269"/>
      <w:bookmarkStart w:id="95" w:name="_Toc151193906"/>
      <w:bookmarkStart w:id="96" w:name="_Toc150774723"/>
      <w:bookmarkStart w:id="97" w:name="_Toc150774618"/>
      <w:bookmarkStart w:id="98" w:name="_Toc151193760"/>
      <w:bookmarkStart w:id="99" w:name="_Toc195842883"/>
      <w:bookmarkStart w:id="100" w:name="_Toc226965708"/>
      <w:bookmarkStart w:id="101" w:name="_Toc226965791"/>
      <w:bookmarkStart w:id="102" w:name="_Toc151193832"/>
      <w:bookmarkStart w:id="103" w:name="_Toc151193688"/>
      <w:bookmarkStart w:id="104" w:name="_Toc142311020"/>
      <w:bookmarkStart w:id="105" w:name="_Toc150480756"/>
      <w:bookmarkStart w:id="106" w:name="_Toc265228356"/>
      <w:bookmarkStart w:id="107" w:name="_Toc305158786"/>
      <w:bookmarkStart w:id="108" w:name="_Toc151193616"/>
      <w:r>
        <w:rPr>
          <w:rFonts w:ascii="Times New Roman" w:hAnsi="Times New Roman" w:eastAsia="宋体"/>
          <w:sz w:val="28"/>
        </w:rPr>
        <w:t>一说明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z w:val="28"/>
        </w:rPr>
        <w:tab/>
      </w:r>
    </w:p>
    <w:p>
      <w:pPr>
        <w:numPr>
          <w:ilvl w:val="0"/>
          <w:numId w:val="8"/>
        </w:numPr>
        <w:tabs>
          <w:tab w:val="left" w:pos="360"/>
          <w:tab w:val="clear" w:pos="900"/>
        </w:tabs>
        <w:snapToGrid w:val="0"/>
        <w:spacing w:line="360" w:lineRule="auto"/>
        <w:ind w:left="357" w:hanging="357"/>
        <w:outlineLvl w:val="1"/>
        <w:rPr>
          <w:sz w:val="24"/>
        </w:rPr>
      </w:pPr>
      <w:bookmarkStart w:id="109" w:name="_Toc264969209"/>
      <w:bookmarkStart w:id="110" w:name="_Toc265228357"/>
      <w:bookmarkStart w:id="111" w:name="_Toc305158787"/>
      <w:bookmarkStart w:id="112" w:name="_Toc305158861"/>
      <w:r>
        <w:rPr>
          <w:sz w:val="24"/>
        </w:rPr>
        <w:t>采购人、采购代理机构、供应商</w:t>
      </w:r>
      <w:bookmarkEnd w:id="109"/>
      <w:bookmarkEnd w:id="110"/>
      <w:bookmarkEnd w:id="111"/>
      <w:bookmarkEnd w:id="112"/>
      <w:r>
        <w:rPr>
          <w:sz w:val="24"/>
        </w:rPr>
        <w:t>、联合体</w:t>
      </w:r>
    </w:p>
    <w:p>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sz w:val="24"/>
        </w:rPr>
      </w:pPr>
      <w:bookmarkStart w:id="113" w:name="_Toc150480758"/>
      <w:bookmarkStart w:id="114" w:name="_Toc127151721"/>
      <w:bookmarkStart w:id="115" w:name="_Toc127161434"/>
      <w:bookmarkStart w:id="116" w:name="_Toc150774725"/>
      <w:bookmarkStart w:id="117" w:name="_Toc151193690"/>
      <w:bookmarkStart w:id="118" w:name="_Toc265228358"/>
      <w:bookmarkStart w:id="119" w:name="_Toc127151520"/>
      <w:bookmarkStart w:id="120" w:name="_Toc142311022"/>
      <w:bookmarkStart w:id="121" w:name="_Toc149720813"/>
      <w:bookmarkStart w:id="122" w:name="_Toc151193618"/>
      <w:bookmarkStart w:id="123" w:name="_Toc264969210"/>
      <w:bookmarkStart w:id="124" w:name="_Toc151190147"/>
      <w:bookmarkStart w:id="125" w:name="_Toc150509271"/>
      <w:bookmarkStart w:id="126" w:name="_Toc151193762"/>
      <w:bookmarkStart w:id="127" w:name="_Toc150774620"/>
      <w:bookmarkStart w:id="128" w:name="_Toc164229215"/>
      <w:bookmarkStart w:id="129" w:name="_Toc226965710"/>
      <w:bookmarkStart w:id="130" w:name="_Toc164351614"/>
      <w:bookmarkStart w:id="131" w:name="_Toc164608789"/>
      <w:bookmarkStart w:id="132" w:name="_Toc164608634"/>
      <w:bookmarkStart w:id="133" w:name="_Toc226309764"/>
      <w:bookmarkStart w:id="134" w:name="_Toc305158788"/>
      <w:bookmarkStart w:id="135" w:name="_Toc226965793"/>
      <w:bookmarkStart w:id="136" w:name="_Toc164229361"/>
      <w:bookmarkStart w:id="137" w:name="_Toc151193834"/>
      <w:bookmarkStart w:id="138" w:name="_Toc305158862"/>
      <w:bookmarkStart w:id="139" w:name="_Toc195842885"/>
      <w:bookmarkStart w:id="140" w:name="_Toc226337216"/>
      <w:bookmarkStart w:id="141" w:name="_Toc151193908"/>
      <w:r>
        <w:rPr>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z w:val="24"/>
        </w:rPr>
        <w:t>、科研仪器设备采购</w:t>
      </w:r>
    </w:p>
    <w:p>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8"/>
        </w:numPr>
        <w:tabs>
          <w:tab w:val="left" w:pos="360"/>
          <w:tab w:val="clear" w:pos="900"/>
        </w:tabs>
        <w:snapToGrid w:val="0"/>
        <w:spacing w:line="360" w:lineRule="auto"/>
        <w:ind w:left="357" w:hanging="357"/>
        <w:outlineLvl w:val="1"/>
        <w:rPr>
          <w:sz w:val="24"/>
        </w:rPr>
      </w:pPr>
      <w:bookmarkStart w:id="142" w:name="_Toc226965795"/>
      <w:bookmarkStart w:id="143" w:name="_Toc305158864"/>
      <w:bookmarkStart w:id="144" w:name="_Toc150509273"/>
      <w:bookmarkStart w:id="145" w:name="_Toc151193692"/>
      <w:bookmarkStart w:id="146" w:name="_Toc226337218"/>
      <w:bookmarkStart w:id="147" w:name="_Toc151193836"/>
      <w:bookmarkStart w:id="148" w:name="_Toc305158790"/>
      <w:bookmarkStart w:id="149" w:name="_Toc151190149"/>
      <w:bookmarkStart w:id="150" w:name="_Toc151193764"/>
      <w:bookmarkStart w:id="151" w:name="_Toc150774727"/>
      <w:bookmarkStart w:id="152" w:name="_Toc265228360"/>
      <w:bookmarkStart w:id="153" w:name="_Toc151193620"/>
      <w:bookmarkStart w:id="154" w:name="_Toc195842887"/>
      <w:bookmarkStart w:id="155" w:name="_Toc226309766"/>
      <w:bookmarkStart w:id="156" w:name="_Toc150774622"/>
      <w:bookmarkStart w:id="157" w:name="_Toc226965712"/>
      <w:bookmarkStart w:id="158" w:name="_Toc264969212"/>
      <w:bookmarkStart w:id="159" w:name="_Toc151193910"/>
      <w:bookmarkStart w:id="160" w:name="_Toc127151522"/>
      <w:bookmarkStart w:id="161" w:name="_Toc150480760"/>
      <w:bookmarkStart w:id="162" w:name="_Toc142311024"/>
      <w:bookmarkStart w:id="163" w:name="_Toc520356146"/>
      <w:r>
        <w:rPr>
          <w:sz w:val="24"/>
        </w:rPr>
        <w:t>政府采购政策（包括但不限于下列具体政策要求）</w:t>
      </w:r>
    </w:p>
    <w:p>
      <w:pPr>
        <w:numPr>
          <w:ilvl w:val="1"/>
          <w:numId w:val="8"/>
        </w:numPr>
        <w:tabs>
          <w:tab w:val="left" w:pos="1080"/>
          <w:tab w:val="left" w:pos="2014"/>
        </w:tabs>
        <w:snapToGrid w:val="0"/>
        <w:spacing w:line="360" w:lineRule="auto"/>
        <w:ind w:left="1080" w:hanging="720"/>
        <w:rPr>
          <w:sz w:val="24"/>
        </w:rPr>
      </w:pPr>
      <w:r>
        <w:rPr>
          <w:sz w:val="24"/>
        </w:rPr>
        <w:t>采购本国货物、工程和服务</w:t>
      </w:r>
    </w:p>
    <w:p>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8"/>
        </w:numPr>
        <w:tabs>
          <w:tab w:val="left" w:pos="2014"/>
        </w:tabs>
        <w:snapToGrid w:val="0"/>
        <w:spacing w:line="360" w:lineRule="auto"/>
        <w:rPr>
          <w:sz w:val="24"/>
        </w:rPr>
      </w:pPr>
      <w:r>
        <w:rPr>
          <w:sz w:val="24"/>
        </w:rPr>
        <w:t>本项目如接受非本国货物、工程、服务参与</w:t>
      </w:r>
      <w:r>
        <w:rPr>
          <w:rFonts w:hint="eastAsia"/>
          <w:sz w:val="24"/>
        </w:rPr>
        <w:t>响应</w:t>
      </w:r>
      <w:r>
        <w:rPr>
          <w:sz w:val="24"/>
        </w:rPr>
        <w:t>，则具体要求见第四章《采购需求》。</w:t>
      </w:r>
    </w:p>
    <w:p>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8"/>
        </w:numPr>
        <w:snapToGrid w:val="0"/>
        <w:spacing w:line="360" w:lineRule="auto"/>
        <w:rPr>
          <w:sz w:val="24"/>
        </w:rPr>
      </w:pPr>
      <w:r>
        <w:rPr>
          <w:sz w:val="24"/>
        </w:rPr>
        <w:t>中小企业定义：</w:t>
      </w:r>
    </w:p>
    <w:p>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5"/>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5"/>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5"/>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75"/>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pStyle w:val="75"/>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rPr>
      </w:pPr>
      <w:r>
        <w:rPr>
          <w:sz w:val="24"/>
        </w:rPr>
        <w:t>本项目是否专门面向中小企业预留采购份额见第一章《采购邀请》。</w:t>
      </w:r>
    </w:p>
    <w:p>
      <w:pPr>
        <w:numPr>
          <w:ilvl w:val="2"/>
          <w:numId w:val="8"/>
        </w:numPr>
        <w:snapToGrid w:val="0"/>
        <w:spacing w:line="360" w:lineRule="auto"/>
        <w:rPr>
          <w:sz w:val="24"/>
        </w:rPr>
      </w:pPr>
      <w:r>
        <w:rPr>
          <w:sz w:val="24"/>
        </w:rPr>
        <w:t>采购标的对应的中小企业划分标准所属行业见《供应商须知资料表》。</w:t>
      </w:r>
    </w:p>
    <w:p>
      <w:pPr>
        <w:numPr>
          <w:ilvl w:val="2"/>
          <w:numId w:val="8"/>
        </w:numPr>
        <w:snapToGrid w:val="0"/>
        <w:spacing w:line="360" w:lineRule="auto"/>
        <w:rPr>
          <w:sz w:val="24"/>
        </w:rPr>
      </w:pPr>
      <w:r>
        <w:rPr>
          <w:sz w:val="24"/>
        </w:rPr>
        <w:t>小微企业价格评审优惠的政策调整：见第三章《评审程序和评定成交的标准》。</w:t>
      </w:r>
    </w:p>
    <w:p>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bookmarkStart w:id="164" w:name="_Hlk97501674"/>
      <w:r>
        <w:rPr>
          <w:sz w:val="24"/>
        </w:rPr>
        <w:t>，否则</w:t>
      </w:r>
      <w:r>
        <w:rPr>
          <w:b/>
          <w:bCs/>
          <w:sz w:val="24"/>
        </w:rPr>
        <w:t>响应无效</w:t>
      </w:r>
      <w:bookmarkEnd w:id="164"/>
      <w:r>
        <w:rPr>
          <w:sz w:val="24"/>
        </w:rPr>
        <w:t>；</w:t>
      </w:r>
    </w:p>
    <w:p>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非政府强制采购的节能产品或环境标志产品，依据品目清单和认证证书实施政府优先采购。优先采购的具体规定见第三章《评审程序和评定成交的标准》（如涉及）。</w:t>
      </w:r>
    </w:p>
    <w:p>
      <w:pPr>
        <w:numPr>
          <w:ilvl w:val="1"/>
          <w:numId w:val="8"/>
        </w:numPr>
        <w:tabs>
          <w:tab w:val="left" w:pos="1080"/>
          <w:tab w:val="left" w:pos="2014"/>
        </w:tabs>
        <w:snapToGrid w:val="0"/>
        <w:spacing w:line="360" w:lineRule="auto"/>
        <w:ind w:left="1080" w:hanging="720"/>
        <w:rPr>
          <w:sz w:val="24"/>
        </w:rPr>
      </w:pPr>
      <w:r>
        <w:rPr>
          <w:sz w:val="24"/>
        </w:rPr>
        <w:t>正版软件</w:t>
      </w:r>
    </w:p>
    <w:p>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pPr>
        <w:numPr>
          <w:ilvl w:val="2"/>
          <w:numId w:val="8"/>
        </w:numPr>
        <w:tabs>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w:t>
      </w:r>
      <w:r>
        <w:rPr>
          <w:b/>
          <w:bCs/>
          <w:sz w:val="24"/>
        </w:rPr>
        <w:t>响应无效</w:t>
      </w:r>
      <w:r>
        <w:rPr>
          <w:sz w:val="24"/>
        </w:rPr>
        <w:t>；属于推荐性标准的，优先采购，具体见第三章《评审程序和评定成交的标准》。</w:t>
      </w:r>
    </w:p>
    <w:p>
      <w:pPr>
        <w:numPr>
          <w:ilvl w:val="1"/>
          <w:numId w:val="8"/>
        </w:numPr>
        <w:tabs>
          <w:tab w:val="left" w:pos="1080"/>
          <w:tab w:val="left" w:pos="2014"/>
        </w:tabs>
        <w:snapToGrid w:val="0"/>
        <w:spacing w:line="360" w:lineRule="auto"/>
        <w:ind w:left="1080" w:hanging="720"/>
        <w:rPr>
          <w:sz w:val="24"/>
        </w:rPr>
      </w:pPr>
      <w:r>
        <w:rPr>
          <w:sz w:val="24"/>
        </w:rPr>
        <w:t>采购需求标准</w:t>
      </w:r>
    </w:p>
    <w:p>
      <w:pPr>
        <w:numPr>
          <w:ilvl w:val="2"/>
          <w:numId w:val="8"/>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numPr>
          <w:ilvl w:val="2"/>
          <w:numId w:val="8"/>
        </w:numPr>
        <w:tabs>
          <w:tab w:val="left" w:pos="2014"/>
        </w:tabs>
        <w:snapToGrid w:val="0"/>
        <w:spacing w:line="360" w:lineRule="auto"/>
        <w:rPr>
          <w:sz w:val="24"/>
        </w:rPr>
      </w:pPr>
      <w:r>
        <w:rPr>
          <w:rFonts w:hint="eastAsia"/>
          <w:sz w:val="24"/>
        </w:rPr>
        <w:t>其他</w:t>
      </w:r>
      <w:r>
        <w:rPr>
          <w:sz w:val="24"/>
        </w:rPr>
        <w:t>政府采购需求标准</w:t>
      </w:r>
    </w:p>
    <w:p>
      <w:pPr>
        <w:tabs>
          <w:tab w:val="left" w:pos="900"/>
          <w:tab w:val="left" w:pos="1980"/>
        </w:tabs>
        <w:snapToGrid w:val="0"/>
        <w:spacing w:line="360" w:lineRule="auto"/>
        <w:ind w:left="1980"/>
        <w:rPr>
          <w:sz w:val="24"/>
        </w:rPr>
      </w:pPr>
      <w:bookmarkStart w:id="165" w:name="_Hlk164955325"/>
      <w:bookmarkStart w:id="166" w:name="_Hlk167095089"/>
      <w:r>
        <w:rPr>
          <w:rFonts w:hint="eastAsia"/>
          <w:sz w:val="24"/>
        </w:rPr>
        <w:t>为贯彻落实《深化政府采购制度改革方案》有关要求，推动政府采购需求标准建设</w:t>
      </w:r>
      <w:bookmarkEnd w:id="165"/>
      <w:r>
        <w:rPr>
          <w:rFonts w:hint="eastAsia"/>
          <w:sz w:val="24"/>
        </w:rPr>
        <w:t>，财政部门会同有关部门制定发布的其他政府采购需求标准</w:t>
      </w:r>
      <w:r>
        <w:rPr>
          <w:sz w:val="24"/>
        </w:rPr>
        <w:t>，本项目如涉及，则具体要求见第四章《采购需求》。</w:t>
      </w:r>
    </w:p>
    <w:bookmarkEnd w:id="166"/>
    <w:p>
      <w:pPr>
        <w:numPr>
          <w:ilvl w:val="0"/>
          <w:numId w:val="8"/>
        </w:numPr>
        <w:tabs>
          <w:tab w:val="left" w:pos="360"/>
        </w:tabs>
        <w:snapToGrid w:val="0"/>
        <w:spacing w:line="360" w:lineRule="auto"/>
        <w:ind w:left="357" w:hanging="357"/>
        <w:outlineLvl w:val="1"/>
        <w:rPr>
          <w:sz w:val="24"/>
        </w:rPr>
      </w:pPr>
      <w:r>
        <w:rPr>
          <w:sz w:val="24"/>
        </w:rPr>
        <w:t>响应费用</w:t>
      </w:r>
    </w:p>
    <w:p>
      <w:pPr>
        <w:numPr>
          <w:ilvl w:val="1"/>
          <w:numId w:val="8"/>
        </w:numPr>
        <w:tabs>
          <w:tab w:val="left" w:pos="1080"/>
          <w:tab w:val="left" w:pos="2014"/>
        </w:tabs>
        <w:snapToGrid w:val="0"/>
        <w:spacing w:line="360" w:lineRule="auto"/>
        <w:ind w:left="1080" w:hanging="720"/>
        <w:rPr>
          <w:sz w:val="28"/>
        </w:rPr>
      </w:pPr>
      <w:r>
        <w:rPr>
          <w:sz w:val="24"/>
        </w:rPr>
        <w:t>供应商应自行承担所有与准备和参加竞争性谈判响应有关的费用，无论响应的结果如何，采购人或采购代理机构在任何情况下均无承担这些费用的义务和责任。</w:t>
      </w:r>
      <w:bookmarkStart w:id="167" w:name="_1.8_计量单位"/>
      <w:bookmarkEnd w:id="167"/>
    </w:p>
    <w:p>
      <w:pPr>
        <w:pStyle w:val="3"/>
        <w:spacing w:before="0" w:line="360" w:lineRule="auto"/>
        <w:rPr>
          <w:rFonts w:ascii="Times New Roman" w:hAnsi="Times New Roman" w:eastAsia="宋体"/>
          <w:sz w:val="28"/>
        </w:rPr>
      </w:pPr>
      <w:r>
        <w:rPr>
          <w:rFonts w:ascii="Times New Roman" w:hAnsi="Times New Roman" w:eastAsia="宋体"/>
          <w:sz w:val="28"/>
        </w:rPr>
        <w:t>二</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Times New Roman" w:hAnsi="Times New Roman" w:eastAsia="宋体"/>
          <w:sz w:val="28"/>
        </w:rPr>
        <w:t>谈判文件</w:t>
      </w:r>
    </w:p>
    <w:p>
      <w:pPr>
        <w:numPr>
          <w:ilvl w:val="0"/>
          <w:numId w:val="8"/>
        </w:numPr>
        <w:tabs>
          <w:tab w:val="left" w:pos="360"/>
        </w:tabs>
        <w:snapToGrid w:val="0"/>
        <w:spacing w:line="360" w:lineRule="auto"/>
        <w:ind w:left="357" w:hanging="357"/>
        <w:outlineLvl w:val="1"/>
        <w:rPr>
          <w:sz w:val="24"/>
        </w:rPr>
      </w:pPr>
      <w:bookmarkStart w:id="168" w:name="_Toc226965713"/>
      <w:bookmarkStart w:id="169" w:name="_Toc127151523"/>
      <w:bookmarkStart w:id="170" w:name="_Toc127161437"/>
      <w:bookmarkStart w:id="171" w:name="_Toc226965796"/>
      <w:bookmarkStart w:id="172" w:name="_Toc150774623"/>
      <w:bookmarkStart w:id="173" w:name="_Toc150774728"/>
      <w:bookmarkStart w:id="174" w:name="_Toc151190150"/>
      <w:bookmarkStart w:id="175" w:name="_Toc520356147"/>
      <w:bookmarkStart w:id="176" w:name="_Toc142311025"/>
      <w:bookmarkStart w:id="177" w:name="_Toc164229218"/>
      <w:bookmarkStart w:id="178" w:name="_Toc265228361"/>
      <w:bookmarkStart w:id="179" w:name="_Toc164351617"/>
      <w:bookmarkStart w:id="180" w:name="_Toc164229364"/>
      <w:bookmarkStart w:id="181" w:name="_Toc151193693"/>
      <w:bookmarkStart w:id="182" w:name="_Toc151193765"/>
      <w:bookmarkStart w:id="183" w:name="_Toc151193837"/>
      <w:bookmarkStart w:id="184" w:name="_Toc164608637"/>
      <w:bookmarkStart w:id="185" w:name="_Toc164608792"/>
      <w:bookmarkStart w:id="186" w:name="_Toc149720816"/>
      <w:bookmarkStart w:id="187" w:name="_Toc195842888"/>
      <w:bookmarkStart w:id="188" w:name="_Toc226309767"/>
      <w:bookmarkStart w:id="189" w:name="_Toc226337219"/>
      <w:bookmarkStart w:id="190" w:name="_Toc127151724"/>
      <w:bookmarkStart w:id="191" w:name="_Toc305158865"/>
      <w:bookmarkStart w:id="192" w:name="_Toc150509274"/>
      <w:bookmarkStart w:id="193" w:name="_Toc151193621"/>
      <w:bookmarkStart w:id="194" w:name="_Toc150480761"/>
      <w:bookmarkStart w:id="195" w:name="_Toc151193911"/>
      <w:bookmarkStart w:id="196" w:name="_Toc264969213"/>
      <w:bookmarkStart w:id="197" w:name="_Toc305158791"/>
      <w:r>
        <w:rPr>
          <w:sz w:val="24"/>
        </w:rPr>
        <w:t>谈判文件构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sz w:val="24"/>
        </w:rPr>
        <w:t>成</w:t>
      </w:r>
    </w:p>
    <w:p>
      <w:pPr>
        <w:numPr>
          <w:ilvl w:val="1"/>
          <w:numId w:val="8"/>
        </w:numPr>
        <w:tabs>
          <w:tab w:val="left" w:pos="1080"/>
          <w:tab w:val="left" w:pos="2014"/>
        </w:tabs>
        <w:snapToGrid w:val="0"/>
        <w:spacing w:line="360" w:lineRule="auto"/>
        <w:ind w:left="1080" w:hanging="720"/>
        <w:rPr>
          <w:sz w:val="24"/>
        </w:rPr>
      </w:pPr>
      <w:r>
        <w:rPr>
          <w:sz w:val="24"/>
        </w:rPr>
        <w:t>谈判文件包括以下部分：</w:t>
      </w:r>
    </w:p>
    <w:p>
      <w:pPr>
        <w:numPr>
          <w:ilvl w:val="0"/>
          <w:numId w:val="10"/>
        </w:numPr>
        <w:tabs>
          <w:tab w:val="left" w:pos="1980"/>
          <w:tab w:val="left" w:pos="2520"/>
        </w:tabs>
        <w:snapToGrid w:val="0"/>
        <w:spacing w:line="360" w:lineRule="auto"/>
        <w:ind w:left="1440" w:firstLine="5"/>
        <w:rPr>
          <w:sz w:val="24"/>
        </w:rPr>
      </w:pPr>
      <w:r>
        <w:rPr>
          <w:sz w:val="24"/>
        </w:rPr>
        <w:t>采购邀请</w:t>
      </w:r>
    </w:p>
    <w:p>
      <w:pPr>
        <w:numPr>
          <w:ilvl w:val="0"/>
          <w:numId w:val="10"/>
        </w:numPr>
        <w:tabs>
          <w:tab w:val="left" w:pos="1980"/>
          <w:tab w:val="left" w:pos="2520"/>
        </w:tabs>
        <w:snapToGrid w:val="0"/>
        <w:spacing w:line="360" w:lineRule="auto"/>
        <w:ind w:left="1440" w:firstLine="5"/>
        <w:rPr>
          <w:sz w:val="24"/>
        </w:rPr>
      </w:pPr>
      <w:r>
        <w:rPr>
          <w:sz w:val="24"/>
        </w:rPr>
        <w:t>供应商须知</w:t>
      </w:r>
    </w:p>
    <w:p>
      <w:pPr>
        <w:numPr>
          <w:ilvl w:val="0"/>
          <w:numId w:val="10"/>
        </w:numPr>
        <w:tabs>
          <w:tab w:val="left" w:pos="1980"/>
          <w:tab w:val="left" w:pos="2520"/>
        </w:tabs>
        <w:snapToGrid w:val="0"/>
        <w:spacing w:line="360" w:lineRule="auto"/>
        <w:ind w:left="1440" w:firstLine="5"/>
        <w:rPr>
          <w:sz w:val="24"/>
        </w:rPr>
      </w:pPr>
      <w:r>
        <w:rPr>
          <w:sz w:val="24"/>
        </w:rPr>
        <w:t>评审程序和评定成交的标准</w:t>
      </w:r>
    </w:p>
    <w:p>
      <w:pPr>
        <w:numPr>
          <w:ilvl w:val="0"/>
          <w:numId w:val="10"/>
        </w:numPr>
        <w:tabs>
          <w:tab w:val="left" w:pos="1980"/>
          <w:tab w:val="left" w:pos="2520"/>
        </w:tabs>
        <w:snapToGrid w:val="0"/>
        <w:spacing w:line="360" w:lineRule="auto"/>
        <w:ind w:left="1440" w:firstLine="5"/>
        <w:rPr>
          <w:sz w:val="24"/>
        </w:rPr>
      </w:pPr>
      <w:r>
        <w:rPr>
          <w:sz w:val="24"/>
        </w:rPr>
        <w:t>采购需求</w:t>
      </w:r>
    </w:p>
    <w:p>
      <w:pPr>
        <w:numPr>
          <w:ilvl w:val="0"/>
          <w:numId w:val="10"/>
        </w:numPr>
        <w:tabs>
          <w:tab w:val="left" w:pos="1980"/>
          <w:tab w:val="left" w:pos="2520"/>
        </w:tabs>
        <w:snapToGrid w:val="0"/>
        <w:spacing w:line="360" w:lineRule="auto"/>
        <w:ind w:left="1440" w:firstLine="5"/>
        <w:rPr>
          <w:sz w:val="24"/>
        </w:rPr>
      </w:pPr>
      <w:r>
        <w:rPr>
          <w:sz w:val="24"/>
        </w:rPr>
        <w:t>合同草案条款</w:t>
      </w:r>
    </w:p>
    <w:p>
      <w:pPr>
        <w:numPr>
          <w:ilvl w:val="0"/>
          <w:numId w:val="10"/>
        </w:numPr>
        <w:tabs>
          <w:tab w:val="left" w:pos="1980"/>
          <w:tab w:val="left" w:pos="2520"/>
        </w:tabs>
        <w:snapToGrid w:val="0"/>
        <w:spacing w:line="360" w:lineRule="auto"/>
        <w:ind w:left="1440" w:firstLine="5"/>
        <w:rPr>
          <w:sz w:val="24"/>
        </w:rPr>
      </w:pPr>
      <w:r>
        <w:rPr>
          <w:sz w:val="24"/>
        </w:rPr>
        <w:t>响应文件格式</w:t>
      </w:r>
    </w:p>
    <w:p>
      <w:pPr>
        <w:numPr>
          <w:ilvl w:val="1"/>
          <w:numId w:val="8"/>
        </w:numPr>
        <w:tabs>
          <w:tab w:val="left" w:pos="1080"/>
          <w:tab w:val="left" w:pos="2014"/>
        </w:tabs>
        <w:snapToGrid w:val="0"/>
        <w:spacing w:line="360" w:lineRule="auto"/>
        <w:ind w:left="1080" w:hanging="720"/>
        <w:rPr>
          <w:sz w:val="24"/>
        </w:rPr>
      </w:pPr>
      <w:r>
        <w:rPr>
          <w:sz w:val="24"/>
        </w:rPr>
        <w:t>供应商应认真阅读谈判文件的全部内容。供应商应按照谈判文件要求提交响应文件并保证所提供的全部资料的真实性，并对谈判文件做出实质性响应，否则</w:t>
      </w:r>
      <w:r>
        <w:rPr>
          <w:b/>
          <w:bCs/>
          <w:sz w:val="24"/>
        </w:rPr>
        <w:t>响应无效</w:t>
      </w:r>
      <w:r>
        <w:rPr>
          <w:sz w:val="24"/>
        </w:rPr>
        <w:t>。</w:t>
      </w:r>
    </w:p>
    <w:p>
      <w:pPr>
        <w:numPr>
          <w:ilvl w:val="0"/>
          <w:numId w:val="8"/>
        </w:numPr>
        <w:tabs>
          <w:tab w:val="left" w:pos="1080"/>
          <w:tab w:val="left" w:pos="2014"/>
        </w:tabs>
        <w:snapToGrid w:val="0"/>
        <w:spacing w:line="360" w:lineRule="auto"/>
        <w:ind w:left="357" w:hanging="357"/>
        <w:outlineLvl w:val="1"/>
        <w:rPr>
          <w:sz w:val="24"/>
        </w:rPr>
      </w:pPr>
      <w:r>
        <w:rPr>
          <w:sz w:val="24"/>
        </w:rPr>
        <w:t>对谈判文件的澄清或修改</w:t>
      </w:r>
    </w:p>
    <w:p>
      <w:pPr>
        <w:numPr>
          <w:ilvl w:val="1"/>
          <w:numId w:val="8"/>
        </w:numPr>
        <w:tabs>
          <w:tab w:val="left" w:pos="1080"/>
          <w:tab w:val="left" w:pos="1561"/>
          <w:tab w:val="left" w:pos="2014"/>
        </w:tabs>
        <w:snapToGrid w:val="0"/>
        <w:spacing w:line="360" w:lineRule="auto"/>
        <w:ind w:left="1080" w:hanging="720"/>
        <w:rPr>
          <w:sz w:val="24"/>
        </w:rPr>
      </w:pPr>
      <w:r>
        <w:rPr>
          <w:rFonts w:hint="eastAsia"/>
          <w:sz w:val="24"/>
        </w:rPr>
        <w:t>采购人、采购代理机构或者谈判小组</w:t>
      </w:r>
      <w:r>
        <w:rPr>
          <w:sz w:val="24"/>
        </w:rPr>
        <w:t>对已发出的谈判文件进行必要澄清或者修改的，将以书面形式通知所有获取谈判文件的潜在供应商。</w:t>
      </w:r>
      <w:r>
        <w:rPr>
          <w:rFonts w:eastAsiaTheme="minorEastAsia"/>
          <w:sz w:val="24"/>
        </w:rPr>
        <w:t>采用公告方式邀请供应商参与的，还将在原公告发布媒体上发布更正公告。</w:t>
      </w:r>
    </w:p>
    <w:p>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上述书面通知，按照获取谈判文件的潜在供应商提供的联系方式发出，因提供的信息有误导致通知延迟或无法通知的，采购人或采购代理机构不承担责任。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澄清或者修改的内容为谈判文件的组成部分，并对所有获取谈判文件的潜在供应商具有约束力。澄清或者修改的内容可能影响响应文件编制的，将在</w:t>
      </w:r>
      <w:r>
        <w:rPr>
          <w:color w:val="000000"/>
          <w:sz w:val="24"/>
        </w:rPr>
        <w:t>提交首次响应文件截止之日3个工作日</w:t>
      </w:r>
      <w:r>
        <w:rPr>
          <w:sz w:val="24"/>
        </w:rPr>
        <w:t>前，以书面形式通知所有接收谈判文件的供应商；不足</w:t>
      </w:r>
      <w:r>
        <w:rPr>
          <w:color w:val="000000"/>
          <w:sz w:val="24"/>
        </w:rPr>
        <w:t>3个工作日</w:t>
      </w:r>
      <w:r>
        <w:rPr>
          <w:sz w:val="24"/>
        </w:rPr>
        <w:t>的，将顺延</w:t>
      </w:r>
      <w:r>
        <w:rPr>
          <w:color w:val="000000"/>
          <w:sz w:val="24"/>
        </w:rPr>
        <w:t>提交</w:t>
      </w:r>
      <w:bookmarkStart w:id="198" w:name="_Hlk137130263"/>
      <w:r>
        <w:rPr>
          <w:color w:val="000000"/>
          <w:sz w:val="24"/>
        </w:rPr>
        <w:t>首次响应文件</w:t>
      </w:r>
      <w:bookmarkEnd w:id="198"/>
      <w:r>
        <w:rPr>
          <w:color w:val="000000"/>
          <w:sz w:val="24"/>
        </w:rPr>
        <w:t>截止之日</w:t>
      </w:r>
      <w:r>
        <w:rPr>
          <w:sz w:val="24"/>
        </w:rPr>
        <w:t>。</w:t>
      </w:r>
    </w:p>
    <w:p>
      <w:pPr>
        <w:tabs>
          <w:tab w:val="left" w:pos="900"/>
          <w:tab w:val="left" w:pos="1080"/>
          <w:tab w:val="left" w:pos="1561"/>
          <w:tab w:val="left" w:pos="1589"/>
        </w:tabs>
        <w:snapToGrid w:val="0"/>
        <w:spacing w:line="360" w:lineRule="auto"/>
        <w:ind w:left="1080"/>
        <w:rPr>
          <w:sz w:val="24"/>
        </w:rPr>
      </w:pPr>
    </w:p>
    <w:p>
      <w:pPr>
        <w:pStyle w:val="3"/>
        <w:spacing w:before="0" w:line="360" w:lineRule="auto"/>
        <w:rPr>
          <w:rFonts w:ascii="Times New Roman" w:hAnsi="Times New Roman" w:eastAsia="宋体"/>
          <w:sz w:val="28"/>
        </w:rPr>
      </w:pPr>
      <w:bookmarkStart w:id="199" w:name="_Toc516367020"/>
      <w:bookmarkStart w:id="200" w:name="_Toc150774731"/>
      <w:bookmarkStart w:id="201" w:name="_Toc151190153"/>
      <w:bookmarkStart w:id="202" w:name="_Toc151193624"/>
      <w:bookmarkStart w:id="203" w:name="_Toc151193696"/>
      <w:bookmarkStart w:id="204" w:name="_Toc151193840"/>
      <w:bookmarkStart w:id="205" w:name="_Toc142311028"/>
      <w:bookmarkStart w:id="206" w:name="_Toc151193768"/>
      <w:bookmarkStart w:id="207" w:name="_Toc150774626"/>
      <w:bookmarkStart w:id="208" w:name="_Toc150480764"/>
      <w:bookmarkStart w:id="209" w:name="_Toc150509277"/>
      <w:bookmarkStart w:id="210" w:name="_Toc520356150"/>
      <w:bookmarkStart w:id="211" w:name="_Toc127151526"/>
      <w:bookmarkStart w:id="212" w:name="_Toc226965799"/>
      <w:bookmarkStart w:id="213" w:name="_Toc226309770"/>
      <w:bookmarkStart w:id="214" w:name="_Toc265228364"/>
      <w:bookmarkStart w:id="215" w:name="_Toc226965716"/>
      <w:bookmarkStart w:id="216" w:name="_Toc226337222"/>
      <w:bookmarkStart w:id="217" w:name="_Toc305158868"/>
      <w:bookmarkStart w:id="218" w:name="_Toc151193914"/>
      <w:bookmarkStart w:id="219" w:name="_Toc195842891"/>
      <w:bookmarkStart w:id="220" w:name="_Toc264969216"/>
      <w:bookmarkStart w:id="221" w:name="_Toc305158794"/>
      <w:r>
        <w:rPr>
          <w:rFonts w:ascii="Times New Roman" w:hAnsi="Times New Roman" w:eastAsia="宋体"/>
          <w:sz w:val="28"/>
        </w:rPr>
        <w:t>三响应文件</w:t>
      </w:r>
      <w:bookmarkEnd w:id="199"/>
      <w:r>
        <w:rPr>
          <w:rFonts w:ascii="Times New Roman" w:hAnsi="Times New Roman" w:eastAsia="宋体"/>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numPr>
          <w:ilvl w:val="0"/>
          <w:numId w:val="8"/>
        </w:numPr>
        <w:tabs>
          <w:tab w:val="left" w:pos="360"/>
        </w:tabs>
        <w:snapToGrid w:val="0"/>
        <w:spacing w:line="360" w:lineRule="auto"/>
        <w:ind w:left="357" w:hanging="357"/>
        <w:outlineLvl w:val="1"/>
        <w:rPr>
          <w:sz w:val="24"/>
        </w:rPr>
      </w:pPr>
      <w:bookmarkStart w:id="222" w:name="_Toc226965717"/>
      <w:bookmarkStart w:id="223" w:name="_Toc265228365"/>
      <w:bookmarkStart w:id="224" w:name="_Toc305158795"/>
      <w:bookmarkStart w:id="225" w:name="_Toc305158869"/>
      <w:bookmarkStart w:id="226" w:name="_Toc516367021"/>
      <w:bookmarkStart w:id="227" w:name="_Toc520356151"/>
      <w:bookmarkStart w:id="228" w:name="_Toc226337223"/>
      <w:bookmarkStart w:id="229" w:name="_Toc127151728"/>
      <w:bookmarkStart w:id="230" w:name="_Toc150509278"/>
      <w:bookmarkStart w:id="231" w:name="_Toc151193625"/>
      <w:bookmarkStart w:id="232" w:name="_Toc264969217"/>
      <w:bookmarkStart w:id="233" w:name="_Toc151193915"/>
      <w:bookmarkStart w:id="234" w:name="_Toc151193697"/>
      <w:bookmarkStart w:id="235" w:name="_Toc164229368"/>
      <w:bookmarkStart w:id="236" w:name="_Toc164351621"/>
      <w:bookmarkStart w:id="237" w:name="_Toc151193841"/>
      <w:bookmarkStart w:id="238" w:name="_Toc149720820"/>
      <w:bookmarkStart w:id="239" w:name="_Toc151193769"/>
      <w:bookmarkStart w:id="240" w:name="_Toc195842892"/>
      <w:bookmarkStart w:id="241" w:name="_Toc142311029"/>
      <w:bookmarkStart w:id="242" w:name="_Toc226965800"/>
      <w:bookmarkStart w:id="243" w:name="_Toc164608796"/>
      <w:bookmarkStart w:id="244" w:name="_Toc226309771"/>
      <w:bookmarkStart w:id="245" w:name="_Toc151190154"/>
      <w:bookmarkStart w:id="246" w:name="_Toc164229222"/>
      <w:bookmarkStart w:id="247" w:name="_Toc164608641"/>
      <w:bookmarkStart w:id="248" w:name="_Toc150774627"/>
      <w:bookmarkStart w:id="249" w:name="_Toc127161441"/>
      <w:bookmarkStart w:id="250" w:name="_Toc150480765"/>
      <w:bookmarkStart w:id="251" w:name="_Toc150774732"/>
      <w:bookmarkStart w:id="252" w:name="_Toc127151527"/>
      <w:r>
        <w:rPr>
          <w:sz w:val="24"/>
        </w:rPr>
        <w:t>响应范围、响应文件中计量单位的使用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sz w:val="24"/>
        </w:rPr>
        <w:t>及响应语言</w:t>
      </w:r>
    </w:p>
    <w:p>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bCs/>
          <w:sz w:val="24"/>
        </w:rPr>
        <w:t>无效响应</w:t>
      </w:r>
      <w:r>
        <w:rPr>
          <w:sz w:val="24"/>
        </w:rPr>
        <w:t>。</w:t>
      </w:r>
    </w:p>
    <w:p>
      <w:pPr>
        <w:numPr>
          <w:ilvl w:val="1"/>
          <w:numId w:val="8"/>
        </w:numPr>
        <w:tabs>
          <w:tab w:val="left" w:pos="1080"/>
          <w:tab w:val="left" w:pos="2014"/>
        </w:tabs>
        <w:snapToGrid w:val="0"/>
        <w:spacing w:line="360" w:lineRule="auto"/>
        <w:ind w:left="1080" w:hanging="720"/>
        <w:rPr>
          <w:sz w:val="24"/>
        </w:rPr>
      </w:pPr>
      <w:r>
        <w:rPr>
          <w:sz w:val="24"/>
        </w:rPr>
        <w:t>除谈判文件有特殊要求外，本项目响应所使用的计量单位，应采用中华人民共和国法定计量单位。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sz w:val="24"/>
        </w:rPr>
      </w:pPr>
      <w:bookmarkStart w:id="253" w:name="_Toc305158796"/>
      <w:bookmarkStart w:id="254" w:name="_Toc264969218"/>
      <w:bookmarkStart w:id="255" w:name="_Toc127151729"/>
      <w:bookmarkStart w:id="256" w:name="_Toc127161442"/>
      <w:bookmarkStart w:id="257" w:name="_Toc142311030"/>
      <w:bookmarkStart w:id="258" w:name="_Toc149720821"/>
      <w:bookmarkStart w:id="259" w:name="_Toc226337224"/>
      <w:bookmarkStart w:id="260" w:name="_Toc127151528"/>
      <w:bookmarkStart w:id="261" w:name="_Toc520356152"/>
      <w:bookmarkStart w:id="262" w:name="_Toc195842893"/>
      <w:bookmarkStart w:id="263" w:name="_Toc150480766"/>
      <w:bookmarkStart w:id="264" w:name="_Toc150774628"/>
      <w:bookmarkStart w:id="265" w:name="_Toc150774733"/>
      <w:bookmarkStart w:id="266" w:name="_Toc151190155"/>
      <w:bookmarkStart w:id="267" w:name="_Toc151193626"/>
      <w:bookmarkStart w:id="268" w:name="_Toc150509279"/>
      <w:bookmarkStart w:id="269" w:name="_Toc151193698"/>
      <w:bookmarkStart w:id="270" w:name="_Toc226965718"/>
      <w:bookmarkStart w:id="271" w:name="_Toc151193770"/>
      <w:bookmarkStart w:id="272" w:name="_Toc151193842"/>
      <w:bookmarkStart w:id="273" w:name="_Toc226965801"/>
      <w:bookmarkStart w:id="274" w:name="_Toc265228366"/>
      <w:bookmarkStart w:id="275" w:name="_Toc226309772"/>
      <w:bookmarkStart w:id="276" w:name="_Toc305158870"/>
      <w:bookmarkStart w:id="277" w:name="_Toc151193916"/>
      <w:bookmarkStart w:id="278" w:name="_Toc164351622"/>
      <w:bookmarkStart w:id="279" w:name="_Toc164229369"/>
      <w:bookmarkStart w:id="280" w:name="_Toc164608642"/>
      <w:bookmarkStart w:id="281" w:name="_Toc164229223"/>
      <w:bookmarkStart w:id="282" w:name="_Toc164608797"/>
      <w:r>
        <w:rPr>
          <w:sz w:val="24"/>
        </w:rPr>
        <w:t>响应文件构成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numPr>
          <w:ilvl w:val="1"/>
          <w:numId w:val="8"/>
        </w:numPr>
        <w:tabs>
          <w:tab w:val="left" w:pos="1080"/>
          <w:tab w:val="left" w:pos="2014"/>
        </w:tabs>
        <w:snapToGrid w:val="0"/>
        <w:spacing w:line="360" w:lineRule="auto"/>
        <w:ind w:left="1077" w:hanging="720"/>
        <w:rPr>
          <w:sz w:val="24"/>
        </w:rPr>
      </w:pPr>
      <w:bookmarkStart w:id="283" w:name="_Ref467052588"/>
      <w:r>
        <w:rPr>
          <w:sz w:val="24"/>
        </w:rPr>
        <w:t>供应商应当按照谈判文件的要求编制响应文件，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8"/>
        </w:numPr>
        <w:tabs>
          <w:tab w:val="left" w:pos="1080"/>
          <w:tab w:val="left" w:pos="2014"/>
        </w:tabs>
        <w:snapToGrid w:val="0"/>
        <w:spacing w:line="360" w:lineRule="auto"/>
        <w:ind w:left="1077" w:hanging="720"/>
        <w:rPr>
          <w:sz w:val="24"/>
        </w:rPr>
      </w:pPr>
      <w:r>
        <w:rPr>
          <w:kern w:val="0"/>
          <w:sz w:val="24"/>
        </w:rPr>
        <w:t>对于谈判文件中标记了“实质性格式”文件的，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Cs/>
          <w:kern w:val="0"/>
          <w:sz w:val="24"/>
        </w:rPr>
        <w:t>否则</w:t>
      </w:r>
      <w:r>
        <w:rPr>
          <w:b/>
          <w:kern w:val="0"/>
          <w:sz w:val="24"/>
        </w:rPr>
        <w:t>响应无效</w:t>
      </w:r>
      <w:r>
        <w:rPr>
          <w:kern w:val="0"/>
          <w:sz w:val="24"/>
        </w:rPr>
        <w:t>。未标记“实质性格式”的文件和谈判文件未提供格式的内容，可由供应商自行编写。</w:t>
      </w:r>
    </w:p>
    <w:p>
      <w:pPr>
        <w:numPr>
          <w:ilvl w:val="1"/>
          <w:numId w:val="8"/>
        </w:numPr>
        <w:tabs>
          <w:tab w:val="left" w:pos="1080"/>
          <w:tab w:val="left" w:pos="2014"/>
        </w:tabs>
        <w:snapToGrid w:val="0"/>
        <w:spacing w:line="360" w:lineRule="auto"/>
        <w:ind w:left="1077" w:hanging="720"/>
        <w:rPr>
          <w:sz w:val="24"/>
        </w:rPr>
      </w:pPr>
      <w:r>
        <w:rPr>
          <w:sz w:val="24"/>
        </w:rPr>
        <w:t>第三章《评审程序和评定成交的标准》中涉及的证明文件。</w:t>
      </w:r>
    </w:p>
    <w:p>
      <w:pPr>
        <w:numPr>
          <w:ilvl w:val="1"/>
          <w:numId w:val="8"/>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83"/>
    </w:p>
    <w:p>
      <w:pPr>
        <w:numPr>
          <w:ilvl w:val="0"/>
          <w:numId w:val="8"/>
        </w:numPr>
        <w:tabs>
          <w:tab w:val="left" w:pos="360"/>
        </w:tabs>
        <w:snapToGrid w:val="0"/>
        <w:spacing w:line="360" w:lineRule="auto"/>
        <w:ind w:left="357" w:hanging="357"/>
        <w:outlineLvl w:val="1"/>
        <w:rPr>
          <w:sz w:val="24"/>
        </w:rPr>
      </w:pPr>
      <w:r>
        <w:rPr>
          <w:sz w:val="24"/>
        </w:rPr>
        <w:t>报价</w:t>
      </w:r>
    </w:p>
    <w:p>
      <w:pPr>
        <w:numPr>
          <w:ilvl w:val="1"/>
          <w:numId w:val="8"/>
        </w:numPr>
        <w:tabs>
          <w:tab w:val="left" w:pos="1080"/>
          <w:tab w:val="left" w:pos="2014"/>
        </w:tabs>
        <w:snapToGrid w:val="0"/>
        <w:spacing w:line="360" w:lineRule="auto"/>
        <w:ind w:left="1077" w:hanging="720"/>
        <w:rPr>
          <w:sz w:val="24"/>
        </w:rPr>
      </w:pPr>
      <w:r>
        <w:rPr>
          <w:sz w:val="24"/>
        </w:rPr>
        <w:t>所有响应均以人民币</w:t>
      </w:r>
      <w:r>
        <w:rPr>
          <w:rFonts w:hint="eastAsia" w:eastAsiaTheme="minorEastAsia"/>
          <w:sz w:val="24"/>
        </w:rPr>
        <w:t>为计价货币</w:t>
      </w:r>
      <w:r>
        <w:rPr>
          <w:sz w:val="24"/>
        </w:rPr>
        <w:t>。</w:t>
      </w:r>
    </w:p>
    <w:p>
      <w:pPr>
        <w:numPr>
          <w:ilvl w:val="1"/>
          <w:numId w:val="8"/>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w:t>
      </w:r>
      <w:r>
        <w:rPr>
          <w:rFonts w:eastAsiaTheme="minorEastAsia"/>
          <w:sz w:val="24"/>
        </w:rPr>
        <w:t>供应商的报价应包括但不限于下列内容，《供应商须知资料表》中有特殊规定的，从其规定。</w:t>
      </w:r>
    </w:p>
    <w:p>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sz w:val="24"/>
        </w:rPr>
      </w:pPr>
      <w:r>
        <w:rPr>
          <w:sz w:val="24"/>
        </w:rPr>
        <w:t>按照谈判文件要求完成本项目的全部相关费用。</w:t>
      </w:r>
    </w:p>
    <w:p>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77" w:hanging="720"/>
        <w:rPr>
          <w:sz w:val="24"/>
        </w:rPr>
      </w:pPr>
      <w:r>
        <w:rPr>
          <w:sz w:val="24"/>
        </w:rPr>
        <w:t>供应商不能提供任何有选择性或可调整的最后报价（谈判文件另有规定的除外），否则其</w:t>
      </w:r>
      <w:r>
        <w:rPr>
          <w:b/>
          <w:bCs/>
          <w:sz w:val="24"/>
        </w:rPr>
        <w:t>响应无效</w:t>
      </w:r>
      <w:r>
        <w:rPr>
          <w:sz w:val="24"/>
        </w:rPr>
        <w:t>。</w:t>
      </w:r>
    </w:p>
    <w:p>
      <w:pPr>
        <w:numPr>
          <w:ilvl w:val="0"/>
          <w:numId w:val="8"/>
        </w:numPr>
        <w:tabs>
          <w:tab w:val="left" w:pos="360"/>
        </w:tabs>
        <w:snapToGrid w:val="0"/>
        <w:spacing w:line="360" w:lineRule="auto"/>
        <w:ind w:left="357" w:hanging="357"/>
        <w:outlineLvl w:val="1"/>
        <w:rPr>
          <w:sz w:val="24"/>
        </w:rPr>
      </w:pPr>
      <w:r>
        <w:rPr>
          <w:sz w:val="24"/>
        </w:rPr>
        <w:t>保证金</w:t>
      </w:r>
    </w:p>
    <w:p>
      <w:pPr>
        <w:numPr>
          <w:ilvl w:val="1"/>
          <w:numId w:val="8"/>
        </w:numPr>
        <w:tabs>
          <w:tab w:val="left" w:pos="1080"/>
          <w:tab w:val="left" w:pos="2014"/>
        </w:tabs>
        <w:snapToGrid w:val="0"/>
        <w:spacing w:line="360" w:lineRule="auto"/>
        <w:ind w:left="1077" w:hanging="720"/>
        <w:rPr>
          <w:sz w:val="24"/>
        </w:rPr>
      </w:pPr>
      <w:bookmarkStart w:id="284" w:name="_Ref467306302"/>
      <w:r>
        <w:rPr>
          <w:sz w:val="24"/>
        </w:rPr>
        <w:t>供应商应按《供应商须知资料表》中规定的金额及要求交纳保证金</w:t>
      </w:r>
      <w:bookmarkEnd w:id="284"/>
      <w:r>
        <w:rPr>
          <w:sz w:val="24"/>
        </w:rPr>
        <w:t>。</w:t>
      </w:r>
      <w:r>
        <w:rPr>
          <w:rFonts w:hint="eastAsia"/>
          <w:sz w:val="24"/>
        </w:rPr>
        <w:t>供应商自愿超额缴纳保证金的，响应文件不做无效处理。</w:t>
      </w:r>
    </w:p>
    <w:p>
      <w:pPr>
        <w:numPr>
          <w:ilvl w:val="1"/>
          <w:numId w:val="8"/>
        </w:numPr>
        <w:tabs>
          <w:tab w:val="left" w:pos="1080"/>
          <w:tab w:val="left" w:pos="2014"/>
        </w:tabs>
        <w:snapToGrid w:val="0"/>
        <w:spacing w:line="360" w:lineRule="auto"/>
        <w:ind w:left="1077" w:hanging="720"/>
        <w:rPr>
          <w:sz w:val="24"/>
        </w:rPr>
      </w:pPr>
      <w:r>
        <w:rPr>
          <w:sz w:val="24"/>
        </w:rPr>
        <w:t>交纳保证金可采用的形式：政府采购法律法规接受的支票、汇票、本票、网上银行支付或者金融机构、担保机构出具的保函等非现金形式。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rPr>
      </w:pPr>
      <w:r>
        <w:rPr>
          <w:sz w:val="24"/>
        </w:rPr>
        <w:t>保证金到账（保函提交）截止时间同首次响应文件提交截止时间。以支票、汇票、本票、网上银行支付等形式提交保证金的，应在首次响应文件提交截止时间前</w:t>
      </w:r>
      <w:r>
        <w:rPr>
          <w:rFonts w:eastAsiaTheme="minorEastAsia"/>
          <w:sz w:val="24"/>
        </w:rPr>
        <w:t>到账；</w:t>
      </w:r>
      <w:r>
        <w:rPr>
          <w:sz w:val="24"/>
        </w:rPr>
        <w:t>以金融机构、担保机构出具的</w:t>
      </w:r>
      <w:r>
        <w:rPr>
          <w:rFonts w:hint="eastAsia"/>
          <w:sz w:val="24"/>
        </w:rPr>
        <w:t>纸质</w:t>
      </w:r>
      <w:r>
        <w:rPr>
          <w:sz w:val="24"/>
        </w:rPr>
        <w:t>保函等形式提交保证金的，应在首次响应文件提交截止时间前将原件提交至采购代理机构；</w:t>
      </w:r>
      <w:bookmarkStart w:id="285" w:name="_Hlk164959831"/>
      <w:r>
        <w:rPr>
          <w:rFonts w:hint="eastAsia"/>
          <w:sz w:val="24"/>
        </w:rPr>
        <w:t>以电子保函形式提交保证金的，应在</w:t>
      </w:r>
      <w:r>
        <w:rPr>
          <w:sz w:val="24"/>
        </w:rPr>
        <w:t>首次响应文件提交截止时间前</w:t>
      </w:r>
      <w:r>
        <w:rPr>
          <w:rFonts w:hint="eastAsia"/>
          <w:sz w:val="24"/>
        </w:rPr>
        <w:t>通过</w:t>
      </w:r>
      <w:r>
        <w:rPr>
          <w:sz w:val="24"/>
        </w:rPr>
        <w:t>北京市政府采购电子交易平台</w:t>
      </w:r>
      <w:r>
        <w:rPr>
          <w:rFonts w:hint="eastAsia"/>
          <w:sz w:val="24"/>
        </w:rPr>
        <w:t>完成电子保函在线办理。</w:t>
      </w:r>
      <w:bookmarkEnd w:id="285"/>
      <w:r>
        <w:rPr>
          <w:rFonts w:hint="eastAsia"/>
          <w:sz w:val="24"/>
        </w:rPr>
        <w:t>未按上述要求缴纳保证金的</w:t>
      </w:r>
      <w:r>
        <w:rPr>
          <w:sz w:val="24"/>
        </w:rPr>
        <w:t>，其</w:t>
      </w:r>
      <w:r>
        <w:rPr>
          <w:b/>
          <w:bCs/>
          <w:sz w:val="24"/>
        </w:rPr>
        <w:t>响应无效</w:t>
      </w:r>
      <w:r>
        <w:rPr>
          <w:sz w:val="24"/>
        </w:rPr>
        <w:t>。</w:t>
      </w:r>
    </w:p>
    <w:p>
      <w:pPr>
        <w:numPr>
          <w:ilvl w:val="1"/>
          <w:numId w:val="8"/>
        </w:numPr>
        <w:tabs>
          <w:tab w:val="left" w:pos="1080"/>
          <w:tab w:val="left" w:pos="2014"/>
        </w:tabs>
        <w:snapToGrid w:val="0"/>
        <w:spacing w:line="360" w:lineRule="auto"/>
        <w:ind w:left="1077" w:hanging="720"/>
        <w:rPr>
          <w:sz w:val="24"/>
        </w:rPr>
      </w:pPr>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color w:val="000000"/>
          <w:sz w:val="24"/>
          <w:szCs w:val="20"/>
        </w:rPr>
        <w:t>保证金凭证/交款单据电子件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color w:val="000000"/>
          <w:sz w:val="24"/>
          <w:szCs w:val="20"/>
        </w:rPr>
        <w:t>保证金凭证/交款单据电子件</w:t>
      </w:r>
      <w:r>
        <w:rPr>
          <w:rFonts w:hint="eastAsia"/>
          <w:sz w:val="24"/>
        </w:rPr>
        <w:t>”。</w:t>
      </w:r>
    </w:p>
    <w:p>
      <w:pPr>
        <w:numPr>
          <w:ilvl w:val="1"/>
          <w:numId w:val="8"/>
        </w:numPr>
        <w:tabs>
          <w:tab w:val="left" w:pos="1080"/>
          <w:tab w:val="left" w:pos="2014"/>
        </w:tabs>
        <w:snapToGrid w:val="0"/>
        <w:spacing w:line="360" w:lineRule="auto"/>
        <w:ind w:left="1077" w:hanging="720"/>
        <w:rPr>
          <w:sz w:val="24"/>
        </w:rPr>
      </w:pPr>
      <w:r>
        <w:rPr>
          <w:sz w:val="24"/>
        </w:rPr>
        <w:t>保证金有效期同响应有效期。</w:t>
      </w:r>
    </w:p>
    <w:p>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供应商为联合体的，可以由联合体中的一方或者多方共同交纳保证金，其交纳的保证金对联合体各方均具有约束力。</w:t>
      </w:r>
    </w:p>
    <w:p>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w:t>
      </w:r>
      <w:r>
        <w:rPr>
          <w:rFonts w:eastAsiaTheme="minorEastAsia"/>
          <w:sz w:val="24"/>
        </w:rPr>
        <w:t>采用银行保函、担保机构担保函等形式递交的保证金，经供应商同意后采购人、采购代理机构可以不再退还，</w:t>
      </w:r>
      <w:r>
        <w:rPr>
          <w:sz w:val="24"/>
        </w:rPr>
        <w:t>但因供应商自身原因导致无法及时退还的除外：</w:t>
      </w:r>
    </w:p>
    <w:p>
      <w:pPr>
        <w:numPr>
          <w:ilvl w:val="2"/>
          <w:numId w:val="8"/>
        </w:numPr>
        <w:snapToGrid w:val="0"/>
        <w:spacing w:line="360" w:lineRule="auto"/>
        <w:rPr>
          <w:sz w:val="24"/>
        </w:rPr>
      </w:pPr>
      <w:r>
        <w:rPr>
          <w:sz w:val="24"/>
        </w:rPr>
        <w:t>已提交响应文件的供应商，在提交最后报价之前退出谈判的，采购人、采购代理机构将退还退出谈判的供应商的保证金；</w:t>
      </w:r>
    </w:p>
    <w:p>
      <w:pPr>
        <w:numPr>
          <w:ilvl w:val="2"/>
          <w:numId w:val="8"/>
        </w:numPr>
        <w:snapToGrid w:val="0"/>
        <w:spacing w:line="360" w:lineRule="auto"/>
        <w:rPr>
          <w:sz w:val="24"/>
        </w:rPr>
      </w:pPr>
      <w:r>
        <w:rPr>
          <w:sz w:val="24"/>
        </w:rPr>
        <w:t>成交供应商的保证金，自采购合同签订之日起5个工作日内退还成交供应商；</w:t>
      </w:r>
    </w:p>
    <w:p>
      <w:pPr>
        <w:numPr>
          <w:ilvl w:val="2"/>
          <w:numId w:val="8"/>
        </w:numPr>
        <w:snapToGrid w:val="0"/>
        <w:spacing w:line="360" w:lineRule="auto"/>
        <w:rPr>
          <w:sz w:val="24"/>
        </w:rPr>
      </w:pPr>
      <w:r>
        <w:rPr>
          <w:sz w:val="24"/>
        </w:rPr>
        <w:t>未成交供应商的保证金，自成交通知书发出之日起5个工作日内退还未成交供应商。</w:t>
      </w:r>
    </w:p>
    <w:p>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有下列情形之一的，采购人或采购代理机构不予退还保证金：</w:t>
      </w:r>
    </w:p>
    <w:p>
      <w:pPr>
        <w:numPr>
          <w:ilvl w:val="2"/>
          <w:numId w:val="8"/>
        </w:numPr>
        <w:snapToGrid w:val="0"/>
        <w:spacing w:line="360" w:lineRule="auto"/>
        <w:rPr>
          <w:sz w:val="24"/>
        </w:rPr>
      </w:pPr>
      <w:r>
        <w:rPr>
          <w:sz w:val="24"/>
        </w:rPr>
        <w:t>供应商在响应文件提交截止时间后撤回响应文件的；</w:t>
      </w:r>
    </w:p>
    <w:p>
      <w:pPr>
        <w:numPr>
          <w:ilvl w:val="2"/>
          <w:numId w:val="8"/>
        </w:numPr>
        <w:snapToGrid w:val="0"/>
        <w:spacing w:line="360" w:lineRule="auto"/>
        <w:rPr>
          <w:sz w:val="24"/>
        </w:rPr>
      </w:pPr>
      <w:r>
        <w:rPr>
          <w:sz w:val="24"/>
        </w:rPr>
        <w:t>供应商在响应文件中提供虚假材料的；</w:t>
      </w:r>
    </w:p>
    <w:p>
      <w:pPr>
        <w:numPr>
          <w:ilvl w:val="2"/>
          <w:numId w:val="8"/>
        </w:numPr>
        <w:snapToGrid w:val="0"/>
        <w:spacing w:line="360" w:lineRule="auto"/>
        <w:rPr>
          <w:sz w:val="24"/>
        </w:rPr>
      </w:pPr>
      <w:r>
        <w:rPr>
          <w:sz w:val="24"/>
        </w:rPr>
        <w:t>除因不可抗力或谈判文件认可的情形以外，成交供应商不与采购人签订合同的；</w:t>
      </w:r>
    </w:p>
    <w:p>
      <w:pPr>
        <w:numPr>
          <w:ilvl w:val="2"/>
          <w:numId w:val="8"/>
        </w:numPr>
        <w:snapToGrid w:val="0"/>
        <w:spacing w:line="360" w:lineRule="auto"/>
        <w:rPr>
          <w:sz w:val="24"/>
        </w:rPr>
      </w:pPr>
      <w:r>
        <w:rPr>
          <w:sz w:val="24"/>
        </w:rPr>
        <w:t>供应商与采购人、其他供应商或者采购代理机构恶意串通的；</w:t>
      </w:r>
    </w:p>
    <w:p>
      <w:pPr>
        <w:numPr>
          <w:ilvl w:val="2"/>
          <w:numId w:val="8"/>
        </w:numPr>
        <w:tabs>
          <w:tab w:val="left" w:pos="900"/>
          <w:tab w:val="left" w:pos="1080"/>
          <w:tab w:val="left" w:pos="2014"/>
        </w:tabs>
        <w:snapToGrid w:val="0"/>
        <w:spacing w:line="360" w:lineRule="auto"/>
        <w:rPr>
          <w:sz w:val="24"/>
        </w:rPr>
      </w:pPr>
      <w:r>
        <w:rPr>
          <w:sz w:val="24"/>
        </w:rPr>
        <w:t>《供应商须知资料表》中规定的其他情形。</w:t>
      </w:r>
    </w:p>
    <w:p>
      <w:pPr>
        <w:numPr>
          <w:ilvl w:val="0"/>
          <w:numId w:val="8"/>
        </w:numPr>
        <w:tabs>
          <w:tab w:val="left" w:pos="360"/>
        </w:tabs>
        <w:snapToGrid w:val="0"/>
        <w:spacing w:line="360" w:lineRule="auto"/>
        <w:ind w:left="357" w:hanging="357"/>
        <w:outlineLvl w:val="1"/>
        <w:rPr>
          <w:sz w:val="24"/>
        </w:rPr>
      </w:pPr>
      <w:r>
        <w:rPr>
          <w:sz w:val="24"/>
        </w:rPr>
        <w:t>响应有效期</w:t>
      </w:r>
    </w:p>
    <w:p>
      <w:pPr>
        <w:numPr>
          <w:ilvl w:val="1"/>
          <w:numId w:val="8"/>
        </w:numPr>
        <w:tabs>
          <w:tab w:val="left" w:pos="1080"/>
          <w:tab w:val="left" w:pos="2014"/>
        </w:tabs>
        <w:snapToGrid w:val="0"/>
        <w:spacing w:line="360" w:lineRule="auto"/>
        <w:ind w:left="1077" w:hanging="720"/>
        <w:rPr>
          <w:sz w:val="24"/>
        </w:rPr>
      </w:pPr>
      <w:r>
        <w:rPr>
          <w:sz w:val="24"/>
        </w:rPr>
        <w:t>响应文件应在本谈判文件《供应商须知资料表》中规定的响应有效期内保持有效，响应有效期少于谈判文件规定期限的，其</w:t>
      </w:r>
      <w:r>
        <w:rPr>
          <w:b/>
          <w:sz w:val="24"/>
        </w:rPr>
        <w:t>响应无效</w:t>
      </w:r>
      <w:r>
        <w:rPr>
          <w:sz w:val="24"/>
        </w:rPr>
        <w:t>。</w:t>
      </w:r>
    </w:p>
    <w:p>
      <w:pPr>
        <w:numPr>
          <w:ilvl w:val="0"/>
          <w:numId w:val="8"/>
        </w:numPr>
        <w:tabs>
          <w:tab w:val="left" w:pos="360"/>
        </w:tabs>
        <w:snapToGrid w:val="0"/>
        <w:spacing w:line="360" w:lineRule="auto"/>
        <w:ind w:left="357" w:hanging="357"/>
        <w:outlineLvl w:val="1"/>
        <w:rPr>
          <w:sz w:val="24"/>
        </w:rPr>
      </w:pPr>
      <w:bookmarkStart w:id="286" w:name="_Toc305158875"/>
      <w:bookmarkStart w:id="287" w:name="_Toc265228371"/>
      <w:bookmarkStart w:id="288" w:name="_Toc226965806"/>
      <w:bookmarkStart w:id="289" w:name="_Toc127151533"/>
      <w:bookmarkStart w:id="290" w:name="_Toc127151734"/>
      <w:bookmarkStart w:id="291" w:name="_Toc520356158"/>
      <w:bookmarkStart w:id="292" w:name="_Toc226965723"/>
      <w:bookmarkStart w:id="293" w:name="_Toc305158801"/>
      <w:bookmarkStart w:id="294" w:name="_Toc264969223"/>
      <w:bookmarkStart w:id="295" w:name="_Toc150480771"/>
      <w:bookmarkStart w:id="296" w:name="_Toc150774738"/>
      <w:bookmarkStart w:id="297" w:name="_Toc127161447"/>
      <w:bookmarkStart w:id="298" w:name="_Toc150774633"/>
      <w:bookmarkStart w:id="299" w:name="_Toc151190160"/>
      <w:bookmarkStart w:id="300" w:name="_Toc151193847"/>
      <w:bookmarkStart w:id="301" w:name="_Toc226309777"/>
      <w:bookmarkStart w:id="302" w:name="_Toc226337229"/>
      <w:bookmarkStart w:id="303" w:name="_Toc164229374"/>
      <w:bookmarkStart w:id="304" w:name="_Toc151193631"/>
      <w:bookmarkStart w:id="305" w:name="_Toc164351627"/>
      <w:bookmarkStart w:id="306" w:name="_Toc149720826"/>
      <w:bookmarkStart w:id="307" w:name="_Toc151193921"/>
      <w:bookmarkStart w:id="308" w:name="_Toc142311035"/>
      <w:bookmarkStart w:id="309" w:name="_Toc150509284"/>
      <w:bookmarkStart w:id="310" w:name="_Toc151193775"/>
      <w:bookmarkStart w:id="311" w:name="_Toc164229228"/>
      <w:bookmarkStart w:id="312" w:name="_Toc151193703"/>
      <w:bookmarkStart w:id="313" w:name="_Toc164608647"/>
      <w:bookmarkStart w:id="314" w:name="_Toc164608802"/>
      <w:bookmarkStart w:id="315" w:name="_Toc195842898"/>
      <w:r>
        <w:rPr>
          <w:sz w:val="24"/>
        </w:rPr>
        <w:t>响应文件的签署</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sz w:val="24"/>
        </w:rPr>
        <w:t>、盖章</w:t>
      </w:r>
    </w:p>
    <w:p>
      <w:pPr>
        <w:numPr>
          <w:ilvl w:val="1"/>
          <w:numId w:val="8"/>
        </w:numPr>
        <w:tabs>
          <w:tab w:val="left" w:pos="1080"/>
          <w:tab w:val="left" w:pos="2014"/>
        </w:tabs>
        <w:snapToGrid w:val="0"/>
        <w:spacing w:line="360" w:lineRule="auto"/>
        <w:ind w:left="1077" w:hanging="720"/>
        <w:rPr>
          <w:sz w:val="24"/>
        </w:rPr>
      </w:pPr>
      <w:bookmarkStart w:id="316" w:name="_Toc151193632"/>
      <w:bookmarkStart w:id="317" w:name="_Toc151193776"/>
      <w:bookmarkStart w:id="318" w:name="_Toc151193848"/>
      <w:bookmarkStart w:id="319" w:name="_Toc151193922"/>
      <w:bookmarkStart w:id="320" w:name="_Toc151193704"/>
      <w:bookmarkStart w:id="321" w:name="_Toc226965807"/>
      <w:bookmarkStart w:id="322" w:name="_Toc195842899"/>
      <w:bookmarkStart w:id="323" w:name="_Toc150509285"/>
      <w:bookmarkStart w:id="324" w:name="_Toc150774739"/>
      <w:bookmarkStart w:id="325" w:name="_Toc151190161"/>
      <w:bookmarkStart w:id="326" w:name="_Toc265228372"/>
      <w:bookmarkStart w:id="327" w:name="_Toc142311036"/>
      <w:bookmarkStart w:id="328" w:name="_Toc305158802"/>
      <w:bookmarkStart w:id="329" w:name="_Toc226337230"/>
      <w:bookmarkStart w:id="330" w:name="_Toc127151534"/>
      <w:bookmarkStart w:id="331" w:name="_Toc150480772"/>
      <w:bookmarkStart w:id="332" w:name="_Toc226965724"/>
      <w:bookmarkStart w:id="333" w:name="_Toc264969224"/>
      <w:bookmarkStart w:id="334" w:name="_Toc520356159"/>
      <w:bookmarkStart w:id="335" w:name="_Toc226309778"/>
      <w:bookmarkStart w:id="336" w:name="_Toc150774634"/>
      <w:bookmarkStart w:id="337" w:name="_Toc305158876"/>
      <w:r>
        <w:rPr>
          <w:sz w:val="24"/>
        </w:rPr>
        <w:t>谈判文件要求签字的内容（如授权委托书等），</w:t>
      </w:r>
      <w:r>
        <w:rPr>
          <w:rFonts w:eastAsiaTheme="minorEastAsia"/>
          <w:sz w:val="24"/>
        </w:rPr>
        <w:t>可以使用电子签章或使用原件的电子件（电子件指扫描件、照片等形式电子文件）；要求</w:t>
      </w:r>
      <w:r>
        <w:rPr>
          <w:sz w:val="24"/>
        </w:rPr>
        <w:t>第三方出具的盖章件原件（如联合协议、分包意向协议、制造商授权书等），响应文件中应使用原件的电子件。</w:t>
      </w:r>
    </w:p>
    <w:p>
      <w:pPr>
        <w:numPr>
          <w:ilvl w:val="1"/>
          <w:numId w:val="8"/>
        </w:numPr>
        <w:tabs>
          <w:tab w:val="left" w:pos="1080"/>
          <w:tab w:val="left" w:pos="2014"/>
        </w:tabs>
        <w:snapToGrid w:val="0"/>
        <w:spacing w:line="360" w:lineRule="auto"/>
        <w:ind w:left="1077" w:hanging="720"/>
        <w:rPr>
          <w:sz w:val="24"/>
        </w:rPr>
      </w:pPr>
      <w:r>
        <w:rPr>
          <w:sz w:val="24"/>
        </w:rPr>
        <w:t>谈判文件要求盖章的内容，一般通过投标文件编制工具加盖电子签章。</w:t>
      </w:r>
    </w:p>
    <w:p>
      <w:pPr>
        <w:tabs>
          <w:tab w:val="left" w:pos="900"/>
          <w:tab w:val="left" w:pos="1080"/>
        </w:tabs>
        <w:snapToGrid w:val="0"/>
        <w:spacing w:line="360" w:lineRule="auto"/>
        <w:ind w:left="357"/>
      </w:pPr>
    </w:p>
    <w:p>
      <w:pPr>
        <w:pStyle w:val="3"/>
        <w:spacing w:before="0" w:line="360" w:lineRule="auto"/>
        <w:rPr>
          <w:rFonts w:ascii="Times New Roman" w:hAnsi="Times New Roman" w:eastAsia="宋体"/>
          <w:sz w:val="28"/>
        </w:rPr>
      </w:pPr>
      <w:r>
        <w:rPr>
          <w:rFonts w:ascii="Times New Roman" w:hAnsi="Times New Roman" w:eastAsia="宋体"/>
          <w:sz w:val="28"/>
        </w:rPr>
        <w:t>四响应文件的提交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numPr>
          <w:ilvl w:val="0"/>
          <w:numId w:val="8"/>
        </w:numPr>
        <w:tabs>
          <w:tab w:val="left" w:pos="360"/>
        </w:tabs>
        <w:snapToGrid w:val="0"/>
        <w:spacing w:line="360" w:lineRule="auto"/>
        <w:ind w:left="357" w:hanging="357"/>
        <w:outlineLvl w:val="1"/>
        <w:rPr>
          <w:sz w:val="24"/>
        </w:rPr>
      </w:pPr>
      <w:bookmarkStart w:id="338" w:name="_Toc226965808"/>
      <w:bookmarkStart w:id="339" w:name="_Toc151193849"/>
      <w:bookmarkStart w:id="340" w:name="_Toc164351629"/>
      <w:bookmarkStart w:id="341" w:name="_Toc164229230"/>
      <w:bookmarkStart w:id="342" w:name="_Toc151193923"/>
      <w:bookmarkStart w:id="343" w:name="_Toc226965725"/>
      <w:bookmarkStart w:id="344" w:name="_Toc149720828"/>
      <w:bookmarkStart w:id="345" w:name="_Toc142311037"/>
      <w:bookmarkStart w:id="346" w:name="_Toc151193705"/>
      <w:bookmarkStart w:id="347" w:name="_Toc151193777"/>
      <w:bookmarkStart w:id="348" w:name="_Toc164608649"/>
      <w:bookmarkStart w:id="349" w:name="_Toc127161449"/>
      <w:bookmarkStart w:id="350" w:name="_Toc127151535"/>
      <w:bookmarkStart w:id="351" w:name="_Toc164229376"/>
      <w:bookmarkStart w:id="352" w:name="_Toc127151736"/>
      <w:bookmarkStart w:id="353" w:name="_Toc305158877"/>
      <w:bookmarkStart w:id="354" w:name="_Toc150480773"/>
      <w:bookmarkStart w:id="355" w:name="_Toc150509286"/>
      <w:bookmarkStart w:id="356" w:name="_Toc150774635"/>
      <w:bookmarkStart w:id="357" w:name="_Toc520356160"/>
      <w:bookmarkStart w:id="358" w:name="_Toc150774740"/>
      <w:bookmarkStart w:id="359" w:name="_Toc151190162"/>
      <w:bookmarkStart w:id="360" w:name="_Toc305158803"/>
      <w:bookmarkStart w:id="361" w:name="_Toc264969225"/>
      <w:bookmarkStart w:id="362" w:name="_Toc151193633"/>
      <w:bookmarkStart w:id="363" w:name="_Toc265228373"/>
      <w:bookmarkStart w:id="364" w:name="_Toc226309779"/>
      <w:bookmarkStart w:id="365" w:name="_Toc195842900"/>
      <w:bookmarkStart w:id="366" w:name="_Toc226337231"/>
      <w:bookmarkStart w:id="367" w:name="_Toc164608804"/>
      <w:r>
        <w:rPr>
          <w:sz w:val="24"/>
        </w:rPr>
        <w:t>响应文件的</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sz w:val="24"/>
        </w:rPr>
        <w:t>提交</w:t>
      </w:r>
    </w:p>
    <w:p>
      <w:pPr>
        <w:numPr>
          <w:ilvl w:val="1"/>
          <w:numId w:val="8"/>
        </w:numPr>
        <w:tabs>
          <w:tab w:val="left" w:pos="1080"/>
          <w:tab w:val="left" w:pos="2014"/>
        </w:tabs>
        <w:snapToGrid w:val="0"/>
        <w:spacing w:line="360" w:lineRule="auto"/>
        <w:ind w:left="1077" w:hanging="720"/>
        <w:rPr>
          <w:sz w:val="24"/>
        </w:rPr>
      </w:pPr>
      <w:r>
        <w:rPr>
          <w:sz w:val="24"/>
        </w:rPr>
        <w:t>本项目使用北京市政府采购电子交易平台。供应商根据谈判文件及电子交易平台供应商操作手册要求编制、生成并提交电子响应文件。</w:t>
      </w:r>
    </w:p>
    <w:p>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w:t>
      </w:r>
      <w:r>
        <w:rPr>
          <w:rFonts w:hint="eastAsia"/>
          <w:sz w:val="24"/>
        </w:rPr>
        <w:t>首次</w:t>
      </w:r>
      <w:r>
        <w:rPr>
          <w:sz w:val="24"/>
        </w:rPr>
        <w:t>响应文件，保证金除外。</w:t>
      </w:r>
    </w:p>
    <w:p>
      <w:pPr>
        <w:numPr>
          <w:ilvl w:val="0"/>
          <w:numId w:val="8"/>
        </w:numPr>
        <w:tabs>
          <w:tab w:val="left" w:pos="360"/>
        </w:tabs>
        <w:snapToGrid w:val="0"/>
        <w:spacing w:line="360" w:lineRule="auto"/>
        <w:ind w:left="357" w:hanging="357"/>
        <w:outlineLvl w:val="1"/>
        <w:rPr>
          <w:sz w:val="24"/>
        </w:rPr>
      </w:pPr>
      <w:r>
        <w:rPr>
          <w:sz w:val="24"/>
        </w:rPr>
        <w:t>响应文件提交截止时间</w:t>
      </w:r>
    </w:p>
    <w:p>
      <w:pPr>
        <w:numPr>
          <w:ilvl w:val="1"/>
          <w:numId w:val="8"/>
        </w:numPr>
        <w:tabs>
          <w:tab w:val="left" w:pos="1080"/>
          <w:tab w:val="left" w:pos="2014"/>
        </w:tabs>
        <w:snapToGrid w:val="0"/>
        <w:spacing w:line="360" w:lineRule="auto"/>
        <w:ind w:left="1077" w:hanging="720"/>
        <w:rPr>
          <w:sz w:val="24"/>
        </w:rPr>
      </w:pPr>
      <w:r>
        <w:rPr>
          <w:sz w:val="24"/>
        </w:rPr>
        <w:t>供应商应在谈判文件要求响应文件提交截止时间前，将电子响应文件提交至电子交易平台。</w:t>
      </w:r>
    </w:p>
    <w:p>
      <w:pPr>
        <w:numPr>
          <w:ilvl w:val="0"/>
          <w:numId w:val="8"/>
        </w:numPr>
        <w:tabs>
          <w:tab w:val="left" w:pos="360"/>
        </w:tabs>
        <w:snapToGrid w:val="0"/>
        <w:spacing w:line="360" w:lineRule="auto"/>
        <w:ind w:left="357" w:hanging="357"/>
        <w:outlineLvl w:val="1"/>
        <w:rPr>
          <w:sz w:val="24"/>
        </w:rPr>
      </w:pPr>
      <w:bookmarkStart w:id="368" w:name="_Toc164229378"/>
      <w:bookmarkStart w:id="369" w:name="_Toc164608651"/>
      <w:bookmarkStart w:id="370" w:name="_Toc195842902"/>
      <w:bookmarkStart w:id="371" w:name="_Toc226965810"/>
      <w:bookmarkStart w:id="372" w:name="_Toc305158879"/>
      <w:bookmarkStart w:id="373" w:name="_Toc164351631"/>
      <w:bookmarkStart w:id="374" w:name="_Toc164608806"/>
      <w:bookmarkStart w:id="375" w:name="_Toc226309781"/>
      <w:bookmarkStart w:id="376" w:name="_Toc226337233"/>
      <w:bookmarkStart w:id="377" w:name="_Toc226965727"/>
      <w:bookmarkStart w:id="378" w:name="_Toc305158805"/>
      <w:bookmarkStart w:id="379" w:name="_Toc142311039"/>
      <w:bookmarkStart w:id="380" w:name="_Toc150774742"/>
      <w:bookmarkStart w:id="381" w:name="_Toc149720830"/>
      <w:bookmarkStart w:id="382" w:name="_Toc127151537"/>
      <w:bookmarkStart w:id="383" w:name="_Toc151193779"/>
      <w:bookmarkStart w:id="384" w:name="_Toc151193851"/>
      <w:bookmarkStart w:id="385" w:name="_Toc150774637"/>
      <w:bookmarkStart w:id="386" w:name="_Toc150509288"/>
      <w:bookmarkStart w:id="387" w:name="_Toc151193925"/>
      <w:bookmarkStart w:id="388" w:name="_Toc151193707"/>
      <w:bookmarkStart w:id="389" w:name="_Toc164229232"/>
      <w:bookmarkStart w:id="390" w:name="_Toc127151738"/>
      <w:bookmarkStart w:id="391" w:name="_Toc265228375"/>
      <w:bookmarkStart w:id="392" w:name="_Toc151190164"/>
      <w:bookmarkStart w:id="393" w:name="_Toc264969227"/>
      <w:bookmarkStart w:id="394" w:name="_Toc127161451"/>
      <w:bookmarkStart w:id="395" w:name="_Toc520356162"/>
      <w:bookmarkStart w:id="396" w:name="_Toc151193635"/>
      <w:bookmarkStart w:id="397" w:name="_Toc150480775"/>
      <w:r>
        <w:rPr>
          <w:sz w:val="24"/>
        </w:rPr>
        <w:t>响应文件的修改与撤回</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numPr>
          <w:ilvl w:val="1"/>
          <w:numId w:val="8"/>
        </w:numPr>
        <w:tabs>
          <w:tab w:val="left" w:pos="1080"/>
          <w:tab w:val="left" w:pos="2014"/>
        </w:tabs>
        <w:snapToGrid w:val="0"/>
        <w:spacing w:line="360" w:lineRule="auto"/>
        <w:ind w:left="1077" w:hanging="720"/>
        <w:rPr>
          <w:sz w:val="24"/>
        </w:rPr>
      </w:pPr>
      <w:r>
        <w:rPr>
          <w:sz w:val="24"/>
        </w:rPr>
        <w:t>响应文件提交截止时间前，供应商可以通过电子交易平台对所提交的响应文件进行补充、修改或者撤回。</w:t>
      </w:r>
      <w:r>
        <w:rPr>
          <w:rFonts w:eastAsiaTheme="minorEastAsia"/>
          <w:color w:val="000000"/>
          <w:sz w:val="24"/>
        </w:rPr>
        <w:t>保证金的补充、修改或者撤回</w:t>
      </w:r>
      <w:r>
        <w:rPr>
          <w:sz w:val="24"/>
        </w:rPr>
        <w:t>无需通过电子交易平台，但应就其补充、修改或者撤回通知采购人或采购代理机构</w:t>
      </w:r>
      <w:r>
        <w:rPr>
          <w:rFonts w:eastAsiaTheme="minorEastAsia"/>
          <w:color w:val="000000"/>
          <w:sz w:val="24"/>
        </w:rPr>
        <w:t>。</w:t>
      </w:r>
    </w:p>
    <w:p>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供应商对响应文件的补充、修改的内容应当按照谈判文件要求签署、盖章，作为响应文件的组成部分。补充、修改的内容与响应文件不一致的，以补充、修改的内容为准。</w:t>
      </w:r>
    </w:p>
    <w:p>
      <w:pPr>
        <w:spacing w:line="360" w:lineRule="auto"/>
        <w:rPr>
          <w:sz w:val="24"/>
        </w:rPr>
      </w:pPr>
    </w:p>
    <w:p>
      <w:pPr>
        <w:pStyle w:val="3"/>
        <w:spacing w:before="0" w:line="360" w:lineRule="auto"/>
        <w:rPr>
          <w:rFonts w:ascii="Times New Roman" w:hAnsi="Times New Roman" w:eastAsia="宋体"/>
          <w:sz w:val="28"/>
        </w:rPr>
      </w:pPr>
      <w:bookmarkStart w:id="398" w:name="_Toc151193780"/>
      <w:bookmarkStart w:id="399" w:name="_Toc150774743"/>
      <w:bookmarkStart w:id="400" w:name="_Toc520356163"/>
      <w:bookmarkStart w:id="401" w:name="_Toc265228376"/>
      <w:bookmarkStart w:id="402" w:name="_Toc151193636"/>
      <w:bookmarkStart w:id="403" w:name="_Toc151193708"/>
      <w:bookmarkStart w:id="404" w:name="_Toc264969228"/>
      <w:bookmarkStart w:id="405" w:name="_Toc151190165"/>
      <w:bookmarkStart w:id="406" w:name="_Toc142311040"/>
      <w:bookmarkStart w:id="407" w:name="_Toc226309782"/>
      <w:bookmarkStart w:id="408" w:name="_Toc226337234"/>
      <w:bookmarkStart w:id="409" w:name="_Toc226965728"/>
      <w:bookmarkStart w:id="410" w:name="_Toc305158880"/>
      <w:bookmarkStart w:id="411" w:name="_Toc151193926"/>
      <w:bookmarkStart w:id="412" w:name="_Toc305158806"/>
      <w:bookmarkStart w:id="413" w:name="_Toc150509289"/>
      <w:bookmarkStart w:id="414" w:name="_Toc151193852"/>
      <w:bookmarkStart w:id="415" w:name="_Toc127151538"/>
      <w:bookmarkStart w:id="416" w:name="_Toc150774638"/>
      <w:bookmarkStart w:id="417" w:name="_Toc226965811"/>
      <w:bookmarkStart w:id="418" w:name="_Toc195842903"/>
      <w:bookmarkStart w:id="419" w:name="_Toc150480776"/>
      <w:r>
        <w:rPr>
          <w:rFonts w:ascii="Times New Roman" w:hAnsi="Times New Roman" w:eastAsia="宋体"/>
          <w:sz w:val="28"/>
        </w:rPr>
        <w:t>五</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0" w:name="_Hlk97413571"/>
      <w:r>
        <w:rPr>
          <w:rFonts w:ascii="Times New Roman" w:hAnsi="Times New Roman" w:eastAsia="宋体"/>
          <w:sz w:val="28"/>
        </w:rPr>
        <w:t>评审</w:t>
      </w:r>
      <w:bookmarkEnd w:id="420"/>
    </w:p>
    <w:p>
      <w:pPr>
        <w:numPr>
          <w:ilvl w:val="0"/>
          <w:numId w:val="8"/>
        </w:numPr>
        <w:tabs>
          <w:tab w:val="left" w:pos="360"/>
        </w:tabs>
        <w:snapToGrid w:val="0"/>
        <w:spacing w:line="360" w:lineRule="auto"/>
        <w:ind w:left="357" w:hanging="357"/>
        <w:outlineLvl w:val="1"/>
        <w:rPr>
          <w:sz w:val="24"/>
        </w:rPr>
      </w:pPr>
      <w:bookmarkStart w:id="421" w:name="_Toc501547521"/>
      <w:bookmarkStart w:id="422" w:name="_Toc493590991"/>
      <w:bookmarkStart w:id="423" w:name="_Toc501504681"/>
      <w:bookmarkStart w:id="424" w:name="_Toc461642305"/>
      <w:bookmarkStart w:id="425" w:name="_Toc501505903"/>
      <w:bookmarkStart w:id="426" w:name="_Toc249515416"/>
      <w:bookmarkStart w:id="427" w:name="_Toc388010432"/>
      <w:bookmarkStart w:id="428" w:name="_Toc249515304"/>
      <w:bookmarkStart w:id="429" w:name="_Toc249525185"/>
      <w:bookmarkStart w:id="430" w:name="_Toc493661679"/>
      <w:bookmarkStart w:id="431" w:name="_Toc493711048"/>
      <w:r>
        <w:rPr>
          <w:color w:val="000000"/>
          <w:sz w:val="24"/>
        </w:rPr>
        <w:t>解密</w:t>
      </w:r>
      <w:bookmarkEnd w:id="421"/>
      <w:bookmarkEnd w:id="422"/>
      <w:bookmarkEnd w:id="423"/>
      <w:bookmarkEnd w:id="424"/>
      <w:bookmarkEnd w:id="425"/>
      <w:bookmarkEnd w:id="426"/>
      <w:bookmarkEnd w:id="427"/>
      <w:bookmarkEnd w:id="428"/>
      <w:bookmarkEnd w:id="429"/>
      <w:bookmarkEnd w:id="430"/>
      <w:bookmarkEnd w:id="431"/>
    </w:p>
    <w:p>
      <w:pPr>
        <w:numPr>
          <w:ilvl w:val="1"/>
          <w:numId w:val="8"/>
        </w:numPr>
        <w:tabs>
          <w:tab w:val="left" w:pos="1080"/>
          <w:tab w:val="left" w:pos="2014"/>
        </w:tabs>
        <w:snapToGrid w:val="0"/>
        <w:spacing w:line="360" w:lineRule="auto"/>
        <w:ind w:left="1077" w:hanging="720"/>
        <w:rPr>
          <w:color w:val="000000"/>
          <w:sz w:val="24"/>
        </w:rPr>
      </w:pPr>
      <w:r>
        <w:rPr>
          <w:color w:val="000000"/>
          <w:sz w:val="24"/>
        </w:rPr>
        <w:t>采购人或采购代理机构将按谈判文件的规定，在响应文件提交截止时间的同一时间和《供应商须知资料表》约定的地点组织解密。</w:t>
      </w:r>
    </w:p>
    <w:p>
      <w:pPr>
        <w:numPr>
          <w:ilvl w:val="1"/>
          <w:numId w:val="8"/>
        </w:numPr>
        <w:tabs>
          <w:tab w:val="left" w:pos="1080"/>
          <w:tab w:val="left" w:pos="2014"/>
        </w:tabs>
        <w:snapToGrid w:val="0"/>
        <w:spacing w:line="360" w:lineRule="auto"/>
        <w:ind w:left="1077" w:hanging="720"/>
        <w:rPr>
          <w:color w:val="000000"/>
          <w:sz w:val="24"/>
        </w:rPr>
      </w:pPr>
      <w:r>
        <w:rPr>
          <w:color w:val="000000"/>
          <w:sz w:val="24"/>
        </w:rPr>
        <w:t>本项目解密使用北京市政府采购电子交易平台。供应商应在</w:t>
      </w:r>
      <w:r>
        <w:rPr>
          <w:rFonts w:eastAsiaTheme="minorEastAsia"/>
          <w:sz w:val="24"/>
        </w:rPr>
        <w:t>《供应商须知资料表》</w:t>
      </w:r>
      <w:r>
        <w:rPr>
          <w:color w:val="000000"/>
          <w:sz w:val="24"/>
        </w:rPr>
        <w:t>规定的时间内对响应文件进行解密，因非系统原因导致的解密失败，视为</w:t>
      </w:r>
      <w:r>
        <w:rPr>
          <w:b/>
          <w:bCs/>
          <w:color w:val="000000"/>
          <w:sz w:val="24"/>
        </w:rPr>
        <w:t>无效响应</w:t>
      </w:r>
      <w:r>
        <w:rPr>
          <w:color w:val="000000"/>
          <w:sz w:val="24"/>
        </w:rPr>
        <w:t>。</w:t>
      </w:r>
    </w:p>
    <w:p>
      <w:pPr>
        <w:numPr>
          <w:ilvl w:val="1"/>
          <w:numId w:val="8"/>
        </w:numPr>
        <w:tabs>
          <w:tab w:val="left" w:pos="1080"/>
          <w:tab w:val="left" w:pos="2014"/>
        </w:tabs>
        <w:snapToGrid w:val="0"/>
        <w:spacing w:line="360" w:lineRule="auto"/>
        <w:ind w:left="1077" w:hanging="720"/>
        <w:rPr>
          <w:color w:val="000000"/>
          <w:sz w:val="24"/>
        </w:rPr>
      </w:pPr>
      <w:r>
        <w:rPr>
          <w:color w:val="000000"/>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应当回避。</w:t>
      </w:r>
    </w:p>
    <w:p>
      <w:pPr>
        <w:numPr>
          <w:ilvl w:val="1"/>
          <w:numId w:val="8"/>
        </w:numPr>
        <w:tabs>
          <w:tab w:val="left" w:pos="1080"/>
          <w:tab w:val="left" w:pos="2014"/>
        </w:tabs>
        <w:snapToGrid w:val="0"/>
        <w:spacing w:line="360" w:lineRule="auto"/>
        <w:ind w:left="1077" w:hanging="720"/>
        <w:rPr>
          <w:color w:val="000000"/>
          <w:sz w:val="24"/>
        </w:rPr>
      </w:pPr>
      <w:r>
        <w:rPr>
          <w:rFonts w:hint="eastAsia" w:eastAsiaTheme="minorEastAsia"/>
          <w:sz w:val="24"/>
        </w:rPr>
        <w:t>供应商不足</w:t>
      </w:r>
      <w:r>
        <w:rPr>
          <w:rFonts w:eastAsiaTheme="minorEastAsia"/>
          <w:sz w:val="24"/>
        </w:rPr>
        <w:t>3</w:t>
      </w:r>
      <w:r>
        <w:rPr>
          <w:rFonts w:hint="eastAsia" w:eastAsiaTheme="minorEastAsia"/>
          <w:sz w:val="24"/>
        </w:rPr>
        <w:t>家的，不予解密</w:t>
      </w:r>
      <w:r>
        <w:rPr>
          <w:sz w:val="24"/>
        </w:rPr>
        <w:t>，但《政府采购非招标采购方式管理办法》第二十七条第二款规定的情形除外</w:t>
      </w:r>
      <w:r>
        <w:rPr>
          <w:rFonts w:hint="eastAsia" w:eastAsiaTheme="minorEastAsia"/>
          <w:sz w:val="24"/>
        </w:rPr>
        <w:t>。</w:t>
      </w:r>
    </w:p>
    <w:p>
      <w:pPr>
        <w:numPr>
          <w:ilvl w:val="1"/>
          <w:numId w:val="8"/>
        </w:numPr>
        <w:tabs>
          <w:tab w:val="left" w:pos="1080"/>
          <w:tab w:val="left" w:pos="2014"/>
        </w:tabs>
        <w:snapToGrid w:val="0"/>
        <w:spacing w:line="360" w:lineRule="auto"/>
        <w:ind w:left="1077" w:hanging="720"/>
        <w:rPr>
          <w:sz w:val="24"/>
        </w:rPr>
      </w:pPr>
      <w:r>
        <w:rPr>
          <w:color w:val="000000"/>
          <w:sz w:val="24"/>
        </w:rPr>
        <w:t>本项目不公开报价</w:t>
      </w:r>
      <w:r>
        <w:rPr>
          <w:sz w:val="24"/>
        </w:rPr>
        <w:t>。</w:t>
      </w:r>
    </w:p>
    <w:p>
      <w:pPr>
        <w:numPr>
          <w:ilvl w:val="0"/>
          <w:numId w:val="8"/>
        </w:numPr>
        <w:tabs>
          <w:tab w:val="left" w:pos="360"/>
        </w:tabs>
        <w:snapToGrid w:val="0"/>
        <w:spacing w:line="360" w:lineRule="auto"/>
        <w:ind w:left="357" w:hanging="357"/>
        <w:outlineLvl w:val="1"/>
        <w:rPr>
          <w:sz w:val="24"/>
        </w:rPr>
      </w:pPr>
      <w:bookmarkStart w:id="432" w:name="_Toc127151540"/>
      <w:bookmarkStart w:id="433" w:name="_Toc127151741"/>
      <w:bookmarkStart w:id="434" w:name="_Toc127161454"/>
      <w:bookmarkStart w:id="435" w:name="_Toc264969230"/>
      <w:bookmarkStart w:id="436" w:name="_Toc142311042"/>
      <w:bookmarkStart w:id="437" w:name="_Toc149720833"/>
      <w:bookmarkStart w:id="438" w:name="_Toc265228378"/>
      <w:bookmarkStart w:id="439" w:name="_Toc164351634"/>
      <w:bookmarkStart w:id="440" w:name="_Toc164608809"/>
      <w:bookmarkStart w:id="441" w:name="_Toc226965730"/>
      <w:bookmarkStart w:id="442" w:name="_Toc226965813"/>
      <w:bookmarkStart w:id="443" w:name="_Toc305158808"/>
      <w:bookmarkStart w:id="444" w:name="_Toc305158882"/>
      <w:bookmarkStart w:id="445" w:name="_Toc151193638"/>
      <w:bookmarkStart w:id="446" w:name="_Toc150480778"/>
      <w:bookmarkStart w:id="447" w:name="_Toc150509291"/>
      <w:bookmarkStart w:id="448" w:name="_Toc150774640"/>
      <w:bookmarkStart w:id="449" w:name="_Toc151193782"/>
      <w:bookmarkStart w:id="450" w:name="_Toc151193928"/>
      <w:bookmarkStart w:id="451" w:name="_Toc226309784"/>
      <w:bookmarkStart w:id="452" w:name="_Toc226337236"/>
      <w:bookmarkStart w:id="453" w:name="_Toc151190167"/>
      <w:bookmarkStart w:id="454" w:name="_Toc150774745"/>
      <w:bookmarkStart w:id="455" w:name="_Toc164229235"/>
      <w:bookmarkStart w:id="456" w:name="_Toc164229381"/>
      <w:bookmarkStart w:id="457" w:name="_Toc195842905"/>
      <w:bookmarkStart w:id="458" w:name="_Toc151193710"/>
      <w:bookmarkStart w:id="459" w:name="_Toc151193854"/>
      <w:bookmarkStart w:id="460" w:name="_Toc164608654"/>
      <w:r>
        <w:rPr>
          <w:sz w:val="24"/>
        </w:rPr>
        <w:t>谈判小组</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numPr>
          <w:ilvl w:val="1"/>
          <w:numId w:val="8"/>
        </w:numPr>
        <w:tabs>
          <w:tab w:val="left" w:pos="1080"/>
          <w:tab w:val="left" w:pos="2014"/>
        </w:tabs>
        <w:snapToGrid w:val="0"/>
        <w:spacing w:line="360" w:lineRule="auto"/>
        <w:ind w:left="1077" w:hanging="720"/>
        <w:rPr>
          <w:sz w:val="24"/>
        </w:rPr>
      </w:pPr>
      <w:r>
        <w:rPr>
          <w:sz w:val="24"/>
        </w:rPr>
        <w:t>谈判小组根据政府采购有关规定和本次采购项目的特点进行组建，并负责具体评审与谈判事务，独立履行职责。</w:t>
      </w:r>
      <w:bookmarkStart w:id="461" w:name="_Toc520356166"/>
    </w:p>
    <w:p>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1"/>
      <w:bookmarkStart w:id="462" w:name="_Toc520356169"/>
    </w:p>
    <w:p>
      <w:pPr>
        <w:numPr>
          <w:ilvl w:val="0"/>
          <w:numId w:val="8"/>
        </w:numPr>
        <w:tabs>
          <w:tab w:val="left" w:pos="360"/>
        </w:tabs>
        <w:snapToGrid w:val="0"/>
        <w:spacing w:line="360" w:lineRule="auto"/>
        <w:ind w:left="357" w:hanging="357"/>
        <w:outlineLvl w:val="1"/>
        <w:rPr>
          <w:sz w:val="24"/>
        </w:rPr>
      </w:pPr>
      <w:bookmarkStart w:id="463" w:name="_Hlk97413435"/>
      <w:r>
        <w:rPr>
          <w:sz w:val="24"/>
        </w:rPr>
        <w:t>评审程序和评定成交的标准</w:t>
      </w:r>
    </w:p>
    <w:p>
      <w:pPr>
        <w:numPr>
          <w:ilvl w:val="1"/>
          <w:numId w:val="8"/>
        </w:numPr>
        <w:tabs>
          <w:tab w:val="left" w:pos="1080"/>
          <w:tab w:val="left" w:pos="2014"/>
        </w:tabs>
        <w:snapToGrid w:val="0"/>
        <w:spacing w:line="360" w:lineRule="auto"/>
        <w:ind w:left="1077" w:hanging="720"/>
        <w:rPr>
          <w:sz w:val="24"/>
        </w:rPr>
      </w:pPr>
      <w:bookmarkStart w:id="464" w:name="_Toc83547671"/>
      <w:r>
        <w:rPr>
          <w:sz w:val="24"/>
        </w:rPr>
        <w:t>见第三章《评审程序和评定成交的标准》。</w:t>
      </w:r>
    </w:p>
    <w:bookmarkEnd w:id="463"/>
    <w:bookmarkEnd w:id="464"/>
    <w:p>
      <w:pPr>
        <w:tabs>
          <w:tab w:val="left" w:pos="360"/>
          <w:tab w:val="left" w:pos="1080"/>
        </w:tabs>
        <w:snapToGrid w:val="0"/>
        <w:spacing w:line="360" w:lineRule="auto"/>
        <w:ind w:left="1080"/>
        <w:rPr>
          <w:sz w:val="24"/>
        </w:rPr>
      </w:pPr>
    </w:p>
    <w:p>
      <w:pPr>
        <w:pStyle w:val="3"/>
        <w:spacing w:before="0" w:line="360" w:lineRule="auto"/>
        <w:rPr>
          <w:rFonts w:ascii="Times New Roman" w:hAnsi="Times New Roman" w:eastAsia="宋体"/>
          <w:sz w:val="28"/>
        </w:rPr>
      </w:pPr>
      <w:bookmarkStart w:id="465" w:name="_Toc226965818"/>
      <w:bookmarkStart w:id="466" w:name="_Toc151193643"/>
      <w:bookmarkStart w:id="467" w:name="_Toc226965735"/>
      <w:bookmarkStart w:id="468" w:name="_Toc195842910"/>
      <w:bookmarkStart w:id="469" w:name="_Toc142311047"/>
      <w:bookmarkStart w:id="470" w:name="_Toc150509296"/>
      <w:bookmarkStart w:id="471" w:name="_Toc265228383"/>
      <w:bookmarkStart w:id="472" w:name="_Toc150480783"/>
      <w:bookmarkStart w:id="473" w:name="_Toc305158887"/>
      <w:bookmarkStart w:id="474" w:name="_Toc264969235"/>
      <w:bookmarkStart w:id="475" w:name="_Toc127151545"/>
      <w:bookmarkStart w:id="476" w:name="_Toc305158813"/>
      <w:bookmarkStart w:id="477" w:name="_Toc226309789"/>
      <w:bookmarkStart w:id="478" w:name="_Toc151190172"/>
      <w:bookmarkStart w:id="479" w:name="_Toc150774750"/>
      <w:bookmarkStart w:id="480" w:name="_Toc151193787"/>
      <w:bookmarkStart w:id="481" w:name="_Toc151193933"/>
      <w:bookmarkStart w:id="482" w:name="_Toc226337241"/>
      <w:bookmarkStart w:id="483" w:name="_Toc151193715"/>
      <w:bookmarkStart w:id="484" w:name="_Toc151193859"/>
      <w:bookmarkStart w:id="485" w:name="_Toc150774645"/>
      <w:r>
        <w:rPr>
          <w:rFonts w:ascii="Times New Roman" w:hAnsi="Times New Roman" w:eastAsia="宋体"/>
          <w:sz w:val="28"/>
        </w:rPr>
        <w:t>六</w:t>
      </w:r>
      <w:bookmarkEnd w:id="462"/>
      <w:r>
        <w:rPr>
          <w:rFonts w:ascii="Times New Roman" w:hAnsi="Times New Roman" w:eastAsia="宋体"/>
          <w:sz w:val="28"/>
        </w:rPr>
        <w:t>确定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Fonts w:ascii="Times New Roman" w:hAnsi="Times New Roman" w:eastAsia="宋体"/>
          <w:sz w:val="28"/>
        </w:rPr>
        <w:t>成交</w:t>
      </w:r>
    </w:p>
    <w:p>
      <w:pPr>
        <w:numPr>
          <w:ilvl w:val="0"/>
          <w:numId w:val="8"/>
        </w:numPr>
        <w:tabs>
          <w:tab w:val="left" w:pos="360"/>
        </w:tabs>
        <w:snapToGrid w:val="0"/>
        <w:spacing w:line="360" w:lineRule="auto"/>
        <w:ind w:left="357" w:hanging="357"/>
        <w:outlineLvl w:val="1"/>
        <w:rPr>
          <w:sz w:val="24"/>
        </w:rPr>
      </w:pPr>
      <w:bookmarkStart w:id="486" w:name="_Toc151193861"/>
      <w:bookmarkStart w:id="487" w:name="_Toc151190174"/>
      <w:bookmarkStart w:id="488" w:name="_Toc151193789"/>
      <w:bookmarkStart w:id="489" w:name="_Toc265228385"/>
      <w:bookmarkStart w:id="490" w:name="_Toc226309791"/>
      <w:bookmarkStart w:id="491" w:name="_Toc164229242"/>
      <w:bookmarkStart w:id="492" w:name="_Toc264969237"/>
      <w:bookmarkStart w:id="493" w:name="_Toc127151547"/>
      <w:bookmarkStart w:id="494" w:name="_Toc151193935"/>
      <w:bookmarkStart w:id="495" w:name="_Toc164351641"/>
      <w:bookmarkStart w:id="496" w:name="_Toc164229388"/>
      <w:bookmarkStart w:id="497" w:name="_Toc164608661"/>
      <w:bookmarkStart w:id="498" w:name="_Toc164608816"/>
      <w:bookmarkStart w:id="499" w:name="_Toc195842912"/>
      <w:bookmarkStart w:id="500" w:name="_Toc151193717"/>
      <w:bookmarkStart w:id="501" w:name="_Toc226337243"/>
      <w:bookmarkStart w:id="502" w:name="_Toc226965820"/>
      <w:bookmarkStart w:id="503" w:name="_Toc151193645"/>
      <w:bookmarkStart w:id="504" w:name="_Toc226965737"/>
      <w:bookmarkStart w:id="505" w:name="_Toc127161461"/>
      <w:bookmarkStart w:id="506" w:name="_Toc150480785"/>
      <w:bookmarkStart w:id="507" w:name="_Toc150774752"/>
      <w:bookmarkStart w:id="508" w:name="_Toc142311049"/>
      <w:bookmarkStart w:id="509" w:name="_Toc149720840"/>
      <w:bookmarkStart w:id="510" w:name="_Toc150774647"/>
      <w:bookmarkStart w:id="511" w:name="_Toc127151748"/>
      <w:bookmarkStart w:id="512" w:name="_Toc150509298"/>
      <w:bookmarkStart w:id="513" w:name="_Toc305158889"/>
      <w:bookmarkStart w:id="514" w:name="_Toc305158815"/>
      <w:r>
        <w:rPr>
          <w:sz w:val="24"/>
        </w:rPr>
        <w:t>确定成交供应商</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numPr>
          <w:ilvl w:val="1"/>
          <w:numId w:val="8"/>
        </w:numPr>
        <w:tabs>
          <w:tab w:val="left" w:pos="1080"/>
          <w:tab w:val="left" w:pos="2014"/>
        </w:tabs>
        <w:snapToGrid w:val="0"/>
        <w:spacing w:line="360" w:lineRule="auto"/>
        <w:ind w:left="1077" w:hanging="720"/>
        <w:rPr>
          <w:sz w:val="24"/>
        </w:rPr>
      </w:pPr>
      <w:r>
        <w:rPr>
          <w:color w:val="000000"/>
          <w:sz w:val="24"/>
        </w:rPr>
        <w:t>采购人将在评审报告提出的成交候选人中，</w:t>
      </w:r>
      <w:bookmarkStart w:id="515" w:name="OLE_LINK2"/>
      <w:r>
        <w:rPr>
          <w:color w:val="000000"/>
          <w:sz w:val="24"/>
        </w:rPr>
        <w:t>根据质量和服务均能满足采购文件实质性响应要求且最后报价最低的原则确定成交供应商</w:t>
      </w:r>
      <w:bookmarkEnd w:id="515"/>
      <w:r>
        <w:rPr>
          <w:color w:val="000000"/>
          <w:sz w:val="24"/>
        </w:rPr>
        <w:t>。</w:t>
      </w:r>
      <w:r>
        <w:rPr>
          <w:rFonts w:eastAsiaTheme="minorEastAsia"/>
          <w:sz w:val="24"/>
        </w:rPr>
        <w:t>采购人是否授权谈判小组直接确定成交供应商，见《供应商须知资料表》。成交候选人并列的，按照《供应商须知资料表》要求确定成交供应商。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sz w:val="24"/>
        </w:rPr>
      </w:pPr>
      <w:bookmarkStart w:id="516" w:name="_Toc305158891"/>
      <w:bookmarkStart w:id="517" w:name="_Toc305158817"/>
      <w:bookmarkStart w:id="518" w:name="_Toc151190176"/>
      <w:bookmarkStart w:id="519" w:name="_Toc142311051"/>
      <w:bookmarkStart w:id="520" w:name="_Toc150509300"/>
      <w:bookmarkStart w:id="521" w:name="_Toc150480787"/>
      <w:bookmarkStart w:id="522" w:name="_Toc151193863"/>
      <w:bookmarkStart w:id="523" w:name="_Toc151193791"/>
      <w:bookmarkStart w:id="524" w:name="_Toc151193937"/>
      <w:bookmarkStart w:id="525" w:name="_Toc164229244"/>
      <w:bookmarkStart w:id="526" w:name="_Toc150774649"/>
      <w:bookmarkStart w:id="527" w:name="_Toc164229390"/>
      <w:bookmarkStart w:id="528" w:name="_Toc151193719"/>
      <w:bookmarkStart w:id="529" w:name="_Toc265228387"/>
      <w:bookmarkStart w:id="530" w:name="_Toc127151750"/>
      <w:bookmarkStart w:id="531" w:name="_Toc151193647"/>
      <w:bookmarkStart w:id="532" w:name="_Toc127151549"/>
      <w:bookmarkStart w:id="533" w:name="_Toc150774754"/>
      <w:bookmarkStart w:id="534" w:name="_Toc149720842"/>
      <w:bookmarkStart w:id="535" w:name="_Toc264969239"/>
      <w:bookmarkStart w:id="536" w:name="_Toc127161463"/>
      <w:bookmarkStart w:id="537" w:name="_Toc226309793"/>
      <w:bookmarkStart w:id="538" w:name="_Toc195842914"/>
      <w:bookmarkStart w:id="539" w:name="_Toc164608818"/>
      <w:bookmarkStart w:id="540" w:name="_Toc164351643"/>
      <w:bookmarkStart w:id="541" w:name="_Toc226965822"/>
      <w:bookmarkStart w:id="542" w:name="_Toc164608663"/>
      <w:bookmarkStart w:id="543" w:name="_Toc226337245"/>
      <w:bookmarkStart w:id="544" w:name="_Toc226965739"/>
      <w:bookmarkStart w:id="545" w:name="_Toc520356176"/>
      <w:bookmarkStart w:id="546" w:name="_Ref467306425"/>
      <w:bookmarkStart w:id="547" w:name="_Ref467307090"/>
      <w:r>
        <w:rPr>
          <w:sz w:val="24"/>
        </w:rPr>
        <w:t>成交公告与成交通知书</w:t>
      </w:r>
      <w:bookmarkEnd w:id="516"/>
      <w:bookmarkEnd w:id="517"/>
    </w:p>
    <w:p>
      <w:pPr>
        <w:numPr>
          <w:ilvl w:val="1"/>
          <w:numId w:val="8"/>
        </w:numPr>
        <w:tabs>
          <w:tab w:val="left" w:pos="1080"/>
          <w:tab w:val="left" w:pos="2014"/>
        </w:tabs>
        <w:snapToGrid w:val="0"/>
        <w:spacing w:line="360" w:lineRule="auto"/>
        <w:ind w:left="1077" w:hanging="720"/>
        <w:rPr>
          <w:color w:val="000000"/>
          <w:sz w:val="24"/>
        </w:rPr>
      </w:pPr>
      <w:r>
        <w:rPr>
          <w:color w:val="000000"/>
          <w:sz w:val="24"/>
        </w:rPr>
        <w:t>采购人或采购代理机构将在成交供应商确定后2个工作日内，在</w:t>
      </w:r>
      <w:r>
        <w:rPr>
          <w:rFonts w:eastAsiaTheme="minorEastAsia"/>
          <w:sz w:val="24"/>
        </w:rPr>
        <w:t>北京市政府采购网</w:t>
      </w:r>
      <w:r>
        <w:rPr>
          <w:color w:val="000000"/>
          <w:sz w:val="24"/>
        </w:rPr>
        <w:t>公告成交结果，同时向成交供应商发出成交通知书，成交公告期限为1个工作日。</w:t>
      </w:r>
    </w:p>
    <w:p>
      <w:pPr>
        <w:numPr>
          <w:ilvl w:val="1"/>
          <w:numId w:val="8"/>
        </w:numPr>
        <w:tabs>
          <w:tab w:val="left" w:pos="1080"/>
          <w:tab w:val="left" w:pos="2014"/>
        </w:tabs>
        <w:snapToGrid w:val="0"/>
        <w:spacing w:line="360" w:lineRule="auto"/>
        <w:ind w:left="1077" w:hanging="720"/>
        <w:rPr>
          <w:color w:val="000000"/>
          <w:sz w:val="24"/>
        </w:rPr>
      </w:pPr>
      <w:r>
        <w:rPr>
          <w:color w:val="000000"/>
          <w:sz w:val="24"/>
        </w:rPr>
        <w:t>成交通知书对采购人和成交供应商均具有法律效力。成交通知书发出后，采购人改变成交结果的，或者成交供应商放弃成交项目的，应当依法承担法律责任。</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Pr>
        <w:numPr>
          <w:ilvl w:val="0"/>
          <w:numId w:val="8"/>
        </w:numPr>
        <w:tabs>
          <w:tab w:val="left" w:pos="360"/>
        </w:tabs>
        <w:snapToGrid w:val="0"/>
        <w:spacing w:line="360" w:lineRule="auto"/>
        <w:ind w:left="357" w:hanging="357"/>
        <w:outlineLvl w:val="1"/>
        <w:rPr>
          <w:sz w:val="24"/>
        </w:rPr>
      </w:pPr>
      <w:bookmarkStart w:id="548" w:name="_Toc151193938"/>
      <w:bookmarkStart w:id="549" w:name="_Toc195842915"/>
      <w:bookmarkStart w:id="550" w:name="_Toc226965823"/>
      <w:bookmarkStart w:id="551" w:name="_Toc305158818"/>
      <w:bookmarkStart w:id="552" w:name="_Toc151193864"/>
      <w:bookmarkStart w:id="553" w:name="_Toc151193648"/>
      <w:bookmarkStart w:id="554" w:name="_Toc226309794"/>
      <w:bookmarkStart w:id="555" w:name="_Toc226337246"/>
      <w:bookmarkStart w:id="556" w:name="_Toc164229391"/>
      <w:bookmarkStart w:id="557" w:name="_Toc164229245"/>
      <w:bookmarkStart w:id="558" w:name="_Toc164351644"/>
      <w:bookmarkStart w:id="559" w:name="_Toc164608819"/>
      <w:bookmarkStart w:id="560" w:name="_Toc150774755"/>
      <w:bookmarkStart w:id="561" w:name="_Toc150774650"/>
      <w:bookmarkStart w:id="562" w:name="_Toc151193720"/>
      <w:bookmarkStart w:id="563" w:name="_Toc164608664"/>
      <w:bookmarkStart w:id="564" w:name="_Toc226965740"/>
      <w:bookmarkStart w:id="565" w:name="_Toc151190177"/>
      <w:bookmarkStart w:id="566" w:name="_Toc150509301"/>
      <w:bookmarkStart w:id="567" w:name="_Toc151193792"/>
      <w:bookmarkStart w:id="568" w:name="_Toc142311052"/>
      <w:bookmarkStart w:id="569" w:name="_Toc520356175"/>
      <w:bookmarkStart w:id="570" w:name="_Toc127151751"/>
      <w:bookmarkStart w:id="571" w:name="_Ref467306978"/>
      <w:bookmarkStart w:id="572" w:name="_Ref467307204"/>
      <w:bookmarkStart w:id="573" w:name="_Toc127151550"/>
      <w:bookmarkStart w:id="574" w:name="_Toc305158892"/>
      <w:bookmarkStart w:id="575" w:name="_Toc149720843"/>
      <w:bookmarkStart w:id="576" w:name="_Ref467306377"/>
      <w:bookmarkStart w:id="577" w:name="_Ref467307062"/>
      <w:bookmarkStart w:id="578" w:name="_Toc265228388"/>
      <w:bookmarkStart w:id="579" w:name="_Toc127161464"/>
      <w:bookmarkStart w:id="580" w:name="_Toc150480788"/>
      <w:bookmarkStart w:id="581" w:name="_Toc264969240"/>
      <w:r>
        <w:rPr>
          <w:sz w:val="24"/>
        </w:rPr>
        <w:t>终止</w:t>
      </w:r>
    </w:p>
    <w:p>
      <w:pPr>
        <w:numPr>
          <w:ilvl w:val="1"/>
          <w:numId w:val="8"/>
        </w:numPr>
        <w:tabs>
          <w:tab w:val="left" w:pos="1080"/>
          <w:tab w:val="left" w:pos="2014"/>
        </w:tabs>
        <w:snapToGrid w:val="0"/>
        <w:spacing w:line="360" w:lineRule="auto"/>
        <w:ind w:left="1077" w:hanging="720"/>
        <w:rPr>
          <w:color w:val="000000"/>
          <w:sz w:val="24"/>
        </w:rPr>
      </w:pPr>
      <w:r>
        <w:rPr>
          <w:color w:val="000000"/>
          <w:sz w:val="24"/>
        </w:rPr>
        <w:t>出现下列情形之一的，采购人或采购代理机构将终止竞争性谈判采购活动，发布项目终止公告并说明原因，重新开展采购活动：</w:t>
      </w:r>
    </w:p>
    <w:p>
      <w:pPr>
        <w:numPr>
          <w:ilvl w:val="2"/>
          <w:numId w:val="8"/>
        </w:numPr>
        <w:snapToGrid w:val="0"/>
        <w:spacing w:line="360" w:lineRule="auto"/>
        <w:rPr>
          <w:sz w:val="24"/>
        </w:rPr>
      </w:pPr>
      <w:r>
        <w:rPr>
          <w:sz w:val="24"/>
        </w:rPr>
        <w:t>因情况变化，不再符合规定的竞争性谈判采购方式适用情形的；</w:t>
      </w:r>
    </w:p>
    <w:p>
      <w:pPr>
        <w:numPr>
          <w:ilvl w:val="2"/>
          <w:numId w:val="8"/>
        </w:numPr>
        <w:snapToGrid w:val="0"/>
        <w:spacing w:line="360" w:lineRule="auto"/>
        <w:rPr>
          <w:sz w:val="24"/>
        </w:rPr>
      </w:pPr>
      <w:r>
        <w:rPr>
          <w:sz w:val="24"/>
        </w:rPr>
        <w:t>出现影响采购公正的违法、违规行为的；</w:t>
      </w:r>
    </w:p>
    <w:p>
      <w:pPr>
        <w:numPr>
          <w:ilvl w:val="2"/>
          <w:numId w:val="8"/>
        </w:numPr>
        <w:snapToGrid w:val="0"/>
        <w:spacing w:line="360" w:lineRule="auto"/>
        <w:rPr>
          <w:sz w:val="24"/>
        </w:rPr>
      </w:pPr>
      <w:r>
        <w:rPr>
          <w:sz w:val="24"/>
        </w:rPr>
        <w:t>在采购过程中符合竞争要求的供应商或者报价未超过采购预算的供应商不足3 家的，但《政府采购非招标采购方式管理办法》第二十七条第二款规定的情形除外。</w:t>
      </w:r>
    </w:p>
    <w:p>
      <w:pPr>
        <w:numPr>
          <w:ilvl w:val="0"/>
          <w:numId w:val="8"/>
        </w:numPr>
        <w:tabs>
          <w:tab w:val="left" w:pos="360"/>
        </w:tabs>
        <w:snapToGrid w:val="0"/>
        <w:spacing w:line="360" w:lineRule="auto"/>
        <w:ind w:left="357" w:hanging="357"/>
        <w:outlineLvl w:val="1"/>
        <w:rPr>
          <w:sz w:val="24"/>
        </w:rPr>
      </w:pPr>
      <w:r>
        <w:rPr>
          <w:sz w:val="24"/>
        </w:rPr>
        <w:t>签订合同</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numPr>
          <w:ilvl w:val="1"/>
          <w:numId w:val="8"/>
        </w:numPr>
        <w:tabs>
          <w:tab w:val="left" w:pos="1080"/>
          <w:tab w:val="left" w:pos="2014"/>
        </w:tabs>
        <w:snapToGrid w:val="0"/>
        <w:spacing w:line="360" w:lineRule="auto"/>
        <w:ind w:left="1077" w:hanging="720"/>
        <w:rPr>
          <w:sz w:val="24"/>
        </w:rPr>
      </w:pPr>
      <w:r>
        <w:rPr>
          <w:sz w:val="24"/>
        </w:rPr>
        <w:t>采购人与成交供应商应当在成交通知书发出之日起30日内，按照谈判文件确定的合同文本以及采购标的、规格型号、采购金额、采购数量、技术和服务要求等事项签订政府采购合同。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sz w:val="24"/>
        </w:rPr>
      </w:pPr>
      <w:r>
        <w:rPr>
          <w:rFonts w:eastAsiaTheme="minorEastAsia"/>
          <w:sz w:val="24"/>
        </w:rPr>
        <w:t>成交供应商拒绝签订政府采购合同的，采购人可以按照评审报告推荐的成交候选人名单排序，确定下一候选人为成交供应商，也可以重新开展采购活动。</w:t>
      </w:r>
      <w:r>
        <w:rPr>
          <w:sz w:val="24"/>
        </w:rPr>
        <w:t>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pPr>
        <w:numPr>
          <w:ilvl w:val="1"/>
          <w:numId w:val="8"/>
        </w:numPr>
        <w:tabs>
          <w:tab w:val="left" w:pos="1080"/>
          <w:tab w:val="left" w:pos="2014"/>
        </w:tabs>
        <w:snapToGrid w:val="0"/>
        <w:spacing w:line="360" w:lineRule="auto"/>
        <w:ind w:left="1077" w:hanging="720"/>
        <w:rPr>
          <w:sz w:val="24"/>
        </w:rPr>
      </w:pPr>
      <w:r>
        <w:rPr>
          <w:sz w:val="24"/>
        </w:rPr>
        <w:t>政府采购合同不能转包。</w:t>
      </w:r>
    </w:p>
    <w:p>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Pr>
          <w:b/>
          <w:bCs/>
          <w:sz w:val="24"/>
        </w:rPr>
        <w:t>响应无效</w:t>
      </w:r>
      <w:r>
        <w:rPr>
          <w:sz w:val="24"/>
        </w:rPr>
        <w:t>。成交供应商就采购项目和分包项目向采购人负责，分包供应商就分包项目承担责任。</w:t>
      </w:r>
    </w:p>
    <w:p>
      <w:pPr>
        <w:numPr>
          <w:ilvl w:val="1"/>
          <w:numId w:val="8"/>
        </w:numPr>
        <w:tabs>
          <w:tab w:val="left" w:pos="1080"/>
          <w:tab w:val="left" w:pos="2014"/>
        </w:tabs>
        <w:snapToGrid w:val="0"/>
        <w:spacing w:line="360" w:lineRule="auto"/>
        <w:ind w:left="1077" w:hanging="720"/>
        <w:rPr>
          <w:sz w:val="24"/>
        </w:rPr>
      </w:pPr>
      <w:bookmarkStart w:id="582" w:name="_Hlk167095294"/>
      <w:r>
        <w:rPr>
          <w:rFonts w:hint="eastAsia" w:ascii="宋体" w:hAnsi="宋体"/>
          <w:sz w:val="24"/>
        </w:rPr>
        <w:t>“政采贷”融资指引：详见</w:t>
      </w:r>
      <w:r>
        <w:rPr>
          <w:rFonts w:eastAsiaTheme="minorEastAsia"/>
          <w:sz w:val="24"/>
        </w:rPr>
        <w:t>《</w:t>
      </w:r>
      <w:r>
        <w:rPr>
          <w:rFonts w:hint="eastAsia" w:eastAsiaTheme="minorEastAsia"/>
          <w:sz w:val="24"/>
        </w:rPr>
        <w:t>供应商</w:t>
      </w:r>
      <w:r>
        <w:rPr>
          <w:rFonts w:eastAsiaTheme="minorEastAsia"/>
          <w:sz w:val="24"/>
        </w:rPr>
        <w:t>须知资料表》</w:t>
      </w:r>
      <w:r>
        <w:rPr>
          <w:rFonts w:hint="eastAsia" w:eastAsiaTheme="minorEastAsia"/>
          <w:sz w:val="24"/>
        </w:rPr>
        <w:t>。</w:t>
      </w:r>
    </w:p>
    <w:bookmarkEnd w:id="545"/>
    <w:bookmarkEnd w:id="546"/>
    <w:bookmarkEnd w:id="547"/>
    <w:bookmarkEnd w:id="582"/>
    <w:p>
      <w:pPr>
        <w:numPr>
          <w:ilvl w:val="0"/>
          <w:numId w:val="8"/>
        </w:numPr>
        <w:tabs>
          <w:tab w:val="left" w:pos="360"/>
        </w:tabs>
        <w:snapToGrid w:val="0"/>
        <w:spacing w:line="360" w:lineRule="auto"/>
        <w:ind w:left="357" w:hanging="357"/>
        <w:outlineLvl w:val="1"/>
        <w:rPr>
          <w:sz w:val="24"/>
        </w:rPr>
      </w:pPr>
      <w:r>
        <w:rPr>
          <w:sz w:val="24"/>
        </w:rPr>
        <w:t>询问与质疑</w:t>
      </w:r>
    </w:p>
    <w:p>
      <w:pPr>
        <w:numPr>
          <w:ilvl w:val="1"/>
          <w:numId w:val="8"/>
        </w:numPr>
        <w:tabs>
          <w:tab w:val="left" w:pos="1080"/>
          <w:tab w:val="left" w:pos="2014"/>
        </w:tabs>
        <w:snapToGrid w:val="0"/>
        <w:spacing w:line="360" w:lineRule="auto"/>
        <w:ind w:left="1077" w:hanging="720"/>
        <w:rPr>
          <w:sz w:val="24"/>
        </w:rPr>
      </w:pPr>
      <w:r>
        <w:rPr>
          <w:sz w:val="24"/>
        </w:rPr>
        <w:t>询问</w:t>
      </w:r>
    </w:p>
    <w:p>
      <w:pPr>
        <w:numPr>
          <w:ilvl w:val="2"/>
          <w:numId w:val="8"/>
        </w:numPr>
        <w:snapToGrid w:val="0"/>
        <w:spacing w:line="360" w:lineRule="auto"/>
        <w:rPr>
          <w:sz w:val="24"/>
        </w:rPr>
      </w:pPr>
      <w:r>
        <w:rPr>
          <w:rFonts w:eastAsiaTheme="minorEastAsia"/>
          <w:sz w:val="24"/>
        </w:rPr>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p>
    <w:p>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rPr>
      </w:pPr>
      <w:r>
        <w:rPr>
          <w:sz w:val="24"/>
        </w:rPr>
        <w:t>质疑</w:t>
      </w:r>
    </w:p>
    <w:p>
      <w:pPr>
        <w:numPr>
          <w:ilvl w:val="2"/>
          <w:numId w:val="8"/>
        </w:numPr>
        <w:snapToGrid w:val="0"/>
        <w:spacing w:line="360" w:lineRule="auto"/>
        <w:rPr>
          <w:sz w:val="24"/>
        </w:rPr>
      </w:pPr>
      <w:r>
        <w:rPr>
          <w:sz w:val="24"/>
        </w:rPr>
        <w:t>供应商认为谈判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pPr>
        <w:numPr>
          <w:ilvl w:val="0"/>
          <w:numId w:val="8"/>
        </w:numPr>
        <w:tabs>
          <w:tab w:val="left" w:pos="360"/>
        </w:tabs>
        <w:snapToGrid w:val="0"/>
        <w:spacing w:line="360" w:lineRule="auto"/>
        <w:ind w:left="357" w:hanging="357"/>
        <w:outlineLvl w:val="1"/>
        <w:rPr>
          <w:sz w:val="24"/>
        </w:rPr>
      </w:pPr>
      <w:r>
        <w:rPr>
          <w:sz w:val="24"/>
        </w:rPr>
        <w:t>代理费</w:t>
      </w:r>
    </w:p>
    <w:p>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83" w:name="_Toc305158822"/>
      <w:bookmarkStart w:id="584" w:name="_Toc150480792"/>
      <w:bookmarkStart w:id="585" w:name="_Toc353825544"/>
      <w:bookmarkStart w:id="586" w:name="_Toc265228392"/>
      <w:bookmarkStart w:id="587" w:name="_Toc142311056"/>
      <w:bookmarkStart w:id="588" w:name="_Toc353873664"/>
      <w:bookmarkStart w:id="589" w:name="_Toc226337250"/>
      <w:bookmarkStart w:id="590" w:name="_Toc264969244"/>
      <w:bookmarkStart w:id="591" w:name="_Toc127151554"/>
      <w:bookmarkStart w:id="592" w:name="_Toc150774759"/>
      <w:bookmarkStart w:id="593" w:name="_Toc226965827"/>
      <w:bookmarkStart w:id="594" w:name="_Toc353873934"/>
      <w:bookmarkStart w:id="595" w:name="_Toc305158896"/>
      <w:r>
        <w:rPr>
          <w:sz w:val="24"/>
        </w:rPr>
        <w:br w:type="page"/>
      </w:r>
      <w:bookmarkEnd w:id="583"/>
      <w:bookmarkEnd w:id="584"/>
      <w:bookmarkEnd w:id="585"/>
      <w:bookmarkEnd w:id="586"/>
      <w:bookmarkEnd w:id="587"/>
      <w:bookmarkEnd w:id="588"/>
      <w:bookmarkEnd w:id="589"/>
      <w:bookmarkEnd w:id="590"/>
      <w:bookmarkEnd w:id="591"/>
      <w:bookmarkEnd w:id="592"/>
      <w:bookmarkEnd w:id="593"/>
      <w:bookmarkEnd w:id="594"/>
      <w:bookmarkEnd w:id="595"/>
      <w:bookmarkStart w:id="596" w:name="_Toc99301375"/>
      <w:bookmarkStart w:id="597" w:name="_Toc487900382"/>
      <w:r>
        <w:rPr>
          <w:b/>
          <w:sz w:val="36"/>
          <w:szCs w:val="36"/>
        </w:rPr>
        <w:t>第三章</w:t>
      </w:r>
      <w:bookmarkStart w:id="598" w:name="_Hlk97413531"/>
      <w:r>
        <w:rPr>
          <w:b/>
          <w:sz w:val="36"/>
          <w:szCs w:val="36"/>
        </w:rPr>
        <w:t>评审程序和</w:t>
      </w:r>
      <w:bookmarkEnd w:id="598"/>
      <w:r>
        <w:rPr>
          <w:b/>
          <w:sz w:val="36"/>
          <w:szCs w:val="36"/>
        </w:rPr>
        <w:t>评定成交的标准</w:t>
      </w:r>
      <w:bookmarkEnd w:id="596"/>
    </w:p>
    <w:p>
      <w:pPr>
        <w:numPr>
          <w:ilvl w:val="0"/>
          <w:numId w:val="11"/>
        </w:numPr>
        <w:tabs>
          <w:tab w:val="left" w:pos="360"/>
        </w:tabs>
        <w:snapToGrid w:val="0"/>
        <w:spacing w:line="360" w:lineRule="auto"/>
        <w:outlineLvl w:val="1"/>
        <w:rPr>
          <w:sz w:val="24"/>
        </w:rPr>
      </w:pPr>
      <w:r>
        <w:rPr>
          <w:sz w:val="24"/>
        </w:rPr>
        <w:t>响应文件的资格审查和符合性审查</w:t>
      </w:r>
    </w:p>
    <w:p>
      <w:pPr>
        <w:numPr>
          <w:ilvl w:val="1"/>
          <w:numId w:val="11"/>
        </w:numPr>
        <w:tabs>
          <w:tab w:val="left" w:pos="1080"/>
          <w:tab w:val="left" w:pos="2014"/>
        </w:tabs>
        <w:snapToGrid w:val="0"/>
        <w:spacing w:line="360" w:lineRule="auto"/>
        <w:ind w:left="1077" w:hanging="720"/>
        <w:rPr>
          <w:sz w:val="24"/>
        </w:rPr>
      </w:pPr>
      <w:r>
        <w:rPr>
          <w:sz w:val="24"/>
        </w:rPr>
        <w:t>谈判小组将根据《资格审查要求》和《符合性审查要求》中规定的内容，对供应商进行审查，并形成审查结果。供应商《响应文件》有任何一项不符合《资格审查要求》的，视为未实质性响应谈判文件。未实质性响应谈判文件的响应文件按无效处理，谈判小组应当告知有关供应商。</w:t>
      </w:r>
    </w:p>
    <w:p>
      <w:pPr>
        <w:numPr>
          <w:ilvl w:val="1"/>
          <w:numId w:val="11"/>
        </w:numPr>
        <w:tabs>
          <w:tab w:val="left" w:pos="1080"/>
          <w:tab w:val="left" w:pos="2014"/>
        </w:tabs>
        <w:snapToGrid w:val="0"/>
        <w:spacing w:line="360" w:lineRule="auto"/>
        <w:ind w:left="1077" w:hanging="720"/>
        <w:rPr>
          <w:sz w:val="24"/>
        </w:rPr>
      </w:pPr>
      <w:r>
        <w:rPr>
          <w:rFonts w:hint="eastAsia" w:eastAsiaTheme="minorEastAsia"/>
          <w:color w:val="000000" w:themeColor="text1"/>
          <w:kern w:val="0"/>
          <w:sz w:val="24"/>
          <w14:textFill>
            <w14:solidFill>
              <w14:schemeClr w14:val="tx1"/>
            </w14:solidFill>
          </w14:textFill>
        </w:rPr>
        <w:t>《资格审查要求》中对格式有要求的，除谈判文件另有规定外，均为</w:t>
      </w:r>
      <w:r>
        <w:rPr>
          <w:rFonts w:eastAsiaTheme="minorEastAsia"/>
          <w:color w:val="000000" w:themeColor="text1"/>
          <w:kern w:val="0"/>
          <w:sz w:val="24"/>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实质性格式</w:t>
      </w:r>
      <w:r>
        <w:rPr>
          <w:rFonts w:eastAsiaTheme="minorEastAsia"/>
          <w:color w:val="000000" w:themeColor="text1"/>
          <w:kern w:val="0"/>
          <w:sz w:val="24"/>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文件。</w:t>
      </w:r>
    </w:p>
    <w:p>
      <w:pPr>
        <w:numPr>
          <w:ilvl w:val="1"/>
          <w:numId w:val="11"/>
        </w:numPr>
        <w:tabs>
          <w:tab w:val="left" w:pos="1080"/>
          <w:tab w:val="left" w:pos="2014"/>
        </w:tabs>
        <w:snapToGrid w:val="0"/>
        <w:spacing w:line="360" w:lineRule="auto"/>
        <w:ind w:left="1077" w:hanging="720"/>
        <w:rPr>
          <w:sz w:val="24"/>
        </w:rPr>
      </w:pPr>
      <w:r>
        <w:rPr>
          <w:rFonts w:hint="eastAsia" w:eastAsiaTheme="minorEastAsia"/>
          <w:color w:val="000000" w:themeColor="text1"/>
          <w:kern w:val="0"/>
          <w:sz w:val="24"/>
          <w14:textFill>
            <w14:solidFill>
              <w14:schemeClr w14:val="tx1"/>
            </w14:solidFill>
          </w14:textFill>
        </w:rPr>
        <w:t>《资格审查要求》见下表：</w:t>
      </w:r>
    </w:p>
    <w:p>
      <w:pPr>
        <w:tabs>
          <w:tab w:val="left" w:pos="1080"/>
        </w:tabs>
        <w:snapToGrid w:val="0"/>
        <w:spacing w:line="360" w:lineRule="auto"/>
        <w:jc w:val="center"/>
        <w:rPr>
          <w:b/>
          <w:sz w:val="24"/>
        </w:rPr>
      </w:pPr>
      <w:r>
        <w:rPr>
          <w:b/>
          <w:sz w:val="24"/>
        </w:rPr>
        <w:t>资格审查要求</w:t>
      </w:r>
    </w:p>
    <w:tbl>
      <w:tblPr>
        <w:tblStyle w:val="44"/>
        <w:tblW w:w="50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1729"/>
        <w:gridCol w:w="4517"/>
        <w:gridCol w:w="1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461" w:type="pct"/>
            <w:vAlign w:val="center"/>
          </w:tcPr>
          <w:p>
            <w:pPr>
              <w:tabs>
                <w:tab w:val="left" w:pos="1080"/>
              </w:tabs>
              <w:snapToGrid w:val="0"/>
              <w:jc w:val="center"/>
              <w:rPr>
                <w:b/>
                <w:sz w:val="24"/>
              </w:rPr>
            </w:pPr>
            <w:r>
              <w:rPr>
                <w:b/>
                <w:sz w:val="24"/>
              </w:rPr>
              <w:t>序号</w:t>
            </w:r>
          </w:p>
        </w:tc>
        <w:tc>
          <w:tcPr>
            <w:tcW w:w="997" w:type="pct"/>
            <w:vAlign w:val="center"/>
          </w:tcPr>
          <w:p>
            <w:pPr>
              <w:tabs>
                <w:tab w:val="left" w:pos="1080"/>
              </w:tabs>
              <w:snapToGrid w:val="0"/>
              <w:jc w:val="center"/>
              <w:rPr>
                <w:b/>
                <w:sz w:val="24"/>
              </w:rPr>
            </w:pPr>
            <w:r>
              <w:rPr>
                <w:b/>
                <w:sz w:val="24"/>
              </w:rPr>
              <w:t>审查因素</w:t>
            </w:r>
          </w:p>
        </w:tc>
        <w:tc>
          <w:tcPr>
            <w:tcW w:w="2603" w:type="pct"/>
            <w:vAlign w:val="center"/>
          </w:tcPr>
          <w:p>
            <w:pPr>
              <w:tabs>
                <w:tab w:val="left" w:pos="1080"/>
              </w:tabs>
              <w:snapToGrid w:val="0"/>
              <w:jc w:val="center"/>
              <w:rPr>
                <w:b/>
                <w:sz w:val="24"/>
              </w:rPr>
            </w:pPr>
            <w:r>
              <w:rPr>
                <w:b/>
                <w:sz w:val="24"/>
              </w:rPr>
              <w:t>审查内容</w:t>
            </w:r>
          </w:p>
        </w:tc>
        <w:tc>
          <w:tcPr>
            <w:tcW w:w="93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1</w:t>
            </w:r>
          </w:p>
        </w:tc>
        <w:tc>
          <w:tcPr>
            <w:tcW w:w="997" w:type="pct"/>
            <w:vAlign w:val="center"/>
          </w:tcPr>
          <w:p>
            <w:pPr>
              <w:tabs>
                <w:tab w:val="left" w:pos="1080"/>
              </w:tabs>
              <w:snapToGrid w:val="0"/>
              <w:rPr>
                <w:sz w:val="24"/>
              </w:rPr>
            </w:pPr>
            <w:r>
              <w:rPr>
                <w:sz w:val="24"/>
              </w:rPr>
              <w:t>满足《中华人民共和国政府采购法》第二十二条规定</w:t>
            </w:r>
          </w:p>
        </w:tc>
        <w:tc>
          <w:tcPr>
            <w:tcW w:w="2603" w:type="pct"/>
            <w:vAlign w:val="center"/>
          </w:tcPr>
          <w:p>
            <w:pPr>
              <w:tabs>
                <w:tab w:val="left" w:pos="1080"/>
              </w:tabs>
              <w:snapToGrid w:val="0"/>
              <w:rPr>
                <w:sz w:val="24"/>
              </w:rPr>
            </w:pPr>
            <w:r>
              <w:rPr>
                <w:sz w:val="24"/>
              </w:rPr>
              <w:t>具体规定见第一章《采购邀请》</w:t>
            </w:r>
          </w:p>
        </w:tc>
        <w:tc>
          <w:tcPr>
            <w:tcW w:w="938"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1-1</w:t>
            </w:r>
          </w:p>
        </w:tc>
        <w:tc>
          <w:tcPr>
            <w:tcW w:w="997" w:type="pct"/>
            <w:vAlign w:val="center"/>
          </w:tcPr>
          <w:p>
            <w:pPr>
              <w:tabs>
                <w:tab w:val="left" w:pos="1080"/>
              </w:tabs>
              <w:snapToGrid w:val="0"/>
              <w:rPr>
                <w:sz w:val="24"/>
              </w:rPr>
            </w:pPr>
            <w:r>
              <w:rPr>
                <w:sz w:val="24"/>
              </w:rPr>
              <w:t>营业执照等证明文件</w:t>
            </w:r>
          </w:p>
        </w:tc>
        <w:tc>
          <w:tcPr>
            <w:tcW w:w="2603" w:type="pct"/>
            <w:vAlign w:val="center"/>
          </w:tcPr>
          <w:p>
            <w:pPr>
              <w:tabs>
                <w:tab w:val="left" w:pos="1080"/>
              </w:tabs>
              <w:snapToGrid w:val="0"/>
              <w:rPr>
                <w:sz w:val="24"/>
              </w:rPr>
            </w:pPr>
            <w:r>
              <w:rPr>
                <w:sz w:val="24"/>
              </w:rPr>
              <w:t>供应商为企业（包括合伙企业）的，应提供有效的“营业执照”；</w:t>
            </w:r>
          </w:p>
          <w:p>
            <w:pPr>
              <w:tabs>
                <w:tab w:val="left" w:pos="1080"/>
              </w:tabs>
              <w:snapToGrid w:val="0"/>
              <w:rPr>
                <w:sz w:val="24"/>
              </w:rPr>
            </w:pPr>
            <w:r>
              <w:rPr>
                <w:sz w:val="24"/>
              </w:rPr>
              <w:t>供应商为事业单位的，应提供有效的“事业单位法人证书”；</w:t>
            </w:r>
          </w:p>
          <w:p>
            <w:pPr>
              <w:tabs>
                <w:tab w:val="left" w:pos="1080"/>
              </w:tabs>
              <w:snapToGrid w:val="0"/>
              <w:rPr>
                <w:sz w:val="24"/>
              </w:rPr>
            </w:pPr>
            <w:r>
              <w:rPr>
                <w:sz w:val="24"/>
              </w:rPr>
              <w:t>供应商是非企业机构的，应提供有效的“执业许可证”、“登记证书”等证明文件；</w:t>
            </w:r>
          </w:p>
          <w:p>
            <w:pPr>
              <w:tabs>
                <w:tab w:val="left" w:pos="1080"/>
              </w:tabs>
              <w:snapToGrid w:val="0"/>
              <w:rPr>
                <w:sz w:val="24"/>
              </w:rPr>
            </w:pPr>
            <w:r>
              <w:rPr>
                <w:sz w:val="24"/>
              </w:rPr>
              <w:t>供应商是个体工商户的，应提供有效的“个体工商户营业执照”；</w:t>
            </w:r>
          </w:p>
          <w:p>
            <w:pPr>
              <w:tabs>
                <w:tab w:val="left" w:pos="1080"/>
              </w:tabs>
              <w:snapToGrid w:val="0"/>
              <w:rPr>
                <w:sz w:val="24"/>
              </w:rPr>
            </w:pPr>
            <w:r>
              <w:rPr>
                <w:sz w:val="24"/>
              </w:rPr>
              <w:t>供应商是自然人的，应提供有效的自然人身份证明。</w:t>
            </w:r>
          </w:p>
          <w:p>
            <w:pPr>
              <w:pStyle w:val="15"/>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w:t>
            </w:r>
            <w:r>
              <w:rPr>
                <w:sz w:val="24"/>
              </w:rPr>
              <w:t>书（格式自拟，须加盖其所属法人/其他组织的公章）；对于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938" w:type="pct"/>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1-2</w:t>
            </w:r>
          </w:p>
        </w:tc>
        <w:tc>
          <w:tcPr>
            <w:tcW w:w="997" w:type="pct"/>
            <w:vAlign w:val="center"/>
          </w:tcPr>
          <w:p>
            <w:pPr>
              <w:tabs>
                <w:tab w:val="left" w:pos="1080"/>
              </w:tabs>
              <w:snapToGrid w:val="0"/>
              <w:rPr>
                <w:sz w:val="24"/>
              </w:rPr>
            </w:pPr>
            <w:r>
              <w:rPr>
                <w:sz w:val="24"/>
              </w:rPr>
              <w:t>供应商资格声明书</w:t>
            </w:r>
          </w:p>
        </w:tc>
        <w:tc>
          <w:tcPr>
            <w:tcW w:w="2603" w:type="pct"/>
            <w:vAlign w:val="center"/>
          </w:tcPr>
          <w:p>
            <w:pPr>
              <w:tabs>
                <w:tab w:val="left" w:pos="1080"/>
              </w:tabs>
              <w:snapToGrid w:val="0"/>
              <w:rPr>
                <w:sz w:val="24"/>
              </w:rPr>
            </w:pPr>
            <w:r>
              <w:rPr>
                <w:sz w:val="24"/>
              </w:rPr>
              <w:t>提供了符合谈判文件要求的《供应商资格声明书》。</w:t>
            </w:r>
          </w:p>
        </w:tc>
        <w:tc>
          <w:tcPr>
            <w:tcW w:w="938" w:type="pct"/>
            <w:vAlign w:val="center"/>
          </w:tcPr>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1-3</w:t>
            </w:r>
          </w:p>
        </w:tc>
        <w:tc>
          <w:tcPr>
            <w:tcW w:w="997" w:type="pct"/>
            <w:vAlign w:val="center"/>
          </w:tcPr>
          <w:p>
            <w:pPr>
              <w:tabs>
                <w:tab w:val="left" w:pos="1080"/>
              </w:tabs>
              <w:snapToGrid w:val="0"/>
              <w:rPr>
                <w:sz w:val="24"/>
              </w:rPr>
            </w:pPr>
            <w:r>
              <w:rPr>
                <w:sz w:val="24"/>
              </w:rPr>
              <w:t>供应商信用记录</w:t>
            </w:r>
          </w:p>
        </w:tc>
        <w:tc>
          <w:tcPr>
            <w:tcW w:w="2603" w:type="pct"/>
            <w:vAlign w:val="center"/>
          </w:tcPr>
          <w:p>
            <w:pPr>
              <w:tabs>
                <w:tab w:val="left" w:pos="900"/>
                <w:tab w:val="left" w:pos="1980"/>
              </w:tabs>
              <w:snapToGrid w:val="0"/>
              <w:rPr>
                <w:sz w:val="24"/>
              </w:rPr>
            </w:pPr>
            <w:r>
              <w:rPr>
                <w:sz w:val="24"/>
              </w:rPr>
              <w:t>查询渠道：信用中国网站和中国政府采购网（www.creditchina.gov.cn、www.ccgp.gov.cn）；</w:t>
            </w:r>
          </w:p>
          <w:p>
            <w:pPr>
              <w:tabs>
                <w:tab w:val="left" w:pos="900"/>
                <w:tab w:val="left" w:pos="1980"/>
              </w:tabs>
              <w:snapToGrid w:val="0"/>
              <w:rPr>
                <w:sz w:val="24"/>
              </w:rPr>
            </w:pPr>
            <w:r>
              <w:rPr>
                <w:sz w:val="24"/>
              </w:rPr>
              <w:t>截止时点：首次响应文件提交截止时间以后、资格审查阶段采购人或采购代理机构的实际查询时间；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。联合体形式响应的，联合体成员存在不良信用记录，视同联合体存在不良信用记录。</w:t>
            </w:r>
          </w:p>
        </w:tc>
        <w:tc>
          <w:tcPr>
            <w:tcW w:w="93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2</w:t>
            </w:r>
          </w:p>
        </w:tc>
        <w:tc>
          <w:tcPr>
            <w:tcW w:w="997" w:type="pct"/>
            <w:vAlign w:val="center"/>
          </w:tcPr>
          <w:p>
            <w:pPr>
              <w:tabs>
                <w:tab w:val="left" w:pos="1080"/>
              </w:tabs>
              <w:snapToGrid w:val="0"/>
              <w:rPr>
                <w:sz w:val="24"/>
              </w:rPr>
            </w:pPr>
            <w:r>
              <w:rPr>
                <w:sz w:val="24"/>
              </w:rPr>
              <w:t>落实政府采购政策需满足的资格要求</w:t>
            </w:r>
          </w:p>
        </w:tc>
        <w:tc>
          <w:tcPr>
            <w:tcW w:w="2603" w:type="pct"/>
            <w:vAlign w:val="center"/>
          </w:tcPr>
          <w:p>
            <w:pPr>
              <w:tabs>
                <w:tab w:val="left" w:pos="1080"/>
              </w:tabs>
              <w:snapToGrid w:val="0"/>
              <w:rPr>
                <w:sz w:val="24"/>
              </w:rPr>
            </w:pPr>
            <w:r>
              <w:rPr>
                <w:sz w:val="24"/>
              </w:rPr>
              <w:t>具体要求见第一章《采购邀请》</w:t>
            </w:r>
          </w:p>
        </w:tc>
        <w:tc>
          <w:tcPr>
            <w:tcW w:w="938"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pPr>
              <w:tabs>
                <w:tab w:val="left" w:pos="1080"/>
              </w:tabs>
              <w:snapToGrid w:val="0"/>
              <w:jc w:val="center"/>
              <w:rPr>
                <w:sz w:val="24"/>
              </w:rPr>
            </w:pPr>
            <w:r>
              <w:rPr>
                <w:sz w:val="24"/>
              </w:rPr>
              <w:t>3</w:t>
            </w:r>
          </w:p>
        </w:tc>
        <w:tc>
          <w:tcPr>
            <w:tcW w:w="997" w:type="pct"/>
            <w:vAlign w:val="center"/>
          </w:tcPr>
          <w:p>
            <w:pPr>
              <w:tabs>
                <w:tab w:val="left" w:pos="1080"/>
              </w:tabs>
              <w:snapToGrid w:val="0"/>
              <w:rPr>
                <w:sz w:val="24"/>
              </w:rPr>
            </w:pPr>
            <w:r>
              <w:rPr>
                <w:sz w:val="24"/>
              </w:rPr>
              <w:t>本项目的特定资格要求</w:t>
            </w:r>
          </w:p>
        </w:tc>
        <w:tc>
          <w:tcPr>
            <w:tcW w:w="2603" w:type="pct"/>
            <w:vAlign w:val="center"/>
          </w:tcPr>
          <w:p>
            <w:pPr>
              <w:tabs>
                <w:tab w:val="left" w:pos="1080"/>
              </w:tabs>
              <w:snapToGrid w:val="0"/>
              <w:rPr>
                <w:sz w:val="24"/>
              </w:rPr>
            </w:pPr>
            <w:r>
              <w:rPr>
                <w:sz w:val="24"/>
              </w:rPr>
              <w:t>如有，见第一章《采购邀请》</w:t>
            </w:r>
          </w:p>
        </w:tc>
        <w:tc>
          <w:tcPr>
            <w:tcW w:w="938" w:type="pct"/>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rPr>
        <w:tc>
          <w:tcPr>
            <w:tcW w:w="461" w:type="pct"/>
            <w:vAlign w:val="center"/>
          </w:tcPr>
          <w:p>
            <w:pPr>
              <w:tabs>
                <w:tab w:val="left" w:pos="1080"/>
              </w:tabs>
              <w:snapToGrid w:val="0"/>
              <w:jc w:val="center"/>
              <w:rPr>
                <w:sz w:val="24"/>
              </w:rPr>
            </w:pPr>
            <w:r>
              <w:rPr>
                <w:sz w:val="24"/>
              </w:rPr>
              <w:t>4</w:t>
            </w:r>
          </w:p>
        </w:tc>
        <w:tc>
          <w:tcPr>
            <w:tcW w:w="997" w:type="pct"/>
            <w:vAlign w:val="center"/>
          </w:tcPr>
          <w:p>
            <w:pPr>
              <w:tabs>
                <w:tab w:val="left" w:pos="1080"/>
              </w:tabs>
              <w:snapToGrid w:val="0"/>
              <w:rPr>
                <w:sz w:val="24"/>
              </w:rPr>
            </w:pPr>
            <w:r>
              <w:rPr>
                <w:sz w:val="24"/>
              </w:rPr>
              <w:t>保证金</w:t>
            </w:r>
          </w:p>
        </w:tc>
        <w:tc>
          <w:tcPr>
            <w:tcW w:w="2603" w:type="pct"/>
            <w:vAlign w:val="center"/>
          </w:tcPr>
          <w:p>
            <w:pPr>
              <w:tabs>
                <w:tab w:val="left" w:pos="1080"/>
              </w:tabs>
              <w:snapToGrid w:val="0"/>
              <w:rPr>
                <w:color w:val="000000"/>
                <w:sz w:val="24"/>
              </w:rPr>
            </w:pPr>
            <w:r>
              <w:rPr>
                <w:color w:val="000000"/>
                <w:kern w:val="0"/>
                <w:sz w:val="24"/>
              </w:rPr>
              <w:t>按照谈判文件的规定提交保证金。</w:t>
            </w:r>
          </w:p>
        </w:tc>
        <w:tc>
          <w:tcPr>
            <w:tcW w:w="938" w:type="pct"/>
            <w:vAlign w:val="center"/>
          </w:tcPr>
          <w:p>
            <w:pPr>
              <w:tabs>
                <w:tab w:val="left" w:pos="1080"/>
              </w:tabs>
              <w:snapToGrid w:val="0"/>
              <w:rPr>
                <w:sz w:val="24"/>
              </w:rPr>
            </w:pPr>
            <w:r>
              <w:rPr>
                <w:rFonts w:hint="eastAsia"/>
                <w:sz w:val="24"/>
              </w:rPr>
              <w:t>本项目不涉及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rPr>
        <w:tc>
          <w:tcPr>
            <w:tcW w:w="461" w:type="pct"/>
            <w:vAlign w:val="center"/>
          </w:tcPr>
          <w:p>
            <w:pPr>
              <w:tabs>
                <w:tab w:val="left" w:pos="1080"/>
              </w:tabs>
              <w:snapToGrid w:val="0"/>
              <w:jc w:val="center"/>
              <w:rPr>
                <w:sz w:val="24"/>
              </w:rPr>
            </w:pPr>
            <w:r>
              <w:rPr>
                <w:rFonts w:hint="eastAsia"/>
                <w:sz w:val="24"/>
              </w:rPr>
              <w:t>5</w:t>
            </w:r>
          </w:p>
        </w:tc>
        <w:tc>
          <w:tcPr>
            <w:tcW w:w="997" w:type="pct"/>
            <w:vAlign w:val="center"/>
          </w:tcPr>
          <w:p>
            <w:pPr>
              <w:tabs>
                <w:tab w:val="left" w:pos="1080"/>
              </w:tabs>
              <w:snapToGrid w:val="0"/>
              <w:rPr>
                <w:sz w:val="24"/>
              </w:rPr>
            </w:pPr>
            <w:r>
              <w:rPr>
                <w:rFonts w:hint="eastAsia" w:eastAsiaTheme="minorEastAsia"/>
                <w:sz w:val="24"/>
              </w:rPr>
              <w:t>获取竞争性谈判文件</w:t>
            </w:r>
          </w:p>
        </w:tc>
        <w:tc>
          <w:tcPr>
            <w:tcW w:w="2603" w:type="pct"/>
            <w:vAlign w:val="center"/>
          </w:tcPr>
          <w:p>
            <w:pPr>
              <w:tabs>
                <w:tab w:val="left" w:pos="1080"/>
              </w:tabs>
              <w:snapToGrid w:val="0"/>
              <w:rPr>
                <w:color w:val="000000"/>
                <w:kern w:val="0"/>
                <w:sz w:val="24"/>
              </w:rPr>
            </w:pPr>
            <w:r>
              <w:rPr>
                <w:rFonts w:hint="eastAsia"/>
                <w:color w:val="000000"/>
                <w:kern w:val="0"/>
                <w:sz w:val="24"/>
              </w:rPr>
              <w:t>在规定期限内通过北京市政府采购电子交易平台获取所参与包的</w:t>
            </w:r>
            <w:r>
              <w:rPr>
                <w:rFonts w:hint="eastAsia" w:eastAsiaTheme="minorEastAsia"/>
                <w:sz w:val="24"/>
              </w:rPr>
              <w:t>竞争性谈判</w:t>
            </w:r>
            <w:r>
              <w:rPr>
                <w:rFonts w:hint="eastAsia"/>
                <w:color w:val="000000"/>
                <w:kern w:val="0"/>
                <w:sz w:val="24"/>
              </w:rPr>
              <w:t>采购文件。</w:t>
            </w:r>
          </w:p>
          <w:p>
            <w:pPr>
              <w:tabs>
                <w:tab w:val="left" w:pos="1080"/>
              </w:tabs>
              <w:snapToGrid w:val="0"/>
              <w:rPr>
                <w:color w:val="000000"/>
                <w:kern w:val="0"/>
                <w:sz w:val="24"/>
              </w:rPr>
            </w:pPr>
            <w:r>
              <w:rPr>
                <w:rFonts w:hint="eastAsia"/>
                <w:color w:val="000000"/>
                <w:kern w:val="0"/>
                <w:sz w:val="24"/>
              </w:rPr>
              <w:t>注：如本项目接受联合体，且供应商为联合体时，联合体中任一成员获取文件即视为满足要求。</w:t>
            </w:r>
          </w:p>
        </w:tc>
        <w:tc>
          <w:tcPr>
            <w:tcW w:w="938" w:type="pct"/>
            <w:vAlign w:val="center"/>
          </w:tcPr>
          <w:p>
            <w:pPr>
              <w:tabs>
                <w:tab w:val="left" w:pos="1080"/>
              </w:tabs>
              <w:snapToGrid w:val="0"/>
              <w:rPr>
                <w:sz w:val="24"/>
              </w:rPr>
            </w:pPr>
          </w:p>
        </w:tc>
      </w:tr>
    </w:tbl>
    <w:p>
      <w:pPr>
        <w:numPr>
          <w:ilvl w:val="1"/>
          <w:numId w:val="11"/>
        </w:numPr>
        <w:tabs>
          <w:tab w:val="left" w:pos="1080"/>
          <w:tab w:val="left" w:pos="2014"/>
        </w:tabs>
        <w:snapToGrid w:val="0"/>
        <w:spacing w:line="360" w:lineRule="auto"/>
        <w:ind w:left="1077" w:hanging="720"/>
        <w:rPr>
          <w:rFonts w:eastAsiaTheme="minorEastAsia"/>
          <w:color w:val="000000" w:themeColor="text1"/>
          <w:kern w:val="0"/>
          <w:sz w:val="24"/>
          <w14:textFill>
            <w14:solidFill>
              <w14:schemeClr w14:val="tx1"/>
            </w14:solidFill>
          </w14:textFill>
        </w:rPr>
      </w:pPr>
      <w:bookmarkStart w:id="599" w:name="_Toc226965858"/>
      <w:bookmarkStart w:id="600" w:name="_Toc353873940"/>
      <w:bookmarkStart w:id="601" w:name="_Toc127161490"/>
      <w:bookmarkStart w:id="602" w:name="_Toc353825550"/>
      <w:bookmarkStart w:id="603" w:name="_Toc127151779"/>
      <w:r>
        <w:rPr>
          <w:rFonts w:eastAsiaTheme="minorEastAsia"/>
          <w:color w:val="000000" w:themeColor="text1"/>
          <w:kern w:val="0"/>
          <w:sz w:val="24"/>
          <w14:textFill>
            <w14:solidFill>
              <w14:schemeClr w14:val="tx1"/>
            </w14:solidFill>
          </w14:textFill>
        </w:rPr>
        <w:t>《符合性审查要求》见下表：</w:t>
      </w:r>
      <w:bookmarkEnd w:id="599"/>
      <w:bookmarkEnd w:id="600"/>
      <w:bookmarkEnd w:id="601"/>
      <w:bookmarkEnd w:id="602"/>
      <w:bookmarkEnd w:id="603"/>
    </w:p>
    <w:p>
      <w:pPr>
        <w:jc w:val="center"/>
        <w:rPr>
          <w:b/>
          <w:sz w:val="24"/>
        </w:rPr>
      </w:pPr>
      <w:r>
        <w:rPr>
          <w:b/>
          <w:sz w:val="24"/>
        </w:rPr>
        <w:t>符合性审查要求</w:t>
      </w:r>
    </w:p>
    <w:tbl>
      <w:tblPr>
        <w:tblStyle w:val="44"/>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425"/>
        <w:gridCol w:w="492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7" w:type="pct"/>
            <w:vAlign w:val="center"/>
          </w:tcPr>
          <w:p>
            <w:pPr>
              <w:widowControl/>
              <w:jc w:val="center"/>
              <w:rPr>
                <w:b/>
                <w:color w:val="000000"/>
                <w:kern w:val="0"/>
                <w:sz w:val="24"/>
              </w:rPr>
            </w:pPr>
            <w:r>
              <w:rPr>
                <w:b/>
                <w:color w:val="000000"/>
                <w:kern w:val="0"/>
                <w:sz w:val="24"/>
              </w:rPr>
              <w:t>序号</w:t>
            </w:r>
          </w:p>
        </w:tc>
        <w:tc>
          <w:tcPr>
            <w:tcW w:w="841" w:type="pct"/>
            <w:vAlign w:val="center"/>
          </w:tcPr>
          <w:p>
            <w:pPr>
              <w:widowControl/>
              <w:jc w:val="center"/>
              <w:rPr>
                <w:b/>
                <w:color w:val="000000"/>
                <w:kern w:val="0"/>
                <w:sz w:val="24"/>
              </w:rPr>
            </w:pPr>
            <w:r>
              <w:rPr>
                <w:b/>
                <w:color w:val="000000"/>
                <w:kern w:val="0"/>
                <w:sz w:val="24"/>
              </w:rPr>
              <w:t>审查因素</w:t>
            </w:r>
          </w:p>
        </w:tc>
        <w:tc>
          <w:tcPr>
            <w:tcW w:w="2905" w:type="pct"/>
            <w:vAlign w:val="center"/>
          </w:tcPr>
          <w:p>
            <w:pPr>
              <w:widowControl/>
              <w:jc w:val="center"/>
              <w:rPr>
                <w:b/>
                <w:color w:val="000000"/>
                <w:kern w:val="0"/>
                <w:sz w:val="24"/>
              </w:rPr>
            </w:pPr>
            <w:r>
              <w:rPr>
                <w:b/>
                <w:color w:val="000000"/>
                <w:kern w:val="0"/>
                <w:sz w:val="24"/>
              </w:rPr>
              <w:t>审查内容</w:t>
            </w:r>
          </w:p>
        </w:tc>
        <w:tc>
          <w:tcPr>
            <w:tcW w:w="917" w:type="pct"/>
            <w:vAlign w:val="center"/>
          </w:tcPr>
          <w:p>
            <w:pPr>
              <w:widowControl/>
              <w:jc w:val="center"/>
              <w:rPr>
                <w:b/>
                <w:color w:val="000000"/>
                <w:kern w:val="0"/>
                <w:sz w:val="24"/>
              </w:rPr>
            </w:pPr>
            <w:r>
              <w:rPr>
                <w:b/>
                <w:color w:val="000000"/>
                <w:kern w:val="0"/>
                <w:sz w:val="24"/>
              </w:rPr>
              <w:t>是否允许澄清、说明</w:t>
            </w:r>
          </w:p>
          <w:p>
            <w:pPr>
              <w:widowControl/>
              <w:jc w:val="center"/>
              <w:rPr>
                <w:b/>
                <w:color w:val="000000"/>
                <w:kern w:val="0"/>
                <w:sz w:val="24"/>
              </w:rPr>
            </w:pPr>
            <w:r>
              <w:rPr>
                <w:b/>
                <w:color w:val="000000"/>
                <w:kern w:val="0"/>
                <w:sz w:val="24"/>
              </w:rPr>
              <w:t>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color w:val="000000"/>
                <w:kern w:val="0"/>
                <w:sz w:val="24"/>
              </w:rPr>
              <w:t>1</w:t>
            </w:r>
          </w:p>
        </w:tc>
        <w:tc>
          <w:tcPr>
            <w:tcW w:w="841" w:type="pct"/>
            <w:vAlign w:val="center"/>
          </w:tcPr>
          <w:p>
            <w:pPr>
              <w:widowControl/>
              <w:jc w:val="center"/>
              <w:rPr>
                <w:color w:val="000000"/>
                <w:kern w:val="0"/>
                <w:sz w:val="24"/>
              </w:rPr>
            </w:pPr>
            <w:r>
              <w:rPr>
                <w:color w:val="000000"/>
                <w:kern w:val="0"/>
                <w:sz w:val="24"/>
              </w:rPr>
              <w:t>授权委</w:t>
            </w:r>
          </w:p>
          <w:p>
            <w:pPr>
              <w:widowControl/>
              <w:jc w:val="center"/>
              <w:rPr>
                <w:color w:val="000000"/>
                <w:kern w:val="0"/>
                <w:sz w:val="24"/>
              </w:rPr>
            </w:pPr>
            <w:r>
              <w:rPr>
                <w:color w:val="000000"/>
                <w:kern w:val="0"/>
                <w:sz w:val="24"/>
              </w:rPr>
              <w:t>托书</w:t>
            </w:r>
          </w:p>
        </w:tc>
        <w:tc>
          <w:tcPr>
            <w:tcW w:w="2905" w:type="pct"/>
            <w:vAlign w:val="center"/>
          </w:tcPr>
          <w:p>
            <w:pPr>
              <w:widowControl/>
              <w:jc w:val="center"/>
              <w:rPr>
                <w:color w:val="000000"/>
                <w:kern w:val="0"/>
                <w:sz w:val="24"/>
              </w:rPr>
            </w:pPr>
            <w:r>
              <w:rPr>
                <w:color w:val="000000"/>
                <w:kern w:val="0"/>
                <w:sz w:val="24"/>
              </w:rPr>
              <w:t>按</w:t>
            </w:r>
            <w:r>
              <w:rPr>
                <w:rFonts w:hint="eastAsia"/>
                <w:color w:val="000000"/>
                <w:kern w:val="0"/>
                <w:sz w:val="24"/>
              </w:rPr>
              <w:t>谈判</w:t>
            </w:r>
            <w:r>
              <w:rPr>
                <w:color w:val="000000"/>
                <w:kern w:val="0"/>
                <w:sz w:val="24"/>
              </w:rPr>
              <w:t>文件要求提供授权委托书；</w:t>
            </w:r>
          </w:p>
        </w:tc>
        <w:tc>
          <w:tcPr>
            <w:tcW w:w="917" w:type="pct"/>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color w:val="000000"/>
                <w:kern w:val="0"/>
                <w:sz w:val="24"/>
              </w:rPr>
              <w:t>2</w:t>
            </w:r>
          </w:p>
        </w:tc>
        <w:tc>
          <w:tcPr>
            <w:tcW w:w="841" w:type="pct"/>
            <w:vAlign w:val="center"/>
          </w:tcPr>
          <w:p>
            <w:pPr>
              <w:widowControl/>
              <w:jc w:val="center"/>
              <w:rPr>
                <w:color w:val="000000"/>
                <w:kern w:val="0"/>
                <w:sz w:val="24"/>
              </w:rPr>
            </w:pPr>
            <w:r>
              <w:rPr>
                <w:color w:val="000000"/>
                <w:kern w:val="0"/>
                <w:sz w:val="24"/>
              </w:rPr>
              <w:t>投标</w:t>
            </w:r>
          </w:p>
          <w:p>
            <w:pPr>
              <w:widowControl/>
              <w:jc w:val="center"/>
              <w:rPr>
                <w:color w:val="000000"/>
                <w:kern w:val="0"/>
                <w:sz w:val="24"/>
              </w:rPr>
            </w:pPr>
            <w:r>
              <w:rPr>
                <w:color w:val="000000"/>
                <w:kern w:val="0"/>
                <w:sz w:val="24"/>
              </w:rPr>
              <w:t>完整性</w:t>
            </w:r>
          </w:p>
        </w:tc>
        <w:tc>
          <w:tcPr>
            <w:tcW w:w="2905" w:type="pct"/>
            <w:vAlign w:val="center"/>
          </w:tcPr>
          <w:p>
            <w:pPr>
              <w:widowControl/>
              <w:jc w:val="center"/>
              <w:rPr>
                <w:kern w:val="0"/>
                <w:sz w:val="24"/>
              </w:rPr>
            </w:pPr>
            <w:r>
              <w:rPr>
                <w:sz w:val="24"/>
              </w:rPr>
              <w:t>未将一个采购包中的内容拆分投标</w:t>
            </w:r>
            <w:r>
              <w:rPr>
                <w:rFonts w:hint="eastAsia"/>
                <w:sz w:val="24"/>
              </w:rPr>
              <w:t>或部分投标</w:t>
            </w:r>
            <w:r>
              <w:rPr>
                <w:sz w:val="24"/>
              </w:rPr>
              <w:t>；</w:t>
            </w:r>
          </w:p>
        </w:tc>
        <w:tc>
          <w:tcPr>
            <w:tcW w:w="917" w:type="pct"/>
            <w:vAlign w:val="center"/>
          </w:tcPr>
          <w:p>
            <w:pPr>
              <w:widowControl/>
              <w:jc w:val="center"/>
              <w:rPr>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color w:val="000000"/>
                <w:kern w:val="0"/>
                <w:sz w:val="24"/>
              </w:rPr>
              <w:t>3</w:t>
            </w:r>
          </w:p>
        </w:tc>
        <w:tc>
          <w:tcPr>
            <w:tcW w:w="841" w:type="pct"/>
            <w:vAlign w:val="center"/>
          </w:tcPr>
          <w:p>
            <w:pPr>
              <w:widowControl/>
              <w:jc w:val="center"/>
              <w:rPr>
                <w:color w:val="000000"/>
                <w:kern w:val="0"/>
                <w:sz w:val="24"/>
              </w:rPr>
            </w:pPr>
            <w:r>
              <w:rPr>
                <w:rFonts w:hint="eastAsia"/>
                <w:color w:val="000000"/>
                <w:kern w:val="0"/>
                <w:sz w:val="24"/>
              </w:rPr>
              <w:t>响应文件</w:t>
            </w:r>
          </w:p>
          <w:p>
            <w:pPr>
              <w:widowControl/>
              <w:jc w:val="center"/>
              <w:rPr>
                <w:color w:val="000000"/>
                <w:kern w:val="0"/>
                <w:sz w:val="24"/>
              </w:rPr>
            </w:pPr>
            <w:r>
              <w:rPr>
                <w:color w:val="000000"/>
                <w:kern w:val="0"/>
                <w:sz w:val="24"/>
              </w:rPr>
              <w:t>报价</w:t>
            </w:r>
          </w:p>
        </w:tc>
        <w:tc>
          <w:tcPr>
            <w:tcW w:w="2905" w:type="pct"/>
            <w:vAlign w:val="center"/>
          </w:tcPr>
          <w:p>
            <w:pPr>
              <w:widowControl/>
              <w:jc w:val="center"/>
              <w:rPr>
                <w:color w:val="000000"/>
                <w:kern w:val="0"/>
                <w:sz w:val="24"/>
              </w:rPr>
            </w:pPr>
            <w:r>
              <w:rPr>
                <w:rFonts w:hint="eastAsia"/>
                <w:color w:val="000000"/>
                <w:kern w:val="0"/>
                <w:sz w:val="24"/>
              </w:rPr>
              <w:t>响应文件</w:t>
            </w:r>
            <w:r>
              <w:rPr>
                <w:color w:val="000000"/>
                <w:kern w:val="0"/>
                <w:sz w:val="24"/>
              </w:rPr>
              <w:t>报价未</w:t>
            </w:r>
            <w:r>
              <w:rPr>
                <w:color w:val="000000"/>
                <w:sz w:val="24"/>
              </w:rPr>
              <w:t>超过</w:t>
            </w:r>
            <w:r>
              <w:rPr>
                <w:rFonts w:hint="eastAsia"/>
                <w:color w:val="000000"/>
                <w:sz w:val="24"/>
              </w:rPr>
              <w:t>谈判</w:t>
            </w:r>
            <w:r>
              <w:rPr>
                <w:color w:val="000000"/>
                <w:sz w:val="24"/>
              </w:rPr>
              <w:t>文件中规定的项目/采购包预算金额或者项目最高限价</w:t>
            </w:r>
            <w:r>
              <w:rPr>
                <w:color w:val="000000"/>
                <w:kern w:val="0"/>
                <w:sz w:val="24"/>
              </w:rPr>
              <w:t>；</w:t>
            </w:r>
          </w:p>
        </w:tc>
        <w:tc>
          <w:tcPr>
            <w:tcW w:w="917" w:type="pct"/>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color w:val="000000"/>
                <w:kern w:val="0"/>
                <w:sz w:val="24"/>
              </w:rPr>
              <w:t>4</w:t>
            </w:r>
          </w:p>
        </w:tc>
        <w:tc>
          <w:tcPr>
            <w:tcW w:w="841" w:type="pct"/>
            <w:vAlign w:val="center"/>
          </w:tcPr>
          <w:p>
            <w:pPr>
              <w:widowControl/>
              <w:jc w:val="center"/>
              <w:rPr>
                <w:color w:val="000000"/>
                <w:kern w:val="0"/>
                <w:sz w:val="24"/>
              </w:rPr>
            </w:pPr>
            <w:r>
              <w:rPr>
                <w:color w:val="000000"/>
                <w:kern w:val="0"/>
                <w:sz w:val="24"/>
              </w:rPr>
              <w:t>报价</w:t>
            </w:r>
          </w:p>
          <w:p>
            <w:pPr>
              <w:widowControl/>
              <w:jc w:val="center"/>
              <w:rPr>
                <w:color w:val="000000"/>
                <w:kern w:val="0"/>
                <w:sz w:val="24"/>
              </w:rPr>
            </w:pPr>
            <w:r>
              <w:rPr>
                <w:color w:val="000000"/>
                <w:kern w:val="0"/>
                <w:sz w:val="24"/>
              </w:rPr>
              <w:t>唯一性</w:t>
            </w:r>
          </w:p>
        </w:tc>
        <w:tc>
          <w:tcPr>
            <w:tcW w:w="2905" w:type="pct"/>
            <w:vAlign w:val="center"/>
          </w:tcPr>
          <w:p>
            <w:pPr>
              <w:widowControl/>
              <w:jc w:val="center"/>
              <w:rPr>
                <w:sz w:val="24"/>
              </w:rPr>
            </w:pPr>
            <w:r>
              <w:rPr>
                <w:color w:val="000000"/>
                <w:kern w:val="0"/>
                <w:sz w:val="24"/>
              </w:rPr>
              <w:t>响应文件未</w:t>
            </w:r>
            <w:r>
              <w:rPr>
                <w:sz w:val="24"/>
              </w:rPr>
              <w:t>出现可选择性或可调整的报价</w:t>
            </w:r>
          </w:p>
          <w:p>
            <w:pPr>
              <w:widowControl/>
              <w:jc w:val="center"/>
              <w:rPr>
                <w:color w:val="000000"/>
                <w:kern w:val="0"/>
                <w:sz w:val="24"/>
              </w:rPr>
            </w:pPr>
            <w:r>
              <w:rPr>
                <w:sz w:val="24"/>
              </w:rPr>
              <w:t>（</w:t>
            </w:r>
            <w:r>
              <w:rPr>
                <w:rFonts w:hint="eastAsia"/>
                <w:sz w:val="24"/>
              </w:rPr>
              <w:t>谈判</w:t>
            </w:r>
            <w:r>
              <w:rPr>
                <w:sz w:val="24"/>
              </w:rPr>
              <w:t>文件另有规定的除外）</w:t>
            </w:r>
            <w:r>
              <w:rPr>
                <w:color w:val="000000"/>
                <w:kern w:val="0"/>
                <w:sz w:val="24"/>
              </w:rPr>
              <w:t>；</w:t>
            </w:r>
          </w:p>
        </w:tc>
        <w:tc>
          <w:tcPr>
            <w:tcW w:w="917" w:type="pct"/>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rFonts w:hint="eastAsia"/>
                <w:color w:val="000000"/>
                <w:kern w:val="0"/>
                <w:sz w:val="24"/>
              </w:rPr>
              <w:t>5</w:t>
            </w:r>
          </w:p>
        </w:tc>
        <w:tc>
          <w:tcPr>
            <w:tcW w:w="841" w:type="pct"/>
            <w:vAlign w:val="center"/>
          </w:tcPr>
          <w:p>
            <w:pPr>
              <w:widowControl/>
              <w:jc w:val="center"/>
              <w:rPr>
                <w:color w:val="000000"/>
                <w:kern w:val="0"/>
                <w:sz w:val="24"/>
              </w:rPr>
            </w:pPr>
            <w:r>
              <w:rPr>
                <w:rFonts w:hint="eastAsia"/>
                <w:color w:val="000000"/>
                <w:kern w:val="0"/>
                <w:sz w:val="24"/>
              </w:rPr>
              <w:t>响应</w:t>
            </w:r>
          </w:p>
          <w:p>
            <w:pPr>
              <w:widowControl/>
              <w:jc w:val="center"/>
              <w:rPr>
                <w:color w:val="000000"/>
                <w:kern w:val="0"/>
                <w:sz w:val="24"/>
              </w:rPr>
            </w:pPr>
            <w:r>
              <w:rPr>
                <w:color w:val="000000"/>
                <w:kern w:val="0"/>
                <w:sz w:val="24"/>
              </w:rPr>
              <w:t>有效期</w:t>
            </w:r>
          </w:p>
        </w:tc>
        <w:tc>
          <w:tcPr>
            <w:tcW w:w="2905" w:type="pct"/>
            <w:vAlign w:val="center"/>
          </w:tcPr>
          <w:p>
            <w:pPr>
              <w:widowControl/>
              <w:jc w:val="center"/>
              <w:rPr>
                <w:color w:val="000000"/>
                <w:kern w:val="0"/>
                <w:sz w:val="24"/>
              </w:rPr>
            </w:pPr>
            <w:r>
              <w:rPr>
                <w:color w:val="000000"/>
                <w:kern w:val="0"/>
                <w:sz w:val="24"/>
              </w:rPr>
              <w:t>响应文件中承诺的</w:t>
            </w:r>
            <w:r>
              <w:rPr>
                <w:rFonts w:hint="eastAsia"/>
                <w:color w:val="000000"/>
                <w:kern w:val="0"/>
                <w:sz w:val="24"/>
              </w:rPr>
              <w:t>响应</w:t>
            </w:r>
            <w:r>
              <w:rPr>
                <w:color w:val="000000"/>
                <w:kern w:val="0"/>
                <w:sz w:val="24"/>
              </w:rPr>
              <w:t>有效期满足</w:t>
            </w:r>
            <w:r>
              <w:rPr>
                <w:rFonts w:hint="eastAsia"/>
                <w:color w:val="000000"/>
                <w:kern w:val="0"/>
                <w:sz w:val="24"/>
              </w:rPr>
              <w:t>谈判</w:t>
            </w:r>
            <w:r>
              <w:rPr>
                <w:color w:val="000000"/>
                <w:kern w:val="0"/>
                <w:sz w:val="24"/>
              </w:rPr>
              <w:t>文件</w:t>
            </w:r>
          </w:p>
          <w:p>
            <w:pPr>
              <w:widowControl/>
              <w:jc w:val="center"/>
              <w:rPr>
                <w:color w:val="000000"/>
                <w:kern w:val="0"/>
                <w:sz w:val="24"/>
              </w:rPr>
            </w:pPr>
            <w:r>
              <w:rPr>
                <w:color w:val="000000"/>
                <w:kern w:val="0"/>
                <w:sz w:val="24"/>
              </w:rPr>
              <w:t>中载明的</w:t>
            </w:r>
            <w:r>
              <w:rPr>
                <w:rFonts w:hint="eastAsia"/>
                <w:color w:val="000000"/>
                <w:kern w:val="0"/>
                <w:sz w:val="24"/>
              </w:rPr>
              <w:t>响应</w:t>
            </w:r>
            <w:r>
              <w:rPr>
                <w:color w:val="000000"/>
                <w:kern w:val="0"/>
                <w:sz w:val="24"/>
              </w:rPr>
              <w:t>有效期的；</w:t>
            </w:r>
          </w:p>
        </w:tc>
        <w:tc>
          <w:tcPr>
            <w:tcW w:w="917" w:type="pct"/>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rFonts w:hint="eastAsia"/>
                <w:color w:val="000000"/>
                <w:kern w:val="0"/>
                <w:sz w:val="24"/>
              </w:rPr>
              <w:t>6</w:t>
            </w:r>
          </w:p>
        </w:tc>
        <w:tc>
          <w:tcPr>
            <w:tcW w:w="841" w:type="pct"/>
            <w:vAlign w:val="center"/>
          </w:tcPr>
          <w:p>
            <w:pPr>
              <w:widowControl/>
              <w:jc w:val="center"/>
              <w:rPr>
                <w:color w:val="000000"/>
                <w:kern w:val="0"/>
                <w:sz w:val="24"/>
              </w:rPr>
            </w:pPr>
            <w:r>
              <w:rPr>
                <w:color w:val="000000"/>
                <w:kern w:val="0"/>
                <w:sz w:val="24"/>
              </w:rPr>
              <w:t>实质性</w:t>
            </w:r>
          </w:p>
          <w:p>
            <w:pPr>
              <w:widowControl/>
              <w:jc w:val="center"/>
              <w:rPr>
                <w:color w:val="000000"/>
                <w:kern w:val="0"/>
                <w:sz w:val="24"/>
              </w:rPr>
            </w:pPr>
            <w:r>
              <w:rPr>
                <w:color w:val="000000"/>
                <w:kern w:val="0"/>
                <w:sz w:val="24"/>
              </w:rPr>
              <w:t>格式</w:t>
            </w:r>
          </w:p>
        </w:tc>
        <w:tc>
          <w:tcPr>
            <w:tcW w:w="2905" w:type="pct"/>
            <w:vAlign w:val="center"/>
          </w:tcPr>
          <w:p>
            <w:pPr>
              <w:widowControl/>
              <w:jc w:val="center"/>
              <w:rPr>
                <w:kern w:val="0"/>
                <w:sz w:val="24"/>
              </w:rPr>
            </w:pPr>
            <w:r>
              <w:rPr>
                <w:kern w:val="0"/>
                <w:sz w:val="24"/>
              </w:rPr>
              <w:t>标记为“实质性格式”的文件均按</w:t>
            </w:r>
            <w:r>
              <w:rPr>
                <w:rFonts w:hint="eastAsia"/>
                <w:kern w:val="0"/>
                <w:sz w:val="24"/>
              </w:rPr>
              <w:t>谈判</w:t>
            </w:r>
            <w:r>
              <w:rPr>
                <w:kern w:val="0"/>
                <w:sz w:val="24"/>
              </w:rPr>
              <w:t>文件要求提供且签署、盖章的；</w:t>
            </w:r>
          </w:p>
        </w:tc>
        <w:tc>
          <w:tcPr>
            <w:tcW w:w="917" w:type="pct"/>
            <w:vAlign w:val="center"/>
          </w:tcPr>
          <w:p>
            <w:pPr>
              <w:widowControl/>
              <w:jc w:val="center"/>
              <w:rPr>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rFonts w:hint="eastAsia"/>
                <w:color w:val="000000"/>
                <w:kern w:val="0"/>
                <w:sz w:val="24"/>
              </w:rPr>
              <w:t>7</w:t>
            </w:r>
          </w:p>
        </w:tc>
        <w:tc>
          <w:tcPr>
            <w:tcW w:w="841" w:type="pct"/>
            <w:vAlign w:val="center"/>
          </w:tcPr>
          <w:p>
            <w:pPr>
              <w:widowControl/>
              <w:jc w:val="center"/>
              <w:rPr>
                <w:color w:val="000000"/>
                <w:kern w:val="0"/>
                <w:sz w:val="24"/>
              </w:rPr>
            </w:pPr>
            <w:r>
              <w:rPr>
                <w:rFonts w:hint="eastAsia"/>
                <w:color w:val="000000"/>
                <w:kern w:val="0"/>
                <w:sz w:val="24"/>
              </w:rPr>
              <w:t>★号条款响应</w:t>
            </w:r>
          </w:p>
        </w:tc>
        <w:tc>
          <w:tcPr>
            <w:tcW w:w="2905" w:type="pct"/>
            <w:vAlign w:val="center"/>
          </w:tcPr>
          <w:p>
            <w:pPr>
              <w:widowControl/>
              <w:jc w:val="center"/>
              <w:rPr>
                <w:bCs/>
                <w:color w:val="0D0D0D" w:themeColor="text1" w:themeTint="F2"/>
                <w:sz w:val="24"/>
                <w14:textFill>
                  <w14:solidFill>
                    <w14:schemeClr w14:val="tx1">
                      <w14:lumMod w14:val="95000"/>
                      <w14:lumOff w14:val="5000"/>
                    </w14:schemeClr>
                  </w14:solidFill>
                </w14:textFill>
              </w:rPr>
            </w:pPr>
            <w:r>
              <w:rPr>
                <w:rFonts w:hint="eastAsia"/>
                <w:bCs/>
                <w:color w:val="0D0D0D" w:themeColor="text1" w:themeTint="F2"/>
                <w:sz w:val="24"/>
                <w14:textFill>
                  <w14:solidFill>
                    <w14:schemeClr w14:val="tx1">
                      <w14:lumMod w14:val="95000"/>
                      <w14:lumOff w14:val="5000"/>
                    </w14:schemeClr>
                  </w14:solidFill>
                </w14:textFill>
              </w:rPr>
              <w:t>满足谈判文件第四章《采购需求》中</w:t>
            </w:r>
          </w:p>
          <w:p>
            <w:pPr>
              <w:widowControl/>
              <w:jc w:val="center"/>
              <w:rPr>
                <w:kern w:val="0"/>
                <w:sz w:val="24"/>
              </w:rPr>
            </w:pPr>
            <w:r>
              <w:rPr>
                <w:rFonts w:hint="eastAsia"/>
                <w:bCs/>
                <w:color w:val="0D0D0D" w:themeColor="text1" w:themeTint="F2"/>
                <w:sz w:val="24"/>
                <w14:textFill>
                  <w14:solidFill>
                    <w14:schemeClr w14:val="tx1">
                      <w14:lumMod w14:val="95000"/>
                      <w14:lumOff w14:val="5000"/>
                    </w14:schemeClr>
                  </w14:solidFill>
                </w14:textFill>
              </w:rPr>
              <w:t>★号条款要求的；</w:t>
            </w:r>
          </w:p>
        </w:tc>
        <w:tc>
          <w:tcPr>
            <w:tcW w:w="917" w:type="pct"/>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rFonts w:hint="eastAsia"/>
                <w:color w:val="000000"/>
                <w:kern w:val="0"/>
                <w:sz w:val="24"/>
              </w:rPr>
              <w:t>8</w:t>
            </w:r>
          </w:p>
        </w:tc>
        <w:tc>
          <w:tcPr>
            <w:tcW w:w="841" w:type="pct"/>
            <w:shd w:val="clear" w:color="auto" w:fill="auto"/>
            <w:vAlign w:val="center"/>
          </w:tcPr>
          <w:p>
            <w:pPr>
              <w:widowControl/>
              <w:jc w:val="left"/>
              <w:rPr>
                <w:color w:val="000000"/>
                <w:kern w:val="0"/>
                <w:sz w:val="24"/>
              </w:rPr>
            </w:pPr>
            <w:r>
              <w:rPr>
                <w:color w:val="000000"/>
                <w:kern w:val="0"/>
                <w:sz w:val="24"/>
              </w:rPr>
              <w:t>进口产品</w:t>
            </w:r>
          </w:p>
        </w:tc>
        <w:tc>
          <w:tcPr>
            <w:tcW w:w="2905" w:type="pct"/>
            <w:shd w:val="clear" w:color="auto" w:fill="auto"/>
            <w:vAlign w:val="center"/>
          </w:tcPr>
          <w:p>
            <w:pPr>
              <w:widowControl/>
              <w:jc w:val="center"/>
              <w:rPr>
                <w:b/>
                <w:bCs/>
                <w:color w:val="0D0D0D" w:themeColor="text1" w:themeTint="F2"/>
                <w:sz w:val="24"/>
                <w14:textFill>
                  <w14:solidFill>
                    <w14:schemeClr w14:val="tx1">
                      <w14:lumMod w14:val="95000"/>
                      <w14:lumOff w14:val="5000"/>
                    </w14:schemeClr>
                  </w14:solidFill>
                </w14:textFill>
              </w:rPr>
            </w:pPr>
            <w:r>
              <w:rPr>
                <w:rFonts w:hint="eastAsia"/>
                <w:sz w:val="24"/>
              </w:rPr>
              <w:t>谈判</w:t>
            </w:r>
            <w:r>
              <w:rPr>
                <w:sz w:val="24"/>
              </w:rPr>
              <w:t>文件不接受进口产品投标的内容时，</w:t>
            </w:r>
            <w:r>
              <w:rPr>
                <w:rFonts w:hint="eastAsia"/>
                <w:sz w:val="24"/>
              </w:rPr>
              <w:t>供应商</w:t>
            </w:r>
            <w:r>
              <w:rPr>
                <w:sz w:val="24"/>
              </w:rPr>
              <w:t>所投产品不含进口产品；</w:t>
            </w:r>
          </w:p>
        </w:tc>
        <w:tc>
          <w:tcPr>
            <w:tcW w:w="917" w:type="pct"/>
            <w:shd w:val="clear" w:color="auto" w:fill="auto"/>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rFonts w:hint="eastAsia"/>
                <w:color w:val="000000"/>
                <w:kern w:val="0"/>
                <w:sz w:val="24"/>
              </w:rPr>
              <w:t>9</w:t>
            </w:r>
          </w:p>
        </w:tc>
        <w:tc>
          <w:tcPr>
            <w:tcW w:w="841" w:type="pct"/>
            <w:shd w:val="clear" w:color="auto" w:fill="auto"/>
            <w:vAlign w:val="center"/>
          </w:tcPr>
          <w:p>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的投标产品有强制性规定或要求的</w:t>
            </w:r>
          </w:p>
        </w:tc>
        <w:tc>
          <w:tcPr>
            <w:tcW w:w="2905" w:type="pct"/>
            <w:shd w:val="clear" w:color="auto" w:fill="auto"/>
            <w:vAlign w:val="center"/>
          </w:tcPr>
          <w:p>
            <w:pPr>
              <w:widowControl/>
              <w:jc w:val="left"/>
              <w:rPr>
                <w:color w:val="000000"/>
                <w:kern w:val="0"/>
                <w:sz w:val="24"/>
              </w:rPr>
            </w:pPr>
            <w:r>
              <w:rPr>
                <w:rFonts w:hint="eastAsia"/>
                <w:color w:val="000000"/>
                <w:kern w:val="0"/>
                <w:sz w:val="24"/>
              </w:rPr>
              <w:t>国家有关部门对供应商的投标产品有强制性规定或要求的（如相应技术、安全、节能和环保等），供应商的投标产品应符合相应规定或要求，并提供证明文件电子件：</w:t>
            </w:r>
          </w:p>
          <w:p>
            <w:pPr>
              <w:widowControl/>
              <w:jc w:val="left"/>
              <w:rPr>
                <w:color w:val="000000"/>
                <w:kern w:val="0"/>
                <w:sz w:val="24"/>
              </w:rPr>
            </w:pPr>
            <w:r>
              <w:rPr>
                <w:rFonts w:hint="eastAsia"/>
                <w:color w:val="000000"/>
                <w:kern w:val="0"/>
                <w:sz w:val="24"/>
              </w:rPr>
              <w:t>采购的产品若属于《节能产品政府采购品目清单》范围中政府强制采购产品，则供应商所报产品必须获得国家确定的认证机构出具的、处于有效期之内的节能产品认证证书；</w:t>
            </w:r>
          </w:p>
        </w:tc>
        <w:tc>
          <w:tcPr>
            <w:tcW w:w="917" w:type="pct"/>
            <w:shd w:val="clear" w:color="auto" w:fill="auto"/>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color w:val="000000"/>
                <w:kern w:val="0"/>
                <w:sz w:val="24"/>
              </w:rPr>
              <w:t>10</w:t>
            </w:r>
          </w:p>
        </w:tc>
        <w:tc>
          <w:tcPr>
            <w:tcW w:w="841" w:type="pct"/>
            <w:vAlign w:val="center"/>
          </w:tcPr>
          <w:p>
            <w:pPr>
              <w:widowControl/>
              <w:jc w:val="center"/>
              <w:rPr>
                <w:color w:val="000000"/>
                <w:kern w:val="0"/>
                <w:sz w:val="24"/>
              </w:rPr>
            </w:pPr>
            <w:r>
              <w:rPr>
                <w:color w:val="000000"/>
                <w:kern w:val="0"/>
                <w:sz w:val="24"/>
              </w:rPr>
              <w:t>附加条件</w:t>
            </w:r>
          </w:p>
        </w:tc>
        <w:tc>
          <w:tcPr>
            <w:tcW w:w="2905" w:type="pct"/>
            <w:vAlign w:val="center"/>
          </w:tcPr>
          <w:p>
            <w:pPr>
              <w:widowControl/>
              <w:jc w:val="center"/>
              <w:rPr>
                <w:color w:val="000000"/>
                <w:kern w:val="0"/>
                <w:sz w:val="24"/>
              </w:rPr>
            </w:pPr>
            <w:r>
              <w:rPr>
                <w:color w:val="000000"/>
                <w:kern w:val="0"/>
                <w:sz w:val="24"/>
              </w:rPr>
              <w:t>响应文件未含有采购人不能接受的附加条件的；</w:t>
            </w:r>
          </w:p>
        </w:tc>
        <w:tc>
          <w:tcPr>
            <w:tcW w:w="917" w:type="pct"/>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7" w:type="pct"/>
            <w:vAlign w:val="center"/>
          </w:tcPr>
          <w:p>
            <w:pPr>
              <w:widowControl/>
              <w:jc w:val="center"/>
              <w:rPr>
                <w:color w:val="000000"/>
                <w:kern w:val="0"/>
                <w:sz w:val="24"/>
              </w:rPr>
            </w:pPr>
            <w:r>
              <w:rPr>
                <w:rFonts w:hint="eastAsia"/>
                <w:color w:val="000000"/>
                <w:kern w:val="0"/>
                <w:sz w:val="24"/>
              </w:rPr>
              <w:t>11</w:t>
            </w:r>
          </w:p>
        </w:tc>
        <w:tc>
          <w:tcPr>
            <w:tcW w:w="841" w:type="pct"/>
            <w:vAlign w:val="center"/>
          </w:tcPr>
          <w:p>
            <w:pPr>
              <w:widowControl/>
              <w:jc w:val="center"/>
              <w:rPr>
                <w:color w:val="000000"/>
                <w:kern w:val="0"/>
                <w:sz w:val="24"/>
              </w:rPr>
            </w:pPr>
            <w:r>
              <w:rPr>
                <w:color w:val="000000"/>
                <w:kern w:val="0"/>
                <w:sz w:val="24"/>
              </w:rPr>
              <w:t>其他无效</w:t>
            </w:r>
          </w:p>
          <w:p>
            <w:pPr>
              <w:widowControl/>
              <w:jc w:val="center"/>
              <w:rPr>
                <w:color w:val="000000"/>
                <w:kern w:val="0"/>
                <w:sz w:val="24"/>
              </w:rPr>
            </w:pPr>
            <w:r>
              <w:rPr>
                <w:color w:val="000000"/>
                <w:kern w:val="0"/>
                <w:sz w:val="24"/>
              </w:rPr>
              <w:t>情形</w:t>
            </w:r>
          </w:p>
        </w:tc>
        <w:tc>
          <w:tcPr>
            <w:tcW w:w="2905" w:type="pct"/>
            <w:vAlign w:val="center"/>
          </w:tcPr>
          <w:p>
            <w:pPr>
              <w:widowControl/>
              <w:jc w:val="center"/>
              <w:rPr>
                <w:color w:val="000000"/>
                <w:kern w:val="0"/>
                <w:sz w:val="24"/>
              </w:rPr>
            </w:pPr>
            <w:r>
              <w:rPr>
                <w:color w:val="000000"/>
                <w:sz w:val="24"/>
              </w:rPr>
              <w:t>供应商、响应文件不存在不符合法律、法规和</w:t>
            </w:r>
            <w:r>
              <w:rPr>
                <w:rFonts w:hint="eastAsia"/>
                <w:color w:val="000000"/>
                <w:sz w:val="24"/>
              </w:rPr>
              <w:t>谈判</w:t>
            </w:r>
            <w:r>
              <w:rPr>
                <w:color w:val="000000"/>
                <w:sz w:val="24"/>
              </w:rPr>
              <w:t>文件规定的其他无效情形。</w:t>
            </w:r>
          </w:p>
        </w:tc>
        <w:tc>
          <w:tcPr>
            <w:tcW w:w="917" w:type="pct"/>
            <w:vAlign w:val="center"/>
          </w:tcPr>
          <w:p>
            <w:pPr>
              <w:widowControl/>
              <w:jc w:val="center"/>
              <w:rPr>
                <w:color w:val="000000"/>
                <w:sz w:val="24"/>
              </w:rPr>
            </w:pPr>
            <w:r>
              <w:rPr>
                <w:rFonts w:hint="eastAsia"/>
                <w:color w:val="000000"/>
                <w:kern w:val="0"/>
                <w:sz w:val="24"/>
              </w:rPr>
              <w:t>否</w:t>
            </w:r>
          </w:p>
        </w:tc>
      </w:tr>
    </w:tbl>
    <w:p>
      <w:pPr>
        <w:widowControl/>
        <w:jc w:val="left"/>
        <w:rPr>
          <w:sz w:val="24"/>
        </w:rPr>
      </w:pPr>
    </w:p>
    <w:p>
      <w:pPr>
        <w:widowControl/>
        <w:jc w:val="left"/>
        <w:rPr>
          <w:sz w:val="24"/>
        </w:rPr>
      </w:pPr>
    </w:p>
    <w:p>
      <w:pPr>
        <w:spacing w:line="360" w:lineRule="auto"/>
        <w:jc w:val="center"/>
        <w:outlineLvl w:val="0"/>
        <w:rPr>
          <w:sz w:val="24"/>
        </w:rPr>
      </w:pPr>
      <w:r>
        <w:rPr>
          <w:sz w:val="24"/>
        </w:rPr>
        <w:br w:type="page"/>
      </w:r>
    </w:p>
    <w:p>
      <w:pPr>
        <w:numPr>
          <w:ilvl w:val="0"/>
          <w:numId w:val="11"/>
        </w:numPr>
        <w:tabs>
          <w:tab w:val="left" w:pos="360"/>
        </w:tabs>
        <w:snapToGrid w:val="0"/>
        <w:spacing w:line="360" w:lineRule="auto"/>
        <w:outlineLvl w:val="1"/>
        <w:rPr>
          <w:sz w:val="24"/>
        </w:rPr>
      </w:pPr>
      <w:r>
        <w:rPr>
          <w:sz w:val="24"/>
        </w:rPr>
        <w:t>谈判、</w:t>
      </w:r>
      <w:r>
        <w:rPr>
          <w:rFonts w:eastAsiaTheme="minorEastAsia"/>
          <w:sz w:val="24"/>
        </w:rPr>
        <w:t>响应文件有关事项的澄清、说明或者更正</w:t>
      </w:r>
      <w:r>
        <w:rPr>
          <w:sz w:val="24"/>
        </w:rPr>
        <w:t>和最后报价</w:t>
      </w:r>
    </w:p>
    <w:p>
      <w:pPr>
        <w:numPr>
          <w:ilvl w:val="1"/>
          <w:numId w:val="11"/>
        </w:numPr>
        <w:tabs>
          <w:tab w:val="left" w:pos="1080"/>
          <w:tab w:val="left" w:pos="2014"/>
        </w:tabs>
        <w:snapToGrid w:val="0"/>
        <w:spacing w:line="360" w:lineRule="auto"/>
        <w:ind w:left="1077" w:hanging="720"/>
        <w:rPr>
          <w:sz w:val="24"/>
        </w:rPr>
      </w:pPr>
      <w:r>
        <w:rPr>
          <w:sz w:val="24"/>
        </w:rPr>
        <w:t>谈判小组所有成员将集中与单一供应商分别进行谈判，并给予所有参加谈判的供应商平等的谈判机会。在谈判中，谈判的任何一方不得透露与谈判有关的其他供应商的技术资料、价格和其他信息。</w:t>
      </w:r>
    </w:p>
    <w:p>
      <w:pPr>
        <w:numPr>
          <w:ilvl w:val="1"/>
          <w:numId w:val="11"/>
        </w:numPr>
        <w:tabs>
          <w:tab w:val="left" w:pos="1080"/>
          <w:tab w:val="left" w:pos="2014"/>
        </w:tabs>
        <w:snapToGrid w:val="0"/>
        <w:spacing w:line="360" w:lineRule="auto"/>
        <w:ind w:left="1077" w:hanging="720"/>
        <w:rPr>
          <w:sz w:val="24"/>
        </w:rPr>
      </w:pPr>
      <w:r>
        <w:rPr>
          <w:sz w:val="24"/>
        </w:rPr>
        <w:t>在谈判过程中，谈判小组可以根据谈判文件和谈判情况实质性变动采购需求中的技术、服务要求以及合同草案条款，但不得变动谈判文件中的其他内容。实质性变动的内容，须经采购人代表确认。</w:t>
      </w:r>
    </w:p>
    <w:p>
      <w:pPr>
        <w:numPr>
          <w:ilvl w:val="1"/>
          <w:numId w:val="11"/>
        </w:numPr>
        <w:tabs>
          <w:tab w:val="left" w:pos="1080"/>
          <w:tab w:val="left" w:pos="2014"/>
        </w:tabs>
        <w:snapToGrid w:val="0"/>
        <w:spacing w:line="360" w:lineRule="auto"/>
        <w:ind w:left="1077" w:hanging="720"/>
        <w:rPr>
          <w:sz w:val="24"/>
        </w:rPr>
      </w:pPr>
      <w:r>
        <w:rPr>
          <w:sz w:val="24"/>
        </w:rPr>
        <w:t>对谈判文件作出的实质性变动是谈判文件的有效组成部分，谈判小组将及时以书面形式同时通知所有参加谈判的供应商。</w:t>
      </w:r>
    </w:p>
    <w:p>
      <w:pPr>
        <w:numPr>
          <w:ilvl w:val="1"/>
          <w:numId w:val="11"/>
        </w:numPr>
        <w:tabs>
          <w:tab w:val="left" w:pos="1080"/>
          <w:tab w:val="left" w:pos="2014"/>
        </w:tabs>
        <w:snapToGrid w:val="0"/>
        <w:spacing w:line="360" w:lineRule="auto"/>
        <w:ind w:left="1077" w:hanging="720"/>
        <w:rPr>
          <w:sz w:val="24"/>
        </w:rPr>
      </w:pPr>
      <w:r>
        <w:rPr>
          <w:sz w:val="24"/>
        </w:rPr>
        <w:t>供应商应当按照谈判文件的变动情况和谈判小组的要求重新提交响应文件，并由其法定代表人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sz w:val="24"/>
        </w:rPr>
        <w:t>或授权代表签字或者加盖公章。</w:t>
      </w:r>
      <w:r>
        <w:rPr>
          <w:rFonts w:eastAsiaTheme="minorEastAsia"/>
          <w:kern w:val="0"/>
          <w:sz w:val="24"/>
        </w:rPr>
        <w:t>由授权代表签字的，应当附授权委托书。</w:t>
      </w:r>
      <w:r>
        <w:rPr>
          <w:sz w:val="24"/>
        </w:rPr>
        <w:t>供应商为自然人的，应当由本人签字并附身份证明。</w:t>
      </w:r>
    </w:p>
    <w:p>
      <w:pPr>
        <w:numPr>
          <w:ilvl w:val="1"/>
          <w:numId w:val="11"/>
        </w:numPr>
        <w:tabs>
          <w:tab w:val="left" w:pos="1080"/>
          <w:tab w:val="left" w:pos="2014"/>
        </w:tabs>
        <w:snapToGrid w:val="0"/>
        <w:spacing w:line="360" w:lineRule="auto"/>
        <w:ind w:left="1077" w:hanging="720"/>
        <w:rPr>
          <w:sz w:val="24"/>
        </w:rPr>
      </w:pPr>
      <w:r>
        <w:rPr>
          <w:rFonts w:eastAsiaTheme="minorEastAsia"/>
          <w:sz w:val="24"/>
        </w:rPr>
        <w:t>响应文件的澄清、说明或者更正</w:t>
      </w:r>
      <w:r>
        <w:rPr>
          <w:sz w:val="24"/>
        </w:rPr>
        <w:t>：</w:t>
      </w:r>
    </w:p>
    <w:p>
      <w:pPr>
        <w:numPr>
          <w:ilvl w:val="2"/>
          <w:numId w:val="11"/>
        </w:numPr>
        <w:snapToGrid w:val="0"/>
        <w:spacing w:line="360" w:lineRule="auto"/>
        <w:rPr>
          <w:sz w:val="24"/>
        </w:rPr>
      </w:pPr>
      <w:r>
        <w:rPr>
          <w:sz w:val="24"/>
        </w:rPr>
        <w:t>谈判小组在对响应文件的有效性、完整性和响应程度进行审查时，可以要求供应商对响应文件中含义不明确、同类问题表述不一致或者有明显文字和计算错误的内容等作出必要的澄清、说明或者更正。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1"/>
        </w:numPr>
        <w:snapToGrid w:val="0"/>
        <w:spacing w:line="360" w:lineRule="auto"/>
        <w:rPr>
          <w:sz w:val="24"/>
        </w:rPr>
      </w:pPr>
      <w:r>
        <w:rPr>
          <w:sz w:val="24"/>
        </w:rPr>
        <w:t>谈判小组对响应文件进行审查，如发现供应商提交的响应文件存在不满足《符合性审查要求》的内容，如属于表中“不允许”澄清、说明或者更正的内容，则供应商响应文件</w:t>
      </w:r>
      <w:r>
        <w:rPr>
          <w:b/>
          <w:bCs/>
          <w:sz w:val="24"/>
        </w:rPr>
        <w:t>按无效处理</w:t>
      </w:r>
      <w:r>
        <w:rPr>
          <w:sz w:val="24"/>
        </w:rPr>
        <w:t>；如属于表中的“允许”澄清、说明或更正的内容，谈判小组将要求供应商在规定的时间内对响应文件进行澄清、说明或者更正。如供应商在谈判小组规定的时间内未作出必要的澄清、说明或者更正，或澄清、说明或者更正后仍不能满足采购文件要求的，则供应商的响应文件</w:t>
      </w:r>
      <w:r>
        <w:rPr>
          <w:b/>
          <w:bCs/>
          <w:sz w:val="24"/>
        </w:rPr>
        <w:t>按无效处理</w:t>
      </w:r>
      <w:r>
        <w:rPr>
          <w:sz w:val="24"/>
        </w:rPr>
        <w:t>。</w:t>
      </w:r>
    </w:p>
    <w:p>
      <w:pPr>
        <w:numPr>
          <w:ilvl w:val="2"/>
          <w:numId w:val="11"/>
        </w:numPr>
        <w:snapToGrid w:val="0"/>
        <w:spacing w:line="360" w:lineRule="auto"/>
        <w:rPr>
          <w:sz w:val="24"/>
        </w:rPr>
      </w:pPr>
      <w:r>
        <w:rPr>
          <w:sz w:val="24"/>
        </w:rPr>
        <w:t>供应商的澄清、说明或者更正不得超出响应文件的范围或者改变响应文件的实质性内容。谈判小组要求供应商澄清、说明或者更正响应文件应当以书面形式作出。供应商的澄清、说明或者更正应当由法定代表人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pPr>
        <w:numPr>
          <w:ilvl w:val="1"/>
          <w:numId w:val="11"/>
        </w:numPr>
        <w:tabs>
          <w:tab w:val="left" w:pos="1080"/>
          <w:tab w:val="left" w:pos="2014"/>
        </w:tabs>
        <w:snapToGrid w:val="0"/>
        <w:spacing w:line="360" w:lineRule="auto"/>
        <w:ind w:left="1077" w:hanging="720"/>
        <w:rPr>
          <w:sz w:val="24"/>
        </w:rPr>
      </w:pPr>
      <w:r>
        <w:rPr>
          <w:sz w:val="24"/>
        </w:rPr>
        <w:t>谈判结束后，谈判小组将要求所有实质性响应的供应商在规定时间内提交最后报价。</w:t>
      </w:r>
      <w:r>
        <w:rPr>
          <w:rFonts w:eastAsiaTheme="minorEastAsia"/>
          <w:sz w:val="24"/>
        </w:rPr>
        <w:t>最后报价时间为谈判小组指定的时间，具体时间根据谈判进度另行通知。</w:t>
      </w:r>
    </w:p>
    <w:p>
      <w:pPr>
        <w:numPr>
          <w:ilvl w:val="1"/>
          <w:numId w:val="11"/>
        </w:numPr>
        <w:tabs>
          <w:tab w:val="left" w:pos="1080"/>
          <w:tab w:val="left" w:pos="2014"/>
        </w:tabs>
        <w:snapToGrid w:val="0"/>
        <w:spacing w:line="360" w:lineRule="auto"/>
        <w:ind w:left="1077" w:hanging="720"/>
        <w:rPr>
          <w:sz w:val="24"/>
        </w:rPr>
      </w:pPr>
      <w:r>
        <w:rPr>
          <w:sz w:val="24"/>
        </w:rPr>
        <w:t>谈判文件能够详细列明采购标的的技术、服务要求的，谈判结束后，谈判小组将要求所有继续参加谈判的供应商在规定时间内提交最后报价，提交最后报价的供应商不得少于3家，但《政府采购非招标采购方式管理办法》第二十七条第二款规定的情形除外。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但《政府采购非招标采购方式管理办法》第二十七条第二款规定的情形除外。</w:t>
      </w:r>
    </w:p>
    <w:p>
      <w:pPr>
        <w:numPr>
          <w:ilvl w:val="1"/>
          <w:numId w:val="11"/>
        </w:numPr>
        <w:tabs>
          <w:tab w:val="left" w:pos="1080"/>
          <w:tab w:val="left" w:pos="2014"/>
        </w:tabs>
        <w:snapToGrid w:val="0"/>
        <w:spacing w:line="360" w:lineRule="auto"/>
        <w:ind w:left="1077" w:hanging="720"/>
        <w:rPr>
          <w:sz w:val="24"/>
        </w:rPr>
      </w:pPr>
      <w:r>
        <w:rPr>
          <w:sz w:val="24"/>
        </w:rPr>
        <w:t>最后报价是供应商响应文件的有效组成部分。</w:t>
      </w:r>
    </w:p>
    <w:p>
      <w:pPr>
        <w:numPr>
          <w:ilvl w:val="1"/>
          <w:numId w:val="11"/>
        </w:numPr>
        <w:tabs>
          <w:tab w:val="left" w:pos="1080"/>
          <w:tab w:val="left" w:pos="2014"/>
        </w:tabs>
        <w:snapToGrid w:val="0"/>
        <w:spacing w:line="360" w:lineRule="auto"/>
        <w:ind w:left="1077" w:hanging="720"/>
        <w:rPr>
          <w:sz w:val="24"/>
        </w:rPr>
      </w:pPr>
      <w:r>
        <w:rPr>
          <w:sz w:val="24"/>
        </w:rPr>
        <w:t>已提交响应文件的供应商，在提交最后报价之前，可以根据谈判情况退出谈判。</w:t>
      </w:r>
    </w:p>
    <w:p>
      <w:pPr>
        <w:numPr>
          <w:ilvl w:val="0"/>
          <w:numId w:val="11"/>
        </w:numPr>
        <w:tabs>
          <w:tab w:val="left" w:pos="360"/>
        </w:tabs>
        <w:snapToGrid w:val="0"/>
        <w:spacing w:line="360" w:lineRule="auto"/>
        <w:outlineLvl w:val="1"/>
        <w:rPr>
          <w:sz w:val="24"/>
        </w:rPr>
      </w:pPr>
      <w:r>
        <w:rPr>
          <w:sz w:val="24"/>
        </w:rPr>
        <w:t>最后报价的算术修正及政策调整</w:t>
      </w:r>
    </w:p>
    <w:p>
      <w:pPr>
        <w:numPr>
          <w:ilvl w:val="1"/>
          <w:numId w:val="11"/>
        </w:numPr>
        <w:tabs>
          <w:tab w:val="left" w:pos="1080"/>
        </w:tabs>
        <w:snapToGrid w:val="0"/>
        <w:spacing w:line="360" w:lineRule="auto"/>
        <w:ind w:left="1077" w:hanging="720"/>
        <w:rPr>
          <w:sz w:val="24"/>
        </w:rPr>
      </w:pPr>
      <w:r>
        <w:rPr>
          <w:sz w:val="24"/>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其</w:t>
      </w:r>
      <w:r>
        <w:rPr>
          <w:b/>
          <w:bCs/>
          <w:sz w:val="24"/>
        </w:rPr>
        <w:t>响应无效</w:t>
      </w:r>
      <w:r>
        <w:rPr>
          <w:sz w:val="24"/>
        </w:rPr>
        <w:t>。</w:t>
      </w:r>
    </w:p>
    <w:p>
      <w:pPr>
        <w:numPr>
          <w:ilvl w:val="1"/>
          <w:numId w:val="11"/>
        </w:numPr>
        <w:tabs>
          <w:tab w:val="left" w:pos="1080"/>
          <w:tab w:val="left" w:pos="2014"/>
        </w:tabs>
        <w:snapToGrid w:val="0"/>
        <w:spacing w:line="360" w:lineRule="auto"/>
        <w:ind w:left="1077" w:hanging="720"/>
        <w:rPr>
          <w:sz w:val="24"/>
        </w:rPr>
      </w:pPr>
      <w:r>
        <w:rPr>
          <w:sz w:val="24"/>
        </w:rPr>
        <w:t>最后报价出现前后不一致的，按照下列规定修正：</w:t>
      </w:r>
    </w:p>
    <w:p>
      <w:pPr>
        <w:numPr>
          <w:ilvl w:val="2"/>
          <w:numId w:val="11"/>
        </w:numPr>
        <w:snapToGrid w:val="0"/>
        <w:spacing w:line="360" w:lineRule="auto"/>
        <w:rPr>
          <w:sz w:val="24"/>
        </w:rPr>
      </w:pPr>
      <w:r>
        <w:rPr>
          <w:sz w:val="24"/>
        </w:rPr>
        <w:t>谈判文件对于报价修正是否另有规定：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□有，具体规定为：____________________________</w:t>
      </w:r>
    </w:p>
    <w:p>
      <w:pPr>
        <w:tabs>
          <w:tab w:val="left" w:pos="1080"/>
          <w:tab w:val="left" w:pos="1589"/>
          <w:tab w:val="left" w:pos="2035"/>
          <w:tab w:val="left" w:pos="2114"/>
        </w:tabs>
        <w:snapToGrid w:val="0"/>
        <w:spacing w:line="360" w:lineRule="auto"/>
        <w:ind w:left="2035"/>
        <w:rPr>
          <w:sz w:val="24"/>
        </w:rPr>
      </w:pPr>
      <w:r>
        <w:rPr>
          <w:rFonts w:eastAsiaTheme="minorEastAsia"/>
          <w:sz w:val="24"/>
        </w:rPr>
        <w:t>■</w:t>
      </w:r>
      <w:r>
        <w:rPr>
          <w:sz w:val="24"/>
        </w:rPr>
        <w:t>无，按下述3.2.2-3.2.</w:t>
      </w:r>
      <w:r>
        <w:rPr>
          <w:rFonts w:hint="eastAsia"/>
          <w:sz w:val="24"/>
        </w:rPr>
        <w:t>6</w:t>
      </w:r>
      <w:r>
        <w:rPr>
          <w:sz w:val="24"/>
        </w:rPr>
        <w:t>项规定修正。</w:t>
      </w:r>
    </w:p>
    <w:p>
      <w:pPr>
        <w:numPr>
          <w:ilvl w:val="2"/>
          <w:numId w:val="11"/>
        </w:numPr>
        <w:snapToGrid w:val="0"/>
        <w:spacing w:line="360" w:lineRule="auto"/>
        <w:rPr>
          <w:sz w:val="24"/>
        </w:rPr>
      </w:pPr>
      <w:r>
        <w:rPr>
          <w:sz w:val="24"/>
        </w:rPr>
        <w:t>大写金额和小写金额不一致的，以大写金额为准；</w:t>
      </w:r>
    </w:p>
    <w:p>
      <w:pPr>
        <w:numPr>
          <w:ilvl w:val="2"/>
          <w:numId w:val="11"/>
        </w:numPr>
        <w:snapToGrid w:val="0"/>
        <w:spacing w:line="360" w:lineRule="auto"/>
        <w:rPr>
          <w:sz w:val="24"/>
        </w:rPr>
      </w:pPr>
      <w:r>
        <w:rPr>
          <w:sz w:val="24"/>
        </w:rPr>
        <w:t>单价金额小数点或者百分比有明显错位的，以总价为准，并修改单价；</w:t>
      </w:r>
    </w:p>
    <w:p>
      <w:pPr>
        <w:numPr>
          <w:ilvl w:val="2"/>
          <w:numId w:val="11"/>
        </w:numPr>
        <w:snapToGrid w:val="0"/>
        <w:spacing w:line="360" w:lineRule="auto"/>
        <w:rPr>
          <w:sz w:val="24"/>
        </w:rPr>
      </w:pPr>
      <w:r>
        <w:rPr>
          <w:sz w:val="24"/>
        </w:rPr>
        <w:t>总价金额与按单价汇总金额不一致的，以单价金额计算结果为准。</w:t>
      </w:r>
    </w:p>
    <w:p>
      <w:pPr>
        <w:numPr>
          <w:ilvl w:val="2"/>
          <w:numId w:val="11"/>
        </w:numPr>
        <w:snapToGrid w:val="0"/>
        <w:spacing w:line="360" w:lineRule="auto"/>
        <w:rPr>
          <w:sz w:val="24"/>
        </w:rPr>
      </w:pPr>
      <w:r>
        <w:rPr>
          <w:sz w:val="24"/>
        </w:rPr>
        <w:t>同时出现两种以上不一致的，按照前款规定的顺序修正。</w:t>
      </w:r>
    </w:p>
    <w:p>
      <w:pPr>
        <w:numPr>
          <w:ilvl w:val="2"/>
          <w:numId w:val="11"/>
        </w:numPr>
        <w:snapToGrid w:val="0"/>
        <w:spacing w:line="360" w:lineRule="auto"/>
        <w:rPr>
          <w:sz w:val="24"/>
        </w:rPr>
      </w:pPr>
      <w:r>
        <w:rPr>
          <w:sz w:val="24"/>
        </w:rPr>
        <w:t>修正后的报价经供应商书面确认后产生约束力，供应商不确认的，其</w:t>
      </w:r>
      <w:r>
        <w:rPr>
          <w:b/>
          <w:bCs/>
          <w:sz w:val="24"/>
        </w:rPr>
        <w:t>响应无效</w:t>
      </w:r>
      <w:r>
        <w:rPr>
          <w:sz w:val="24"/>
        </w:rPr>
        <w:t>。</w:t>
      </w:r>
    </w:p>
    <w:p>
      <w:pPr>
        <w:numPr>
          <w:ilvl w:val="1"/>
          <w:numId w:val="11"/>
        </w:numPr>
        <w:tabs>
          <w:tab w:val="left" w:pos="1080"/>
          <w:tab w:val="left" w:pos="2014"/>
        </w:tabs>
        <w:snapToGrid w:val="0"/>
        <w:spacing w:line="360" w:lineRule="auto"/>
        <w:ind w:left="1077" w:hanging="720"/>
        <w:rPr>
          <w:sz w:val="24"/>
        </w:rPr>
      </w:pPr>
      <w:r>
        <w:rPr>
          <w:sz w:val="24"/>
        </w:rPr>
        <w:t>落实政府采购政策的价格调整：只有符合第二章《供应商须知》3.2条规定情形的，可以享受中小企业扶持政策，用扣除后的价格参加评审；否则，评审时价格不予扣除。</w:t>
      </w:r>
    </w:p>
    <w:p>
      <w:pPr>
        <w:numPr>
          <w:ilvl w:val="2"/>
          <w:numId w:val="11"/>
        </w:numPr>
        <w:snapToGrid w:val="0"/>
        <w:spacing w:line="360" w:lineRule="auto"/>
        <w:rPr>
          <w:sz w:val="24"/>
        </w:rPr>
      </w:pPr>
      <w:r>
        <w:rPr>
          <w:sz w:val="24"/>
        </w:rPr>
        <w:t>对于未预留份额专门面向中小企业采购的采购项目，以及预留份额项目中的非预留部分采购包，对小微企业报价给予</w:t>
      </w:r>
      <w:r>
        <w:rPr>
          <w:rFonts w:hint="eastAsia"/>
          <w:sz w:val="24"/>
          <w:u w:val="single"/>
        </w:rPr>
        <w:t>10</w:t>
      </w:r>
      <w:r>
        <w:rPr>
          <w:sz w:val="24"/>
        </w:rPr>
        <w:t>%的扣除，用扣除后的价格参加评审。</w:t>
      </w:r>
    </w:p>
    <w:p>
      <w:pPr>
        <w:numPr>
          <w:ilvl w:val="2"/>
          <w:numId w:val="11"/>
        </w:numPr>
        <w:snapToGrid w:val="0"/>
        <w:spacing w:line="360" w:lineRule="auto"/>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4</w:t>
      </w:r>
      <w:r>
        <w:rPr>
          <w:sz w:val="24"/>
        </w:rPr>
        <w:t>%的扣除，用扣除后的价格参加评审。</w:t>
      </w:r>
    </w:p>
    <w:p>
      <w:pPr>
        <w:numPr>
          <w:ilvl w:val="2"/>
          <w:numId w:val="11"/>
        </w:numPr>
        <w:snapToGrid w:val="0"/>
        <w:spacing w:line="360" w:lineRule="auto"/>
        <w:rPr>
          <w:sz w:val="24"/>
        </w:rPr>
      </w:pPr>
      <w:r>
        <w:rPr>
          <w:sz w:val="24"/>
        </w:rPr>
        <w:t>组成联合体或者接受分包的小微企业与联合体内其他企业、分包企业之间存在直接控股、管理关系的，不享受价格扣除优惠政策。</w:t>
      </w:r>
    </w:p>
    <w:p>
      <w:pPr>
        <w:numPr>
          <w:ilvl w:val="2"/>
          <w:numId w:val="11"/>
        </w:numPr>
        <w:snapToGrid w:val="0"/>
        <w:spacing w:line="360" w:lineRule="auto"/>
        <w:rPr>
          <w:sz w:val="24"/>
        </w:rPr>
      </w:pPr>
      <w:r>
        <w:rPr>
          <w:sz w:val="24"/>
        </w:rPr>
        <w:t>价格扣除比例对小型企业和微型企业同等对待，不作区分。</w:t>
      </w:r>
    </w:p>
    <w:p>
      <w:pPr>
        <w:numPr>
          <w:ilvl w:val="2"/>
          <w:numId w:val="11"/>
        </w:numPr>
        <w:snapToGrid w:val="0"/>
        <w:spacing w:line="360" w:lineRule="auto"/>
        <w:rPr>
          <w:sz w:val="24"/>
        </w:rPr>
      </w:pPr>
      <w:r>
        <w:rPr>
          <w:sz w:val="24"/>
        </w:rPr>
        <w:t>中小企业参加政府采购活动，应当按照谈判文件给定的格式出具《中小企业声明函》，否则不得享受相关中小企业扶持政策。</w:t>
      </w:r>
    </w:p>
    <w:p>
      <w:pPr>
        <w:numPr>
          <w:ilvl w:val="2"/>
          <w:numId w:val="11"/>
        </w:numPr>
        <w:snapToGrid w:val="0"/>
        <w:spacing w:line="360" w:lineRule="auto"/>
        <w:rPr>
          <w:sz w:val="24"/>
        </w:rPr>
      </w:pPr>
      <w:r>
        <w:rPr>
          <w:sz w:val="24"/>
        </w:rPr>
        <w:t>监狱企业提供了由省级以上监狱管理局、戒毒管理局（含新疆生产建设兵团）出具的属于监狱企业的证明文件的，视同小微企业。</w:t>
      </w:r>
    </w:p>
    <w:p>
      <w:pPr>
        <w:numPr>
          <w:ilvl w:val="2"/>
          <w:numId w:val="11"/>
        </w:numPr>
        <w:snapToGrid w:val="0"/>
        <w:spacing w:line="360" w:lineRule="auto"/>
        <w:rPr>
          <w:sz w:val="24"/>
        </w:rPr>
      </w:pPr>
      <w:r>
        <w:rPr>
          <w:sz w:val="24"/>
        </w:rPr>
        <w:t>残疾人福利性单位按谈判文件要求提供了《残疾人福利性单位声明函》的，视同小微企业。</w:t>
      </w:r>
    </w:p>
    <w:p>
      <w:pPr>
        <w:numPr>
          <w:ilvl w:val="2"/>
          <w:numId w:val="11"/>
        </w:numPr>
        <w:snapToGrid w:val="0"/>
        <w:spacing w:line="360" w:lineRule="auto"/>
        <w:rPr>
          <w:sz w:val="24"/>
        </w:rPr>
      </w:pPr>
      <w:r>
        <w:rPr>
          <w:sz w:val="24"/>
        </w:rPr>
        <w:t>若供应商同时属于小型或微型企业、监狱企业、残疾人福利性单位中的两种及以上，将不重复享受小微企业价格扣减的优惠政策。</w:t>
      </w:r>
    </w:p>
    <w:p>
      <w:pPr>
        <w:numPr>
          <w:ilvl w:val="2"/>
          <w:numId w:val="11"/>
        </w:numPr>
        <w:snapToGrid w:val="0"/>
        <w:spacing w:line="360" w:lineRule="auto"/>
        <w:rPr>
          <w:sz w:val="24"/>
        </w:rPr>
      </w:pPr>
      <w:r>
        <w:rPr>
          <w:rFonts w:eastAsiaTheme="minorEastAsia"/>
          <w:sz w:val="24"/>
        </w:rPr>
        <w:t>非政府强制采购的节能产品或环境标志产品，依据品目清单和认证证书实施政府优先采购。优先采购的具体规定（如涉及）：__</w:t>
      </w:r>
      <w:r>
        <w:rPr>
          <w:rFonts w:hint="eastAsia" w:eastAsiaTheme="minorEastAsia"/>
          <w:sz w:val="24"/>
        </w:rPr>
        <w:t>\</w:t>
      </w:r>
      <w:r>
        <w:rPr>
          <w:rFonts w:eastAsiaTheme="minorEastAsia"/>
          <w:sz w:val="24"/>
        </w:rPr>
        <w:t>____。</w:t>
      </w:r>
    </w:p>
    <w:p>
      <w:pPr>
        <w:numPr>
          <w:ilvl w:val="2"/>
          <w:numId w:val="11"/>
        </w:numPr>
        <w:snapToGrid w:val="0"/>
        <w:spacing w:line="360" w:lineRule="auto"/>
        <w:rPr>
          <w:sz w:val="24"/>
        </w:rPr>
      </w:pPr>
      <w:r>
        <w:rPr>
          <w:sz w:val="24"/>
        </w:rPr>
        <w:t>其他为落实政府采购政策实施的优先采购（如涉及）：_______\______。</w:t>
      </w:r>
    </w:p>
    <w:p>
      <w:pPr>
        <w:numPr>
          <w:ilvl w:val="0"/>
          <w:numId w:val="11"/>
        </w:numPr>
        <w:tabs>
          <w:tab w:val="left" w:pos="360"/>
        </w:tabs>
        <w:snapToGrid w:val="0"/>
        <w:spacing w:line="360" w:lineRule="auto"/>
        <w:outlineLvl w:val="1"/>
        <w:rPr>
          <w:sz w:val="24"/>
        </w:rPr>
      </w:pPr>
      <w:r>
        <w:rPr>
          <w:sz w:val="24"/>
        </w:rPr>
        <w:t>谈判环节及提交最后报价后如出现以下情况的，供应商的</w:t>
      </w:r>
      <w:r>
        <w:rPr>
          <w:b/>
          <w:bCs/>
          <w:sz w:val="24"/>
        </w:rPr>
        <w:t>响应文件无效</w:t>
      </w:r>
      <w:r>
        <w:rPr>
          <w:sz w:val="24"/>
        </w:rPr>
        <w:t>：</w:t>
      </w:r>
    </w:p>
    <w:p>
      <w:pPr>
        <w:numPr>
          <w:ilvl w:val="1"/>
          <w:numId w:val="11"/>
        </w:numPr>
        <w:tabs>
          <w:tab w:val="left" w:pos="1080"/>
          <w:tab w:val="left" w:pos="2014"/>
        </w:tabs>
        <w:snapToGrid w:val="0"/>
        <w:spacing w:line="360" w:lineRule="auto"/>
        <w:ind w:left="1077" w:hanging="720"/>
        <w:rPr>
          <w:sz w:val="24"/>
        </w:rPr>
      </w:pPr>
      <w:r>
        <w:rPr>
          <w:sz w:val="24"/>
        </w:rPr>
        <w:t>供应商对实质性变动不予确认的；</w:t>
      </w:r>
    </w:p>
    <w:p>
      <w:pPr>
        <w:numPr>
          <w:ilvl w:val="1"/>
          <w:numId w:val="11"/>
        </w:numPr>
        <w:tabs>
          <w:tab w:val="left" w:pos="1080"/>
          <w:tab w:val="left" w:pos="2014"/>
        </w:tabs>
        <w:snapToGrid w:val="0"/>
        <w:spacing w:line="360" w:lineRule="auto"/>
        <w:ind w:left="1077" w:hanging="720"/>
        <w:rPr>
          <w:sz w:val="24"/>
        </w:rPr>
      </w:pPr>
      <w:r>
        <w:rPr>
          <w:sz w:val="24"/>
        </w:rPr>
        <w:t>不满足谈判文件</w:t>
      </w:r>
      <w:r>
        <w:rPr>
          <w:rFonts w:ascii="Segoe UI Symbol" w:hAnsi="Segoe UI Symbol" w:cs="Segoe UI Symbol"/>
          <w:sz w:val="24"/>
        </w:rPr>
        <w:t>★</w:t>
      </w:r>
      <w:r>
        <w:rPr>
          <w:sz w:val="24"/>
        </w:rPr>
        <w:t>号条款或谈判文件技术指标超出谈判文件</w:t>
      </w:r>
      <w:r>
        <w:rPr>
          <w:rFonts w:eastAsiaTheme="minorEastAsia"/>
          <w:sz w:val="24"/>
        </w:rPr>
        <w:t>《采购需求》</w:t>
      </w:r>
      <w:r>
        <w:rPr>
          <w:sz w:val="24"/>
        </w:rPr>
        <w:t>中主要技术参数允许偏差的最大范围的（如有）；</w:t>
      </w:r>
    </w:p>
    <w:p>
      <w:pPr>
        <w:numPr>
          <w:ilvl w:val="1"/>
          <w:numId w:val="11"/>
        </w:numPr>
        <w:tabs>
          <w:tab w:val="left" w:pos="1080"/>
          <w:tab w:val="left" w:pos="2014"/>
        </w:tabs>
        <w:snapToGrid w:val="0"/>
        <w:spacing w:line="360" w:lineRule="auto"/>
        <w:ind w:left="1077" w:hanging="720"/>
        <w:rPr>
          <w:sz w:val="24"/>
        </w:rPr>
      </w:pPr>
      <w:r>
        <w:rPr>
          <w:sz w:val="24"/>
        </w:rPr>
        <w:t>未按照谈判小组规定的时间、逾期提交最后报价的；</w:t>
      </w:r>
    </w:p>
    <w:p>
      <w:pPr>
        <w:numPr>
          <w:ilvl w:val="1"/>
          <w:numId w:val="11"/>
        </w:numPr>
        <w:tabs>
          <w:tab w:val="left" w:pos="1080"/>
          <w:tab w:val="left" w:pos="2014"/>
        </w:tabs>
        <w:snapToGrid w:val="0"/>
        <w:spacing w:line="360" w:lineRule="auto"/>
        <w:ind w:left="1077" w:hanging="720"/>
        <w:rPr>
          <w:sz w:val="24"/>
        </w:rPr>
      </w:pPr>
      <w:r>
        <w:rPr>
          <w:sz w:val="24"/>
        </w:rPr>
        <w:t>如供应商的最后报价超过谈判文件中规定的项目/采购包预算金额或者项目/采购包最高限价的；</w:t>
      </w:r>
    </w:p>
    <w:p>
      <w:pPr>
        <w:numPr>
          <w:ilvl w:val="1"/>
          <w:numId w:val="11"/>
        </w:numPr>
        <w:tabs>
          <w:tab w:val="left" w:pos="1080"/>
          <w:tab w:val="left" w:pos="2014"/>
        </w:tabs>
        <w:snapToGrid w:val="0"/>
        <w:spacing w:line="360" w:lineRule="auto"/>
        <w:ind w:left="1077" w:hanging="720"/>
        <w:rPr>
          <w:sz w:val="24"/>
        </w:rPr>
      </w:pPr>
      <w:r>
        <w:rPr>
          <w:sz w:val="24"/>
        </w:rPr>
        <w:t>响应文件中出现可选择性或可调整的报价的（谈判文件另有规定的除外）；</w:t>
      </w:r>
    </w:p>
    <w:p>
      <w:pPr>
        <w:numPr>
          <w:ilvl w:val="1"/>
          <w:numId w:val="11"/>
        </w:numPr>
        <w:tabs>
          <w:tab w:val="left" w:pos="1080"/>
          <w:tab w:val="left" w:pos="2014"/>
        </w:tabs>
        <w:snapToGrid w:val="0"/>
        <w:spacing w:line="360" w:lineRule="auto"/>
        <w:ind w:left="1077" w:hanging="720"/>
        <w:rPr>
          <w:sz w:val="24"/>
        </w:rPr>
      </w:pPr>
      <w:r>
        <w:rPr>
          <w:sz w:val="24"/>
        </w:rPr>
        <w:t>最后报价出现前后不一致，供应商对修正后的报价不予确认的；</w:t>
      </w:r>
    </w:p>
    <w:p>
      <w:pPr>
        <w:numPr>
          <w:ilvl w:val="1"/>
          <w:numId w:val="11"/>
        </w:numPr>
        <w:tabs>
          <w:tab w:val="left" w:pos="1080"/>
          <w:tab w:val="left" w:pos="2014"/>
        </w:tabs>
        <w:snapToGrid w:val="0"/>
        <w:spacing w:line="360" w:lineRule="auto"/>
        <w:ind w:left="1077" w:hanging="720"/>
        <w:rPr>
          <w:sz w:val="24"/>
        </w:rPr>
      </w:pPr>
      <w:r>
        <w:rPr>
          <w:sz w:val="24"/>
        </w:rPr>
        <w:t>其他：_____\_________。</w:t>
      </w:r>
    </w:p>
    <w:p>
      <w:pPr>
        <w:numPr>
          <w:ilvl w:val="0"/>
          <w:numId w:val="11"/>
        </w:numPr>
        <w:tabs>
          <w:tab w:val="left" w:pos="360"/>
        </w:tabs>
        <w:snapToGrid w:val="0"/>
        <w:spacing w:line="360" w:lineRule="auto"/>
        <w:outlineLvl w:val="1"/>
        <w:rPr>
          <w:sz w:val="24"/>
        </w:rPr>
      </w:pPr>
      <w:r>
        <w:rPr>
          <w:sz w:val="24"/>
        </w:rPr>
        <w:t>评定成交的标准与确定</w:t>
      </w:r>
      <w:bookmarkStart w:id="604" w:name="_Toc226965736"/>
      <w:bookmarkStart w:id="605" w:name="_Toc305158814"/>
      <w:bookmarkStart w:id="606" w:name="_Toc151190173"/>
      <w:bookmarkStart w:id="607" w:name="_Toc226309790"/>
      <w:bookmarkStart w:id="608" w:name="_Toc151193934"/>
      <w:bookmarkStart w:id="609" w:name="_Toc164229387"/>
      <w:bookmarkStart w:id="610" w:name="_Toc226965819"/>
      <w:bookmarkStart w:id="611" w:name="_Toc151193788"/>
      <w:bookmarkStart w:id="612" w:name="_Toc151193716"/>
      <w:bookmarkStart w:id="613" w:name="_Toc151193860"/>
      <w:bookmarkStart w:id="614" w:name="_Toc164229241"/>
      <w:bookmarkStart w:id="615" w:name="_Toc164608815"/>
      <w:bookmarkStart w:id="616" w:name="_Toc164608660"/>
      <w:bookmarkStart w:id="617" w:name="_Toc226337242"/>
      <w:bookmarkStart w:id="618" w:name="_Toc305158888"/>
      <w:bookmarkStart w:id="619" w:name="_Toc264969236"/>
      <w:bookmarkStart w:id="620" w:name="_Toc195842911"/>
      <w:bookmarkStart w:id="621" w:name="_Toc164351640"/>
      <w:bookmarkStart w:id="622" w:name="_Toc151193644"/>
      <w:bookmarkStart w:id="623" w:name="_Toc150480784"/>
      <w:bookmarkStart w:id="624" w:name="_Toc150774751"/>
      <w:bookmarkStart w:id="625" w:name="_Toc265228384"/>
      <w:bookmarkStart w:id="626" w:name="_Toc127151546"/>
      <w:bookmarkStart w:id="627" w:name="_Toc127161460"/>
      <w:bookmarkStart w:id="628" w:name="_Toc150509297"/>
      <w:bookmarkStart w:id="629" w:name="_Toc149720839"/>
      <w:bookmarkStart w:id="630" w:name="_Toc127151747"/>
      <w:bookmarkStart w:id="631" w:name="_Ref467307010"/>
      <w:bookmarkStart w:id="632" w:name="_Toc520356170"/>
      <w:bookmarkStart w:id="633" w:name="_Toc142311048"/>
      <w:bookmarkStart w:id="634" w:name="_Toc150774646"/>
      <w:r>
        <w:rPr>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numPr>
          <w:ilvl w:val="1"/>
          <w:numId w:val="11"/>
        </w:numPr>
        <w:tabs>
          <w:tab w:val="left" w:pos="1080"/>
          <w:tab w:val="left" w:pos="2014"/>
        </w:tabs>
        <w:snapToGrid w:val="0"/>
        <w:spacing w:line="360" w:lineRule="auto"/>
        <w:ind w:left="1077" w:hanging="720"/>
        <w:rPr>
          <w:sz w:val="24"/>
        </w:rPr>
      </w:pPr>
      <w:r>
        <w:rPr>
          <w:sz w:val="24"/>
        </w:rPr>
        <w:t>谈判小组将从质量和服务均能满足谈判文件实质性响应要求的供应商中，按照最后报价（如有按本章节进行算术修正或政策调整的，以修正或调整后的最后报价计算）由低到高的顺序提出</w:t>
      </w:r>
      <w:r>
        <w:rPr>
          <w:sz w:val="24"/>
          <w:u w:val="single"/>
        </w:rPr>
        <w:t>3</w:t>
      </w:r>
      <w:r>
        <w:rPr>
          <w:sz w:val="24"/>
        </w:rPr>
        <w:t>名成交候选人，并编写评审报告。</w:t>
      </w:r>
    </w:p>
    <w:p>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谈判小组要对评审结果进行复核，特别是对排名第一的、响应文件被认定为无效的情形进行重点复核。</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97"/>
    <w:p>
      <w:pPr>
        <w:numPr>
          <w:ilvl w:val="0"/>
          <w:numId w:val="11"/>
        </w:numPr>
        <w:tabs>
          <w:tab w:val="left" w:pos="360"/>
        </w:tabs>
        <w:snapToGrid w:val="0"/>
        <w:spacing w:line="360" w:lineRule="auto"/>
        <w:outlineLvl w:val="1"/>
        <w:rPr>
          <w:sz w:val="24"/>
        </w:rPr>
      </w:pPr>
      <w:bookmarkStart w:id="635" w:name="_Toc353873665"/>
      <w:bookmarkStart w:id="636" w:name="_Toc127151555"/>
      <w:bookmarkStart w:id="637" w:name="_Toc353825545"/>
      <w:bookmarkStart w:id="638" w:name="_Toc264969245"/>
      <w:bookmarkStart w:id="639" w:name="_Toc142311057"/>
      <w:bookmarkStart w:id="640" w:name="_Toc353873935"/>
      <w:bookmarkStart w:id="641" w:name="_Toc150480793"/>
      <w:bookmarkStart w:id="642" w:name="_Toc195842920"/>
      <w:bookmarkStart w:id="643" w:name="_Toc305158897"/>
      <w:bookmarkStart w:id="644" w:name="_Toc305158823"/>
      <w:bookmarkStart w:id="645" w:name="_Toc150774760"/>
      <w:bookmarkStart w:id="646" w:name="_Toc226337251"/>
      <w:bookmarkStart w:id="647" w:name="_Toc265228393"/>
      <w:bookmarkStart w:id="648" w:name="_Toc226965828"/>
      <w:r>
        <w:rPr>
          <w:sz w:val="24"/>
        </w:rPr>
        <w:t>报告违法行为</w:t>
      </w:r>
    </w:p>
    <w:p>
      <w:pPr>
        <w:numPr>
          <w:ilvl w:val="1"/>
          <w:numId w:val="11"/>
        </w:numPr>
        <w:tabs>
          <w:tab w:val="left" w:pos="1080"/>
          <w:tab w:val="left" w:pos="2014"/>
        </w:tabs>
        <w:snapToGrid w:val="0"/>
        <w:spacing w:line="360" w:lineRule="auto"/>
        <w:ind w:left="1077" w:hanging="720"/>
        <w:rPr>
          <w:sz w:val="24"/>
        </w:rPr>
      </w:pPr>
      <w:r>
        <w:rPr>
          <w:sz w:val="24"/>
        </w:rPr>
        <w:t>谈判小组在评审过程中发现供应商有行贿、提供虚假材料或者串通等违法行为时，</w:t>
      </w:r>
      <w:r>
        <w:rPr>
          <w:rFonts w:hint="eastAsia"/>
          <w:sz w:val="24"/>
        </w:rPr>
        <w:t>应当及时向财政部门报告</w:t>
      </w:r>
      <w:r>
        <w:rPr>
          <w:sz w:val="24"/>
        </w:rPr>
        <w:t>。</w:t>
      </w:r>
    </w:p>
    <w:p>
      <w:pPr>
        <w:spacing w:line="360" w:lineRule="auto"/>
        <w:jc w:val="center"/>
        <w:outlineLvl w:val="0"/>
        <w:rPr>
          <w:b/>
          <w:sz w:val="36"/>
          <w:szCs w:val="36"/>
        </w:rPr>
      </w:pPr>
      <w:bookmarkStart w:id="649" w:name="_Toc99301376"/>
      <w:r>
        <w:rPr>
          <w:b/>
          <w:sz w:val="36"/>
          <w:szCs w:val="36"/>
        </w:rPr>
        <w:t>第四章采购需求</w:t>
      </w:r>
      <w:bookmarkEnd w:id="649"/>
    </w:p>
    <w:p>
      <w:pPr>
        <w:rPr>
          <w:sz w:val="24"/>
        </w:rPr>
      </w:pPr>
    </w:p>
    <w:p>
      <w:pPr>
        <w:spacing w:line="360" w:lineRule="auto"/>
        <w:ind w:firstLine="482" w:firstLineChars="200"/>
        <w:contextualSpacing/>
        <w:rPr>
          <w:b/>
          <w:sz w:val="24"/>
        </w:rPr>
      </w:pPr>
      <w:r>
        <w:rPr>
          <w:rFonts w:hint="eastAsia"/>
          <w:b/>
          <w:sz w:val="24"/>
        </w:rPr>
        <w:t>一</w:t>
      </w:r>
      <w:r>
        <w:rPr>
          <w:b/>
          <w:sz w:val="24"/>
        </w:rPr>
        <w:t>、采购标的</w:t>
      </w:r>
    </w:p>
    <w:tbl>
      <w:tblPr>
        <w:tblStyle w:val="44"/>
        <w:tblpPr w:leftFromText="180" w:rightFromText="180" w:vertAnchor="text" w:horzAnchor="margin" w:tblpY="104"/>
        <w:tblOverlap w:val="never"/>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917"/>
        <w:gridCol w:w="699"/>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5" w:type="pct"/>
            <w:vAlign w:val="center"/>
          </w:tcPr>
          <w:p>
            <w:pPr>
              <w:jc w:val="center"/>
              <w:rPr>
                <w:rFonts w:ascii="黑体" w:hAnsi="黑体" w:eastAsia="黑体"/>
                <w:sz w:val="24"/>
              </w:rPr>
            </w:pPr>
            <w:r>
              <w:rPr>
                <w:rFonts w:hint="eastAsia" w:ascii="黑体" w:hAnsi="黑体" w:eastAsia="黑体"/>
                <w:sz w:val="24"/>
              </w:rPr>
              <w:t>项目</w:t>
            </w:r>
            <w:r>
              <w:rPr>
                <w:rFonts w:ascii="黑体" w:hAnsi="黑体" w:eastAsia="黑体"/>
                <w:sz w:val="24"/>
              </w:rPr>
              <w:t>名称</w:t>
            </w:r>
          </w:p>
        </w:tc>
        <w:tc>
          <w:tcPr>
            <w:tcW w:w="1130" w:type="pct"/>
            <w:vAlign w:val="center"/>
          </w:tcPr>
          <w:p>
            <w:pPr>
              <w:jc w:val="center"/>
              <w:rPr>
                <w:rFonts w:ascii="黑体" w:hAnsi="黑体" w:eastAsia="黑体"/>
                <w:sz w:val="24"/>
              </w:rPr>
            </w:pPr>
            <w:r>
              <w:rPr>
                <w:rFonts w:ascii="黑体" w:hAnsi="黑体" w:eastAsia="黑体"/>
                <w:sz w:val="24"/>
              </w:rPr>
              <w:t>采购包预算金额</w:t>
            </w:r>
          </w:p>
          <w:p>
            <w:pPr>
              <w:jc w:val="center"/>
              <w:rPr>
                <w:rFonts w:ascii="黑体" w:hAnsi="黑体" w:eastAsia="黑体"/>
                <w:sz w:val="24"/>
              </w:rPr>
            </w:pPr>
            <w:r>
              <w:rPr>
                <w:rFonts w:ascii="黑体" w:hAnsi="黑体" w:eastAsia="黑体"/>
                <w:sz w:val="24"/>
              </w:rPr>
              <w:t>（万元）</w:t>
            </w:r>
          </w:p>
        </w:tc>
        <w:tc>
          <w:tcPr>
            <w:tcW w:w="413" w:type="pct"/>
            <w:vAlign w:val="center"/>
          </w:tcPr>
          <w:p>
            <w:pPr>
              <w:jc w:val="center"/>
              <w:rPr>
                <w:rFonts w:ascii="黑体" w:hAnsi="黑体" w:eastAsia="黑体"/>
                <w:sz w:val="24"/>
              </w:rPr>
            </w:pPr>
            <w:r>
              <w:rPr>
                <w:rFonts w:ascii="黑体" w:hAnsi="黑体" w:eastAsia="黑体"/>
                <w:sz w:val="24"/>
              </w:rPr>
              <w:t>数量</w:t>
            </w:r>
          </w:p>
        </w:tc>
        <w:tc>
          <w:tcPr>
            <w:tcW w:w="2491" w:type="pct"/>
            <w:vAlign w:val="center"/>
          </w:tcPr>
          <w:p>
            <w:pPr>
              <w:jc w:val="center"/>
              <w:rPr>
                <w:rFonts w:ascii="黑体" w:hAnsi="黑体" w:eastAsia="黑体"/>
                <w:sz w:val="24"/>
              </w:rPr>
            </w:pPr>
            <w:r>
              <w:rPr>
                <w:rFonts w:ascii="黑体" w:hAnsi="黑体" w:eastAsia="黑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5" w:type="pct"/>
            <w:vAlign w:val="center"/>
          </w:tcPr>
          <w:p>
            <w:pPr>
              <w:jc w:val="center"/>
              <w:rPr>
                <w:rFonts w:asciiTheme="minorEastAsia" w:hAnsiTheme="minorEastAsia"/>
                <w:sz w:val="24"/>
              </w:rPr>
            </w:pPr>
            <w:r>
              <w:rPr>
                <w:rFonts w:hint="eastAsia" w:asciiTheme="minorEastAsia" w:hAnsiTheme="minorEastAsia"/>
                <w:sz w:val="24"/>
              </w:rPr>
              <w:t>北京市延庆区第三小学改扩建设备购置项目</w:t>
            </w:r>
          </w:p>
        </w:tc>
        <w:tc>
          <w:tcPr>
            <w:tcW w:w="1130" w:type="pct"/>
            <w:vAlign w:val="center"/>
          </w:tcPr>
          <w:p>
            <w:pPr>
              <w:jc w:val="center"/>
              <w:rPr>
                <w:rFonts w:asciiTheme="minorEastAsia" w:hAnsiTheme="minorEastAsia"/>
                <w:sz w:val="24"/>
              </w:rPr>
            </w:pPr>
            <w:r>
              <w:rPr>
                <w:rFonts w:asciiTheme="minorEastAsia" w:hAnsiTheme="minorEastAsia"/>
                <w:sz w:val="24"/>
              </w:rPr>
              <w:t>321.9612</w:t>
            </w:r>
          </w:p>
        </w:tc>
        <w:tc>
          <w:tcPr>
            <w:tcW w:w="413" w:type="pct"/>
            <w:vAlign w:val="center"/>
          </w:tcPr>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1批</w:t>
            </w:r>
          </w:p>
          <w:p>
            <w:pPr>
              <w:jc w:val="center"/>
              <w:rPr>
                <w:rFonts w:asciiTheme="minorEastAsia" w:hAnsiTheme="minorEastAsia"/>
                <w:sz w:val="24"/>
              </w:rPr>
            </w:pPr>
          </w:p>
        </w:tc>
        <w:tc>
          <w:tcPr>
            <w:tcW w:w="2491" w:type="pct"/>
          </w:tcPr>
          <w:p>
            <w:pPr>
              <w:jc w:val="center"/>
              <w:rPr>
                <w:rFonts w:asciiTheme="minorEastAsia" w:hAnsiTheme="minorEastAsia"/>
                <w:sz w:val="24"/>
              </w:rPr>
            </w:pPr>
            <w:r>
              <w:rPr>
                <w:rFonts w:hint="eastAsia" w:asciiTheme="minorEastAsia" w:hAnsiTheme="minorEastAsia"/>
                <w:sz w:val="24"/>
              </w:rPr>
              <w:t>本次采购主要包括台式计算机148台、教学多媒体42台、操作系统148套、办公软件56套、复印机1台、打印机16台、速印机1台、摄像机1台、三脚架1个。</w:t>
            </w:r>
          </w:p>
        </w:tc>
      </w:tr>
    </w:tbl>
    <w:p>
      <w:pPr>
        <w:spacing w:line="360" w:lineRule="auto"/>
        <w:ind w:firstLine="480" w:firstLineChars="200"/>
        <w:contextualSpacing/>
        <w:rPr>
          <w:bCs/>
          <w:sz w:val="24"/>
        </w:rPr>
      </w:pPr>
      <w:r>
        <w:rPr>
          <w:bCs/>
          <w:sz w:val="24"/>
        </w:rPr>
        <w:t>说明：</w:t>
      </w:r>
      <w:r>
        <w:rPr>
          <w:rFonts w:hint="eastAsia"/>
          <w:bCs/>
          <w:sz w:val="24"/>
        </w:rPr>
        <w:t>本</w:t>
      </w:r>
      <w:r>
        <w:rPr>
          <w:bCs/>
          <w:sz w:val="24"/>
        </w:rPr>
        <w:t>项目</w:t>
      </w:r>
      <w:r>
        <w:rPr>
          <w:rFonts w:hint="eastAsia"/>
          <w:bCs/>
          <w:sz w:val="24"/>
        </w:rPr>
        <w:t>不</w:t>
      </w:r>
      <w:r>
        <w:rPr>
          <w:bCs/>
          <w:sz w:val="24"/>
        </w:rPr>
        <w:t>接受进口产品。</w:t>
      </w:r>
    </w:p>
    <w:p>
      <w:pPr>
        <w:spacing w:line="360" w:lineRule="auto"/>
        <w:ind w:firstLine="480" w:firstLineChars="200"/>
        <w:contextualSpacing/>
        <w:rPr>
          <w:rFonts w:ascii="黑体" w:hAnsi="黑体" w:eastAsia="黑体"/>
          <w:bCs/>
          <w:sz w:val="24"/>
        </w:rPr>
      </w:pPr>
      <w:r>
        <w:rPr>
          <w:rFonts w:hint="eastAsia" w:ascii="黑体" w:hAnsi="黑体" w:eastAsia="黑体"/>
          <w:bCs/>
          <w:sz w:val="24"/>
        </w:rPr>
        <w:t>二</w:t>
      </w:r>
      <w:r>
        <w:rPr>
          <w:rFonts w:ascii="黑体" w:hAnsi="黑体" w:eastAsia="黑体"/>
          <w:bCs/>
          <w:sz w:val="24"/>
        </w:rPr>
        <w:t>、项目背景</w:t>
      </w:r>
    </w:p>
    <w:p>
      <w:pPr>
        <w:spacing w:line="360" w:lineRule="auto"/>
        <w:ind w:firstLine="480" w:firstLineChars="200"/>
        <w:rPr>
          <w:b/>
          <w:sz w:val="24"/>
        </w:rPr>
      </w:pPr>
      <w:r>
        <w:rPr>
          <w:rFonts w:asciiTheme="minorEastAsia" w:hAnsiTheme="minorEastAsia"/>
          <w:sz w:val="24"/>
        </w:rPr>
        <w:t>随着区域内适龄儿童人数的增加，现有教育资源已无法满足需求。为解决教学容量不足的问题，延庆区第三小学扩建工程计划扩建24个班级教室，同时新增多个专用教室和计算机教室，</w:t>
      </w:r>
      <w:r>
        <w:rPr>
          <w:rFonts w:hint="eastAsia" w:asciiTheme="minorEastAsia" w:hAnsiTheme="minorEastAsia"/>
          <w:sz w:val="24"/>
        </w:rPr>
        <w:t>购置</w:t>
      </w:r>
      <w:r>
        <w:rPr>
          <w:rFonts w:asciiTheme="minorEastAsia" w:hAnsiTheme="minorEastAsia"/>
          <w:sz w:val="24"/>
        </w:rPr>
        <w:t>教师和学生</w:t>
      </w:r>
      <w:r>
        <w:rPr>
          <w:rFonts w:hint="eastAsia" w:asciiTheme="minorEastAsia" w:hAnsiTheme="minorEastAsia"/>
          <w:sz w:val="24"/>
        </w:rPr>
        <w:t>办公、教学台式机等设备，支持多样化的课程需求，提升教学质量，为学生和教师提供更好的学习和生活环境。</w:t>
      </w:r>
    </w:p>
    <w:p>
      <w:pPr>
        <w:ind w:firstLine="480" w:firstLineChars="200"/>
        <w:rPr>
          <w:rFonts w:ascii="黑体" w:hAnsi="黑体" w:eastAsia="黑体"/>
          <w:sz w:val="24"/>
        </w:rPr>
      </w:pPr>
      <w:r>
        <w:rPr>
          <w:rFonts w:hint="eastAsia" w:ascii="黑体" w:hAnsi="黑体" w:eastAsia="黑体"/>
          <w:sz w:val="24"/>
        </w:rPr>
        <w:t>二、需求清单</w:t>
      </w:r>
    </w:p>
    <w:tbl>
      <w:tblPr>
        <w:tblStyle w:val="44"/>
        <w:tblW w:w="83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631"/>
        <w:gridCol w:w="1560"/>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66" w:type="dxa"/>
            <w:shd w:val="clear" w:color="auto" w:fill="auto"/>
            <w:vAlign w:val="center"/>
          </w:tcPr>
          <w:p>
            <w:pPr>
              <w:jc w:val="center"/>
              <w:rPr>
                <w:rFonts w:ascii="黑体" w:hAnsi="黑体" w:eastAsia="黑体"/>
                <w:sz w:val="24"/>
              </w:rPr>
            </w:pPr>
            <w:r>
              <w:rPr>
                <w:rFonts w:hint="eastAsia" w:ascii="黑体" w:hAnsi="黑体" w:eastAsia="黑体"/>
                <w:sz w:val="24"/>
              </w:rPr>
              <w:t>序号</w:t>
            </w:r>
          </w:p>
        </w:tc>
        <w:tc>
          <w:tcPr>
            <w:tcW w:w="2631" w:type="dxa"/>
            <w:shd w:val="clear" w:color="auto" w:fill="auto"/>
            <w:vAlign w:val="center"/>
          </w:tcPr>
          <w:p>
            <w:pPr>
              <w:jc w:val="center"/>
              <w:rPr>
                <w:rFonts w:ascii="黑体" w:hAnsi="黑体" w:eastAsia="黑体"/>
                <w:sz w:val="24"/>
              </w:rPr>
            </w:pPr>
            <w:r>
              <w:rPr>
                <w:rFonts w:hint="eastAsia" w:ascii="黑体" w:hAnsi="黑体" w:eastAsia="黑体"/>
                <w:sz w:val="24"/>
              </w:rPr>
              <w:t>设备名称</w:t>
            </w:r>
          </w:p>
        </w:tc>
        <w:tc>
          <w:tcPr>
            <w:tcW w:w="1560" w:type="dxa"/>
            <w:shd w:val="clear" w:color="auto" w:fill="auto"/>
            <w:vAlign w:val="center"/>
          </w:tcPr>
          <w:p>
            <w:pPr>
              <w:jc w:val="center"/>
              <w:rPr>
                <w:rFonts w:ascii="黑体" w:hAnsi="黑体" w:eastAsia="黑体"/>
                <w:sz w:val="24"/>
              </w:rPr>
            </w:pPr>
            <w:r>
              <w:rPr>
                <w:rFonts w:hint="eastAsia" w:ascii="黑体" w:hAnsi="黑体" w:eastAsia="黑体"/>
                <w:sz w:val="24"/>
              </w:rPr>
              <w:t>单位</w:t>
            </w:r>
          </w:p>
        </w:tc>
        <w:tc>
          <w:tcPr>
            <w:tcW w:w="1559" w:type="dxa"/>
            <w:shd w:val="clear" w:color="auto" w:fill="auto"/>
            <w:noWrap/>
            <w:vAlign w:val="center"/>
          </w:tcPr>
          <w:p>
            <w:pPr>
              <w:jc w:val="center"/>
              <w:rPr>
                <w:rFonts w:ascii="黑体" w:hAnsi="黑体" w:eastAsia="黑体"/>
                <w:sz w:val="24"/>
              </w:rPr>
            </w:pPr>
            <w:r>
              <w:rPr>
                <w:rFonts w:hint="eastAsia" w:ascii="黑体" w:hAnsi="黑体" w:eastAsia="黑体"/>
                <w:sz w:val="24"/>
              </w:rPr>
              <w:t>数量</w:t>
            </w:r>
          </w:p>
        </w:tc>
        <w:tc>
          <w:tcPr>
            <w:tcW w:w="1843" w:type="dxa"/>
            <w:shd w:val="clear" w:color="auto" w:fill="auto"/>
            <w:noWrap/>
            <w:vAlign w:val="center"/>
          </w:tcPr>
          <w:p>
            <w:pPr>
              <w:jc w:val="center"/>
              <w:rPr>
                <w:rFonts w:ascii="黑体" w:hAnsi="黑体" w:eastAsia="黑体"/>
                <w:sz w:val="24"/>
              </w:rPr>
            </w:pPr>
            <w:r>
              <w:rPr>
                <w:rFonts w:hint="eastAsia" w:ascii="黑体" w:hAnsi="黑体" w:eastAsia="黑体"/>
                <w:sz w:val="24"/>
              </w:rPr>
              <w:t>备注</w:t>
            </w:r>
          </w:p>
          <w:p>
            <w:pPr>
              <w:jc w:val="center"/>
              <w:rPr>
                <w:rFonts w:ascii="黑体" w:hAnsi="黑体" w:eastAsia="黑体"/>
                <w:sz w:val="24"/>
              </w:rPr>
            </w:pPr>
            <w:r>
              <w:rPr>
                <w:rFonts w:hint="eastAsia" w:ascii="黑体" w:hAnsi="黑体" w:eastAsia="黑体"/>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shd w:val="clear" w:color="auto" w:fill="auto"/>
            <w:vAlign w:val="center"/>
          </w:tcPr>
          <w:p>
            <w:pPr>
              <w:jc w:val="center"/>
              <w:rPr>
                <w:rFonts w:asciiTheme="minorEastAsia" w:hAnsiTheme="minorEastAsia"/>
                <w:sz w:val="24"/>
              </w:rPr>
            </w:pPr>
            <w:r>
              <w:rPr>
                <w:rFonts w:hint="eastAsia" w:asciiTheme="minorEastAsia" w:hAnsiTheme="minorEastAsia"/>
                <w:sz w:val="24"/>
              </w:rPr>
              <w:t>1</w:t>
            </w:r>
          </w:p>
        </w:tc>
        <w:tc>
          <w:tcPr>
            <w:tcW w:w="2631" w:type="dxa"/>
            <w:shd w:val="clear" w:color="auto" w:fill="auto"/>
            <w:vAlign w:val="center"/>
          </w:tcPr>
          <w:p>
            <w:pPr>
              <w:rPr>
                <w:rFonts w:asciiTheme="minorEastAsia" w:hAnsiTheme="minorEastAsia"/>
                <w:sz w:val="24"/>
              </w:rPr>
            </w:pPr>
            <w:r>
              <w:rPr>
                <w:rFonts w:hint="eastAsia" w:asciiTheme="minorEastAsia" w:hAnsiTheme="minorEastAsia"/>
                <w:sz w:val="24"/>
              </w:rPr>
              <w:t>台式计算机</w:t>
            </w:r>
          </w:p>
        </w:tc>
        <w:tc>
          <w:tcPr>
            <w:tcW w:w="1560" w:type="dxa"/>
            <w:shd w:val="clear" w:color="auto" w:fill="auto"/>
            <w:vAlign w:val="center"/>
          </w:tcPr>
          <w:p>
            <w:pPr>
              <w:jc w:val="center"/>
              <w:rPr>
                <w:rFonts w:asciiTheme="minorEastAsia" w:hAnsiTheme="minorEastAsia"/>
                <w:sz w:val="24"/>
              </w:rPr>
            </w:pPr>
            <w:r>
              <w:rPr>
                <w:rFonts w:hint="eastAsia" w:asciiTheme="minorEastAsia" w:hAnsiTheme="minorEastAsia"/>
                <w:sz w:val="24"/>
              </w:rPr>
              <w:t>台</w:t>
            </w:r>
          </w:p>
        </w:tc>
        <w:tc>
          <w:tcPr>
            <w:tcW w:w="1559"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148</w:t>
            </w:r>
          </w:p>
        </w:tc>
        <w:tc>
          <w:tcPr>
            <w:tcW w:w="1843" w:type="dxa"/>
            <w:shd w:val="clear" w:color="auto" w:fill="auto"/>
            <w:noWrap/>
            <w:vAlign w:val="center"/>
          </w:tcPr>
          <w:p>
            <w:pPr>
              <w:jc w:val="center"/>
              <w:rPr>
                <w:rFonts w:asciiTheme="minorEastAsia" w:hAnsiTheme="minorEastAsia"/>
                <w:b/>
                <w:sz w:val="24"/>
              </w:rPr>
            </w:pPr>
            <w:r>
              <w:rPr>
                <w:rFonts w:hint="eastAsia" w:asciiTheme="minorEastAsia" w:hAnsiTheme="minorEastAsia"/>
                <w:b/>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shd w:val="clear" w:color="auto" w:fill="auto"/>
            <w:vAlign w:val="center"/>
          </w:tcPr>
          <w:p>
            <w:pPr>
              <w:jc w:val="center"/>
              <w:rPr>
                <w:rFonts w:asciiTheme="minorEastAsia" w:hAnsiTheme="minorEastAsia"/>
                <w:sz w:val="24"/>
              </w:rPr>
            </w:pPr>
            <w:r>
              <w:rPr>
                <w:rFonts w:hint="eastAsia" w:asciiTheme="minorEastAsia" w:hAnsiTheme="minorEastAsia"/>
                <w:sz w:val="24"/>
              </w:rPr>
              <w:t>2</w:t>
            </w:r>
          </w:p>
        </w:tc>
        <w:tc>
          <w:tcPr>
            <w:tcW w:w="2631" w:type="dxa"/>
            <w:shd w:val="clear" w:color="auto" w:fill="auto"/>
            <w:vAlign w:val="center"/>
          </w:tcPr>
          <w:p>
            <w:pPr>
              <w:rPr>
                <w:rFonts w:asciiTheme="minorEastAsia" w:hAnsiTheme="minorEastAsia"/>
                <w:sz w:val="24"/>
              </w:rPr>
            </w:pPr>
            <w:r>
              <w:rPr>
                <w:rFonts w:hint="eastAsia" w:asciiTheme="minorEastAsia" w:hAnsiTheme="minorEastAsia"/>
                <w:sz w:val="24"/>
              </w:rPr>
              <w:t>教学多媒体</w:t>
            </w:r>
          </w:p>
        </w:tc>
        <w:tc>
          <w:tcPr>
            <w:tcW w:w="1560" w:type="dxa"/>
            <w:shd w:val="clear" w:color="auto" w:fill="auto"/>
            <w:vAlign w:val="center"/>
          </w:tcPr>
          <w:p>
            <w:pPr>
              <w:jc w:val="center"/>
              <w:rPr>
                <w:rFonts w:asciiTheme="minorEastAsia" w:hAnsiTheme="minorEastAsia"/>
                <w:sz w:val="24"/>
              </w:rPr>
            </w:pPr>
            <w:r>
              <w:rPr>
                <w:rFonts w:hint="eastAsia" w:asciiTheme="minorEastAsia" w:hAnsiTheme="minorEastAsia"/>
                <w:sz w:val="24"/>
              </w:rPr>
              <w:t>台</w:t>
            </w:r>
          </w:p>
        </w:tc>
        <w:tc>
          <w:tcPr>
            <w:tcW w:w="1559"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42</w:t>
            </w:r>
          </w:p>
        </w:tc>
        <w:tc>
          <w:tcPr>
            <w:tcW w:w="1843" w:type="dxa"/>
            <w:shd w:val="clear" w:color="auto" w:fill="auto"/>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shd w:val="clear" w:color="auto" w:fill="auto"/>
            <w:vAlign w:val="center"/>
          </w:tcPr>
          <w:p>
            <w:pPr>
              <w:jc w:val="center"/>
              <w:rPr>
                <w:rFonts w:asciiTheme="minorEastAsia" w:hAnsiTheme="minorEastAsia"/>
                <w:sz w:val="24"/>
              </w:rPr>
            </w:pPr>
            <w:r>
              <w:rPr>
                <w:rFonts w:hint="eastAsia" w:asciiTheme="minorEastAsia" w:hAnsiTheme="minorEastAsia"/>
                <w:sz w:val="24"/>
              </w:rPr>
              <w:t>3</w:t>
            </w:r>
          </w:p>
        </w:tc>
        <w:tc>
          <w:tcPr>
            <w:tcW w:w="2631" w:type="dxa"/>
            <w:shd w:val="clear" w:color="auto" w:fill="auto"/>
            <w:vAlign w:val="center"/>
          </w:tcPr>
          <w:p>
            <w:pPr>
              <w:rPr>
                <w:rFonts w:asciiTheme="minorEastAsia" w:hAnsiTheme="minorEastAsia"/>
                <w:sz w:val="24"/>
              </w:rPr>
            </w:pPr>
            <w:r>
              <w:rPr>
                <w:rFonts w:hint="eastAsia" w:asciiTheme="minorEastAsia" w:hAnsiTheme="minorEastAsia"/>
                <w:sz w:val="24"/>
              </w:rPr>
              <w:t>操作系统</w:t>
            </w:r>
          </w:p>
        </w:tc>
        <w:tc>
          <w:tcPr>
            <w:tcW w:w="1560" w:type="dxa"/>
            <w:shd w:val="clear" w:color="auto" w:fill="auto"/>
            <w:vAlign w:val="center"/>
          </w:tcPr>
          <w:p>
            <w:pPr>
              <w:jc w:val="center"/>
              <w:rPr>
                <w:rFonts w:asciiTheme="minorEastAsia" w:hAnsiTheme="minorEastAsia"/>
                <w:sz w:val="24"/>
              </w:rPr>
            </w:pPr>
            <w:r>
              <w:rPr>
                <w:rFonts w:hint="eastAsia" w:asciiTheme="minorEastAsia" w:hAnsiTheme="minorEastAsia"/>
                <w:sz w:val="24"/>
              </w:rPr>
              <w:t>套</w:t>
            </w:r>
          </w:p>
        </w:tc>
        <w:tc>
          <w:tcPr>
            <w:tcW w:w="1559"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148</w:t>
            </w:r>
          </w:p>
        </w:tc>
        <w:tc>
          <w:tcPr>
            <w:tcW w:w="1843" w:type="dxa"/>
            <w:shd w:val="clear" w:color="auto" w:fill="auto"/>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shd w:val="clear" w:color="auto" w:fill="auto"/>
            <w:vAlign w:val="center"/>
          </w:tcPr>
          <w:p>
            <w:pPr>
              <w:jc w:val="center"/>
              <w:rPr>
                <w:rFonts w:asciiTheme="minorEastAsia" w:hAnsiTheme="minorEastAsia"/>
                <w:sz w:val="24"/>
              </w:rPr>
            </w:pPr>
            <w:r>
              <w:rPr>
                <w:rFonts w:hint="eastAsia" w:asciiTheme="minorEastAsia" w:hAnsiTheme="minorEastAsia"/>
                <w:sz w:val="24"/>
              </w:rPr>
              <w:t>4</w:t>
            </w:r>
          </w:p>
        </w:tc>
        <w:tc>
          <w:tcPr>
            <w:tcW w:w="2631" w:type="dxa"/>
            <w:shd w:val="clear" w:color="auto" w:fill="auto"/>
            <w:noWrap/>
            <w:vAlign w:val="center"/>
          </w:tcPr>
          <w:p>
            <w:pPr>
              <w:rPr>
                <w:rFonts w:asciiTheme="minorEastAsia" w:hAnsiTheme="minorEastAsia"/>
                <w:sz w:val="24"/>
              </w:rPr>
            </w:pPr>
            <w:r>
              <w:rPr>
                <w:rFonts w:hint="eastAsia" w:asciiTheme="minorEastAsia" w:hAnsiTheme="minorEastAsia"/>
                <w:sz w:val="24"/>
              </w:rPr>
              <w:t>办公软件</w:t>
            </w:r>
          </w:p>
        </w:tc>
        <w:tc>
          <w:tcPr>
            <w:tcW w:w="1560"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套</w:t>
            </w:r>
          </w:p>
        </w:tc>
        <w:tc>
          <w:tcPr>
            <w:tcW w:w="1559"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56</w:t>
            </w:r>
          </w:p>
        </w:tc>
        <w:tc>
          <w:tcPr>
            <w:tcW w:w="1843" w:type="dxa"/>
            <w:shd w:val="clear" w:color="auto" w:fill="auto"/>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shd w:val="clear" w:color="auto" w:fill="auto"/>
            <w:vAlign w:val="center"/>
          </w:tcPr>
          <w:p>
            <w:pPr>
              <w:jc w:val="center"/>
              <w:rPr>
                <w:rFonts w:asciiTheme="minorEastAsia" w:hAnsiTheme="minorEastAsia"/>
                <w:sz w:val="24"/>
              </w:rPr>
            </w:pPr>
            <w:r>
              <w:rPr>
                <w:rFonts w:hint="eastAsia" w:asciiTheme="minorEastAsia" w:hAnsiTheme="minorEastAsia"/>
                <w:sz w:val="24"/>
              </w:rPr>
              <w:t>5</w:t>
            </w:r>
          </w:p>
        </w:tc>
        <w:tc>
          <w:tcPr>
            <w:tcW w:w="2631" w:type="dxa"/>
            <w:shd w:val="clear" w:color="auto" w:fill="auto"/>
            <w:noWrap/>
            <w:vAlign w:val="center"/>
          </w:tcPr>
          <w:p>
            <w:pPr>
              <w:rPr>
                <w:rFonts w:asciiTheme="minorEastAsia" w:hAnsiTheme="minorEastAsia"/>
                <w:sz w:val="24"/>
              </w:rPr>
            </w:pPr>
            <w:r>
              <w:rPr>
                <w:rFonts w:hint="eastAsia" w:asciiTheme="minorEastAsia" w:hAnsiTheme="minorEastAsia"/>
                <w:sz w:val="24"/>
              </w:rPr>
              <w:t>复印机</w:t>
            </w:r>
          </w:p>
        </w:tc>
        <w:tc>
          <w:tcPr>
            <w:tcW w:w="1560"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台</w:t>
            </w:r>
          </w:p>
        </w:tc>
        <w:tc>
          <w:tcPr>
            <w:tcW w:w="1559"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1</w:t>
            </w:r>
          </w:p>
        </w:tc>
        <w:tc>
          <w:tcPr>
            <w:tcW w:w="1843" w:type="dxa"/>
            <w:shd w:val="clear" w:color="auto" w:fill="auto"/>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shd w:val="clear" w:color="auto" w:fill="auto"/>
            <w:vAlign w:val="center"/>
          </w:tcPr>
          <w:p>
            <w:pPr>
              <w:jc w:val="center"/>
              <w:rPr>
                <w:rFonts w:asciiTheme="minorEastAsia" w:hAnsiTheme="minorEastAsia"/>
                <w:sz w:val="24"/>
              </w:rPr>
            </w:pPr>
            <w:r>
              <w:rPr>
                <w:rFonts w:hint="eastAsia" w:asciiTheme="minorEastAsia" w:hAnsiTheme="minorEastAsia"/>
                <w:sz w:val="24"/>
              </w:rPr>
              <w:t>6</w:t>
            </w:r>
          </w:p>
        </w:tc>
        <w:tc>
          <w:tcPr>
            <w:tcW w:w="2631" w:type="dxa"/>
            <w:shd w:val="clear" w:color="auto" w:fill="auto"/>
            <w:noWrap/>
            <w:vAlign w:val="center"/>
          </w:tcPr>
          <w:p>
            <w:pPr>
              <w:rPr>
                <w:rFonts w:asciiTheme="minorEastAsia" w:hAnsiTheme="minorEastAsia"/>
                <w:sz w:val="24"/>
              </w:rPr>
            </w:pPr>
            <w:r>
              <w:rPr>
                <w:rFonts w:hint="eastAsia" w:asciiTheme="minorEastAsia" w:hAnsiTheme="minorEastAsia"/>
                <w:sz w:val="24"/>
              </w:rPr>
              <w:t>打印机</w:t>
            </w:r>
          </w:p>
        </w:tc>
        <w:tc>
          <w:tcPr>
            <w:tcW w:w="1560" w:type="dxa"/>
            <w:shd w:val="clear" w:color="auto" w:fill="auto"/>
            <w:vAlign w:val="center"/>
          </w:tcPr>
          <w:p>
            <w:pPr>
              <w:jc w:val="center"/>
              <w:rPr>
                <w:rFonts w:asciiTheme="minorEastAsia" w:hAnsiTheme="minorEastAsia"/>
                <w:sz w:val="24"/>
              </w:rPr>
            </w:pPr>
            <w:r>
              <w:rPr>
                <w:rFonts w:hint="eastAsia" w:asciiTheme="minorEastAsia" w:hAnsiTheme="minorEastAsia"/>
                <w:sz w:val="24"/>
              </w:rPr>
              <w:t>台</w:t>
            </w:r>
          </w:p>
        </w:tc>
        <w:tc>
          <w:tcPr>
            <w:tcW w:w="1559"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16</w:t>
            </w:r>
          </w:p>
        </w:tc>
        <w:tc>
          <w:tcPr>
            <w:tcW w:w="1843" w:type="dxa"/>
            <w:shd w:val="clear" w:color="auto" w:fill="auto"/>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shd w:val="clear" w:color="auto" w:fill="auto"/>
            <w:vAlign w:val="center"/>
          </w:tcPr>
          <w:p>
            <w:pPr>
              <w:jc w:val="center"/>
              <w:rPr>
                <w:rFonts w:asciiTheme="minorEastAsia" w:hAnsiTheme="minorEastAsia"/>
                <w:sz w:val="24"/>
              </w:rPr>
            </w:pPr>
            <w:r>
              <w:rPr>
                <w:rFonts w:hint="eastAsia" w:asciiTheme="minorEastAsia" w:hAnsiTheme="minorEastAsia"/>
                <w:sz w:val="24"/>
              </w:rPr>
              <w:t>7</w:t>
            </w:r>
          </w:p>
        </w:tc>
        <w:tc>
          <w:tcPr>
            <w:tcW w:w="2631" w:type="dxa"/>
            <w:shd w:val="clear" w:color="auto" w:fill="auto"/>
            <w:noWrap/>
            <w:vAlign w:val="center"/>
          </w:tcPr>
          <w:p>
            <w:pPr>
              <w:rPr>
                <w:rFonts w:asciiTheme="minorEastAsia" w:hAnsiTheme="minorEastAsia"/>
                <w:sz w:val="24"/>
              </w:rPr>
            </w:pPr>
            <w:r>
              <w:rPr>
                <w:rFonts w:hint="eastAsia" w:asciiTheme="minorEastAsia" w:hAnsiTheme="minorEastAsia"/>
                <w:sz w:val="24"/>
              </w:rPr>
              <w:t>速印机</w:t>
            </w:r>
          </w:p>
        </w:tc>
        <w:tc>
          <w:tcPr>
            <w:tcW w:w="1560" w:type="dxa"/>
            <w:shd w:val="clear" w:color="auto" w:fill="auto"/>
            <w:vAlign w:val="center"/>
          </w:tcPr>
          <w:p>
            <w:pPr>
              <w:jc w:val="center"/>
              <w:rPr>
                <w:rFonts w:asciiTheme="minorEastAsia" w:hAnsiTheme="minorEastAsia"/>
                <w:sz w:val="24"/>
              </w:rPr>
            </w:pPr>
            <w:r>
              <w:rPr>
                <w:rFonts w:hint="eastAsia" w:asciiTheme="minorEastAsia" w:hAnsiTheme="minorEastAsia"/>
                <w:sz w:val="24"/>
              </w:rPr>
              <w:t>台</w:t>
            </w:r>
          </w:p>
        </w:tc>
        <w:tc>
          <w:tcPr>
            <w:tcW w:w="1559"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1</w:t>
            </w:r>
          </w:p>
        </w:tc>
        <w:tc>
          <w:tcPr>
            <w:tcW w:w="1843" w:type="dxa"/>
            <w:shd w:val="clear" w:color="auto" w:fill="auto"/>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shd w:val="clear" w:color="auto" w:fill="auto"/>
            <w:vAlign w:val="center"/>
          </w:tcPr>
          <w:p>
            <w:pPr>
              <w:jc w:val="center"/>
              <w:rPr>
                <w:rFonts w:asciiTheme="minorEastAsia" w:hAnsiTheme="minorEastAsia"/>
                <w:sz w:val="24"/>
              </w:rPr>
            </w:pPr>
            <w:r>
              <w:rPr>
                <w:rFonts w:hint="eastAsia" w:asciiTheme="minorEastAsia" w:hAnsiTheme="minorEastAsia"/>
                <w:sz w:val="24"/>
              </w:rPr>
              <w:t>8</w:t>
            </w:r>
          </w:p>
        </w:tc>
        <w:tc>
          <w:tcPr>
            <w:tcW w:w="2631" w:type="dxa"/>
            <w:shd w:val="clear" w:color="auto" w:fill="auto"/>
            <w:noWrap/>
            <w:vAlign w:val="center"/>
          </w:tcPr>
          <w:p>
            <w:pPr>
              <w:rPr>
                <w:rFonts w:asciiTheme="minorEastAsia" w:hAnsiTheme="minorEastAsia"/>
                <w:sz w:val="24"/>
              </w:rPr>
            </w:pPr>
            <w:r>
              <w:rPr>
                <w:rFonts w:hint="eastAsia" w:asciiTheme="minorEastAsia" w:hAnsiTheme="minorEastAsia"/>
                <w:sz w:val="24"/>
              </w:rPr>
              <w:t>摄像机</w:t>
            </w:r>
          </w:p>
        </w:tc>
        <w:tc>
          <w:tcPr>
            <w:tcW w:w="1560" w:type="dxa"/>
            <w:shd w:val="clear" w:color="auto" w:fill="auto"/>
            <w:vAlign w:val="center"/>
          </w:tcPr>
          <w:p>
            <w:pPr>
              <w:jc w:val="center"/>
              <w:rPr>
                <w:rFonts w:asciiTheme="minorEastAsia" w:hAnsiTheme="minorEastAsia"/>
                <w:sz w:val="24"/>
              </w:rPr>
            </w:pPr>
            <w:r>
              <w:rPr>
                <w:rFonts w:hint="eastAsia" w:asciiTheme="minorEastAsia" w:hAnsiTheme="minorEastAsia"/>
                <w:sz w:val="24"/>
              </w:rPr>
              <w:t>台</w:t>
            </w:r>
          </w:p>
        </w:tc>
        <w:tc>
          <w:tcPr>
            <w:tcW w:w="1559"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1</w:t>
            </w:r>
          </w:p>
        </w:tc>
        <w:tc>
          <w:tcPr>
            <w:tcW w:w="1843" w:type="dxa"/>
            <w:shd w:val="clear" w:color="auto" w:fill="auto"/>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shd w:val="clear" w:color="auto" w:fill="auto"/>
            <w:vAlign w:val="center"/>
          </w:tcPr>
          <w:p>
            <w:pPr>
              <w:jc w:val="center"/>
              <w:rPr>
                <w:rFonts w:asciiTheme="minorEastAsia" w:hAnsiTheme="minorEastAsia"/>
                <w:sz w:val="24"/>
              </w:rPr>
            </w:pPr>
            <w:r>
              <w:rPr>
                <w:rFonts w:hint="eastAsia" w:asciiTheme="minorEastAsia" w:hAnsiTheme="minorEastAsia"/>
                <w:sz w:val="24"/>
              </w:rPr>
              <w:t>9</w:t>
            </w:r>
          </w:p>
        </w:tc>
        <w:tc>
          <w:tcPr>
            <w:tcW w:w="2631" w:type="dxa"/>
            <w:shd w:val="clear" w:color="auto" w:fill="auto"/>
            <w:noWrap/>
            <w:vAlign w:val="center"/>
          </w:tcPr>
          <w:p>
            <w:pPr>
              <w:rPr>
                <w:rFonts w:asciiTheme="minorEastAsia" w:hAnsiTheme="minorEastAsia"/>
                <w:sz w:val="24"/>
              </w:rPr>
            </w:pPr>
            <w:r>
              <w:rPr>
                <w:rFonts w:hint="eastAsia" w:asciiTheme="minorEastAsia" w:hAnsiTheme="minorEastAsia"/>
                <w:sz w:val="24"/>
              </w:rPr>
              <w:t>三脚架</w:t>
            </w:r>
          </w:p>
        </w:tc>
        <w:tc>
          <w:tcPr>
            <w:tcW w:w="1560" w:type="dxa"/>
            <w:shd w:val="clear" w:color="auto" w:fill="auto"/>
            <w:vAlign w:val="center"/>
          </w:tcPr>
          <w:p>
            <w:pPr>
              <w:jc w:val="center"/>
              <w:rPr>
                <w:rFonts w:asciiTheme="minorEastAsia" w:hAnsiTheme="minorEastAsia"/>
                <w:sz w:val="24"/>
              </w:rPr>
            </w:pPr>
            <w:r>
              <w:rPr>
                <w:rFonts w:hint="eastAsia" w:asciiTheme="minorEastAsia" w:hAnsiTheme="minorEastAsia"/>
                <w:sz w:val="24"/>
              </w:rPr>
              <w:t>个</w:t>
            </w:r>
          </w:p>
        </w:tc>
        <w:tc>
          <w:tcPr>
            <w:tcW w:w="1559" w:type="dxa"/>
            <w:shd w:val="clear" w:color="auto" w:fill="auto"/>
            <w:noWrap/>
            <w:vAlign w:val="center"/>
          </w:tcPr>
          <w:p>
            <w:pPr>
              <w:jc w:val="center"/>
              <w:rPr>
                <w:rFonts w:asciiTheme="minorEastAsia" w:hAnsiTheme="minorEastAsia"/>
                <w:sz w:val="24"/>
              </w:rPr>
            </w:pPr>
            <w:r>
              <w:rPr>
                <w:rFonts w:hint="eastAsia" w:asciiTheme="minorEastAsia" w:hAnsiTheme="minorEastAsia"/>
                <w:sz w:val="24"/>
              </w:rPr>
              <w:t>1</w:t>
            </w:r>
          </w:p>
        </w:tc>
        <w:tc>
          <w:tcPr>
            <w:tcW w:w="1843" w:type="dxa"/>
            <w:shd w:val="clear" w:color="auto" w:fill="auto"/>
            <w:noWrap/>
            <w:vAlign w:val="center"/>
          </w:tcPr>
          <w:p>
            <w:pPr>
              <w:jc w:val="center"/>
              <w:rPr>
                <w:rFonts w:asciiTheme="minorEastAsia" w:hAnsiTheme="minorEastAsia"/>
                <w:sz w:val="24"/>
              </w:rPr>
            </w:pPr>
          </w:p>
        </w:tc>
      </w:tr>
    </w:tbl>
    <w:p>
      <w:pPr>
        <w:rPr>
          <w:sz w:val="24"/>
        </w:rPr>
      </w:pPr>
    </w:p>
    <w:p>
      <w:pPr>
        <w:tabs>
          <w:tab w:val="left" w:pos="567"/>
        </w:tabs>
        <w:spacing w:line="360" w:lineRule="auto"/>
        <w:ind w:firstLine="480" w:firstLineChars="200"/>
        <w:contextualSpacing/>
        <w:rPr>
          <w:rFonts w:ascii="宋体" w:hAnsi="宋体" w:cs="宋体"/>
          <w:b/>
          <w:bCs/>
          <w:sz w:val="24"/>
        </w:rPr>
      </w:pPr>
      <w:r>
        <w:rPr>
          <w:rFonts w:hint="eastAsia" w:ascii="宋体" w:hAnsi="宋体" w:cs="宋体"/>
          <w:kern w:val="0"/>
          <w:sz w:val="24"/>
          <w:lang w:bidi="ar"/>
        </w:rPr>
        <w:t>★</w:t>
      </w:r>
      <w:r>
        <w:rPr>
          <w:rFonts w:ascii="宋体" w:hAnsi="宋体" w:cs="宋体"/>
          <w:b/>
          <w:bCs/>
          <w:sz w:val="24"/>
        </w:rPr>
        <w:t>1</w:t>
      </w:r>
      <w:r>
        <w:rPr>
          <w:rFonts w:hint="eastAsia" w:ascii="宋体" w:hAnsi="宋体" w:cs="宋体"/>
          <w:b/>
          <w:bCs/>
          <w:sz w:val="24"/>
        </w:rPr>
        <w:t>.</w:t>
      </w:r>
      <w:r>
        <w:rPr>
          <w:rFonts w:hint="eastAsia"/>
        </w:rPr>
        <w:t xml:space="preserve"> </w:t>
      </w:r>
      <w:r>
        <w:rPr>
          <w:rFonts w:hint="eastAsia" w:ascii="宋体" w:hAnsi="宋体" w:cs="宋体"/>
          <w:b/>
          <w:bCs/>
          <w:sz w:val="24"/>
        </w:rPr>
        <w:t>供应商所报产品若属于《节能产品政府采购品目清单》范围中政府强制采购产品，则供应商所报产品必须获得国家确定的认证机构出具的、处于有效期之内的节能产品认证证书，否则作无效投标处理。</w:t>
      </w:r>
    </w:p>
    <w:p>
      <w:pPr>
        <w:tabs>
          <w:tab w:val="left" w:pos="567"/>
        </w:tabs>
        <w:spacing w:line="360" w:lineRule="auto"/>
        <w:ind w:firstLine="480" w:firstLineChars="200"/>
        <w:contextualSpacing/>
        <w:rPr>
          <w:rFonts w:ascii="宋体" w:hAnsi="宋体" w:cs="宋体"/>
          <w:b/>
          <w:bCs/>
          <w:sz w:val="24"/>
        </w:rPr>
      </w:pPr>
      <w:r>
        <w:rPr>
          <w:rFonts w:hint="eastAsia" w:ascii="宋体" w:hAnsi="宋体" w:cs="宋体"/>
          <w:kern w:val="0"/>
          <w:sz w:val="24"/>
        </w:rPr>
        <w:t>★</w:t>
      </w:r>
      <w:r>
        <w:rPr>
          <w:rFonts w:ascii="宋体" w:hAnsi="宋体" w:cs="宋体"/>
          <w:b/>
          <w:bCs/>
          <w:sz w:val="24"/>
        </w:rPr>
        <w:t>2</w:t>
      </w:r>
      <w:r>
        <w:rPr>
          <w:rFonts w:hint="eastAsia" w:ascii="宋体" w:hAnsi="宋体" w:cs="宋体"/>
          <w:b/>
          <w:bCs/>
          <w:sz w:val="24"/>
        </w:rPr>
        <w:t>.供应商所报产品若属于《强制性产品认证目录》的产品，则供应商须承诺所报产品具有经国家市场监督管理总局指定的认证机构出具的、处于有效期之内的强制性产品认证证书，提供加盖供应商公章的承诺函，否则作无效投标处理。</w:t>
      </w:r>
    </w:p>
    <w:p>
      <w:pPr>
        <w:tabs>
          <w:tab w:val="left" w:pos="567"/>
        </w:tabs>
        <w:spacing w:line="360" w:lineRule="auto"/>
        <w:ind w:firstLine="480" w:firstLineChars="200"/>
        <w:contextualSpacing/>
        <w:rPr>
          <w:rFonts w:ascii="宋体" w:hAnsi="宋体" w:cs="宋体"/>
          <w:b/>
          <w:bCs/>
          <w:sz w:val="24"/>
        </w:rPr>
      </w:pPr>
      <w:r>
        <w:rPr>
          <w:rFonts w:hint="eastAsia" w:ascii="宋体" w:hAnsi="宋体" w:cs="宋体"/>
          <w:kern w:val="0"/>
          <w:sz w:val="24"/>
        </w:rPr>
        <w:t>★</w:t>
      </w:r>
      <w:r>
        <w:rPr>
          <w:rFonts w:ascii="宋体" w:hAnsi="宋体" w:cs="宋体"/>
          <w:b/>
          <w:bCs/>
          <w:sz w:val="24"/>
        </w:rPr>
        <w:t>3.</w:t>
      </w:r>
      <w:r>
        <w:rPr>
          <w:rFonts w:hint="eastAsia" w:ascii="宋体" w:hAnsi="宋体" w:cs="宋体"/>
          <w:b/>
          <w:bCs/>
          <w:sz w:val="24"/>
        </w:rPr>
        <w:t>供应商所报</w:t>
      </w:r>
      <w:r>
        <w:rPr>
          <w:rFonts w:ascii="宋体" w:hAnsi="宋体" w:cs="宋体"/>
          <w:b/>
          <w:bCs/>
          <w:sz w:val="24"/>
        </w:rPr>
        <w:t>每一序号</w:t>
      </w:r>
      <w:r>
        <w:rPr>
          <w:rFonts w:hint="eastAsia" w:ascii="宋体" w:hAnsi="宋体" w:cs="宋体"/>
          <w:b/>
          <w:bCs/>
          <w:sz w:val="24"/>
        </w:rPr>
        <w:t>对应</w:t>
      </w:r>
      <w:r>
        <w:rPr>
          <w:rFonts w:ascii="宋体" w:hAnsi="宋体" w:cs="宋体"/>
          <w:b/>
          <w:bCs/>
          <w:sz w:val="24"/>
        </w:rPr>
        <w:t>类型的产品，均须为</w:t>
      </w:r>
      <w:r>
        <w:rPr>
          <w:rFonts w:hint="eastAsia" w:ascii="宋体" w:hAnsi="宋体" w:cs="宋体"/>
          <w:b/>
          <w:bCs/>
          <w:sz w:val="24"/>
        </w:rPr>
        <w:t>同一</w:t>
      </w:r>
      <w:r>
        <w:rPr>
          <w:rFonts w:ascii="宋体" w:hAnsi="宋体" w:cs="宋体"/>
          <w:b/>
          <w:bCs/>
          <w:sz w:val="24"/>
        </w:rPr>
        <w:t>品牌、规格、型号及配置，否则</w:t>
      </w:r>
      <w:r>
        <w:rPr>
          <w:rFonts w:hint="eastAsia" w:ascii="宋体" w:hAnsi="宋体" w:cs="宋体"/>
          <w:b/>
          <w:bCs/>
          <w:sz w:val="24"/>
        </w:rPr>
        <w:t>作</w:t>
      </w:r>
      <w:r>
        <w:rPr>
          <w:rFonts w:ascii="宋体" w:hAnsi="宋体" w:cs="宋体"/>
          <w:b/>
          <w:bCs/>
          <w:sz w:val="24"/>
        </w:rPr>
        <w:t>无效投标处理。</w:t>
      </w:r>
    </w:p>
    <w:p>
      <w:pPr>
        <w:pStyle w:val="75"/>
        <w:spacing w:line="360" w:lineRule="auto"/>
        <w:ind w:firstLine="482"/>
        <w:contextualSpacing/>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商务要求</w:t>
      </w:r>
    </w:p>
    <w:p>
      <w:pPr>
        <w:spacing w:line="360" w:lineRule="auto"/>
        <w:ind w:firstLine="480" w:firstLineChars="200"/>
        <w:rPr>
          <w:rFonts w:asciiTheme="minorEastAsia" w:hAnsiTheme="minorEastAsia"/>
          <w:sz w:val="24"/>
        </w:rPr>
      </w:pPr>
      <w:r>
        <w:rPr>
          <w:rFonts w:hint="eastAsia" w:asciiTheme="minorEastAsia" w:hAnsiTheme="minorEastAsia"/>
          <w:sz w:val="24"/>
        </w:rPr>
        <w:t>1.交付</w:t>
      </w:r>
      <w:r>
        <w:rPr>
          <w:rFonts w:asciiTheme="minorEastAsia" w:hAnsiTheme="minorEastAsia"/>
          <w:sz w:val="24"/>
        </w:rPr>
        <w:t>时间</w:t>
      </w:r>
      <w:r>
        <w:rPr>
          <w:rFonts w:hint="eastAsia" w:asciiTheme="minorEastAsia" w:hAnsiTheme="minorEastAsia"/>
          <w:sz w:val="24"/>
        </w:rPr>
        <w:t>和</w:t>
      </w:r>
      <w:r>
        <w:rPr>
          <w:rFonts w:asciiTheme="minorEastAsia" w:hAnsiTheme="minorEastAsia"/>
          <w:sz w:val="24"/>
        </w:rPr>
        <w:t>地点</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 时间</w:t>
      </w:r>
      <w:r>
        <w:rPr>
          <w:rFonts w:asciiTheme="minorEastAsia" w:hAnsiTheme="minorEastAsia"/>
          <w:sz w:val="24"/>
        </w:rPr>
        <w:t>：</w:t>
      </w:r>
      <w:r>
        <w:rPr>
          <w:rFonts w:hint="eastAsia" w:asciiTheme="minorEastAsia" w:hAnsiTheme="minorEastAsia"/>
          <w:sz w:val="24"/>
        </w:rPr>
        <w:t>60个</w:t>
      </w:r>
      <w:r>
        <w:rPr>
          <w:rFonts w:asciiTheme="minorEastAsia" w:hAnsiTheme="minorEastAsia"/>
          <w:sz w:val="24"/>
        </w:rPr>
        <w:t>日历日内</w:t>
      </w:r>
      <w:r>
        <w:rPr>
          <w:rFonts w:hint="eastAsia" w:asciiTheme="minorEastAsia" w:hAnsiTheme="minorEastAsia"/>
          <w:sz w:val="24"/>
        </w:rPr>
        <w:t>完成安装调试。</w:t>
      </w:r>
    </w:p>
    <w:p>
      <w:pPr>
        <w:spacing w:line="360" w:lineRule="auto"/>
        <w:rPr>
          <w:rFonts w:asciiTheme="minorEastAsia" w:hAnsiTheme="minorEastAsia"/>
          <w:sz w:val="24"/>
        </w:rPr>
      </w:pPr>
      <w:r>
        <w:rPr>
          <w:rFonts w:hint="eastAsia" w:asciiTheme="minorEastAsia" w:hAnsiTheme="minorEastAsia"/>
          <w:sz w:val="24"/>
        </w:rPr>
        <w:t>地点</w:t>
      </w:r>
      <w:r>
        <w:rPr>
          <w:rFonts w:asciiTheme="minorEastAsia" w:hAnsiTheme="minorEastAsia"/>
          <w:sz w:val="24"/>
        </w:rPr>
        <w:t>：</w:t>
      </w:r>
      <w:r>
        <w:rPr>
          <w:rFonts w:hint="eastAsia" w:asciiTheme="minorEastAsia" w:hAnsiTheme="minorEastAsia"/>
          <w:sz w:val="24"/>
        </w:rPr>
        <w:t>甲方指定位置。</w:t>
      </w:r>
    </w:p>
    <w:p>
      <w:pPr>
        <w:spacing w:line="360" w:lineRule="auto"/>
        <w:ind w:firstLine="480" w:firstLineChars="200"/>
        <w:rPr>
          <w:rFonts w:asciiTheme="minorEastAsia" w:hAnsiTheme="minorEastAsia"/>
          <w:sz w:val="24"/>
        </w:rPr>
      </w:pPr>
      <w:r>
        <w:rPr>
          <w:rFonts w:hint="eastAsia" w:asciiTheme="minorEastAsia" w:hAnsiTheme="minorEastAsia"/>
          <w:sz w:val="24"/>
        </w:rPr>
        <w:t>2.付款</w:t>
      </w:r>
      <w:r>
        <w:rPr>
          <w:rFonts w:asciiTheme="minorEastAsia" w:hAnsiTheme="minorEastAsia"/>
          <w:sz w:val="24"/>
        </w:rPr>
        <w:t>条件</w:t>
      </w:r>
    </w:p>
    <w:p>
      <w:pPr>
        <w:spacing w:line="360" w:lineRule="auto"/>
        <w:ind w:firstLine="480" w:firstLineChars="200"/>
        <w:rPr>
          <w:rFonts w:asciiTheme="minorEastAsia" w:hAnsiTheme="minorEastAsia"/>
          <w:sz w:val="24"/>
        </w:rPr>
      </w:pPr>
      <w:r>
        <w:rPr>
          <w:rFonts w:hint="eastAsia" w:asciiTheme="minorEastAsia" w:hAnsiTheme="minorEastAsia"/>
          <w:sz w:val="24"/>
        </w:rPr>
        <w:t>合同签订后，待全部货物到齐安装验收合格并经区教委审批，采购人一次性向成交人支付100%合同款。</w:t>
      </w:r>
    </w:p>
    <w:p>
      <w:pPr>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包装和运输（如适用，须满足《关于印发〈商品包装政府采购需求标准（试行）〉、〈快递包装政府采购需求标准（试行）〉的通知》（财办库﹝2020﹞123号））。</w:t>
      </w:r>
    </w:p>
    <w:p>
      <w:pPr>
        <w:spacing w:line="360" w:lineRule="auto"/>
        <w:ind w:firstLine="480" w:firstLineChars="200"/>
        <w:rPr>
          <w:rFonts w:asciiTheme="minorEastAsia" w:hAnsiTheme="minorEastAsia"/>
          <w:sz w:val="24"/>
        </w:rPr>
      </w:pPr>
      <w:r>
        <w:rPr>
          <w:rFonts w:hint="eastAsia" w:asciiTheme="minorEastAsia" w:hAnsiTheme="minorEastAsia"/>
          <w:sz w:val="24"/>
        </w:rPr>
        <w:t>4.售后服务</w:t>
      </w:r>
    </w:p>
    <w:p>
      <w:pPr>
        <w:spacing w:line="360" w:lineRule="auto"/>
        <w:ind w:firstLine="480" w:firstLineChars="200"/>
        <w:rPr>
          <w:sz w:val="24"/>
        </w:rPr>
      </w:pPr>
      <w:r>
        <w:rPr>
          <w:rFonts w:hint="eastAsia" w:asciiTheme="minorEastAsia" w:hAnsiTheme="minorEastAsia"/>
          <w:sz w:val="24"/>
        </w:rPr>
        <w:t>（1）原厂质量保证期≥36个月，自货物通过最终验收之日起。</w:t>
      </w:r>
      <w:r>
        <w:rPr>
          <w:rFonts w:asciiTheme="minorEastAsia" w:hAnsiTheme="minorEastAsia"/>
          <w:sz w:val="24"/>
        </w:rPr>
        <w:t>质保期内如发生质量问题及时更换，所需费用由供应商承担。</w:t>
      </w:r>
      <w:r>
        <w:rPr>
          <w:rFonts w:hint="eastAsia"/>
          <w:sz w:val="24"/>
        </w:rPr>
        <w:t>质保期满后，出现质量问题需更换配件的，仅收取配件费。</w:t>
      </w:r>
    </w:p>
    <w:p>
      <w:pPr>
        <w:spacing w:line="360" w:lineRule="auto"/>
        <w:ind w:firstLine="480" w:firstLineChars="200"/>
        <w:rPr>
          <w:rFonts w:asciiTheme="minorEastAsia" w:hAnsiTheme="minorEastAsia"/>
          <w:sz w:val="24"/>
        </w:rPr>
      </w:pPr>
      <w:r>
        <w:rPr>
          <w:rFonts w:hint="eastAsia" w:asciiTheme="minorEastAsia" w:hAnsiTheme="minorEastAsia"/>
          <w:sz w:val="24"/>
        </w:rPr>
        <w:t>（2）售后服务标准必须与该产品出厂市场标准服务一致,提供符合专业服务体系标准的原厂中文服务，包含：技术咨询、故障排查、产品升级、产品培训，具体服务内容：一是技术咨询，中标供应商需提供7×24小时统一电话，包含产品使用、安装等相关技术咨询和疑难解答；二是故障排查，中标供应商需提供远程或现场产品故障分析、诊断，2个工作日解决问题，对于未能解决的问题和故障应根据故障原因，提出可行的解决方案，并提供周转设备或更换设备（硬盘故障后，更换新的硬盘（所涉及费用包含在报价中），原盘由采购人保留）；三是软件产品升级，提供软件产品升级，修复软件产品问题及提升软件功能、性能；四是产品培训，提供远程或现场产品安装、实施、使用等方面的培训（所涉及费用包含在报价中）。</w:t>
      </w:r>
    </w:p>
    <w:p>
      <w:pPr>
        <w:spacing w:line="360" w:lineRule="auto"/>
        <w:ind w:firstLine="480"/>
        <w:rPr>
          <w:rFonts w:asciiTheme="minorEastAsia" w:hAnsiTheme="minorEastAsia"/>
          <w:sz w:val="24"/>
        </w:rPr>
      </w:pPr>
      <w:r>
        <w:rPr>
          <w:rFonts w:hint="eastAsia" w:asciiTheme="minorEastAsia" w:hAnsiTheme="minorEastAsia"/>
          <w:sz w:val="24"/>
        </w:rPr>
        <w:t>（3）提供同城4小时、异地12小时技术响应服务，2 个工作日解决问题，对于未能解决的问题和故障应提供可行的升级方案，并提供周转设备或更换设备（所涉及费用包含在投标报价中）。</w:t>
      </w:r>
    </w:p>
    <w:p>
      <w:pPr>
        <w:spacing w:line="360" w:lineRule="auto"/>
        <w:ind w:firstLine="480"/>
        <w:rPr>
          <w:b/>
          <w:i/>
          <w:sz w:val="24"/>
        </w:rPr>
      </w:pPr>
      <w:r>
        <w:rPr>
          <w:rFonts w:hint="eastAsia" w:asciiTheme="minorEastAsia" w:hAnsiTheme="minorEastAsia"/>
          <w:sz w:val="24"/>
        </w:rPr>
        <w:t>（4）供应商提供的售后服务方案，包括但不限于原厂质保承诺、本地服务保障体系、响应时间、售后服务组织、应急措施等。供应商提供的产品不符合合同约定的质量标准或存在产品质量缺陷的，供应商需进行更换全新的相同产品。售后服务方案应内容完整合理、详细全面、针对性强，供应商售后体系完善，充分保障用户利益。</w:t>
      </w:r>
    </w:p>
    <w:p>
      <w:pPr>
        <w:pStyle w:val="75"/>
        <w:spacing w:line="360" w:lineRule="auto"/>
        <w:ind w:firstLine="482"/>
        <w:contextualSpacing/>
        <w:rPr>
          <w:b/>
          <w:sz w:val="24"/>
        </w:rPr>
      </w:pPr>
      <w:r>
        <w:rPr>
          <w:rFonts w:hint="eastAsia" w:ascii="Times New Roman" w:hAnsi="Times New Roman"/>
          <w:b/>
          <w:sz w:val="24"/>
          <w:szCs w:val="24"/>
        </w:rPr>
        <w:t>四、</w:t>
      </w:r>
      <w:r>
        <w:rPr>
          <w:rFonts w:ascii="Times New Roman" w:hAnsi="Times New Roman"/>
          <w:b/>
          <w:sz w:val="24"/>
          <w:szCs w:val="24"/>
        </w:rPr>
        <w:t>技术要求</w:t>
      </w:r>
    </w:p>
    <w:p>
      <w:pPr>
        <w:spacing w:line="360" w:lineRule="auto"/>
        <w:ind w:firstLine="480" w:firstLineChars="200"/>
        <w:contextualSpacing/>
        <w:outlineLvl w:val="2"/>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需执行的国家相关标准、行业标准、地方标准或者其他标准、规范</w:t>
      </w:r>
    </w:p>
    <w:p>
      <w:pPr>
        <w:spacing w:line="360" w:lineRule="auto"/>
        <w:ind w:firstLine="480" w:firstLineChars="200"/>
        <w:contextualSpacing/>
        <w:rPr>
          <w:rFonts w:ascii="宋体" w:hAnsi="宋体" w:cs="宋体"/>
          <w:sz w:val="24"/>
        </w:rPr>
      </w:pPr>
      <w:r>
        <w:rPr>
          <w:rFonts w:hint="eastAsia" w:ascii="宋体" w:hAnsi="宋体" w:cs="宋体"/>
          <w:sz w:val="24"/>
        </w:rPr>
        <w:t>本项目需执行以下标准：</w:t>
      </w:r>
    </w:p>
    <w:p>
      <w:pPr>
        <w:numPr>
          <w:ilvl w:val="0"/>
          <w:numId w:val="12"/>
        </w:numPr>
        <w:spacing w:line="360" w:lineRule="auto"/>
        <w:ind w:firstLine="0"/>
        <w:contextualSpacing/>
        <w:rPr>
          <w:rFonts w:ascii="宋体" w:hAnsi="宋体" w:cs="宋体"/>
          <w:sz w:val="24"/>
        </w:rPr>
      </w:pPr>
      <w:r>
        <w:rPr>
          <w:rFonts w:hint="eastAsia" w:ascii="宋体" w:hAnsi="宋体" w:cs="宋体"/>
          <w:sz w:val="24"/>
        </w:rPr>
        <w:t>《台式计算机政府采购需求标准（2023年版）》（财库〔2023〕29号）</w:t>
      </w:r>
    </w:p>
    <w:p>
      <w:pPr>
        <w:numPr>
          <w:ilvl w:val="0"/>
          <w:numId w:val="12"/>
        </w:numPr>
        <w:spacing w:line="360" w:lineRule="auto"/>
        <w:ind w:firstLine="0"/>
        <w:contextualSpacing/>
        <w:rPr>
          <w:rFonts w:ascii="宋体" w:hAnsi="宋体" w:cs="宋体"/>
          <w:sz w:val="24"/>
        </w:rPr>
      </w:pPr>
      <w:r>
        <w:rPr>
          <w:rFonts w:hint="eastAsia" w:ascii="宋体" w:hAnsi="宋体" w:cs="宋体"/>
          <w:sz w:val="24"/>
        </w:rPr>
        <w:t>《操作系统政府采购需求标准（2023年版）》（财库〔2023〕34号）</w:t>
      </w:r>
    </w:p>
    <w:p>
      <w:pPr>
        <w:spacing w:line="360" w:lineRule="auto"/>
        <w:ind w:firstLine="480" w:firstLineChars="200"/>
        <w:rPr>
          <w:sz w:val="24"/>
        </w:rPr>
      </w:pPr>
      <w:r>
        <w:rPr>
          <w:rFonts w:hint="eastAsia"/>
          <w:sz w:val="24"/>
        </w:rPr>
        <w:t>2</w:t>
      </w:r>
      <w:r>
        <w:rPr>
          <w:sz w:val="24"/>
        </w:rPr>
        <w:t>.</w:t>
      </w:r>
      <w:r>
        <w:rPr>
          <w:rFonts w:hint="eastAsia"/>
          <w:sz w:val="24"/>
        </w:rPr>
        <w:t>主要技术规格和参数</w:t>
      </w:r>
    </w:p>
    <w:p>
      <w:pPr>
        <w:spacing w:line="360" w:lineRule="auto"/>
        <w:ind w:firstLine="482" w:firstLineChars="200"/>
        <w:rPr>
          <w:b/>
          <w:color w:val="0D0D0D" w:themeColor="text1" w:themeTint="F2"/>
          <w:sz w:val="24"/>
          <w14:textFill>
            <w14:solidFill>
              <w14:schemeClr w14:val="tx1">
                <w14:lumMod w14:val="95000"/>
                <w14:lumOff w14:val="5000"/>
              </w14:schemeClr>
            </w14:solidFill>
          </w14:textFill>
        </w:rPr>
      </w:pPr>
      <w:bookmarkStart w:id="650" w:name="_Hlk173315209"/>
      <w:bookmarkStart w:id="651" w:name="_Hlk172539313"/>
      <w:bookmarkStart w:id="652" w:name="_Hlk196151202"/>
      <w:r>
        <w:rPr>
          <w:rFonts w:hint="eastAsia"/>
          <w:b/>
          <w:sz w:val="24"/>
        </w:rPr>
        <w:t>技术要求中</w:t>
      </w:r>
      <w:r>
        <w:rPr>
          <w:rFonts w:hint="eastAsia" w:ascii="宋体" w:hAnsi="宋体" w:cs="宋体"/>
          <w:color w:val="0D0D0D" w:themeColor="text1" w:themeTint="F2"/>
          <w:kern w:val="0"/>
          <w:sz w:val="24"/>
          <w:lang w:bidi="ar"/>
          <w14:textFill>
            <w14:solidFill>
              <w14:schemeClr w14:val="tx1">
                <w14:lumMod w14:val="95000"/>
                <w14:lumOff w14:val="5000"/>
              </w14:schemeClr>
            </w14:solidFill>
          </w14:textFill>
        </w:rPr>
        <w:t>★</w:t>
      </w:r>
      <w:r>
        <w:rPr>
          <w:rFonts w:hint="eastAsia"/>
          <w:b/>
          <w:color w:val="0D0D0D" w:themeColor="text1" w:themeTint="F2"/>
          <w:sz w:val="24"/>
          <w14:textFill>
            <w14:solidFill>
              <w14:schemeClr w14:val="tx1">
                <w14:lumMod w14:val="95000"/>
                <w14:lumOff w14:val="5000"/>
              </w14:schemeClr>
            </w14:solidFill>
          </w14:textFill>
        </w:rPr>
        <w:t>代表实质性指标，不允许负偏离，不满足该指标项将导致响应被拒绝。</w:t>
      </w:r>
      <w:bookmarkEnd w:id="650"/>
      <w:bookmarkEnd w:id="651"/>
    </w:p>
    <w:p>
      <w:pPr>
        <w:spacing w:line="360" w:lineRule="auto"/>
        <w:ind w:firstLine="482" w:firstLineChars="200"/>
        <w:rPr>
          <w:b/>
        </w:rPr>
      </w:pPr>
      <w:r>
        <w:rPr>
          <w:rFonts w:hint="eastAsia" w:asciiTheme="minorEastAsia" w:hAnsiTheme="minorEastAsia"/>
          <w:b/>
          <w:sz w:val="24"/>
        </w:rPr>
        <w:t>2.1台式计算机</w:t>
      </w:r>
      <w:bookmarkStart w:id="653" w:name="_Hlk176358522"/>
    </w:p>
    <w:bookmarkEnd w:id="653"/>
    <w:tbl>
      <w:tblPr>
        <w:tblStyle w:val="44"/>
        <w:tblW w:w="880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51"/>
        <w:gridCol w:w="1275"/>
        <w:gridCol w:w="1418"/>
        <w:gridCol w:w="3638"/>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8" w:type="dxa"/>
            <w:shd w:val="clear" w:color="auto" w:fill="auto"/>
            <w:vAlign w:val="center"/>
          </w:tcPr>
          <w:p>
            <w:pPr>
              <w:widowControl/>
              <w:spacing w:line="240" w:lineRule="exact"/>
              <w:jc w:val="center"/>
              <w:textAlignment w:val="center"/>
              <w:rPr>
                <w:rFonts w:ascii="宋体" w:hAnsi="宋体" w:cs="宋体"/>
                <w:b/>
                <w:bCs/>
                <w:sz w:val="24"/>
              </w:rPr>
            </w:pPr>
            <w:r>
              <w:rPr>
                <w:rFonts w:hint="eastAsia" w:ascii="宋体" w:hAnsi="宋体" w:cs="宋体"/>
                <w:b/>
                <w:bCs/>
                <w:kern w:val="0"/>
                <w:sz w:val="24"/>
              </w:rPr>
              <w:t>序号</w:t>
            </w:r>
          </w:p>
        </w:tc>
        <w:tc>
          <w:tcPr>
            <w:tcW w:w="851" w:type="dxa"/>
            <w:shd w:val="clear" w:color="auto" w:fill="auto"/>
            <w:vAlign w:val="center"/>
          </w:tcPr>
          <w:p>
            <w:pPr>
              <w:widowControl/>
              <w:spacing w:line="240" w:lineRule="exact"/>
              <w:jc w:val="left"/>
              <w:textAlignment w:val="center"/>
              <w:rPr>
                <w:rFonts w:ascii="宋体" w:hAnsi="宋体" w:cs="宋体"/>
                <w:b/>
                <w:bCs/>
                <w:sz w:val="24"/>
              </w:rPr>
            </w:pPr>
            <w:r>
              <w:rPr>
                <w:rFonts w:hint="eastAsia" w:ascii="宋体" w:hAnsi="宋体" w:cs="宋体"/>
                <w:b/>
                <w:bCs/>
                <w:kern w:val="0"/>
                <w:sz w:val="24"/>
              </w:rPr>
              <w:t>指标分类</w:t>
            </w:r>
          </w:p>
        </w:tc>
        <w:tc>
          <w:tcPr>
            <w:tcW w:w="1275" w:type="dxa"/>
            <w:shd w:val="clear" w:color="auto" w:fill="auto"/>
            <w:vAlign w:val="center"/>
          </w:tcPr>
          <w:p>
            <w:pPr>
              <w:widowControl/>
              <w:spacing w:line="240" w:lineRule="exact"/>
              <w:jc w:val="center"/>
              <w:textAlignment w:val="center"/>
              <w:rPr>
                <w:rFonts w:ascii="宋体" w:hAnsi="宋体" w:cs="宋体"/>
                <w:b/>
                <w:bCs/>
                <w:sz w:val="24"/>
              </w:rPr>
            </w:pPr>
            <w:r>
              <w:fldChar w:fldCharType="begin"/>
            </w:r>
            <w:r>
              <w:instrText xml:space="preserve"> HYPERLINK \l "Sheet1!A3" </w:instrText>
            </w:r>
            <w:r>
              <w:fldChar w:fldCharType="separate"/>
            </w:r>
            <w:r>
              <w:rPr>
                <w:rFonts w:hint="eastAsia" w:ascii="宋体" w:hAnsi="宋体" w:cs="宋体"/>
                <w:b/>
                <w:bCs/>
                <w:sz w:val="24"/>
                <w:u w:val="single"/>
              </w:rPr>
              <w:t>一级指标</w:t>
            </w:r>
            <w:r>
              <w:rPr>
                <w:rFonts w:hint="eastAsia" w:ascii="宋体" w:hAnsi="宋体" w:cs="宋体"/>
                <w:b/>
                <w:bCs/>
                <w:sz w:val="24"/>
                <w:u w:val="single"/>
              </w:rPr>
              <w:fldChar w:fldCharType="end"/>
            </w:r>
          </w:p>
        </w:tc>
        <w:tc>
          <w:tcPr>
            <w:tcW w:w="1418" w:type="dxa"/>
            <w:shd w:val="clear" w:color="auto" w:fill="auto"/>
            <w:vAlign w:val="center"/>
          </w:tcPr>
          <w:p>
            <w:pPr>
              <w:widowControl/>
              <w:spacing w:line="240" w:lineRule="exact"/>
              <w:jc w:val="center"/>
              <w:textAlignment w:val="center"/>
              <w:rPr>
                <w:rFonts w:ascii="宋体" w:hAnsi="宋体" w:cs="宋体"/>
                <w:b/>
                <w:bCs/>
                <w:sz w:val="24"/>
              </w:rPr>
            </w:pPr>
            <w:r>
              <w:rPr>
                <w:rFonts w:hint="eastAsia" w:ascii="宋体" w:hAnsi="宋体" w:cs="宋体"/>
                <w:b/>
                <w:bCs/>
                <w:kern w:val="0"/>
                <w:sz w:val="24"/>
              </w:rPr>
              <w:t>二级指标</w:t>
            </w:r>
          </w:p>
        </w:tc>
        <w:tc>
          <w:tcPr>
            <w:tcW w:w="3638" w:type="dxa"/>
            <w:shd w:val="clear" w:color="auto" w:fill="auto"/>
            <w:vAlign w:val="center"/>
          </w:tcPr>
          <w:p>
            <w:pPr>
              <w:widowControl/>
              <w:spacing w:line="240" w:lineRule="exact"/>
              <w:jc w:val="center"/>
              <w:textAlignment w:val="center"/>
              <w:rPr>
                <w:rFonts w:ascii="宋体" w:hAnsi="宋体" w:cs="宋体"/>
                <w:b/>
                <w:bCs/>
                <w:sz w:val="24"/>
              </w:rPr>
            </w:pPr>
            <w:r>
              <w:rPr>
                <w:rFonts w:hint="eastAsia" w:ascii="宋体" w:hAnsi="宋体" w:cs="宋体"/>
                <w:b/>
                <w:bCs/>
                <w:kern w:val="0"/>
                <w:sz w:val="24"/>
              </w:rPr>
              <w:t>指标要求</w:t>
            </w:r>
          </w:p>
        </w:tc>
        <w:tc>
          <w:tcPr>
            <w:tcW w:w="1011" w:type="dxa"/>
            <w:shd w:val="clear" w:color="auto" w:fill="auto"/>
            <w:vAlign w:val="center"/>
          </w:tcPr>
          <w:p>
            <w:pPr>
              <w:widowControl/>
              <w:spacing w:line="240" w:lineRule="exact"/>
              <w:jc w:val="center"/>
              <w:textAlignment w:val="center"/>
              <w:rPr>
                <w:rFonts w:ascii="宋体" w:hAnsi="宋体" w:cs="宋体"/>
                <w:b/>
                <w:bCs/>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CPU规格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★CPU 信息</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A</w:t>
            </w:r>
            <w:r>
              <w:rPr>
                <w:rFonts w:ascii="宋体" w:hAnsi="宋体" w:cs="宋体"/>
                <w:kern w:val="0"/>
                <w:sz w:val="24"/>
              </w:rPr>
              <w:t>RM</w:t>
            </w:r>
            <w:r>
              <w:rPr>
                <w:rFonts w:hint="eastAsia" w:ascii="宋体" w:hAnsi="宋体" w:cs="宋体"/>
                <w:kern w:val="0"/>
                <w:sz w:val="24"/>
              </w:rPr>
              <w:t>架构，供应商给出CPU信息，包含CPU 型号、物理核心数、主频、末级缓存容量、线程数、热设计功耗及内存的最高速率、通道数和位宽</w:t>
            </w:r>
          </w:p>
        </w:tc>
        <w:tc>
          <w:tcPr>
            <w:tcW w:w="1011" w:type="dxa"/>
            <w:shd w:val="clear" w:color="auto" w:fill="auto"/>
            <w:vAlign w:val="center"/>
          </w:tcPr>
          <w:p>
            <w:pPr>
              <w:widowControl/>
              <w:spacing w:line="240" w:lineRule="exact"/>
              <w:jc w:val="left"/>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内存规格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★内存配置容量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≥16GB DDR4 3200MHz</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★内存类型</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sz w:val="24"/>
              </w:rPr>
              <w:t>支持DDR4/LPDDR4/LPDDR4X及以上内存类型</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★内存条配置数量（板载内存不涉及）</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w:t>
            </w:r>
            <w:r>
              <w:rPr>
                <w:rFonts w:ascii="宋体" w:hAnsi="宋体" w:cs="宋体"/>
                <w:kern w:val="0"/>
                <w:sz w:val="24"/>
              </w:rPr>
              <w:t>1</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主板规格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★主板集成模块</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集成资源扩展模块、计算处理模块、音频扩展模块等，主板的互联拓扑可通过处理器或交换电路实现</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★主板支持的 CPU和内存情况</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给出主板支持的CPU和内存型号和数量</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主板内PCIe 插槽数量</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支持PCIe插槽数量不少于4个</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特殊孔位及接口</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 xml:space="preserve"> USB接口总数≥6个，其中USB 3.0不少于3个</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★主板其他内置接口</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给出相关 SATA、M.2、USB 接口数量及占用状态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★单内存插槽最大可支持容量（板载内存不涉及）</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≥32GB</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★内存插槽满配时提供的最高内存总容量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≥128GB</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存储设备规格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★固态盘数量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≥1个</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★固态存储容量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≥512GB</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 xml:space="preserve">14 </w:t>
            </w:r>
          </w:p>
        </w:tc>
        <w:tc>
          <w:tcPr>
            <w:tcW w:w="851"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left"/>
              <w:rPr>
                <w:rFonts w:ascii="宋体" w:hAnsi="宋体" w:cs="宋体"/>
                <w:kern w:val="0"/>
                <w:sz w:val="24"/>
              </w:rPr>
            </w:pPr>
          </w:p>
        </w:tc>
        <w:tc>
          <w:tcPr>
            <w:tcW w:w="141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★机械硬盘数量</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≥1个</w:t>
            </w:r>
          </w:p>
        </w:tc>
        <w:tc>
          <w:tcPr>
            <w:tcW w:w="1011" w:type="dxa"/>
            <w:shd w:val="clear" w:color="auto" w:fill="auto"/>
            <w:vAlign w:val="center"/>
          </w:tcPr>
          <w:p>
            <w:pPr>
              <w:spacing w:line="240" w:lineRule="exact"/>
              <w:jc w:val="left"/>
              <w:rPr>
                <w:rFonts w:ascii="宋体" w:hAnsi="宋体" w:cs="宋体"/>
                <w:sz w:val="24"/>
                <w:highlight w:val="yellow"/>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 xml:space="preserve">15 </w:t>
            </w:r>
          </w:p>
        </w:tc>
        <w:tc>
          <w:tcPr>
            <w:tcW w:w="851"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left"/>
              <w:rPr>
                <w:rFonts w:ascii="宋体" w:hAnsi="宋体" w:cs="宋体"/>
                <w:kern w:val="0"/>
                <w:sz w:val="24"/>
              </w:rPr>
            </w:pPr>
          </w:p>
        </w:tc>
        <w:tc>
          <w:tcPr>
            <w:tcW w:w="141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★机械硬盘总容量</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 xml:space="preserve">≥1TB </w:t>
            </w:r>
          </w:p>
        </w:tc>
        <w:tc>
          <w:tcPr>
            <w:tcW w:w="1011" w:type="dxa"/>
            <w:shd w:val="clear" w:color="auto" w:fill="auto"/>
            <w:vAlign w:val="center"/>
          </w:tcPr>
          <w:p>
            <w:pPr>
              <w:spacing w:line="240" w:lineRule="exact"/>
              <w:jc w:val="left"/>
              <w:rPr>
                <w:rFonts w:ascii="宋体" w:hAnsi="宋体" w:cs="宋体"/>
                <w:sz w:val="24"/>
                <w:highlight w:val="yellow"/>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★机械硬盘转速</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sz w:val="24"/>
              </w:rPr>
              <w:t>\</w:t>
            </w:r>
          </w:p>
        </w:tc>
        <w:tc>
          <w:tcPr>
            <w:tcW w:w="1011" w:type="dxa"/>
            <w:shd w:val="clear" w:color="auto" w:fill="auto"/>
            <w:vAlign w:val="center"/>
          </w:tcPr>
          <w:p>
            <w:pPr>
              <w:spacing w:line="240" w:lineRule="exact"/>
              <w:jc w:val="left"/>
              <w:rPr>
                <w:rFonts w:ascii="宋体" w:hAnsi="宋体" w:cs="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机械硬盘接口协议</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支持SATA3.0及以上或SAS3.0 及以上接口</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★机械硬盘形态</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2.5英寸或3.5英寸等</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固态存储接口协议</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UFS/SATA/PCIe/NVMe 等类型接口协议</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★固态存储形态</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采用插卡或板载等形态，可选用符合M.2或2.5寸SATA或mSATA 等标准的插卡形态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存储设备扩展盘位</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★存储设备其他参数要求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a)固态盘应符合 SJ/T 11654 相关规定；</w:t>
            </w:r>
            <w:r>
              <w:rPr>
                <w:rFonts w:hint="eastAsia" w:ascii="宋体" w:hAnsi="宋体" w:cs="宋体"/>
                <w:kern w:val="0"/>
                <w:sz w:val="24"/>
              </w:rPr>
              <w:br w:type="textWrapping"/>
            </w:r>
            <w:r>
              <w:rPr>
                <w:rFonts w:hint="eastAsia" w:ascii="宋体" w:hAnsi="宋体" w:cs="宋体"/>
                <w:kern w:val="0"/>
                <w:sz w:val="24"/>
              </w:rPr>
              <w:t>b)机械硬盘准备时间应不大于30s；侧面固定螺丝孔数量可为 4 孔或 6 孔；工作状态环境温度应满足 5℃~55℃;其它参数应符合GB/T12628相关规定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显卡规格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★显卡类型</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独立显卡</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★独立显卡显存类型</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DDR3/DDR4/GDDR5/GDDR6/LPDDR4</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★独立显卡显存位宽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显存位宽≥64 位</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★独立显卡显存容量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显存容量≥2GB</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独立显卡接口协议</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 PCIe 协议版本大于等于 2.0 或 HT（HyperTransport）协议版本大于等于 3.0 的独立显卡接口协议</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显示设备规格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★显示屏屏占比</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≥80%</w:t>
            </w:r>
          </w:p>
        </w:tc>
        <w:tc>
          <w:tcPr>
            <w:tcW w:w="1011" w:type="dxa"/>
            <w:shd w:val="clear" w:color="auto" w:fill="auto"/>
            <w:vAlign w:val="center"/>
          </w:tcPr>
          <w:p>
            <w:pPr>
              <w:widowControl/>
              <w:spacing w:line="240" w:lineRule="exact"/>
              <w:jc w:val="left"/>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29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★显示屏分辨率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≥1920x1080</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显示屏像素密度</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≥85像素/英寸</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显示屏可视角度</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水平≥170 °</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★显示屏尺寸</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≥23英寸</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★显示屏屏幕比例</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16:9或16:10或3:2</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★显示器外观颜色</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黑色</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★显示屏防蓝光</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支持防蓝光模式，蓝光加权辐射亮度比应≤0.0012W/( ·cd ·sr)（瓦每坎特拉每球面度）</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★显示屏低频闪</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显示屏应支持低频闪≤-35dB</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★显示屏防炫目</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显示屏镜面反射率≤10%</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外设规格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传声器数量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≥0</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39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扬声器数量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≥0</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★鼠标数量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≥1个</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≥1个</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摄像头数量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光驱数量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≥1个</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★键盘按键数目</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104 键</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摄像头像素</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widowControl/>
              <w:spacing w:line="240" w:lineRule="exact"/>
              <w:jc w:val="left"/>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摄像头分辨率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widowControl/>
              <w:spacing w:line="240" w:lineRule="exact"/>
              <w:jc w:val="left"/>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扬声器功率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widowControl/>
              <w:spacing w:line="240" w:lineRule="exact"/>
              <w:jc w:val="left"/>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扬声器频率范围</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widowControl/>
              <w:spacing w:line="240" w:lineRule="exact"/>
              <w:jc w:val="left"/>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49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扬声器总谐波失真</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widowControl/>
              <w:spacing w:line="240" w:lineRule="exact"/>
              <w:jc w:val="left"/>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扬声器最大声压级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widowControl/>
              <w:spacing w:line="240" w:lineRule="exact"/>
              <w:jc w:val="left"/>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★键盘连接方式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有线或无线</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★键盘键程</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2.3mm ~ 4.0mm</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★键盘按键压力</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按键压力应在 0.54 N±0.14N</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★有线键盘连接线</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≥1.5 米</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★键盘颜色</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黑色/白色/银色等商务色系</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键盘其他要求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键盘外观结构、连接方式、主要功能、安全、电磁兼容性、可靠性应符合GB/T14081 的相关规定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★鼠标连接方式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有线或无线</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★有线鼠标连接线</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≥1.5 米</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59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★鼠标 DPI分辨率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800~1600</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★鼠标颜色</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黑色/银色/白色等商务色系</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★鼠标其他要求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其它参数应符合GB/T 26245 的相关规定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★内置光驱</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内置DVD-RW光驱</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网络设备规格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★有线网卡数量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无线网卡及天线数量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单无线网卡天线数量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外部接口规格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★USB 接口数量</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机箱前面板应提供不少于 4 个 USB 接口（含 2 个 USB3.0 及以上接口）</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USB母座接口要求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★视频接口数量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69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★音频接口数量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存储卡接口数量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≥0</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整机基础规格</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★整机外观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 xml:space="preserve"> a) 产品表面不应有凹痕、划伤、裂缝、变形和污染等。表面涂层均匀，不应起泡、龟裂、脱落和磨损，金属零部件无锈蚀及其它机械损伤；</w:t>
            </w:r>
            <w:r>
              <w:rPr>
                <w:rFonts w:hint="eastAsia" w:ascii="宋体" w:hAnsi="宋体" w:cs="宋体"/>
                <w:kern w:val="0"/>
                <w:sz w:val="24"/>
              </w:rPr>
              <w:br w:type="textWrapping"/>
            </w:r>
            <w:r>
              <w:rPr>
                <w:rFonts w:hint="eastAsia" w:ascii="宋体" w:hAnsi="宋体" w:cs="宋体"/>
                <w:kern w:val="0"/>
                <w:sz w:val="24"/>
              </w:rPr>
              <w:t xml:space="preserve"> b) 产品表面说明功能的文字、符号、标志，应清晰、端正、牢固；</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★状态指示灯</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在产品显著位置提供状态指示功能，如运行状态，并由供应商提供详细参数</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★整机结构</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 xml:space="preserve"> a) 机箱应符合 GB/T 4208、GB/T 26246的相关规定；</w:t>
            </w:r>
            <w:r>
              <w:rPr>
                <w:rFonts w:hint="eastAsia" w:ascii="宋体" w:hAnsi="宋体" w:cs="宋体"/>
                <w:kern w:val="0"/>
                <w:sz w:val="24"/>
              </w:rPr>
              <w:br w:type="textWrapping"/>
            </w:r>
            <w:r>
              <w:rPr>
                <w:rFonts w:hint="eastAsia" w:ascii="宋体" w:hAnsi="宋体" w:cs="宋体"/>
                <w:kern w:val="0"/>
                <w:sz w:val="24"/>
              </w:rPr>
              <w:t xml:space="preserve"> b) 产品内部结构应符合通用部件的安装需求；</w:t>
            </w:r>
            <w:r>
              <w:rPr>
                <w:rFonts w:hint="eastAsia" w:ascii="宋体" w:hAnsi="宋体" w:cs="宋体"/>
                <w:kern w:val="0"/>
                <w:sz w:val="24"/>
              </w:rPr>
              <w:br w:type="textWrapping"/>
            </w:r>
            <w:r>
              <w:rPr>
                <w:rFonts w:hint="eastAsia" w:ascii="宋体" w:hAnsi="宋体" w:cs="宋体"/>
                <w:kern w:val="0"/>
                <w:sz w:val="24"/>
              </w:rPr>
              <w:t xml:space="preserve"> c) 所有输入输出接口应符合相关国家或行业标准；</w:t>
            </w:r>
            <w:r>
              <w:rPr>
                <w:rFonts w:hint="eastAsia" w:ascii="宋体" w:hAnsi="宋体" w:cs="宋体"/>
                <w:kern w:val="0"/>
                <w:sz w:val="24"/>
              </w:rPr>
              <w:br w:type="textWrapping"/>
            </w:r>
            <w:r>
              <w:rPr>
                <w:rFonts w:hint="eastAsia" w:ascii="宋体" w:hAnsi="宋体" w:cs="宋体"/>
                <w:kern w:val="0"/>
                <w:sz w:val="24"/>
              </w:rPr>
              <w:t xml:space="preserve"> d) 产品零部件应紧固无松动，可插拔部件应可靠连接，开关、按钮和其它控制部件应灵活可靠，布局应方便使用；</w:t>
            </w:r>
            <w:r>
              <w:rPr>
                <w:rFonts w:hint="eastAsia" w:ascii="宋体" w:hAnsi="宋体" w:cs="宋体"/>
                <w:kern w:val="0"/>
                <w:sz w:val="24"/>
              </w:rPr>
              <w:br w:type="textWrapping"/>
            </w:r>
            <w:r>
              <w:rPr>
                <w:rFonts w:hint="eastAsia" w:ascii="宋体" w:hAnsi="宋体" w:cs="宋体"/>
                <w:kern w:val="0"/>
                <w:sz w:val="24"/>
              </w:rPr>
              <w:t xml:space="preserve"> e) 所有 I/O 连接器及需插接线缆的部位应预留采购人操作空间，方便插拔解锁与插拔线缆；</w:t>
            </w:r>
            <w:r>
              <w:rPr>
                <w:rFonts w:hint="eastAsia" w:ascii="宋体" w:hAnsi="宋体" w:cs="宋体"/>
                <w:kern w:val="0"/>
                <w:sz w:val="24"/>
              </w:rPr>
              <w:br w:type="textWrapping"/>
            </w:r>
            <w:r>
              <w:rPr>
                <w:rFonts w:hint="eastAsia" w:ascii="宋体" w:hAnsi="宋体" w:cs="宋体"/>
                <w:kern w:val="0"/>
                <w:sz w:val="24"/>
              </w:rPr>
              <w:t xml:space="preserve"> f) 可插拔板卡插槽部位应预留安装、拆卸或更换板卡空间；</w:t>
            </w:r>
            <w:r>
              <w:rPr>
                <w:rFonts w:hint="eastAsia" w:ascii="宋体" w:hAnsi="宋体" w:cs="宋体"/>
                <w:kern w:val="0"/>
                <w:sz w:val="24"/>
              </w:rPr>
              <w:br w:type="textWrapping"/>
            </w:r>
            <w:r>
              <w:rPr>
                <w:rFonts w:hint="eastAsia" w:ascii="宋体" w:hAnsi="宋体" w:cs="宋体"/>
                <w:kern w:val="0"/>
                <w:sz w:val="24"/>
              </w:rPr>
              <w:t xml:space="preserve"> g) 拆装可能接触到的金属剪口或金属尖角部位应做防划伤处理，以保证安全；</w:t>
            </w:r>
            <w:r>
              <w:rPr>
                <w:rFonts w:hint="eastAsia" w:ascii="宋体" w:hAnsi="宋体" w:cs="宋体"/>
                <w:kern w:val="0"/>
                <w:sz w:val="24"/>
              </w:rPr>
              <w:br w:type="textWrapping"/>
            </w:r>
            <w:r>
              <w:rPr>
                <w:rFonts w:hint="eastAsia" w:ascii="宋体" w:hAnsi="宋体" w:cs="宋体"/>
                <w:kern w:val="0"/>
                <w:sz w:val="24"/>
              </w:rPr>
              <w:t xml:space="preserve"> h) 整机内部走线应规整，固线结构和位置要合理可靠并做防割线处理，需便于理线和插拔操作，走线应不影响系统各主要部件组装和拆卸；</w:t>
            </w:r>
            <w:r>
              <w:rPr>
                <w:rFonts w:hint="eastAsia" w:ascii="宋体" w:hAnsi="宋体" w:cs="宋体"/>
                <w:kern w:val="0"/>
                <w:sz w:val="24"/>
              </w:rPr>
              <w:br w:type="textWrapping"/>
            </w:r>
            <w:r>
              <w:rPr>
                <w:rFonts w:hint="eastAsia" w:ascii="宋体" w:hAnsi="宋体" w:cs="宋体"/>
                <w:kern w:val="0"/>
                <w:sz w:val="24"/>
              </w:rPr>
              <w:t xml:space="preserve"> i) 如需通过孔走线，过线孔应做防割线理；</w:t>
            </w:r>
            <w:r>
              <w:rPr>
                <w:rFonts w:hint="eastAsia" w:ascii="宋体" w:hAnsi="宋体" w:cs="宋体"/>
                <w:kern w:val="0"/>
                <w:sz w:val="24"/>
              </w:rPr>
              <w:br w:type="textWrapping"/>
            </w:r>
            <w:r>
              <w:rPr>
                <w:rFonts w:hint="eastAsia" w:ascii="宋体" w:hAnsi="宋体" w:cs="宋体"/>
                <w:kern w:val="0"/>
                <w:sz w:val="24"/>
              </w:rPr>
              <w:t xml:space="preserve"> j) 各插头位置和插拔方向应合理，应做到插拔无障碍设计，具备防呆设计，有效避免误操作；</w:t>
            </w:r>
            <w:r>
              <w:rPr>
                <w:rFonts w:hint="eastAsia" w:ascii="宋体" w:hAnsi="宋体" w:cs="宋体"/>
                <w:kern w:val="0"/>
                <w:sz w:val="24"/>
              </w:rPr>
              <w:br w:type="textWrapping"/>
            </w:r>
            <w:r>
              <w:rPr>
                <w:rFonts w:hint="eastAsia" w:ascii="宋体" w:hAnsi="宋体" w:cs="宋体"/>
                <w:kern w:val="0"/>
                <w:sz w:val="24"/>
              </w:rPr>
              <w:t xml:space="preserve"> k) 各主要部件拆装无障碍，使用常规工具拆装，无特殊拆装工具需求；</w:t>
            </w:r>
            <w:r>
              <w:rPr>
                <w:rFonts w:hint="eastAsia" w:ascii="宋体" w:hAnsi="宋体" w:cs="宋体"/>
                <w:kern w:val="0"/>
                <w:sz w:val="24"/>
              </w:rPr>
              <w:br w:type="textWrapping"/>
            </w:r>
            <w:r>
              <w:rPr>
                <w:rFonts w:hint="eastAsia" w:ascii="宋体" w:hAnsi="宋体" w:cs="宋体"/>
                <w:kern w:val="0"/>
                <w:sz w:val="24"/>
              </w:rPr>
              <w:t xml:space="preserve"> l) 各主要部件拆装步骤要少，各自拆装需避免相互干扰；</w:t>
            </w:r>
            <w:r>
              <w:rPr>
                <w:rFonts w:hint="eastAsia" w:ascii="宋体" w:hAnsi="宋体" w:cs="宋体"/>
                <w:kern w:val="0"/>
                <w:sz w:val="24"/>
              </w:rPr>
              <w:br w:type="textWrapping"/>
            </w:r>
            <w:r>
              <w:rPr>
                <w:rFonts w:hint="eastAsia" w:ascii="宋体" w:hAnsi="宋体" w:cs="宋体"/>
                <w:kern w:val="0"/>
                <w:sz w:val="24"/>
              </w:rPr>
              <w:t xml:space="preserve"> m) 对于整机或零部件外表面为高亮面的，应粘贴保护膜，保护膜需粘贴牢固，运输、组装等过程不易脱落，撕下无残留；</w:t>
            </w:r>
            <w:r>
              <w:rPr>
                <w:rFonts w:hint="eastAsia" w:ascii="宋体" w:hAnsi="宋体" w:cs="宋体"/>
                <w:kern w:val="0"/>
                <w:sz w:val="24"/>
              </w:rPr>
              <w:br w:type="textWrapping"/>
            </w:r>
            <w:r>
              <w:rPr>
                <w:rFonts w:hint="eastAsia" w:ascii="宋体" w:hAnsi="宋体" w:cs="宋体"/>
                <w:kern w:val="0"/>
                <w:sz w:val="24"/>
              </w:rPr>
              <w:t>n) 其它要求应符合GB/T 9813.1的相关规定。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★机箱防护要求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机箱应符合 GB/T 4208 中 IP20 防护要求</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★整机噪音</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产品工作在空闲状态下，产品的声功率级应不超过 4.5 Bel</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★整机散热</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在环境温度 25℃及处理器满载情况下，产品表面温度应符合如下要求：</w:t>
            </w:r>
            <w:r>
              <w:rPr>
                <w:rFonts w:hint="eastAsia" w:ascii="宋体" w:hAnsi="宋体" w:cs="宋体"/>
                <w:kern w:val="0"/>
                <w:sz w:val="24"/>
              </w:rPr>
              <w:br w:type="textWrapping"/>
            </w:r>
            <w:r>
              <w:rPr>
                <w:rFonts w:hint="eastAsia" w:ascii="宋体" w:hAnsi="宋体" w:cs="宋体"/>
                <w:kern w:val="0"/>
                <w:sz w:val="24"/>
              </w:rPr>
              <w:t>a) 出风口在机箱后面板情况下，出风口温度不高于55℃ ;</w:t>
            </w:r>
            <w:r>
              <w:rPr>
                <w:rFonts w:hint="eastAsia" w:ascii="宋体" w:hAnsi="宋体" w:cs="宋体"/>
                <w:kern w:val="0"/>
                <w:sz w:val="24"/>
              </w:rPr>
              <w:br w:type="textWrapping"/>
            </w:r>
            <w:r>
              <w:rPr>
                <w:rFonts w:hint="eastAsia" w:ascii="宋体" w:hAnsi="宋体" w:cs="宋体"/>
                <w:kern w:val="0"/>
                <w:sz w:val="24"/>
              </w:rPr>
              <w:t>b) 可触及面温度不高于45℃ ;</w:t>
            </w:r>
            <w:r>
              <w:rPr>
                <w:rFonts w:hint="eastAsia" w:ascii="宋体" w:hAnsi="宋体" w:cs="宋体"/>
                <w:kern w:val="0"/>
                <w:sz w:val="24"/>
              </w:rPr>
              <w:br w:type="textWrapping"/>
            </w:r>
            <w:r>
              <w:rPr>
                <w:rFonts w:hint="eastAsia" w:ascii="宋体" w:hAnsi="宋体" w:cs="宋体"/>
                <w:kern w:val="0"/>
                <w:sz w:val="24"/>
              </w:rPr>
              <w:t>c) 显示器表面温度：显示屏不高于38℃ , 显示屏上下灯带位置温度（如涉及）不高于40℃ , 出风口温度不高于 45℃；</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★整机能效限定值</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产品能效限定值应达到 GB 28380-2012标准中能效等级2级及以上</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★机身材质</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塑料/金属等</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79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★机身颜色</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灰色/黑色等商务色系</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产品规格</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★机箱尺寸容量</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机箱体积应不大于15L</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CPU性能</w:t>
            </w:r>
          </w:p>
        </w:tc>
        <w:tc>
          <w:tcPr>
            <w:tcW w:w="141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★CPU物理核数</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≥8核</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★CPU主频</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.5GHz</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★CPU末级缓存容量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sz w:val="24"/>
              </w:rPr>
              <w:t>≥8MB</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★CPU支持的内存最高速率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sz w:val="24"/>
              </w:rPr>
              <w:t>≥</w:t>
            </w:r>
            <w:r>
              <w:rPr>
                <w:rFonts w:hint="eastAsia" w:ascii="宋体" w:hAnsi="宋体" w:cs="宋体"/>
                <w:kern w:val="0"/>
                <w:sz w:val="24"/>
              </w:rPr>
              <w:t>3200MT/s</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内存性能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★内存读写速率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sz w:val="24"/>
              </w:rPr>
              <w:t>≥</w:t>
            </w:r>
            <w:r>
              <w:rPr>
                <w:rFonts w:hint="eastAsia" w:ascii="宋体" w:hAnsi="宋体" w:cs="宋体"/>
                <w:kern w:val="0"/>
                <w:sz w:val="24"/>
              </w:rPr>
              <w:t>3200MT/s</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显卡性能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★显示分辨率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sz w:val="24"/>
              </w:rPr>
              <w:t>≥1920x108</w:t>
            </w:r>
            <w:r>
              <w:rPr>
                <w:rFonts w:ascii="宋体" w:hAnsi="宋体" w:cs="宋体"/>
                <w:sz w:val="24"/>
              </w:rPr>
              <w:t>0</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★显卡显示芯片核心频率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≥300MHz</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★显存等效频率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≥1000MT/s</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89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★显卡可支持多屏同时显示数量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显卡应支持 2 块屏幕同时显示，分辨率应不低于1920×1080</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显示设备性能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★显示屏刷新率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w:t>
            </w:r>
            <w:r>
              <w:rPr>
                <w:rFonts w:ascii="宋体" w:hAnsi="宋体" w:cs="宋体"/>
                <w:kern w:val="0"/>
                <w:sz w:val="24"/>
              </w:rPr>
              <w:t>75</w:t>
            </w:r>
            <w:r>
              <w:rPr>
                <w:rFonts w:hint="eastAsia" w:ascii="宋体" w:hAnsi="宋体" w:cs="宋体"/>
                <w:kern w:val="0"/>
                <w:sz w:val="24"/>
              </w:rPr>
              <w:t>Hz</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★显示屏位深</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≥8位</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★显示屏色域</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≥99% sRGB</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★显示屏色准</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△E ≤ 4</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★显示屏响应时间</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≤8ms</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★显示屏亮度</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w:t>
            </w:r>
            <w:r>
              <w:rPr>
                <w:rFonts w:ascii="宋体" w:hAnsi="宋体" w:cs="宋体"/>
                <w:kern w:val="0"/>
                <w:sz w:val="24"/>
              </w:rPr>
              <w:t>25</w:t>
            </w:r>
            <w:r>
              <w:rPr>
                <w:rFonts w:hint="eastAsia" w:ascii="宋体" w:hAnsi="宋体" w:cs="宋体"/>
                <w:kern w:val="0"/>
                <w:sz w:val="24"/>
              </w:rPr>
              <w:t>0尼特</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★显示屏亮度一致性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≥70%</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★显示屏对比度</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00：1</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★显示屏其他参数</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其它参数应符合SJ/T 11292 的相关规定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99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网络设备性能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★有线网卡速率</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最高速率应不低于 1000Mbps，应支持10Mbps、100Mbps、1000Mbps 速率自适应，支持IPV6网络协议</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支持无线网络通信技术协议</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 xml:space="preserve">本项目不需要  </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性能要求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无线网卡频宽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 xml:space="preserve">本项目不需要  </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主板功能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★内存扩展接口(板载内存不涉及)</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个</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存储扩展接口(板载存储不涉及)</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给出主板支持存储扩展接口类型，如 UFS3.0、SATA3.0、SAS3.0、M.2等类型接口</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★主板 USB瞬间过流保护</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支持有瞬间过流保护功能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★主板防静电保护</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支持防静电保护功能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★I/O接口功能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显卡功能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★显卡外接显示接口</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显卡至少支持 VGA、HDMI，2 种显示接口，并与显示器接口相匹配</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★独立显卡数量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109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显示设备功能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★显示器接口</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显示器应与显卡外接显示接口匹配</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★显示器支架</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显示器应提供显示器支架</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★显示器参数调节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a)提供 OSD 选单按钮用于调节色彩、模式等；</w:t>
            </w:r>
            <w:r>
              <w:rPr>
                <w:rFonts w:hint="eastAsia" w:ascii="宋体" w:hAnsi="宋体" w:cs="宋体"/>
                <w:kern w:val="0"/>
                <w:sz w:val="24"/>
              </w:rPr>
              <w:br w:type="textWrapping"/>
            </w:r>
            <w:r>
              <w:rPr>
                <w:rFonts w:hint="eastAsia" w:ascii="宋体" w:hAnsi="宋体" w:cs="宋体"/>
                <w:kern w:val="0"/>
                <w:sz w:val="24"/>
              </w:rPr>
              <w:t>b)支持色温、亮度、对比度调节</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外设功能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摄像头物理隐私保护开关</w:t>
            </w:r>
          </w:p>
        </w:tc>
        <w:tc>
          <w:tcPr>
            <w:tcW w:w="3638" w:type="dxa"/>
            <w:shd w:val="clear" w:color="auto" w:fill="auto"/>
            <w:vAlign w:val="center"/>
          </w:tcPr>
          <w:p>
            <w:pPr>
              <w:spacing w:line="240" w:lineRule="exact"/>
              <w:jc w:val="left"/>
              <w:rPr>
                <w:rFonts w:ascii="宋体" w:hAnsi="宋体" w:cs="宋体"/>
                <w:sz w:val="24"/>
              </w:rPr>
            </w:pPr>
            <w:r>
              <w:rPr>
                <w:rFonts w:hint="eastAsia" w:ascii="宋体" w:hAnsi="宋体" w:cs="宋体"/>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传声器降噪</w:t>
            </w:r>
          </w:p>
        </w:tc>
        <w:tc>
          <w:tcPr>
            <w:tcW w:w="3638" w:type="dxa"/>
            <w:shd w:val="clear" w:color="auto" w:fill="auto"/>
            <w:vAlign w:val="center"/>
          </w:tcPr>
          <w:p>
            <w:pPr>
              <w:spacing w:line="240" w:lineRule="exact"/>
              <w:jc w:val="left"/>
              <w:rPr>
                <w:rFonts w:ascii="宋体" w:hAnsi="宋体" w:cs="宋体"/>
                <w:sz w:val="24"/>
              </w:rPr>
            </w:pPr>
            <w:r>
              <w:rPr>
                <w:rFonts w:hint="eastAsia" w:ascii="宋体" w:hAnsi="宋体" w:cs="宋体"/>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键盘背光</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★光驱功能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光驱应支持只读、刻录等类型；最大读取速度 CD 不低于 24×150KB/s；最大读取速度 DVD 不低于8×358KB/s；最大刻录速度CD 不低于24×150KB/s；最大刻录速度 DVD 不低于6×1358KB/s；兼容光盘类型包含只读光盘、可读写光盘、可擦写光盘等</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存储功能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★存储功能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通过 SATA 固态存储/PCIe 固态存储/UFS 固态存储/SATA 硬磁盘等存储部件提供存储功能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内置控制器固态存储加密</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固态存储通过内置控制器硬件支持加密，不依赖处理器，保障数据安全性，但不得影响存储性能。</w:t>
            </w:r>
            <w:r>
              <w:rPr>
                <w:rFonts w:hint="eastAsia" w:ascii="宋体" w:hAnsi="宋体" w:cs="宋体"/>
                <w:kern w:val="0"/>
                <w:sz w:val="24"/>
              </w:rPr>
              <w:br w:type="textWrapping"/>
            </w:r>
            <w:r>
              <w:rPr>
                <w:rFonts w:hint="eastAsia" w:ascii="宋体" w:hAnsi="宋体" w:cs="宋体"/>
                <w:kern w:val="0"/>
                <w:sz w:val="24"/>
              </w:rPr>
              <w:t xml:space="preserve"> a) 支持加密功能，且加密功能开启不影响SSD 读写性能；</w:t>
            </w:r>
            <w:r>
              <w:rPr>
                <w:rFonts w:hint="eastAsia" w:ascii="宋体" w:hAnsi="宋体" w:cs="宋体"/>
                <w:kern w:val="0"/>
                <w:sz w:val="24"/>
              </w:rPr>
              <w:br w:type="textWrapping"/>
            </w:r>
            <w:r>
              <w:rPr>
                <w:rFonts w:hint="eastAsia" w:ascii="宋体" w:hAnsi="宋体" w:cs="宋体"/>
                <w:kern w:val="0"/>
                <w:sz w:val="24"/>
              </w:rPr>
              <w:t xml:space="preserve"> b) 支持固件加密、安全启动和安全升级；</w:t>
            </w:r>
            <w:r>
              <w:rPr>
                <w:rFonts w:hint="eastAsia" w:ascii="宋体" w:hAnsi="宋体" w:cs="宋体"/>
                <w:kern w:val="0"/>
                <w:sz w:val="24"/>
              </w:rPr>
              <w:br w:type="textWrapping"/>
            </w:r>
            <w:r>
              <w:rPr>
                <w:rFonts w:hint="eastAsia" w:ascii="宋体" w:hAnsi="宋体" w:cs="宋体"/>
                <w:kern w:val="0"/>
                <w:sz w:val="24"/>
              </w:rPr>
              <w:t xml:space="preserve"> c) 支持数据的安全擦除</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网络设备功能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★网络功能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a)支持网络连接、网络开启/关闭功能；b)支持访问网络和数据交换功能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119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无线网卡频段</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 xml:space="preserve">本项目不需要  </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物理开关</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★数据传输</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支持数据传输能力，并提供数据流量和异常日志记录功能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蓝牙协议</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若支持蓝牙模块，蓝牙协议不低于 5.0版本</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★有线网卡接口类型</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 RJ45接口</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无线网卡标准</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若配备无线网卡，产品应符合 GB15629.11 所有部分</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★网络设备拆装</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网络设备支持物理拆装，包括无线网卡和蓝牙模块等</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外部接口功能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★音频接口类型</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 3.5mm 孔径 3 段式或 4 段式接口</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★视频接口类型</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至少支持 VGA、HDMI、DVI、DP、Type-C中 1 种显示接口</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★HDMI、DP、Type-C 显示接口要求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若提供 HDMI 或 DP 或 Type-C 作为显示接口，应支持音频和视频同步输出</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129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其他接口</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sz w:val="24"/>
              </w:rPr>
              <w:t>a) 支持串行接口，可实现 GB/T 6107的功能；</w:t>
            </w:r>
          </w:p>
          <w:p>
            <w:pPr>
              <w:widowControl/>
              <w:spacing w:line="240" w:lineRule="exact"/>
              <w:jc w:val="left"/>
              <w:textAlignment w:val="center"/>
              <w:rPr>
                <w:rFonts w:ascii="宋体" w:hAnsi="宋体" w:cs="宋体"/>
                <w:sz w:val="24"/>
              </w:rPr>
            </w:pPr>
            <w:r>
              <w:rPr>
                <w:rFonts w:hint="eastAsia" w:ascii="宋体" w:hAnsi="宋体" w:cs="宋体"/>
                <w:sz w:val="24"/>
              </w:rPr>
              <w:t>b) 支持并行接口，可实现 GB/T</w:t>
            </w:r>
          </w:p>
          <w:p>
            <w:pPr>
              <w:widowControl/>
              <w:spacing w:line="240" w:lineRule="exact"/>
              <w:jc w:val="left"/>
              <w:textAlignment w:val="center"/>
              <w:rPr>
                <w:rFonts w:ascii="宋体" w:hAnsi="宋体" w:cs="宋体"/>
                <w:sz w:val="24"/>
              </w:rPr>
            </w:pPr>
            <w:r>
              <w:rPr>
                <w:rFonts w:hint="eastAsia" w:ascii="宋体" w:hAnsi="宋体" w:cs="宋体"/>
                <w:sz w:val="24"/>
              </w:rPr>
              <w:t>18235.1 的功能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存储卡接口类型</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电源功能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★电源线适配能力</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电源适配器电线组件应符合GB/T15934 的要求，可拆线的插头和连接器可以不做要求</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操作系统及软件功能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★中文信息处理要求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 GB 18030 的相关规定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★操作系统备份及还原功能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支持操作系统备份及还原功能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★固件备份还原能力</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支持备份及还原固件的功能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★操作系统及驱动升级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支持通过网络、闪存盘等方式对操作系统、驱动进行升级</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★固件升级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支持通过网络、闪存盘等方式对固件进行升级</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★BIOS 支持关闭通讯接口</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 BIOS 关闭以太网及 USB 接口</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★固件查看信息</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支持查看固件版本、内存信息、主板信息、处理器信息和系统时间信息等功能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139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★固件设置启动顺序</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支持设置启动顺序功能，并按照设置的启动顺序启动</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★固件设置口令</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支持设置口令、修改口令、验证口令功能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★固件设置网络引导</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支持网络引导启动和关闭功能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生物识别功能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指纹识别</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人脸识别</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静脉识别</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本项目不需要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硬件加速功能</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NPU/GPU等AI加速模块</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 NPU/GPU 等AI加速模块</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视频编解码加速模块</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支持视频编解码加速模块</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功能要求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影像处理加速模块</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支持影像处理加速模块</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存储设备可靠性</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★固态存储寿命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TBW ≥ 80TB（条件：240GB 硬盘容量）</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149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★机械硬盘寿命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通电时间≥5 万小时</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显示设备可靠性</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★显示屏屏幕失效点</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 GB/T 9813.2 的要求</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外设可靠性</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★键盘按键寿命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≥1000万次</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★鼠标按键寿命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≥500万次</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★键盘鼠标线材寿命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键盘鼠标所用线材经±60 °弯折不低于 3000 次，功能、外观完好</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★风扇寿命</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≥4万小时</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整机可靠性要求</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★电磁兼容性要求的抗扰度</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 GB/T 9254.2 的规定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★环境条件要求的气候环境适应性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 GB/T 9813.1 中规定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★环境条件要求的振动适应性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 GB/T 9813.1 中规定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★环境条件要求的冲击适应性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 GB/T 9813.1 中规定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159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★环境条件要求的碰撞适应性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 GB/T 9813.1 中规定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★环境条件要求的运输包装件跌落适应性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 GB/T 9813.1 中规定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可靠性要求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★MTBF测试</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MTBF(m1)≥</w:t>
            </w:r>
            <w:r>
              <w:rPr>
                <w:rFonts w:ascii="宋体" w:hAnsi="宋体" w:cs="宋体"/>
                <w:kern w:val="0"/>
                <w:sz w:val="24"/>
              </w:rPr>
              <w:t>3</w:t>
            </w:r>
            <w:r>
              <w:rPr>
                <w:rFonts w:hint="eastAsia" w:ascii="宋体" w:hAnsi="宋体" w:cs="宋体"/>
                <w:kern w:val="0"/>
                <w:sz w:val="24"/>
              </w:rPr>
              <w:t>万小时</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兼容要求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兼容要求</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★常用软件兼容</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支持流式软件、版式软件、浏览器、邮件采购人端、解压软件、多媒体、图形图像处理等常用软件</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兼容要求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★数据库兼容</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兼容3个及以上厂商的数据库产品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兼容要求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★中间件兼容</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兼容3个及以上厂商中间件产品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兼容要求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★平台软件兼容</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兼容3个及以上厂商云计算及大数据平台</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包装及运输要求</w:t>
            </w:r>
          </w:p>
        </w:tc>
        <w:tc>
          <w:tcPr>
            <w:tcW w:w="1275"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包装及运输要求</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★标志、包装、运输和贮存</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 GB/T 9813.1 和商品包装政府采购需求标准的相关规定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 服务要求</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★配置检查工具</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供应商提供自检测试工具</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★服务响应</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a)提供电话、电子邮件、远程连接等多种形式服务；</w:t>
            </w:r>
            <w:r>
              <w:rPr>
                <w:rFonts w:hint="eastAsia" w:ascii="宋体" w:hAnsi="宋体" w:cs="宋体"/>
                <w:kern w:val="0"/>
                <w:sz w:val="24"/>
              </w:rPr>
              <w:br w:type="textWrapping"/>
            </w:r>
            <w:r>
              <w:rPr>
                <w:rFonts w:hint="eastAsia" w:ascii="宋体" w:hAnsi="宋体" w:cs="宋体"/>
                <w:kern w:val="0"/>
                <w:sz w:val="24"/>
              </w:rPr>
              <w:t>b)提供同城4h、异地 12h 技术响应服务，2 个工作日解决问题，对于未能解决的问题和故障应提供可行的升级方案，并提供周转设备或更换设备；</w:t>
            </w:r>
            <w:r>
              <w:rPr>
                <w:rFonts w:hint="eastAsia" w:ascii="宋体" w:hAnsi="宋体" w:cs="宋体"/>
                <w:kern w:val="0"/>
                <w:sz w:val="24"/>
              </w:rPr>
              <w:br w:type="textWrapping"/>
            </w:r>
            <w:r>
              <w:rPr>
                <w:rFonts w:hint="eastAsia" w:ascii="宋体" w:hAnsi="宋体" w:cs="宋体"/>
                <w:kern w:val="0"/>
                <w:sz w:val="24"/>
              </w:rPr>
              <w:t>c)建立全国技术服务体系和服务团体，符合专业服务体系标准要求，提供原厂中文服务；</w:t>
            </w:r>
            <w:r>
              <w:rPr>
                <w:rFonts w:hint="eastAsia" w:ascii="宋体" w:hAnsi="宋体" w:cs="宋体"/>
                <w:kern w:val="0"/>
                <w:sz w:val="24"/>
              </w:rPr>
              <w:br w:type="textWrapping"/>
            </w:r>
            <w:r>
              <w:rPr>
                <w:rFonts w:hint="eastAsia" w:ascii="宋体" w:hAnsi="宋体" w:cs="宋体"/>
                <w:kern w:val="0"/>
                <w:sz w:val="24"/>
              </w:rPr>
              <w:t>d)服务周期内提供产品的维修、换件和升级服务</w:t>
            </w:r>
          </w:p>
        </w:tc>
        <w:tc>
          <w:tcPr>
            <w:tcW w:w="1011" w:type="dxa"/>
            <w:shd w:val="clear" w:color="auto" w:fill="auto"/>
            <w:vAlign w:val="center"/>
          </w:tcPr>
          <w:p>
            <w:pPr>
              <w:widowControl/>
              <w:spacing w:line="240" w:lineRule="exact"/>
              <w:jc w:val="left"/>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169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★服务周期</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 xml:space="preserve"> a) 设备停产后应继续提供质量保障服务（含备品备件），服务终止时间与最后一批设备交付时间间隔不低于6年；</w:t>
            </w:r>
            <w:r>
              <w:rPr>
                <w:rFonts w:hint="eastAsia" w:ascii="宋体" w:hAnsi="宋体" w:cs="宋体"/>
                <w:kern w:val="0"/>
                <w:sz w:val="24"/>
              </w:rPr>
              <w:br w:type="textWrapping"/>
            </w:r>
            <w:r>
              <w:rPr>
                <w:rFonts w:hint="eastAsia" w:ascii="宋体" w:hAnsi="宋体" w:cs="宋体"/>
                <w:kern w:val="0"/>
                <w:sz w:val="24"/>
              </w:rPr>
              <w:t xml:space="preserve"> b) 产品停止服务时间应提前 1 年告知；</w:t>
            </w:r>
            <w:r>
              <w:rPr>
                <w:rFonts w:hint="eastAsia" w:ascii="宋体" w:hAnsi="宋体" w:cs="宋体"/>
                <w:kern w:val="0"/>
                <w:sz w:val="24"/>
              </w:rPr>
              <w:br w:type="textWrapping"/>
            </w:r>
            <w:r>
              <w:rPr>
                <w:rFonts w:hint="eastAsia" w:ascii="宋体" w:hAnsi="宋体" w:cs="宋体"/>
                <w:kern w:val="0"/>
                <w:sz w:val="24"/>
              </w:rPr>
              <w:t xml:space="preserve"> c) 应明确产品发布日期</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★预装操作系统</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预装符合桌面操作系统政府采购需求标准的正版操作系统</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★培训服务</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提供培训材料、产品手册、培训视频等培训相关内容</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★典型问题解决手册</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提供典型问题解决说明文档或视频</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★厂家升级软件与扩容服务</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提供上门升级部件/软件与扩容的增值服务</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★整机质量服务要求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免费服务周期（含换件和维修）应不小于3年</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★合格证书要求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提供产品合格证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★开箱组装/使用指导要求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提供开箱组装/使用指导</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★驱动下载服务要求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提供驱动光盘或下载方式</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★兼容适配软件下载服务要求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提供兼容适配软件下载渠道（光盘、网站）</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179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服务要求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跨架构平台应用兼容</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提供跨架构平台的应用兼容工具，支持一种或者一种以上不同架构平台的应用</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180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供应保障要求</w:t>
            </w:r>
          </w:p>
        </w:tc>
        <w:tc>
          <w:tcPr>
            <w:tcW w:w="1275"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供应链合规性</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★产品部件保障</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保障产品主要部件，提供6年的备件服务能力（自购买之日起），或提供可兼容原设备的升级换代产品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181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供应保障要求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供应链质量</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★抗干扰性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当产品部件出现供应风险时，供应商应通知采购人并提供风险应对方案确保产品的服务保障</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182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供应保障要求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★供应能力证明</w:t>
            </w:r>
          </w:p>
        </w:tc>
        <w:tc>
          <w:tcPr>
            <w:tcW w:w="3638" w:type="dxa"/>
            <w:shd w:val="clear" w:color="auto" w:fill="auto"/>
            <w:vAlign w:val="center"/>
          </w:tcPr>
          <w:p>
            <w:pPr>
              <w:widowControl/>
              <w:spacing w:line="240" w:lineRule="exact"/>
              <w:jc w:val="left"/>
              <w:textAlignment w:val="center"/>
              <w:rPr>
                <w:rFonts w:ascii="宋体" w:hAnsi="宋体" w:cs="宋体"/>
                <w:kern w:val="0"/>
                <w:sz w:val="24"/>
              </w:rPr>
            </w:pPr>
            <w:r>
              <w:rPr>
                <w:rFonts w:hint="eastAsia" w:ascii="宋体" w:hAnsi="宋体" w:cs="宋体"/>
                <w:kern w:val="0"/>
                <w:sz w:val="24"/>
              </w:rPr>
              <w:t>提供供应链稳定承诺书，确保产品的部件在产品服务周期内稳定供货</w:t>
            </w:r>
          </w:p>
        </w:tc>
        <w:tc>
          <w:tcPr>
            <w:tcW w:w="1011" w:type="dxa"/>
            <w:shd w:val="clear" w:color="auto" w:fill="auto"/>
            <w:vAlign w:val="center"/>
          </w:tcPr>
          <w:p>
            <w:pPr>
              <w:widowControl/>
              <w:spacing w:line="240" w:lineRule="exact"/>
              <w:jc w:val="left"/>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183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安全要求</w:t>
            </w:r>
          </w:p>
        </w:tc>
        <w:tc>
          <w:tcPr>
            <w:tcW w:w="1275"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关键部件安全要求</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★关键部件安全要求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CPU和操作系统等关键部件应当符合安全可靠测评要求，</w:t>
            </w:r>
          </w:p>
        </w:tc>
        <w:tc>
          <w:tcPr>
            <w:tcW w:w="1011" w:type="dxa"/>
            <w:shd w:val="clear" w:color="auto" w:fill="auto"/>
            <w:vAlign w:val="center"/>
          </w:tcPr>
          <w:p>
            <w:pPr>
              <w:widowControl/>
              <w:spacing w:line="240" w:lineRule="exact"/>
              <w:jc w:val="left"/>
              <w:textAlignment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184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安全要求</w:t>
            </w:r>
          </w:p>
        </w:tc>
        <w:tc>
          <w:tcPr>
            <w:tcW w:w="1275" w:type="dxa"/>
            <w:vMerge w:val="restart"/>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整机安全性要求</w:t>
            </w: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★密码算法实现</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CPU芯片应符合 GM/T0008的相关规定，或芯片密码模块应符合GB/T 37092或GM/T0028 的相关规定</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185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安全要求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USB 端口管控</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支持USB端口管控</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186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安全要求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安全物理锁</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支持安全物理锁</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187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安全要求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★信息安全基本要求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 xml:space="preserve"> a) 产品应符合 GB/T 39276 的 5.2 的规定；</w:t>
            </w:r>
            <w:r>
              <w:rPr>
                <w:rFonts w:hint="eastAsia" w:ascii="宋体" w:hAnsi="宋体" w:cs="宋体"/>
                <w:kern w:val="0"/>
                <w:sz w:val="24"/>
              </w:rPr>
              <w:br w:type="textWrapping"/>
            </w:r>
            <w:r>
              <w:rPr>
                <w:rFonts w:hint="eastAsia" w:ascii="宋体" w:hAnsi="宋体" w:cs="宋体"/>
                <w:kern w:val="0"/>
                <w:sz w:val="24"/>
              </w:rPr>
              <w:t xml:space="preserve"> b) 生产厂商应建立漏洞跟踪表，保证产品版本涉及到的漏洞(如驱动程序等)可查看；</w:t>
            </w:r>
            <w:r>
              <w:rPr>
                <w:rFonts w:hint="eastAsia" w:ascii="宋体" w:hAnsi="宋体" w:cs="宋体"/>
                <w:kern w:val="0"/>
                <w:sz w:val="24"/>
              </w:rPr>
              <w:br w:type="textWrapping"/>
            </w:r>
            <w:r>
              <w:rPr>
                <w:rFonts w:hint="eastAsia" w:ascii="宋体" w:hAnsi="宋体" w:cs="宋体"/>
                <w:kern w:val="0"/>
                <w:sz w:val="24"/>
              </w:rPr>
              <w:t xml:space="preserve"> c) 产品不得包含已知的恶意代码或漏洞，不存在未声明的指令、功能、接口</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188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安全要求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★固件安全启动</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支持固件安全启动功能，固件启动过程中只有通过启动校验才能正常启动</w:t>
            </w:r>
          </w:p>
        </w:tc>
        <w:tc>
          <w:tcPr>
            <w:tcW w:w="1011" w:type="dxa"/>
            <w:shd w:val="clear" w:color="auto" w:fill="auto"/>
            <w:vAlign w:val="center"/>
          </w:tcPr>
          <w:p>
            <w:pPr>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8" w:type="dxa"/>
            <w:shd w:val="clear" w:color="auto" w:fill="auto"/>
            <w:vAlign w:val="center"/>
          </w:tcPr>
          <w:p>
            <w:pPr>
              <w:widowControl/>
              <w:spacing w:line="240" w:lineRule="exact"/>
              <w:jc w:val="center"/>
              <w:textAlignment w:val="center"/>
              <w:rPr>
                <w:rFonts w:ascii="宋体" w:hAnsi="宋体" w:cs="宋体"/>
                <w:sz w:val="24"/>
              </w:rPr>
            </w:pPr>
            <w:r>
              <w:rPr>
                <w:rFonts w:hint="eastAsia" w:ascii="宋体" w:hAnsi="宋体" w:cs="宋体"/>
                <w:kern w:val="0"/>
                <w:sz w:val="24"/>
              </w:rPr>
              <w:t xml:space="preserve">189 </w:t>
            </w:r>
          </w:p>
        </w:tc>
        <w:tc>
          <w:tcPr>
            <w:tcW w:w="851"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安全要求</w:t>
            </w:r>
          </w:p>
        </w:tc>
        <w:tc>
          <w:tcPr>
            <w:tcW w:w="1275" w:type="dxa"/>
            <w:vMerge w:val="continue"/>
            <w:shd w:val="clear" w:color="auto" w:fill="auto"/>
            <w:vAlign w:val="center"/>
          </w:tcPr>
          <w:p>
            <w:pPr>
              <w:spacing w:line="240" w:lineRule="exact"/>
              <w:jc w:val="center"/>
              <w:rPr>
                <w:rFonts w:ascii="宋体" w:hAnsi="宋体" w:cs="宋体"/>
                <w:sz w:val="24"/>
              </w:rPr>
            </w:pPr>
          </w:p>
        </w:tc>
        <w:tc>
          <w:tcPr>
            <w:tcW w:w="141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★限用物质的限量要求</w:t>
            </w:r>
          </w:p>
        </w:tc>
        <w:tc>
          <w:tcPr>
            <w:tcW w:w="3638" w:type="dxa"/>
            <w:shd w:val="clear" w:color="auto" w:fill="auto"/>
            <w:vAlign w:val="center"/>
          </w:tcPr>
          <w:p>
            <w:pPr>
              <w:widowControl/>
              <w:spacing w:line="240" w:lineRule="exact"/>
              <w:jc w:val="left"/>
              <w:textAlignment w:val="center"/>
              <w:rPr>
                <w:rFonts w:ascii="宋体" w:hAnsi="宋体" w:cs="宋体"/>
                <w:sz w:val="24"/>
              </w:rPr>
            </w:pPr>
            <w:r>
              <w:rPr>
                <w:rFonts w:hint="eastAsia" w:ascii="宋体" w:hAnsi="宋体" w:cs="宋体"/>
                <w:kern w:val="0"/>
                <w:sz w:val="24"/>
              </w:rPr>
              <w:t>符合GB/T26572中规定</w:t>
            </w:r>
          </w:p>
        </w:tc>
        <w:tc>
          <w:tcPr>
            <w:tcW w:w="1011" w:type="dxa"/>
            <w:shd w:val="clear" w:color="auto" w:fill="auto"/>
            <w:vAlign w:val="center"/>
          </w:tcPr>
          <w:p>
            <w:pPr>
              <w:spacing w:line="240" w:lineRule="exact"/>
              <w:jc w:val="left"/>
              <w:rPr>
                <w:rFonts w:ascii="宋体" w:hAnsi="宋体" w:cs="宋体"/>
                <w:sz w:val="24"/>
              </w:rPr>
            </w:pPr>
          </w:p>
        </w:tc>
      </w:tr>
    </w:tbl>
    <w:p>
      <w:pPr>
        <w:ind w:firstLine="482" w:firstLineChars="200"/>
        <w:rPr>
          <w:b/>
          <w:sz w:val="24"/>
        </w:rPr>
      </w:pPr>
    </w:p>
    <w:p>
      <w:pPr>
        <w:ind w:firstLine="482" w:firstLineChars="200"/>
        <w:rPr>
          <w:b/>
          <w:sz w:val="24"/>
        </w:rPr>
      </w:pPr>
      <w:r>
        <w:rPr>
          <w:rFonts w:hint="eastAsia"/>
          <w:b/>
          <w:sz w:val="24"/>
        </w:rPr>
        <w:t>注：供应商须出具关于所提供台式机满足采购文件要求承诺函（格式附后）。</w:t>
      </w:r>
    </w:p>
    <w:p>
      <w:pPr>
        <w:rPr>
          <w:rFonts w:asciiTheme="minorEastAsia" w:hAnsiTheme="minorEastAsia"/>
          <w:b/>
          <w:sz w:val="24"/>
        </w:rPr>
      </w:pPr>
      <w:r>
        <w:rPr>
          <w:rFonts w:hint="eastAsia" w:asciiTheme="minorEastAsia" w:hAnsiTheme="minorEastAsia"/>
          <w:b/>
          <w:sz w:val="24"/>
        </w:rPr>
        <w:t xml:space="preserve">  </w:t>
      </w:r>
    </w:p>
    <w:p>
      <w:pPr>
        <w:ind w:firstLine="482" w:firstLineChars="200"/>
        <w:rPr>
          <w:rFonts w:asciiTheme="minorEastAsia" w:hAnsiTheme="minorEastAsia"/>
          <w:b/>
          <w:sz w:val="24"/>
        </w:rPr>
      </w:pPr>
      <w:r>
        <w:rPr>
          <w:rFonts w:hint="eastAsia" w:asciiTheme="minorEastAsia" w:hAnsiTheme="minorEastAsia"/>
          <w:b/>
          <w:sz w:val="24"/>
        </w:rPr>
        <w:t xml:space="preserve"> 2.2教学多媒体</w:t>
      </w:r>
    </w:p>
    <w:tbl>
      <w:tblPr>
        <w:tblStyle w:val="45"/>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559"/>
        <w:gridCol w:w="6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959" w:type="dxa"/>
            <w:vAlign w:val="center"/>
          </w:tcPr>
          <w:p>
            <w:pPr>
              <w:widowControl/>
              <w:jc w:val="center"/>
              <w:rPr>
                <w:rFonts w:ascii="黑体" w:hAnsi="黑体" w:eastAsia="黑体" w:cs="宋体"/>
                <w:kern w:val="0"/>
                <w:sz w:val="24"/>
              </w:rPr>
            </w:pPr>
            <w:bookmarkStart w:id="654" w:name="_Hlk196123514"/>
            <w:r>
              <w:rPr>
                <w:rFonts w:hint="eastAsia" w:ascii="黑体" w:hAnsi="黑体" w:eastAsia="黑体" w:cs="宋体"/>
                <w:kern w:val="0"/>
                <w:sz w:val="24"/>
              </w:rPr>
              <w:t>序号</w:t>
            </w:r>
          </w:p>
        </w:tc>
        <w:tc>
          <w:tcPr>
            <w:tcW w:w="1559" w:type="dxa"/>
            <w:vAlign w:val="center"/>
          </w:tcPr>
          <w:p>
            <w:pPr>
              <w:widowControl/>
              <w:jc w:val="center"/>
              <w:rPr>
                <w:rFonts w:ascii="黑体" w:hAnsi="黑体" w:eastAsia="黑体" w:cs="宋体"/>
                <w:kern w:val="0"/>
                <w:sz w:val="24"/>
              </w:rPr>
            </w:pPr>
            <w:r>
              <w:rPr>
                <w:rFonts w:hint="eastAsia" w:ascii="黑体" w:hAnsi="黑体" w:eastAsia="黑体" w:cs="宋体"/>
                <w:kern w:val="0"/>
                <w:sz w:val="24"/>
              </w:rPr>
              <w:t>设备名称</w:t>
            </w:r>
          </w:p>
        </w:tc>
        <w:tc>
          <w:tcPr>
            <w:tcW w:w="6266" w:type="dxa"/>
            <w:vAlign w:val="center"/>
          </w:tcPr>
          <w:p>
            <w:pPr>
              <w:widowControl/>
              <w:jc w:val="center"/>
              <w:rPr>
                <w:rFonts w:ascii="黑体" w:hAnsi="黑体" w:eastAsia="黑体" w:cs="宋体"/>
                <w:kern w:val="0"/>
                <w:sz w:val="24"/>
              </w:rPr>
            </w:pPr>
            <w:r>
              <w:rPr>
                <w:rFonts w:ascii="黑体" w:hAnsi="黑体" w:eastAsia="黑体" w:cs="宋体"/>
                <w:kern w:val="0"/>
                <w:sz w:val="24"/>
              </w:rPr>
              <w:t>参数</w:t>
            </w:r>
            <w:r>
              <w:rPr>
                <w:rFonts w:hint="eastAsia" w:ascii="黑体" w:hAnsi="黑体" w:eastAsia="黑体" w:cs="宋体"/>
                <w:kern w:val="0"/>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959" w:type="dxa"/>
            <w:vAlign w:val="center"/>
          </w:tcPr>
          <w:p>
            <w:pPr>
              <w:tabs>
                <w:tab w:val="left" w:pos="567"/>
              </w:tabs>
              <w:spacing w:before="120"/>
              <w:jc w:val="center"/>
              <w:rPr>
                <w:rFonts w:ascii="宋体" w:hAnsi="宋体"/>
                <w:kern w:val="0"/>
                <w:sz w:val="24"/>
              </w:rPr>
            </w:pPr>
            <w:r>
              <w:rPr>
                <w:rFonts w:hint="eastAsia" w:ascii="宋体" w:hAnsi="宋体"/>
                <w:kern w:val="0"/>
                <w:sz w:val="24"/>
              </w:rPr>
              <w:t>1</w:t>
            </w:r>
          </w:p>
        </w:tc>
        <w:tc>
          <w:tcPr>
            <w:tcW w:w="1559" w:type="dxa"/>
            <w:tcBorders>
              <w:bottom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教学多媒体</w:t>
            </w:r>
          </w:p>
        </w:tc>
        <w:tc>
          <w:tcPr>
            <w:tcW w:w="6266" w:type="dxa"/>
            <w:vAlign w:val="center"/>
          </w:tcPr>
          <w:p>
            <w:pPr>
              <w:rPr>
                <w:rFonts w:asciiTheme="minorEastAsia" w:hAnsiTheme="minorEastAsia"/>
                <w:sz w:val="24"/>
                <w:szCs w:val="28"/>
              </w:rPr>
            </w:pPr>
            <w:r>
              <w:rPr>
                <w:rFonts w:hint="eastAsia" w:asciiTheme="minorEastAsia" w:hAnsiTheme="minorEastAsia"/>
                <w:sz w:val="24"/>
                <w:szCs w:val="28"/>
              </w:rPr>
              <w:t>1.屏幕采用UHD超高清A规LED液晶屏，屏幕显示尺寸≥86英寸，显示比例16:9，屏幕图像分辨率≥3840*2160；</w:t>
            </w:r>
          </w:p>
          <w:p>
            <w:pPr>
              <w:numPr>
                <w:ilvl w:val="0"/>
                <w:numId w:val="13"/>
              </w:numPr>
              <w:rPr>
                <w:rFonts w:asciiTheme="minorEastAsia" w:hAnsiTheme="minorEastAsia"/>
                <w:sz w:val="24"/>
                <w:szCs w:val="28"/>
              </w:rPr>
            </w:pPr>
            <w:r>
              <w:rPr>
                <w:rFonts w:hint="eastAsia" w:asciiTheme="minorEastAsia" w:hAnsiTheme="minorEastAsia"/>
                <w:sz w:val="24"/>
                <w:szCs w:val="28"/>
              </w:rPr>
              <w:t>液晶显示层与钢化玻璃层需采用零贴合或全贴合设计；</w:t>
            </w:r>
          </w:p>
          <w:p>
            <w:pPr>
              <w:numPr>
                <w:ilvl w:val="0"/>
                <w:numId w:val="13"/>
              </w:numPr>
              <w:rPr>
                <w:rFonts w:asciiTheme="minorEastAsia" w:hAnsiTheme="minorEastAsia"/>
                <w:sz w:val="24"/>
                <w:szCs w:val="28"/>
              </w:rPr>
            </w:pPr>
            <w:r>
              <w:rPr>
                <w:rFonts w:asciiTheme="minorEastAsia" w:hAnsiTheme="minorEastAsia"/>
                <w:sz w:val="24"/>
                <w:szCs w:val="28"/>
              </w:rPr>
              <w:t>采用全金属外壳材质，三拼接平面一体化设计，主副屏过渡平滑并在同一平面，中间无单独边框阻隔，屏幕边缘采用圆角包边防护，整机背板采用金属材质</w:t>
            </w:r>
            <w:r>
              <w:rPr>
                <w:rFonts w:hint="eastAsia" w:asciiTheme="minorEastAsia" w:hAnsiTheme="minorEastAsia"/>
                <w:sz w:val="24"/>
                <w:szCs w:val="28"/>
              </w:rPr>
              <w:t>；</w:t>
            </w:r>
          </w:p>
          <w:p>
            <w:pPr>
              <w:numPr>
                <w:ilvl w:val="0"/>
                <w:numId w:val="13"/>
              </w:numPr>
              <w:rPr>
                <w:rFonts w:asciiTheme="minorEastAsia" w:hAnsiTheme="minorEastAsia"/>
                <w:sz w:val="24"/>
                <w:szCs w:val="28"/>
              </w:rPr>
            </w:pPr>
            <w:r>
              <w:rPr>
                <w:rFonts w:asciiTheme="minorEastAsia" w:hAnsiTheme="minorEastAsia"/>
                <w:sz w:val="24"/>
                <w:szCs w:val="28"/>
              </w:rPr>
              <w:t>主屏和整机两侧副板需支持普通粉笔、液体粉笔、水溶性粉笔直接书写</w:t>
            </w:r>
            <w:r>
              <w:rPr>
                <w:rFonts w:hint="eastAsia" w:asciiTheme="minorEastAsia" w:hAnsiTheme="minorEastAsia"/>
                <w:sz w:val="24"/>
                <w:szCs w:val="28"/>
              </w:rPr>
              <w:t>；</w:t>
            </w:r>
          </w:p>
          <w:p>
            <w:pPr>
              <w:rPr>
                <w:rFonts w:asciiTheme="minorEastAsia" w:hAnsiTheme="minorEastAsia"/>
                <w:sz w:val="24"/>
                <w:szCs w:val="28"/>
              </w:rPr>
            </w:pPr>
            <w:r>
              <w:rPr>
                <w:rFonts w:hint="eastAsia" w:asciiTheme="minorEastAsia" w:hAnsiTheme="minorEastAsia"/>
                <w:sz w:val="24"/>
                <w:szCs w:val="28"/>
              </w:rPr>
              <w:t>5.预留互联副板连接接口，可实现板书书写数据采集功能，可识别老师粉笔书写，板擦或手指擦除手势，且书写过程中可同步到一体机主屏，支持板书录制，回看和分享；</w:t>
            </w:r>
          </w:p>
          <w:p>
            <w:pPr>
              <w:rPr>
                <w:rFonts w:asciiTheme="minorEastAsia" w:hAnsiTheme="minorEastAsia"/>
                <w:sz w:val="24"/>
                <w:szCs w:val="28"/>
              </w:rPr>
            </w:pPr>
            <w:r>
              <w:rPr>
                <w:rFonts w:hint="eastAsia" w:asciiTheme="minorEastAsia" w:hAnsiTheme="minorEastAsia"/>
                <w:sz w:val="24"/>
                <w:szCs w:val="28"/>
              </w:rPr>
              <w:t>6.采用内置摄像头、麦克风，支持无需外接线材连接和任何可见外接线材及模块化拼接痕迹，不占用整机外部设备接口；</w:t>
            </w:r>
          </w:p>
          <w:p>
            <w:pPr>
              <w:rPr>
                <w:rFonts w:asciiTheme="minorEastAsia" w:hAnsiTheme="minorEastAsia"/>
                <w:sz w:val="24"/>
                <w:szCs w:val="28"/>
              </w:rPr>
            </w:pPr>
            <w:r>
              <w:rPr>
                <w:rFonts w:hint="eastAsia" w:asciiTheme="minorEastAsia" w:hAnsiTheme="minorEastAsia"/>
                <w:sz w:val="24"/>
                <w:szCs w:val="28"/>
              </w:rPr>
              <w:t>7.</w:t>
            </w:r>
            <w:r>
              <w:rPr>
                <w:rFonts w:asciiTheme="minorEastAsia" w:hAnsiTheme="minorEastAsia"/>
                <w:sz w:val="24"/>
                <w:szCs w:val="28"/>
              </w:rPr>
              <w:t>支持前置物理接口不少于5个，所有接口均采用非转接方式，包含1路HDMI接口、2路双通道USB接口(Windows和Android系统均能被识别）、1路Type-C接口（支持全功能PD 65W）、1路USB-Type-B接口（Touch）</w:t>
            </w:r>
          </w:p>
          <w:p>
            <w:pPr>
              <w:rPr>
                <w:rFonts w:asciiTheme="minorEastAsia" w:hAnsiTheme="minorEastAsia"/>
                <w:sz w:val="24"/>
                <w:szCs w:val="28"/>
              </w:rPr>
            </w:pP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8.Type-C 接口需具备全功能，最大输出功率≥65W；支持Type-C 线正反插；支持4K 60Hz视频格式；支持双通道USB</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9.</w:t>
            </w:r>
            <w:r>
              <w:rPr>
                <w:rFonts w:asciiTheme="minorEastAsia" w:hAnsiTheme="minorEastAsia"/>
                <w:sz w:val="24"/>
                <w:szCs w:val="28"/>
              </w:rPr>
              <w:t>后置物理接口需不少于11个，包含≥2路HDMI、≥2路USB、≥1路RS232、≥1路RJ45、≥1路TOUCH  USB(触控输出接口)、≥1路mic in3.5mm、≥1路LINE out 3.5mm、≥1路Coax、≥1路TF Card</w:t>
            </w:r>
            <w:r>
              <w:rPr>
                <w:rFonts w:hint="eastAsia" w:asciiTheme="minorEastAsia" w:hAnsiTheme="minorEastAsia"/>
                <w:sz w:val="24"/>
                <w:szCs w:val="28"/>
              </w:rPr>
              <w:t>（</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10.支持一网通，仅需连接一根网线，Windows和Android系统均可实现上网功能；</w:t>
            </w:r>
          </w:p>
          <w:p>
            <w:pPr>
              <w:rPr>
                <w:rFonts w:asciiTheme="minorEastAsia" w:hAnsiTheme="minorEastAsia"/>
                <w:sz w:val="24"/>
                <w:szCs w:val="28"/>
              </w:rPr>
            </w:pPr>
            <w:r>
              <w:rPr>
                <w:rFonts w:hint="eastAsia" w:asciiTheme="minorEastAsia" w:hAnsiTheme="minorEastAsia"/>
                <w:sz w:val="24"/>
                <w:szCs w:val="28"/>
              </w:rPr>
              <w:t>11.支持内置环境光感传感器，支持根据环境光自动调节整机亮度；</w:t>
            </w:r>
          </w:p>
          <w:p>
            <w:pPr>
              <w:rPr>
                <w:rFonts w:asciiTheme="minorEastAsia" w:hAnsiTheme="minorEastAsia"/>
                <w:sz w:val="24"/>
                <w:szCs w:val="28"/>
              </w:rPr>
            </w:pPr>
            <w:r>
              <w:rPr>
                <w:rFonts w:hint="eastAsia" w:asciiTheme="minorEastAsia" w:hAnsiTheme="minorEastAsia"/>
                <w:sz w:val="24"/>
                <w:szCs w:val="28"/>
              </w:rPr>
              <w:t>12</w:t>
            </w:r>
            <w:r>
              <w:rPr>
                <w:rFonts w:hint="eastAsia" w:asciiTheme="minorEastAsia" w:hAnsiTheme="minorEastAsia"/>
                <w:b/>
                <w:sz w:val="24"/>
                <w:szCs w:val="28"/>
              </w:rPr>
              <w:t>.</w:t>
            </w:r>
            <w:r>
              <w:rPr>
                <w:rFonts w:hint="eastAsia" w:asciiTheme="minorEastAsia" w:hAnsiTheme="minorEastAsia"/>
                <w:sz w:val="24"/>
                <w:szCs w:val="28"/>
              </w:rPr>
              <w:t>自带Android操作系统，系统版本≥Android 14，≥八核处理器，内存≥4GB，存储空间≥32GB</w:t>
            </w:r>
            <w:r>
              <w:rPr>
                <w:rFonts w:asciiTheme="minorEastAsia" w:hAnsiTheme="minorEastAsia"/>
                <w:sz w:val="24"/>
                <w:szCs w:val="28"/>
              </w:rPr>
              <w:t>；</w:t>
            </w:r>
          </w:p>
          <w:p>
            <w:pPr>
              <w:rPr>
                <w:rFonts w:asciiTheme="minorEastAsia" w:hAnsiTheme="minorEastAsia"/>
                <w:sz w:val="24"/>
                <w:szCs w:val="28"/>
              </w:rPr>
            </w:pPr>
            <w:r>
              <w:rPr>
                <w:rFonts w:hint="eastAsia" w:asciiTheme="minorEastAsia" w:hAnsiTheme="minorEastAsia"/>
                <w:bCs/>
                <w:sz w:val="24"/>
                <w:szCs w:val="28"/>
              </w:rPr>
              <w:t>13.</w:t>
            </w:r>
            <w:r>
              <w:rPr>
                <w:rFonts w:hint="eastAsia" w:asciiTheme="minorEastAsia" w:hAnsiTheme="minorEastAsia"/>
                <w:sz w:val="24"/>
                <w:szCs w:val="28"/>
              </w:rPr>
              <w:t xml:space="preserve"> 内置 2.2 声道扬声器，位于设备下边框出音，20W全频扬声器2个，10W高音扬声器2个，额定总功率≥60W，语言清晰度（STI-PA）≥0.75</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bCs/>
                <w:sz w:val="24"/>
                <w:szCs w:val="28"/>
              </w:rPr>
              <w:t>14.</w:t>
            </w:r>
            <w:r>
              <w:rPr>
                <w:rFonts w:hint="eastAsia" w:asciiTheme="minorEastAsia" w:hAnsiTheme="minorEastAsia"/>
                <w:sz w:val="24"/>
                <w:szCs w:val="28"/>
              </w:rPr>
              <w:t>扬声器需支持在100%音量下，1米处声压级≥90dB，10米处声压级≥84dB，1米到10米距离内响度差距≤6dB，声场覆盖85%区域内响度差异≤6dB</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15.屏体支持亮度≥350cd/m²，色彩覆盖率≥72%NTSC，对比度≥1200：1</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16.支持色彩空间可选，包含标准模式和sRGB模式，在sRGB模式下可做到高色准△E≤2</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17.具备智能书写护眼模式，可做到屏幕书写过程中逐步降低整机背光亮度至50%，符合D65标准光源色温值，降低色温≤6500K；</w:t>
            </w:r>
          </w:p>
          <w:p>
            <w:pPr>
              <w:rPr>
                <w:rFonts w:asciiTheme="minorEastAsia" w:hAnsiTheme="minorEastAsia"/>
                <w:sz w:val="24"/>
                <w:szCs w:val="28"/>
              </w:rPr>
            </w:pPr>
            <w:r>
              <w:rPr>
                <w:rFonts w:hint="eastAsia" w:asciiTheme="minorEastAsia" w:hAnsiTheme="minorEastAsia"/>
                <w:sz w:val="24"/>
                <w:szCs w:val="28"/>
              </w:rPr>
              <w:t>18.前置面板支持一键开关机，一键恢复 Windows 操作系统、安卓系统、麒麟系统和统信系统，采用隐藏式针孔设计避免误操作；</w:t>
            </w:r>
          </w:p>
          <w:p>
            <w:pPr>
              <w:rPr>
                <w:rFonts w:asciiTheme="minorEastAsia" w:hAnsiTheme="minorEastAsia"/>
                <w:sz w:val="24"/>
                <w:szCs w:val="28"/>
              </w:rPr>
            </w:pPr>
            <w:r>
              <w:rPr>
                <w:rFonts w:hint="eastAsia" w:asciiTheme="minorEastAsia" w:hAnsiTheme="minorEastAsia"/>
                <w:sz w:val="24"/>
                <w:szCs w:val="28"/>
              </w:rPr>
              <w:t>19.具备三合一电源按键，支持整机大屏开关机、OPS 电脑开关机和息屏三合一，息屏后可实现降低功耗≥90%；</w:t>
            </w:r>
          </w:p>
          <w:p>
            <w:pPr>
              <w:rPr>
                <w:rFonts w:asciiTheme="minorEastAsia" w:hAnsiTheme="minorEastAsia"/>
                <w:sz w:val="24"/>
                <w:szCs w:val="28"/>
              </w:rPr>
            </w:pPr>
            <w:r>
              <w:rPr>
                <w:rFonts w:hint="eastAsia" w:asciiTheme="minorEastAsia" w:hAnsiTheme="minorEastAsia"/>
                <w:sz w:val="24"/>
                <w:szCs w:val="28"/>
              </w:rPr>
              <w:t>20.内置高清广角摄像头，结构采用非独立设计。支持3D降噪算法，图像信噪比≥40db，支持输出MJPG视频格式</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21.智能降噪麦克风阵列，需支持远场拾音，高信噪比≥65db，超高灵敏度≥-38db，支持 AGC、AEC、NN 智能AI降噪功能</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22</w:t>
            </w:r>
            <w:r>
              <w:rPr>
                <w:rFonts w:hint="eastAsia" w:asciiTheme="minorEastAsia" w:hAnsiTheme="minorEastAsia"/>
                <w:b/>
                <w:bCs/>
                <w:sz w:val="24"/>
                <w:szCs w:val="28"/>
              </w:rPr>
              <w:t>.</w:t>
            </w:r>
            <w:r>
              <w:rPr>
                <w:rFonts w:hint="eastAsia" w:asciiTheme="minorEastAsia" w:hAnsiTheme="minorEastAsia"/>
                <w:sz w:val="24"/>
                <w:szCs w:val="28"/>
              </w:rPr>
              <w:t>摄像头具备下倾设计，下倾角度≥10°，拍摄画面全面</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23.</w:t>
            </w:r>
            <w:r>
              <w:rPr>
                <w:rFonts w:asciiTheme="minorEastAsia" w:hAnsiTheme="minorEastAsia"/>
                <w:sz w:val="24"/>
                <w:szCs w:val="28"/>
              </w:rPr>
              <w:t>支持≥4800万像素，可拍摄8000×6000的照片，支持输出4K图片 ，对角视场角≥135°，水平视场角≥120°，垂直视场角≥89°</w:t>
            </w:r>
            <w:r>
              <w:rPr>
                <w:rFonts w:hint="eastAsia" w:asciiTheme="minorEastAsia" w:hAnsiTheme="minorEastAsia"/>
                <w:sz w:val="24"/>
                <w:szCs w:val="28"/>
              </w:rPr>
              <w:t>；</w:t>
            </w:r>
          </w:p>
          <w:p>
            <w:pPr>
              <w:rPr>
                <w:rFonts w:asciiTheme="minorEastAsia" w:hAnsiTheme="minorEastAsia"/>
                <w:sz w:val="24"/>
                <w:szCs w:val="28"/>
              </w:rPr>
            </w:pPr>
            <w:r>
              <w:rPr>
                <w:rFonts w:hint="eastAsia" w:asciiTheme="minorEastAsia" w:hAnsiTheme="minorEastAsia"/>
                <w:sz w:val="24"/>
                <w:szCs w:val="28"/>
              </w:rPr>
              <w:t>24.高清摄像头，支持生物特征识别，如面部识别功能，支持AI识别人像，最大距离≥10米；</w:t>
            </w:r>
          </w:p>
          <w:p>
            <w:pPr>
              <w:rPr>
                <w:rFonts w:asciiTheme="minorEastAsia" w:hAnsiTheme="minorEastAsia"/>
                <w:sz w:val="24"/>
                <w:szCs w:val="28"/>
              </w:rPr>
            </w:pPr>
            <w:r>
              <w:rPr>
                <w:rFonts w:hint="eastAsia" w:asciiTheme="minorEastAsia" w:hAnsiTheme="minorEastAsia"/>
                <w:sz w:val="24"/>
                <w:szCs w:val="28"/>
              </w:rPr>
              <w:t>25.采用红外触控技术，触控方式需支持手指或书写笔等非透明物体，支持多点触摸；</w:t>
            </w:r>
          </w:p>
          <w:p>
            <w:pPr>
              <w:rPr>
                <w:rFonts w:asciiTheme="minorEastAsia" w:hAnsiTheme="minorEastAsia"/>
                <w:sz w:val="24"/>
                <w:szCs w:val="28"/>
              </w:rPr>
            </w:pPr>
            <w:r>
              <w:rPr>
                <w:rFonts w:hint="eastAsia" w:asciiTheme="minorEastAsia" w:hAnsiTheme="minorEastAsia"/>
                <w:sz w:val="24"/>
                <w:szCs w:val="28"/>
              </w:rPr>
              <w:t>26.触摸框具有防粉笔灰遮挡功能，支持触摸框未被粉笔灰完全遮挡时可正常书写；</w:t>
            </w:r>
          </w:p>
          <w:p>
            <w:pPr>
              <w:rPr>
                <w:rFonts w:asciiTheme="minorEastAsia" w:hAnsiTheme="minorEastAsia"/>
                <w:sz w:val="24"/>
                <w:szCs w:val="28"/>
              </w:rPr>
            </w:pPr>
            <w:r>
              <w:rPr>
                <w:rFonts w:hint="eastAsia" w:asciiTheme="minorEastAsia" w:hAnsiTheme="minorEastAsia"/>
                <w:sz w:val="24"/>
                <w:szCs w:val="28"/>
              </w:rPr>
              <w:t>27.双系统下支持在任意信号源通道下，都可调出侧边栏快捷菜单，菜单含中控导航、系统切换、小工具、快捷设置、亮度/音量调节；</w:t>
            </w:r>
          </w:p>
          <w:p>
            <w:pPr>
              <w:rPr>
                <w:rFonts w:asciiTheme="minorEastAsia" w:hAnsiTheme="minorEastAsia"/>
                <w:sz w:val="24"/>
                <w:szCs w:val="28"/>
              </w:rPr>
            </w:pPr>
            <w:r>
              <w:rPr>
                <w:rFonts w:hint="eastAsia" w:asciiTheme="minorEastAsia" w:hAnsiTheme="minorEastAsia"/>
                <w:sz w:val="24"/>
                <w:szCs w:val="28"/>
              </w:rPr>
              <w:t>28.内置无线传屏接收端，无需外接接收部件，无线传屏发射器与整机匹配后即可实现传屏功能，可以将外部电脑的屏幕画面通过无线方式传输到整机上；</w:t>
            </w:r>
          </w:p>
          <w:p>
            <w:pPr>
              <w:rPr>
                <w:rFonts w:asciiTheme="minorEastAsia" w:hAnsiTheme="minorEastAsia"/>
                <w:sz w:val="24"/>
                <w:szCs w:val="28"/>
              </w:rPr>
            </w:pPr>
            <w:r>
              <w:rPr>
                <w:rFonts w:hint="eastAsia" w:asciiTheme="minorEastAsia" w:hAnsiTheme="minorEastAsia"/>
                <w:sz w:val="24"/>
                <w:szCs w:val="28"/>
              </w:rPr>
              <w:t>★29.支持通过口语表达快速返回系统桌面、选人和打开白板、亮度调整、声音大小调整、打开资源库和课本、计时器、AI 录课、上一页、下一页</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30.教学笔支持 Windows 操作系统下的语音操作，支持通过语音指令打开操作系统桌面上的已安装所有应用；</w:t>
            </w:r>
          </w:p>
          <w:p>
            <w:pPr>
              <w:rPr>
                <w:rFonts w:asciiTheme="minorEastAsia" w:hAnsiTheme="minorEastAsia"/>
                <w:sz w:val="24"/>
                <w:szCs w:val="28"/>
              </w:rPr>
            </w:pPr>
            <w:r>
              <w:rPr>
                <w:rFonts w:hint="eastAsia" w:asciiTheme="minorEastAsia" w:hAnsiTheme="minorEastAsia"/>
                <w:sz w:val="24"/>
                <w:szCs w:val="28"/>
              </w:rPr>
              <w:t>31.支持在整机运行环境下，配套教学设备如教学笔实时显示连接状态，并支持监控当前电量百分比</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★32.在运行环境下，支持自适应扩音优化、防啸叫算法能力；支持配套教学笔通过整机实现高质量扩音，THD≤1%，啸叫距离≤20cm</w:t>
            </w:r>
            <w:r>
              <w:rPr>
                <w:rFonts w:asciiTheme="minorEastAsia" w:hAnsiTheme="minorEastAsia"/>
                <w:sz w:val="24"/>
                <w:szCs w:val="28"/>
              </w:rPr>
              <w:t>(提供 CNAS或CMA机构出具的检测报告复印件)；</w:t>
            </w:r>
          </w:p>
          <w:p>
            <w:pPr>
              <w:rPr>
                <w:rFonts w:asciiTheme="minorEastAsia" w:hAnsiTheme="minorEastAsia"/>
                <w:sz w:val="24"/>
                <w:szCs w:val="28"/>
              </w:rPr>
            </w:pPr>
            <w:r>
              <w:rPr>
                <w:rFonts w:hint="eastAsia" w:asciiTheme="minorEastAsia" w:hAnsiTheme="minorEastAsia"/>
                <w:sz w:val="24"/>
                <w:szCs w:val="28"/>
              </w:rPr>
              <w:t>33.支持多种人机交互能力，如点击屏幕、语音控制；</w:t>
            </w:r>
          </w:p>
          <w:p>
            <w:pPr>
              <w:rPr>
                <w:rFonts w:asciiTheme="minorEastAsia" w:hAnsiTheme="minorEastAsia"/>
                <w:sz w:val="24"/>
                <w:szCs w:val="28"/>
              </w:rPr>
            </w:pPr>
            <w:r>
              <w:rPr>
                <w:rFonts w:hint="eastAsia" w:asciiTheme="minorEastAsia" w:hAnsiTheme="minorEastAsia"/>
                <w:sz w:val="24"/>
                <w:szCs w:val="28"/>
              </w:rPr>
              <w:t>34.支持板书书写数据采集功能，可识别粉笔书写，板擦或手指擦除手势，且书写过程中可同步到黑板主屏，支持板书录制，回看和分享；</w:t>
            </w:r>
          </w:p>
          <w:p>
            <w:pPr>
              <w:rPr>
                <w:rFonts w:asciiTheme="minorEastAsia" w:hAnsiTheme="minorEastAsia"/>
                <w:sz w:val="24"/>
                <w:szCs w:val="28"/>
              </w:rPr>
            </w:pPr>
            <w:r>
              <w:rPr>
                <w:rFonts w:hint="eastAsia" w:asciiTheme="minorEastAsia" w:hAnsiTheme="minorEastAsia"/>
                <w:sz w:val="24"/>
                <w:szCs w:val="28"/>
              </w:rPr>
              <w:t>35.本机提供两侧副板；</w:t>
            </w:r>
          </w:p>
          <w:p>
            <w:pPr>
              <w:rPr>
                <w:rFonts w:asciiTheme="minorEastAsia" w:hAnsiTheme="minorEastAsia"/>
                <w:sz w:val="24"/>
                <w:szCs w:val="28"/>
              </w:rPr>
            </w:pPr>
            <w:r>
              <w:rPr>
                <w:rFonts w:hint="eastAsia" w:asciiTheme="minorEastAsia" w:hAnsiTheme="minorEastAsia"/>
                <w:sz w:val="24"/>
                <w:szCs w:val="28"/>
              </w:rPr>
              <w:t>36</w:t>
            </w:r>
            <w:r>
              <w:rPr>
                <w:rFonts w:asciiTheme="minorEastAsia" w:hAnsiTheme="minorEastAsia"/>
                <w:sz w:val="24"/>
                <w:szCs w:val="28"/>
              </w:rPr>
              <w:t>.OPS电脑安装结构支持按压式卡扣或螺丝固定模式，插拔式抽屉安装，无需工具就可拆卸电脑模块；</w:t>
            </w:r>
          </w:p>
          <w:p>
            <w:pPr>
              <w:rPr>
                <w:rFonts w:asciiTheme="minorEastAsia" w:hAnsiTheme="minorEastAsia"/>
                <w:sz w:val="24"/>
                <w:szCs w:val="28"/>
              </w:rPr>
            </w:pPr>
            <w:r>
              <w:rPr>
                <w:rFonts w:hint="eastAsia" w:asciiTheme="minorEastAsia" w:hAnsiTheme="minorEastAsia"/>
                <w:sz w:val="24"/>
                <w:szCs w:val="28"/>
              </w:rPr>
              <w:t>37.处理器：内存≥8G，硬盘≥256G SSD；</w:t>
            </w:r>
          </w:p>
          <w:p>
            <w:pPr>
              <w:rPr>
                <w:rFonts w:asciiTheme="minorEastAsia" w:hAnsiTheme="minorEastAsia"/>
                <w:sz w:val="24"/>
                <w:szCs w:val="28"/>
              </w:rPr>
            </w:pPr>
            <w:r>
              <w:rPr>
                <w:rFonts w:hint="eastAsia" w:asciiTheme="minorEastAsia" w:hAnsiTheme="minorEastAsia"/>
                <w:sz w:val="24"/>
                <w:szCs w:val="28"/>
              </w:rPr>
              <w:t>38.USB接口要求不少于6个：≥4个双通道USB Type-A接口，≥2个USB Type-A接口；</w:t>
            </w:r>
          </w:p>
          <w:p>
            <w:pPr>
              <w:rPr>
                <w:rFonts w:asciiTheme="minorEastAsia" w:hAnsiTheme="minorEastAsia"/>
                <w:sz w:val="24"/>
                <w:szCs w:val="28"/>
              </w:rPr>
            </w:pPr>
            <w:r>
              <w:rPr>
                <w:rFonts w:hint="eastAsia" w:asciiTheme="minorEastAsia" w:hAnsiTheme="minorEastAsia"/>
                <w:sz w:val="24"/>
                <w:szCs w:val="28"/>
              </w:rPr>
              <w:t>39.其他接口支持网络接口不少于1个，DP输出接口不少于1个，HDMI不少于1个，耳机输出接口不少于1个，麦克风输入接口不少于1个；</w:t>
            </w:r>
          </w:p>
          <w:p>
            <w:pPr>
              <w:rPr>
                <w:rFonts w:asciiTheme="minorEastAsia" w:hAnsiTheme="minorEastAsia"/>
                <w:sz w:val="24"/>
                <w:szCs w:val="28"/>
              </w:rPr>
            </w:pPr>
            <w:r>
              <w:rPr>
                <w:rFonts w:hint="eastAsia" w:asciiTheme="minorEastAsia" w:hAnsiTheme="minorEastAsia"/>
                <w:sz w:val="24"/>
                <w:szCs w:val="28"/>
              </w:rPr>
              <w:t>40.支持Wi-Fi 6，蓝牙Bluetooth 4.2；</w:t>
            </w:r>
          </w:p>
          <w:p>
            <w:pPr>
              <w:rPr>
                <w:rFonts w:asciiTheme="minorEastAsia" w:hAnsiTheme="minorEastAsia"/>
                <w:sz w:val="24"/>
                <w:szCs w:val="28"/>
              </w:rPr>
            </w:pPr>
            <w:r>
              <w:rPr>
                <w:rFonts w:hint="eastAsia" w:asciiTheme="minorEastAsia" w:hAnsiTheme="minorEastAsia"/>
                <w:sz w:val="24"/>
                <w:szCs w:val="28"/>
              </w:rPr>
              <w:t>41.配套教学系统:覆盖小学学段的电子版本教材，其中语文、英语、音乐学科提供点读功能，支持分句、段、篇章进行点读；给每个教师账号提供至少10本电子课本下载权限，并支持教师课本上课时，一键云同步获取备课资源，并下载至课本中。授课过程中，支持对课本进行文本批注、画笔标注、擦除、聚焦、翻页操作；</w:t>
            </w:r>
          </w:p>
          <w:p>
            <w:pPr>
              <w:rPr>
                <w:rFonts w:asciiTheme="minorEastAsia" w:hAnsiTheme="minorEastAsia"/>
                <w:sz w:val="24"/>
                <w:szCs w:val="28"/>
              </w:rPr>
            </w:pPr>
            <w:r>
              <w:rPr>
                <w:rFonts w:hint="eastAsia" w:asciiTheme="minorEastAsia" w:hAnsiTheme="minorEastAsia"/>
                <w:sz w:val="24"/>
                <w:szCs w:val="28"/>
              </w:rPr>
              <w:t>42.学科类工具：提供平面几何工具、立体几何工具、函数工具、尺规工具；</w:t>
            </w:r>
          </w:p>
          <w:p>
            <w:pPr>
              <w:rPr>
                <w:rFonts w:ascii="宋体" w:hAnsi="宋体" w:cs="宋体"/>
                <w:kern w:val="0"/>
                <w:sz w:val="24"/>
              </w:rPr>
            </w:pPr>
            <w:r>
              <w:rPr>
                <w:rFonts w:hint="eastAsia" w:asciiTheme="minorEastAsia" w:hAnsiTheme="minorEastAsia"/>
                <w:sz w:val="24"/>
                <w:szCs w:val="28"/>
              </w:rPr>
              <w:t>43.中文识别：支持手写中文直接转写为印刷体，且识别为印刷体后支持朗读、评测、生成卡片等功能；英文识别：支持手写英文直接转写为印刷体，且识别为印刷体后支持朗读、评测、生成卡片等功能；中文划词：支持对手写中文或英文进行圈画，推荐相关卡片资料，中文卡片包括拼音、笔顺、部首和结构，英文卡片包括发音、翻译和例句等；英文划词：支持对手写英文进行圈画，推荐相关卡片资料，英文卡片包括发音、翻译、例句。</w:t>
            </w:r>
          </w:p>
        </w:tc>
      </w:tr>
      <w:bookmarkEnd w:id="654"/>
    </w:tbl>
    <w:p>
      <w:pPr>
        <w:rPr>
          <w:rFonts w:asciiTheme="minorEastAsia" w:hAnsiTheme="minorEastAsia"/>
          <w:b/>
          <w:sz w:val="24"/>
        </w:rPr>
      </w:pPr>
    </w:p>
    <w:p>
      <w:pPr>
        <w:rPr>
          <w:rFonts w:asciiTheme="minorEastAsia" w:hAnsiTheme="minorEastAsia"/>
          <w:b/>
          <w:sz w:val="24"/>
        </w:rPr>
      </w:pPr>
      <w:r>
        <w:rPr>
          <w:rFonts w:hint="eastAsia" w:asciiTheme="minorEastAsia" w:hAnsiTheme="minorEastAsia"/>
          <w:b/>
          <w:sz w:val="24"/>
        </w:rPr>
        <w:t xml:space="preserve">   2.3操作系统</w:t>
      </w:r>
    </w:p>
    <w:tbl>
      <w:tblPr>
        <w:tblStyle w:val="250"/>
        <w:tblW w:w="87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190"/>
        <w:gridCol w:w="1200"/>
        <w:gridCol w:w="1701"/>
        <w:gridCol w:w="4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648" w:type="dxa"/>
            <w:vAlign w:val="center"/>
          </w:tcPr>
          <w:p>
            <w:pPr>
              <w:pStyle w:val="256"/>
              <w:widowControl/>
              <w:kinsoku w:val="0"/>
              <w:autoSpaceDE w:val="0"/>
              <w:autoSpaceDN w:val="0"/>
              <w:adjustRightInd w:val="0"/>
              <w:snapToGrid w:val="0"/>
              <w:jc w:val="center"/>
              <w:textAlignment w:val="baseline"/>
              <w:rPr>
                <w:rFonts w:ascii="宋体" w:hAnsi="宋体" w:eastAsia="宋体" w:cs="宋体"/>
                <w:b/>
                <w:bCs/>
                <w:spacing w:val="-5"/>
                <w:position w:val="4"/>
                <w:sz w:val="24"/>
                <w:szCs w:val="24"/>
              </w:rPr>
            </w:pPr>
            <w:r>
              <w:rPr>
                <w:rFonts w:hint="eastAsia" w:ascii="宋体" w:hAnsi="宋体" w:eastAsia="宋体" w:cs="宋体"/>
                <w:b/>
                <w:bCs/>
                <w:spacing w:val="-5"/>
                <w:position w:val="4"/>
                <w:sz w:val="24"/>
                <w:szCs w:val="24"/>
              </w:rPr>
              <w:t>序号</w:t>
            </w:r>
          </w:p>
        </w:tc>
        <w:tc>
          <w:tcPr>
            <w:tcW w:w="1190" w:type="dxa"/>
            <w:vAlign w:val="center"/>
          </w:tcPr>
          <w:p>
            <w:pPr>
              <w:pStyle w:val="256"/>
              <w:widowControl/>
              <w:kinsoku w:val="0"/>
              <w:autoSpaceDE w:val="0"/>
              <w:autoSpaceDN w:val="0"/>
              <w:adjustRightInd w:val="0"/>
              <w:snapToGrid w:val="0"/>
              <w:ind w:firstLine="231"/>
              <w:jc w:val="center"/>
              <w:textAlignment w:val="baseline"/>
              <w:rPr>
                <w:rFonts w:ascii="宋体" w:hAnsi="宋体" w:eastAsia="宋体" w:cs="宋体"/>
                <w:b/>
                <w:bCs/>
                <w:spacing w:val="-5"/>
                <w:position w:val="4"/>
                <w:sz w:val="24"/>
                <w:szCs w:val="24"/>
              </w:rPr>
            </w:pPr>
            <w:r>
              <w:rPr>
                <w:rFonts w:hint="eastAsia" w:ascii="宋体" w:hAnsi="宋体" w:eastAsia="宋体" w:cs="宋体"/>
                <w:b/>
                <w:bCs/>
                <w:spacing w:val="-5"/>
                <w:position w:val="4"/>
                <w:sz w:val="24"/>
                <w:szCs w:val="24"/>
              </w:rPr>
              <w:t>指标分类</w:t>
            </w:r>
          </w:p>
        </w:tc>
        <w:tc>
          <w:tcPr>
            <w:tcW w:w="1200" w:type="dxa"/>
            <w:vAlign w:val="center"/>
          </w:tcPr>
          <w:p>
            <w:pPr>
              <w:pStyle w:val="256"/>
              <w:widowControl/>
              <w:kinsoku w:val="0"/>
              <w:autoSpaceDE w:val="0"/>
              <w:autoSpaceDN w:val="0"/>
              <w:adjustRightInd w:val="0"/>
              <w:snapToGrid w:val="0"/>
              <w:ind w:firstLine="231"/>
              <w:jc w:val="left"/>
              <w:textAlignment w:val="baseline"/>
              <w:rPr>
                <w:rFonts w:ascii="宋体" w:hAnsi="宋体" w:eastAsia="宋体" w:cs="宋体"/>
                <w:b/>
                <w:bCs/>
                <w:spacing w:val="-5"/>
                <w:position w:val="4"/>
                <w:sz w:val="24"/>
                <w:szCs w:val="24"/>
              </w:rPr>
            </w:pPr>
            <w:r>
              <w:rPr>
                <w:rFonts w:hint="eastAsia" w:ascii="宋体" w:hAnsi="宋体" w:eastAsia="宋体" w:cs="宋体"/>
                <w:b/>
                <w:bCs/>
                <w:spacing w:val="-5"/>
                <w:position w:val="4"/>
                <w:sz w:val="24"/>
                <w:szCs w:val="24"/>
              </w:rPr>
              <w:t>一级指标</w:t>
            </w:r>
          </w:p>
        </w:tc>
        <w:tc>
          <w:tcPr>
            <w:tcW w:w="1701" w:type="dxa"/>
            <w:vAlign w:val="center"/>
          </w:tcPr>
          <w:p>
            <w:pPr>
              <w:pStyle w:val="256"/>
              <w:widowControl/>
              <w:kinsoku w:val="0"/>
              <w:autoSpaceDE w:val="0"/>
              <w:autoSpaceDN w:val="0"/>
              <w:adjustRightInd w:val="0"/>
              <w:snapToGrid w:val="0"/>
              <w:ind w:firstLine="231"/>
              <w:jc w:val="center"/>
              <w:textAlignment w:val="baseline"/>
              <w:rPr>
                <w:rFonts w:ascii="宋体" w:hAnsi="宋体" w:eastAsia="宋体" w:cs="宋体"/>
                <w:b/>
                <w:bCs/>
                <w:spacing w:val="-5"/>
                <w:position w:val="4"/>
                <w:sz w:val="24"/>
                <w:szCs w:val="24"/>
              </w:rPr>
            </w:pPr>
            <w:r>
              <w:rPr>
                <w:rFonts w:hint="eastAsia" w:ascii="宋体" w:hAnsi="宋体" w:eastAsia="宋体" w:cs="宋体"/>
                <w:b/>
                <w:bCs/>
                <w:spacing w:val="-5"/>
                <w:position w:val="4"/>
                <w:sz w:val="24"/>
                <w:szCs w:val="24"/>
              </w:rPr>
              <w:t>二级指标</w:t>
            </w:r>
          </w:p>
        </w:tc>
        <w:tc>
          <w:tcPr>
            <w:tcW w:w="4045" w:type="dxa"/>
            <w:vAlign w:val="center"/>
          </w:tcPr>
          <w:p>
            <w:pPr>
              <w:pStyle w:val="256"/>
              <w:widowControl/>
              <w:kinsoku w:val="0"/>
              <w:autoSpaceDE w:val="0"/>
              <w:autoSpaceDN w:val="0"/>
              <w:adjustRightInd w:val="0"/>
              <w:snapToGrid w:val="0"/>
              <w:ind w:firstLine="231"/>
              <w:jc w:val="center"/>
              <w:textAlignment w:val="baseline"/>
              <w:rPr>
                <w:rFonts w:ascii="宋体" w:hAnsi="宋体" w:eastAsia="宋体" w:cs="宋体"/>
                <w:b/>
                <w:bCs/>
                <w:spacing w:val="-5"/>
                <w:position w:val="4"/>
                <w:sz w:val="24"/>
                <w:szCs w:val="24"/>
              </w:rPr>
            </w:pPr>
            <w:r>
              <w:rPr>
                <w:rFonts w:hint="eastAsia" w:ascii="宋体" w:hAnsi="宋体" w:eastAsia="宋体" w:cs="宋体"/>
                <w:b/>
                <w:bCs/>
                <w:spacing w:val="-5"/>
                <w:position w:val="4"/>
                <w:sz w:val="24"/>
                <w:szCs w:val="2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w:t>
            </w:r>
          </w:p>
        </w:tc>
        <w:tc>
          <w:tcPr>
            <w:tcW w:w="119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★操作系统支持多CPU架构</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★同一套</w:t>
            </w:r>
            <w:r>
              <w:rPr>
                <w:rFonts w:ascii="宋体" w:hAnsi="宋体" w:eastAsia="宋体" w:cs="宋体"/>
                <w:spacing w:val="-5"/>
                <w:position w:val="4"/>
                <w:sz w:val="24"/>
                <w:szCs w:val="24"/>
                <w:lang w:eastAsia="zh-CN"/>
              </w:rPr>
              <w:t>源代码</w:t>
            </w:r>
            <w:r>
              <w:rPr>
                <w:rFonts w:hint="eastAsia" w:ascii="宋体" w:hAnsi="宋体" w:eastAsia="宋体" w:cs="宋体"/>
                <w:spacing w:val="-5"/>
                <w:position w:val="4"/>
                <w:sz w:val="24"/>
                <w:szCs w:val="24"/>
                <w:lang w:eastAsia="zh-CN"/>
              </w:rPr>
              <w:t>兼容多CPU平台架构</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操作系统同源兼容ARM、LoongArch、MIPS、SW64、x86等平台架构的CPU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w:t>
            </w:r>
          </w:p>
        </w:tc>
        <w:tc>
          <w:tcPr>
            <w:tcW w:w="119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8"/>
              <w:jc w:val="left"/>
              <w:textAlignment w:val="baseline"/>
              <w:rPr>
                <w:rFonts w:ascii="宋体" w:hAnsi="宋体" w:eastAsia="宋体" w:cs="宋体"/>
                <w:sz w:val="24"/>
                <w:szCs w:val="24"/>
                <w:lang w:eastAsia="zh-CN"/>
              </w:rPr>
            </w:pPr>
            <w:r>
              <w:rPr>
                <w:rFonts w:hint="eastAsia" w:ascii="宋体" w:hAnsi="宋体" w:eastAsia="宋体" w:cs="宋体"/>
                <w:spacing w:val="-1"/>
                <w:sz w:val="24"/>
                <w:szCs w:val="24"/>
                <w:lang w:eastAsia="zh-CN"/>
              </w:rPr>
              <w:t>★操作系统支持</w:t>
            </w:r>
            <w:r>
              <w:rPr>
                <w:rFonts w:hint="eastAsia" w:ascii="宋体" w:hAnsi="宋体" w:eastAsia="宋体" w:cs="宋体"/>
                <w:spacing w:val="-4"/>
                <w:sz w:val="24"/>
                <w:szCs w:val="24"/>
                <w:lang w:eastAsia="zh-CN"/>
              </w:rPr>
              <w:t>CPU内置功能</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lang w:eastAsia="zh-CN"/>
              </w:rPr>
              <w:t>★</w:t>
            </w:r>
            <w:r>
              <w:rPr>
                <w:rFonts w:hint="eastAsia" w:ascii="宋体" w:hAnsi="宋体" w:eastAsia="宋体" w:cs="宋体"/>
                <w:spacing w:val="-5"/>
                <w:position w:val="4"/>
                <w:sz w:val="24"/>
                <w:szCs w:val="24"/>
              </w:rPr>
              <w:t>多核支持</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操作系统支持双核及多核处理器，支持核间负载均衡、线程绑定，并提供系统多核访问及调度接口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w:t>
            </w:r>
          </w:p>
        </w:tc>
        <w:tc>
          <w:tcPr>
            <w:tcW w:w="119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40"/>
              <w:jc w:val="left"/>
              <w:rPr>
                <w:rFonts w:ascii="宋体" w:hAnsi="宋体" w:cs="宋体" w:eastAsiaTheme="minorEastAsia"/>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lang w:eastAsia="zh-CN"/>
              </w:rPr>
              <w:t>★</w:t>
            </w:r>
            <w:r>
              <w:rPr>
                <w:rFonts w:hint="eastAsia" w:ascii="宋体" w:hAnsi="宋体" w:eastAsia="宋体" w:cs="宋体"/>
                <w:spacing w:val="-5"/>
                <w:position w:val="4"/>
                <w:sz w:val="24"/>
                <w:szCs w:val="24"/>
              </w:rPr>
              <w:t>CPU虚拟化支持</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操作系统支持CPU虚拟化技术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w:t>
            </w:r>
          </w:p>
        </w:tc>
        <w:tc>
          <w:tcPr>
            <w:tcW w:w="119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40"/>
              <w:jc w:val="left"/>
              <w:rPr>
                <w:rFonts w:ascii="宋体" w:hAnsi="宋体" w:cs="宋体" w:eastAsiaTheme="minorEastAsia"/>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★动态调节CPU运行频率</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操作系统根据负载情况，自动调节CPU的运行频率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w:t>
            </w:r>
          </w:p>
        </w:tc>
        <w:tc>
          <w:tcPr>
            <w:tcW w:w="119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40"/>
              <w:jc w:val="left"/>
              <w:rPr>
                <w:rFonts w:ascii="宋体" w:hAnsi="宋体" w:cs="宋体" w:eastAsiaTheme="minorEastAsia"/>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★支持CPU运行时低功耗状态切换</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操作系统根据负载的情况，自动切换CPU的低功耗状态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w:t>
            </w:r>
          </w:p>
        </w:tc>
        <w:tc>
          <w:tcPr>
            <w:tcW w:w="119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tcBorders>
            <w:vAlign w:val="center"/>
          </w:tcPr>
          <w:p>
            <w:pPr>
              <w:autoSpaceDE w:val="0"/>
              <w:autoSpaceDN w:val="0"/>
              <w:ind w:firstLine="240"/>
              <w:jc w:val="left"/>
              <w:rPr>
                <w:rFonts w:ascii="宋体" w:hAnsi="宋体" w:cs="宋体" w:eastAsiaTheme="minorEastAsia"/>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★支持CPU内置安全功能</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操作系统支持CPU硬件密码运算与随机数生成等功能，并提供标准接口供应用程序调用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lang w:eastAsia="zh-CN"/>
              </w:rPr>
              <w:t>★</w:t>
            </w:r>
            <w:r>
              <w:rPr>
                <w:rFonts w:hint="eastAsia" w:ascii="宋体" w:hAnsi="宋体" w:eastAsia="宋体" w:cs="宋体"/>
                <w:spacing w:val="-5"/>
                <w:position w:val="4"/>
                <w:sz w:val="24"/>
                <w:szCs w:val="24"/>
              </w:rPr>
              <w:t>安装部署</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lang w:eastAsia="zh-CN"/>
              </w:rPr>
              <w:t>★</w:t>
            </w:r>
            <w:r>
              <w:rPr>
                <w:rFonts w:hint="eastAsia" w:ascii="宋体" w:hAnsi="宋体" w:eastAsia="宋体" w:cs="宋体"/>
                <w:spacing w:val="-5"/>
                <w:position w:val="4"/>
                <w:sz w:val="24"/>
                <w:szCs w:val="24"/>
              </w:rPr>
              <w:t>安装方式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操作系统支持光盘、USB闪存盘和网络等安装方式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安装过程配置</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操作系统支持安装界面文种设置，默认为简化汉字方式显示，提供时区设置、计算机名设置等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硬盘分区</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操作系统支持整个硬盘自动分区、自定义分区，支持逻辑分区配置（如LVM），支持创建备份分区；自定义分区时能自动检测分区设置的合规性，删除已有分区或格式化硬盘提示告警信息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双硬盘安装</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当计算机同时存在固态硬盘和机械硬盘时，自动分区优先将系统盘（或分区）设置在固态硬盘，优先将数据盘（或分区）设置在机械硬盘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多系统安装</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操作系统能够识别已安装的其他系统，可自动复用引导分区等，并实现多系统引导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加密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操作系统应提供基于分区的用户数据加密功能，保护用户存储区数据安全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初始化备份</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操作系统应提供用户备份初始系统环境的功能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保留用户数据</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用户重装操作系统时提供保留用户数据的功能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系统引导</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引导模式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应支持UEFI2.0及以上规范固件引导：a）当计算机以UEFI模式启动安装时，安装程序应分配ESP，并在ESP中放置启动引导文件，使操作系统能以UEFI模式引导；b)当计算机固件不支持UEFI模式时，安装程序根据计算机固件提供的引导方式，安装系统引导代码或配置系统引导选单，使安装完的系统可以正常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引导修复</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安装程序提供系统引导修复功能，当已安装的操作系统引导被破坏时，可重建系统引导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其他安装要求</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图形化显示</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操作系统应提供安装过程图形化显示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安装提示</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操作系统在安装执行前明确提示用户可能会删除已有数据，并提供退出或取消功能；</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当用户取消安装时，不改变硬盘上已有数据；</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如用户自定义的某些配置可能会影响后续的正常使用，予以明确提示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分辨率自适应</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操作系统安装完成后自动适配显示器最佳分辨率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系统内核</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内核要求</w:t>
            </w:r>
          </w:p>
        </w:tc>
        <w:tc>
          <w:tcPr>
            <w:tcW w:w="4045" w:type="dxa"/>
            <w:vAlign w:val="center"/>
          </w:tcPr>
          <w:p>
            <w:pPr>
              <w:pStyle w:val="256"/>
              <w:widowControl/>
              <w:numPr>
                <w:ilvl w:val="0"/>
                <w:numId w:val="14"/>
              </w:numPr>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若操作系统是基于Linux内核的微型计算机操作系统应兼容5.4版内核主要功能，包括进程管理、内存管理、任务调度、中断处理、并发与同步处理等；</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b)若操作系统属于其他类型内核不做要求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进程管理</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进程调度</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操作系统支持进程创建、分组、删除及进程信息获取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优先级设置</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操作系统支持进程优先级设置，包括优先级范围设置、优先级调度策略设置等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地址映射</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操作系统支持进程内存地址的正向映射和反向映射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restart"/>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内存管理</w:t>
            </w: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内存地址管理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操作系统支持基础连续虚拟地址、连续物理地址的申请、回收和释放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内存管理单元</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操作系统支持内存管理单元，通过页表映射实现虚拟地址和物理地址的映射关系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buddy分配器</w:t>
            </w:r>
          </w:p>
        </w:tc>
        <w:tc>
          <w:tcPr>
            <w:tcW w:w="4045" w:type="dxa"/>
            <w:vAlign w:val="center"/>
          </w:tcPr>
          <w:p>
            <w:pPr>
              <w:pStyle w:val="256"/>
              <w:widowControl/>
              <w:tabs>
                <w:tab w:val="left" w:pos="312"/>
              </w:tabs>
              <w:kinsoku w:val="0"/>
              <w:autoSpaceDE w:val="0"/>
              <w:autoSpaceDN w:val="0"/>
              <w:adjustRightInd w:val="0"/>
              <w:snapToGrid w:val="0"/>
              <w:ind w:left="230"/>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a)</w:t>
            </w:r>
            <w:r>
              <w:rPr>
                <w:rFonts w:hint="eastAsia" w:ascii="宋体" w:hAnsi="宋体" w:eastAsia="宋体" w:cs="宋体"/>
                <w:snapToGrid w:val="0"/>
                <w:color w:val="000000"/>
                <w:spacing w:val="-5"/>
                <w:kern w:val="0"/>
                <w:position w:val="4"/>
                <w:sz w:val="24"/>
                <w:szCs w:val="24"/>
              </w:rPr>
              <w:t>若操作系统基于Linux内核，支持buddy分配器，支持slob、slub或slab分配器；</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b)若操作系统属于其他类型内核不做要求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DMA内存</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操作系统支持DMA内存的申请和释放，包括流式DMA、一致性DMA以及大内存DMA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内存zone管理</w:t>
            </w:r>
          </w:p>
        </w:tc>
        <w:tc>
          <w:tcPr>
            <w:tcW w:w="4045" w:type="dxa"/>
            <w:vAlign w:val="center"/>
          </w:tcPr>
          <w:p>
            <w:pPr>
              <w:pStyle w:val="256"/>
              <w:widowControl/>
              <w:numPr>
                <w:ilvl w:val="0"/>
                <w:numId w:val="15"/>
              </w:numPr>
              <w:kinsoku w:val="0"/>
              <w:autoSpaceDE w:val="0"/>
              <w:autoSpaceDN w:val="0"/>
              <w:adjustRightInd w:val="0"/>
              <w:snapToGrid w:val="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若操作系统基于Linux内核，操作系统支持内存zone管理；</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b)若操作系统属于其他类型内核不做要求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29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内存分配方式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操作系统支持不交换硬盘的内存分配方式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调用接口</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操作系统提供非文件形式的内存动态函数库调用接口，以满足敏感内存动态库的非文件形式调用需求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任务调度</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上下文切换</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操作系统支持进程上下文切换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进程负载均衡</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操作系统支持进程负载均衡调度方式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调度方式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操作系统支持进程基于时间片的调度方式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抢占调度方式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操作系统支持进程抢占调度方式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中断处理</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中断处理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硬件中断号和软件中断号的映射、注册和处理；支持高精度时钟中断、类软中断和类tasklet下半部中断处理；支持中断使能、屏蔽、亲和力处理以及中断抢占；支持中断工作队列处理，包括工作队列创建、初始化、调度和回收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并发与同步处理</w:t>
            </w: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并发同步处理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操作系统支持自旋锁、信号量、互斥体等原子操作；支持读写锁、类RCU原子操作；支持内存屏障操作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中文支持要求</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字符编码</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操作系统符合GB18030的要求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字库</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操作系统提供符合GB18030标准的字库，至少包括宋体、仿宋体、黑体、楷体及小标宋体在内的5种字库；</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支持曲线字库，可无级放缩字形大小，以适应不同分辨率的输出设备，输出字形应字形正确，字体规范；</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支持用户扩展安装字库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39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输入法</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操作系统应内置输入法框架；</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至少提供一种音码和一种型码输入法；</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支持GB18030中已编码的语言文字输入法的安装使用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输入法标准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操作系统提供的通用键盘输入法应符合GB/T19246—2003要求；</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如提供手写输入法，应符合GB/T18790—2010要求；</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如提供语音输入法，应符合GB/T21023—2007要求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互联网输入法</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操作系统支持主流互联网输入法，支持输入法词库在线更新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输出</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系统配置的字库能被工具或软件正常调用打印和显示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表示</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操作系统提供中文界面显示，提供符合要求的日期、星期、上下午、时间、货币、数字等显示及表示方式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restart"/>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系统管理要求</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系统信息</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操作系统提供系统信息查看工具，支持用户查看系统版本、内核版本、内存容量、CPU型号等信息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系统资源管理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操作系统提供系统资源管理工具并图形化显示进程信息、资源信息、文件资源信息等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硬盘管理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操作系统提供硬盘管理工具，显示硬盘容量及硬盘信息，支持新建和删除硬盘分区，分区支持EXT3、EXT4、FAT32、NTFS、XFS、exFAT、Btrfs等文件系统格式；</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支持磁盘健康检测、坏道检测与修复，分区挂载与卸载，分区表错误检查等功能。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设备信息</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操作系统提供设备信息工具，显示CPU、内存、主板、存储、网卡、声卡、电源、USB、蓝牙等参数信息，显示硬件信息、计算机型号和操作系统信息、设备驱动状态（启用或禁用），并支持设备启用、禁用状态设置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文件管理器</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操作系统支持按文件名、文件类型、文件修改时间、文件大小排序显示文件；支持文本文件、图片文件和视频文件首帧的预览；</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显示当前用户的主目录、桌面、文档、下载、回收站等文件资源；</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支持对光驱、闪存盘的访问；</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支持对网络资源的访问，包括SMB、FTP、NFS等协议下的网络资源；</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支持通过地址栏输入绝对路径定位文件夹；</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支持文件按照列表显示或网格图标显示；</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支持新建文件、文件夹和快捷方式，并支持扩展新建的文件类型；</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支持全选当前文件夹所有文件，支持文件多选、反选；支持复制、粘贴、删除、剪切、重命名、压缩等文件操作；</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支持选择文件打开方式，可以使用默认用程序打开，并支持修改默认用程序；</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支持按文件名、修改时间、文件大小等搜索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49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全文搜索</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操作系统支持全文搜索，文件类型包括OFD、UOF、PDF、OOXML、纯文本、网页、XML、sh脚本等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本地帐户管理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操作系统提供图形管理界面，支持帐户和用户组管理，支持口令、头像、权限设置，支持口令修改，支持重设管理帐户口令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登录管理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操作系统支持本地帐户、LDAP帐户鉴别登录，提供口令、指纹、人脸、U-Key等多种鉴别方式登录，支持本地帐户免口令登录和自动登录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鼠标管理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操作系统提供图形化鼠标管理工具；</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支持鼠标灵敏度、滚轮方向的设置与测试；支持左右手习惯设置；</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对于带触控板的微型计算机，应具有触控板管理功能，包括启动与禁止及相应的防误触等功能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键盘管理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操作系统提供键盘图形化管理工具；</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支持重复键延时及速度设置；</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支持数字键盘、大写锁定提示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显示管理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操作系统支持屏幕分辨率设置；支持屏幕刷新率设置；支持屏幕亮度设置；</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支持屏幕显示冷暖色温手动、自动调节；</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支持多个屏幕以复制、扩展、单独方式输出显示，支持多个屏幕显示位置设置，支持各屏幕显示方向独立设置；</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支持4K高分辨率屏幕显示，支持手动和自适应匹配设置窗口等比缩放显示；</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支持超宽屏显示，如：21:9、32:9的显示器；支持触屏功能，包括选择、点击、双击、滚动等操作；</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支持登录界面、锁屏界面、系统桌面的背景图片设置；</w:t>
            </w:r>
          </w:p>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支持屏幕保护定时设置和帐户口令鉴权恢复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声音管理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操作系统支持输出音量大小设置、静音设置；支持系统默认音效配置；支持输入输出设备配置；支持输入噪音抑制开关设置；支持输出音量增强开关设置；支持输出声道左右平衡设置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快捷键管理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操作系统支持预先定义系统快捷键；支持自定义快捷键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时间日期管理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操作系统支持图形化显示；支持系统日期、时间设置；支持时区设置；支持网络时钟同步设置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电源管理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操作系统支持空闲时显示器转入待机的时间设置；支持空闲时计算机转入屏幕保护的时间设置；支持屏幕显示亮度设置；便携式计算机使用时支持高性能、平衡、节能等模式设置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59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输入法管理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操作系统支持添加和删除输入法；支持快捷键设置，包括输入法启动、输入法激活/非激活切换、顺序切换等；支持多种输入法共存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默认登录语言</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按照安装时选择的文种类型作为初次登录系统文种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多语言图形界面</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操作系统支持GB18030规定的文种的语言环境，支持已安装文种切换显示设置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打印机管理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添加和删除打印机；支持添加本地打印机、网络打印机及共享打印机；支持打印机共享；支持查看打印机列表；支持任务队列管理，包括取消、暂停、挂起；支持页面设置；提供接口查询打印机打印状态，包括指定文件打印成功的页数、份数、页码及打印失败的文件名和页码等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外设管控</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动态显示未授权设备信息；支持接口控制、设备控制、权限控制等（接口包括USB、蓝牙、网络接口等；设备包括打印机、摄录设备、USB存储设备等；权限包括读、写、执行等）；支持按设备类型、设备ID、接口等配置设备接入黑白名单策略；提供完整的连接记录，记录可追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隐私文件保护</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操作系统提供基于独立口令和密钥保护的文件保险箱；支持口令和透明加解密鉴权访问文件保险箱内的文件和文件夹；支持手动上锁文件保险箱；支持通过密钥找回口令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网络管理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图形化显示；支持DNS设置；支持IPV4/IPV6地址配置；支持自动获取网络地址；支持网关设置；支持手动/自动设置网络代理服务器，支持HTTP、HTTPS、FTP、SOCKS等多种协议；支持无线网络管理，包括连接或断开网络、配置口令、手动刷新无线热点列表等；支持个人热点共享，包括有线、无线网络生成的网络热点；支持L2TP、PPTP、OpenVPN、StrongSwan类型的VPN连接，支持新增、导入、编辑和删除连接配置，支持启用或禁用VPN自动连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默认应用程序管理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操作系统提供默认用程序管理工具，支持预先定义和修改指定用类型的默认程序，包括图片、文本、音视频、网页、邮件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应用商店</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支持应用软件可视化管理；支持按日常办公、网络应用、多媒体、安全软件、应用开发、游戏娱乐等分类显示；支持应用软件搜索功能；支持应用软件推荐、下载、安装、卸载和升级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通知管理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操作系统任务栏提供通知中心图标，并显示消息提醒；系统和应用使用通知接口发送通知消息；支持对通知消息的管理，包括显示、删除、清理等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69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主题管理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操作系统提供图形化主题管理工具；支持以深色、浅色和昼夜切换自动配色方式显示系统图形化界面；支持系统主题颜色设置；支持系统图标主题设置；支持系统光标主题设置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产品许可机制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a)操作系统支持序列号授权、批量激活服务、场地授权等未激活期间，系统不得频繁提示干扰用户正常使用；未激活系统不得影响用户数据安全与完整性；b)免激活的系统不适用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restart"/>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图形化要求</w:t>
            </w: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用户操作界面</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操作系统提供图形化操作界面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桌面图标</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操作系统默认提供我的系统、个人文档、回收站等图标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桌面图标管理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回收站工具，可收集要删除的文件和文件夹，并支持右键清空操作；支持应用程序快捷方式与文件共存；支持右键选单进行复制、剪切和粘贴文件操作；支持文件图标拖拽、摆放；支持图标名称修改；支持按照文件类别显示文件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桌面快捷选单</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操作系统支持桌面图标按照网格排列；支持右键选单新建纯文本；支持右键选单新建文件夹；支持右键选单选择图标排列顺序，排序可按名称、类型、修改时间、文件大小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起始选单</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分类显示系统已安装应用；支持创建应用的快捷方式到桌面；支持添加应用访问快捷方式到任务栏；支持多种方式搜索内容，支持拼音搜索、模糊搜索快捷查找系统应用；支持新安装应用与应用列表中其他应用以明显方式区分，包括突出显示、增加标识或单独分类；包含电源操作按钮，并可触发系统退出界面；包含直接进入控制系统或配置系统的功能入口或应用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任务栏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应提供图形化任务管理工具栏，任务栏中应该包括快速启动栏、通知栏；提供快速启动应用程序区，可以添加或删除应用启动快捷方式；提供系统通知栏，显示网络、声音、电源、USB设备等，支持应用程序（如输入法等）的状态信息；提供显示桌面功能，支持最小化当前所有窗口，在有活动窗口的情况下快速切换成只显示用户桌面；对已切换成只显示用户桌面的状态，可以快速切换回活动窗口状态；直观区分任务栏应用运行与未运行的状态；支持任务栏隐藏；支持任务栏位置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桌面工作区</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操作系统支持多工作区，支持应用跨工作区移动；可配置工作区数量；可通过快捷键切换工作区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系统退出</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操作系统退出界面应为模态或全屏界面，提供选择关机、重启、锁定、注销、休眠、待机等六种操作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79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窗口管理器</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对窗口的操作，如最小化、最大化、移动、改变大小、总是置顶或在最前端、关闭；提供窗口显示最小化、最大化和关闭按钮；提供窗口标题，显示窗口名称，并区别显示选中和未选中窗口；窗口可以在不同工作区中移动；提供窗口防呆功能，防止窗口完全移出桌面范围内；提供窗口切换功能，通过快捷键可在打开的窗口中按一定顺序进行快速切换；提供多任务视图功能，可以预览当前工作区内已打开的所有窗口；支持一键操作移开桌面所有窗口，显示桌面；提供多窗口分屏功能，支持屏幕分割显示各窗口，支持同时调整窗口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图形特效</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窗口显示支持模糊透明特效，当支持透明效果的窗口与其他窗口重叠时，前置窗口颜色能随背景窗口颜色的融合发生变化；提供窗口外观装饰效果设置，如边框、阴影、模糊、透明度、圆角等，且透明度可调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restart"/>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常用软件支持</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应用软件安全要求</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操作系统预装应用软件应进行签名认证，确保应用软件的安全性、稳定性、可靠性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压缩工具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压缩解压缩工具，支持zip、7z、tar、tar.7z、tar.bz2、tar.gz等压缩格式新建、打开、解压操作，以及对压缩文件中所含文件进行添加、删除、重命名等操作；支持解压rar格式文件；支持对压缩包进行加解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音频播放工具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操作系统提供音频播放工具，支持MP3、OGG、WAV等音频格式文件；支持播放本地音频文件；支持本地音乐文件搜索功能；支持播放控制，可设置播放模式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音频录制工具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操作系统提供音频录制工具，支持系统播放和传声器输入的音频录制为文件；支持录制音频过程中的录制、暂停、续录和停止等操作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视频播放工具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操作系统提供视频播放工具，支持MKV、OGG等封装格式的视频文件；支持播放本地视频文件；支持自动加载本地字幕；支持播放控制功能；提供软件解码与硬件编解码切换选项，如硬件支持编解码，应优先使用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视频录制工具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操作系统提供视频录制工具，支持通过摄像头等设备拍摄图片和录制音视频文件；拍摄照片时，支持设置构图网格、快门音效、多张连拍、延时拍摄、镜像拍摄和图像分辨率；录制音视频时，支持延时录制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光盘刻录管理工具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光盘刻录管理工具，支持CD-R、CD-RW、DVD-R、DVD-RW、DVD+R、DVD+RW格式的光盘；支持将光盘复制为镜像文件保存到另一张光盘；支持将光盘镜像文件刻录到光盘；支持ISO9660、UDF格式光盘挂载、读取；支持ISO9660格式光盘追加刻录；支持检查光盘数据完整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截图录屏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截图录屏工具，支持系统截图和录屏；支持延时捕捉屏幕图像设置；支持录制光标移动、鼠标点击、键盘操作痕迹、系统音频、传声器输入、摄像头画中画内容；支持多种截图区域，包括全屏、程序窗口和自选区域；支持多种保存选项，包括保存到系统默认文件夹、桌面、指定存储路径、剪贴板；系统截图支持保存为PNG、JPG、BMP等格式，录屏支持保存为GIF、MP4、MKV等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89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图像查看工具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图像查看工具，支持查看图像文件，支持PNG、JPEG、TIFF、GIF、BMP等图像格式；支持显示图像文件的基本信息，包括文件大小、图像格式、宽度和高度等；支持对图像文件的操作，包括放大、缩小、旋转、打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文件扫描工具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操作系统提供文件扫描工具，支持扫描文件类型设置，包括PNG、JPEG、TIFF、BMP、PDF等；支持扫描颜色设置，包括彩色、灰度；支持扫描分辨率、幅面设置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浏览器</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操作系统提供浏览器，支持HTML4、HTML5、ECMAScript、CSS等标准；支持符合国家密码管理要求的商用密码算法；支持国家电子认证根CA签发的符合相关要求的CA机构证书；支持符合GB/T38636—2020的TLCP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远程协助工具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操作系统提供远程协助工具，支持本地桌面被远程控制和对远程桌面的控制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文件共享</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操作系统提供文件共享工具，支持按用户身份进行读写权限设置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远程桌面支持</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操作系统提供支持SSH、SFTP的网络客户端工具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开发环境</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开发环境</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操作系统通过内置、软件仓库或附加光盘等方式提供如Qt、Eclipse、VSCode等集成开发环境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开发库</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操作系统通过内置、软件仓库或附加光盘等方式提供如GNUC、GNUC++、Java、Qt、Gtk+、Cairo、OpenGL、Perl、Python、Ruby、Rust、Golang、JS等开发库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编译开发工具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操作系统通过内置、软件仓库或附加光盘等方式提供如GCC、G++、Binutils、GDB、Make、CMake等语言编译器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文本编辑工具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操作系统通过内置、软件仓库或附加光盘等方式提供如Emacs、Vim等。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99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功能要求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开发支持</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开发文档</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操作系统应内置或通过官方网站、社区等提供中文开发文档，包括：软件开发参考文档；驱动开发参考文档；应用移植开发文档；API文档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运行环境兼容</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版本兼容</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基础运行库或开发环境向后（向下）兼容，即系统版本升级后，能兼容上一版本所运行的软件与设备；系统主版本兼容维护时间自发布之日起不低于5年，包括但不限于安全修复、功能升级、新硬件支持等；支持以增量升级包的方式实现版本更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文件系统层次结构</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供应商应给出长期兼容支持的文件系统层次结构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运行库</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供应商应给出长期兼容支持的运行库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命令</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供应商应给出长期兼容支持的常用命令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软件包</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软件包格式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操作系统是Linux内核的操作系统时，支持安装RPM与DEB格式的软件包，当系统默认不支持RPM或DEB格式的软件包时，提供工具对软件包格式进行转换，软件包格式转换不影响软件对环境依赖关系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软件包管理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图形化方式下载、安装和卸载软件包；显示已安装软件包的描述和包含的文件；支持安装时优先自动进行缺失依赖软件包的下载和安装；自动检测本地安装包，当发现安装包未经签名认证时自动告警；在连接软件仓库/应用商店时（含局域网、广域网）能自动搜索并下载依赖的软件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硬件兼容（</w:t>
            </w:r>
            <w:r>
              <w:rPr>
                <w:rFonts w:hint="eastAsia" w:ascii="宋体" w:hAnsi="宋体" w:eastAsia="宋体" w:cs="宋体"/>
                <w:snapToGrid w:val="0"/>
                <w:color w:val="000000"/>
                <w:spacing w:val="-5"/>
                <w:kern w:val="0"/>
                <w:position w:val="4"/>
                <w:sz w:val="24"/>
                <w:szCs w:val="24"/>
                <w:lang w:eastAsia="zh-CN"/>
              </w:rPr>
              <w:t>整机）</w:t>
            </w:r>
            <w:r>
              <w:rPr>
                <w:rFonts w:hint="eastAsia" w:ascii="宋体" w:hAnsi="宋体" w:eastAsia="宋体" w:cs="宋体"/>
                <w:snapToGrid w:val="0"/>
                <w:color w:val="000000"/>
                <w:spacing w:val="-5"/>
                <w:kern w:val="0"/>
                <w:position w:val="4"/>
                <w:sz w:val="24"/>
                <w:szCs w:val="24"/>
              </w:rPr>
              <w:t>机）</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★微型计算机兼容清单</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供应商提供兼容的台式微型计算机品牌及型号清单，且至少兼容一款产品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★便携式微型计算机兼容清单</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供应商提供兼容的便携式微型计算机品牌及型号清单，且至少兼容一款产品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restart"/>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硬件兼容（部件）</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固件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供应商提供兼容的固件品牌及型号清单，且至少兼容一款产品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109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显卡</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供应商提供兼容的显卡品牌及型号清单，且至少兼容一款产品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网卡</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供应商提供兼容的有线、无线网卡品牌及型号清单，且至少兼容一款产品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蓝牙</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供应商提供兼容的蓝牙设备品牌及型号清单，且至少兼容一款产品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显示设备</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供应商提供兼容的显示设备品牌及型号清单，且至少兼容一款产品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生物特征</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供应商提供兼容的生物识别设备（指纹、人脸）品牌及型号清单，且至少兼容一款产品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硬件兼容（外设）</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打印机</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供应商提供兼容的打印机品牌及型号清单，且至少兼容一款产品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扫描仪</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供应商提供兼容的扫描仪品牌及型号清单，且至少兼容一款产品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摄录设备</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供应商提供兼容的摄录设备品牌及型号清单，且至少兼容一款产品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存储设备</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供应商提供兼容USB2.0，3.0，3.1的U盘和移动硬盘品牌及型号清单，且至少兼容一款产品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主流蓝牙设备</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供应商提供兼容的蓝牙鼠标、键盘、音响等品牌及型号清单，且至少兼容一款产品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119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主流USB外设</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供应商提供兼容的USB设备，如USB鼠标、键盘、音响、网卡等品牌及型号清单，且至少兼容一款产品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★软件兼容（日常办公）</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办公软件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供应商提供兼容的办公软件品牌及版本清单，且至少兼容一款产品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版式软件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供应商提供兼容的版式软件品牌及版本清单，且至少兼容一款产品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签名软件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供应商提供兼容的电子签名、电子签章、云签章、key签署等签名软件的品牌及版本清单，且至少兼容一款产品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件兼容（安全防护）</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杀毒软件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供应商提供兼容的杀毒软件的品牌及版本清单，且至少兼容一款产品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身份鉴别系统</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供应商提供兼容的通过指纹、人脸识别、Ukey等方式对使用者身份进行验证的系统品牌及版本清单，且至少兼容一款产品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日志管理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供应商提供兼容的日志管理软件品牌及版本清单，且至少兼容一款产品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防火墙</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供应商提供兼容的网络防护、安全管理等软件的品牌及版本清单，且至少兼容一款产品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restart"/>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★软件兼容（网络应用）</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网络会议</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供应商提供兼容的网络会议软件的品牌及版本清单，且至少兼容一款产品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浏览器</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供应商提供兼容的浏览器的品牌及版本清单，且至少兼容一款产品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129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新闻信息</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供应商提供兼容的新闻信息类软件的品牌及版本清单，且至少兼容一款产品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社交软件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供应商提供兼容的社交软件的品牌及版本清单，且至少兼容一款产品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★软件兼容（多媒体）</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图形图像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供应商提供兼容的图像查看、图像编辑的品牌及版本清单，且至少兼容一款产品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媒体播放</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供应商提供兼容的媒体播放类软件品牌及版本清单，且至少兼容一款产品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兼容性要求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音乐电台</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供应商提供兼容的多媒体类软件品牌及版本清单，且至少兼容一款产品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易用性要求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便捷使用</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帮助提示</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操作系统提供内置系统和应用中文图文用户手册，包括使用说明、示例、常见故障处理等；对需要补充解释的部分，以合适方式提供中文提示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易用性要求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快捷键</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操作系统支持以下快捷键：&lt;Super&gt;开始选单&lt;Alt&gt;+&lt;Tab&gt;遍历窗口&lt;Shift&gt;+&lt;Alt&gt;+&lt;Tab&gt;反向遍历窗口&lt;Alt&gt;+&lt;F4&gt;关闭当前窗口&lt;Ctrl&gt;+&lt;A&gt;全选&lt;Ctrl&gt;+&lt;X&gt;剪切&lt;Ctrl&gt;+&lt;C&gt;复制&lt;Ctrl&gt;+&lt;V&gt;粘贴&lt;Ctrl&gt;+&lt;Space&gt;开启/关闭输入法&lt;Ctrl&gt;+&lt;Shift&gt;切换输入法&lt;Super&gt;+&lt;L&gt;桌面锁定&lt;Super&gt;+&lt;D&gt;显示桌面&lt;Super&gt;+&lt;E&gt;打开文件管理器&lt;Ctrl&gt;+&lt;Alt&gt;+&lt;Delete&gt;退出界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易用性要求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语音助手</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语音助手工具支持开启关闭系统应用，如应用商店、音视频播放、记事本、计算器等；支持显示控制，如调高调低屏幕亮度、开启关闭投影仪等；支持网络控制，如开启关闭无线局域网、开启关闭蓝牙等；支持语音播报，以语音方式播报当前窗口所显示的文字内容；支持语音听写，使用语音方式通过输入设备，以文字内容显示在当前可编辑窗口；支持语音翻译，支持语音方式通过输入设备，将内容进行中英文互译；支持音乐播放控制，如上一首、下一首、快进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可靠性要求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系统稳定性</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★操作系统连续运行72小时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操作系统在CPU占用大于等于80%，或内存占用大于等于80%压力情况下，连续运行72小时无故障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可靠性要求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检查修复</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系统修复</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操作系统提供文件系统检查与修复功能，能自动修复文件系统错误或以显式方式提示用户进行手动文件系统修复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139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可靠性要求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备份恢复</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备份还原</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操作系统提供备份还原功能：支持系统的备份和还原；支持全盘备份到外部存储设备；支持还原到指定备份点；支持保留用户数据的系统还原；支持系统无法正常进入状态时，可对系统进行还原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可维护性要求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系统维护</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日志管理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操作系统提供日志管理工具：支持图形化显示；支持对系统日志信息的显示和刷新；支持对日志文件的查找和导出；支持对特定时间段内的日志进行筛选；支持系统日志定期清除功能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可维护性要求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系统升级</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系统增量升级功能，对系统部件、安全补丁等升级；支持在线升级和离线升级；升级不得修改破坏用户数据；升级不得影响原有软硬件兼容性；提供升级回退机制，能卸载已升级的软件包，恢复系统原有状态；如升级为不可回退，则系统升级前以显式的提示告知用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交付方式</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交付方式</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操作系统支持光盘、USB闪存盘、镜像文件（下载）等交付方式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产品维护服务周期</w:t>
            </w: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产品维护周期</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产品自发布之日起至产品停止功能升级（包含不限于新特性、新硬件支持、问题修复、安全补丁等）之日止≥5年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产品延伸服务周期</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产品停止功能升级之日起至产品停止功能维护（包括问题修复、安全补丁等）之日止≥4年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★产品延伸安全服务周期</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产品功能维护停止之日起至产品停止安全维护（包括中高风险漏洞修复）之日止≥2年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产品售后服务周期</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≥6年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售后服务</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原厂服务</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服务由操作系统厂商的正式员工提供，不由代理商提供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服务热线电话</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操作系统厂商为最终用户提供工作日每日不少于8h（应覆盖一般工作时间，具体时间由企业标准给出）中文技术服务热线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149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技术服务标准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操作系统厂商提供工作日每日不少于8h技术支持服务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定制优化增值服务</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操作系统厂商提供代码级定制优化服务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技术服务时效</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操作系统厂商满足同城4h、异地12h响应要求，两个工作日解决问题，对于未能解决的问题和故障提供可行的升级方案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技术服务保障</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发生非人为因素故障，在七日内由操作系统厂商原厂人员免费对产品进行补充或更换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restart"/>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交付与安装调试</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现场服务</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单次采购500套及以上时提供原厂团队驻场服务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Merge w:val="continue"/>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配套资料</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操作系统厂商交付产品时提供配套的技术资料，包括但不限于系统说明文件、用户手册（用户安装、操作、维护、故障排除）等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系统更换</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系统更换</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服务期内，操作系统厂商支持版本免费更换（注：更换后不延长服务期）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服务要求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厂商能力要求</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服务团队</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操作系统厂商建立全国技术服务体系和服务团队，为客户提供专业的原厂中文服务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供应保障要求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数据上行安全保障</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数据收集安全保障</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除用户授权采集的信息外不采集其他数据，相关信息采集无安全风险，相关数据存储在大陆境内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供应保障要求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数据下行安全保障</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数据供给安全保障</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数据供给安全保障：涉及数据下载的线上服务物理服务器不出境，包括代码仓库、系统补丁、安全补丁、服务网站等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159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供应保障要求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代码无风险</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代码无风险</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操作系统厂商可提供源代码，源代码可供第三方机构审查，开源许可合规，代码知识产权无风险，无恶意安全漏洞或后门，代码可追溯、可重构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基本要求</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基本要求</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操作系统应当符合安全可靠测评要求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密码算法支持</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密码算法实现</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操作系统支持GM/T0002、GM/T0003和GM/T0004规定的密码算法运算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随机数生成</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随机数质量符合GM/T0005《随机性检测规范》或GB/T32915《信息安全技术二元序列随机性检测方法》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内置数字证书</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操作系统内置国家电子认证根CA的根证书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密码协议实现</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操作系统支持符合GB/T38636—2020的TLCP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165</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安全管理工具</w:t>
            </w: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安全管理工具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操作系统提供安全管理工具，包括帐户安全、网络防护、病毒防护、应用程序执行控制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166</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身份鉴别</w:t>
            </w: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生物特征识别管理</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操作系统支持两种及以上的生物特征类型鉴别，如指纹、人脸；支持使用生物特征进行命令行、图形化提权操作的身份鉴别；支持使用生物特征进行系统登录操作的身份鉴别；支持用户管理自己的生物特征信息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167</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身份鉴别服务</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用户标识使用帐户名和帐户ID，在操作系统的整个生存周期内帐户标识具有唯一性；支持配置帐户口令复杂度校验及强口令管理；支持帐户口令有效期配置；支持口令鉴别失败控制；支持口令加密算法配置，帐户口令进行加密后以不可逆的密文形式保存；支持禁止根帐户(root)远程登录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168</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访问控制</w:t>
            </w: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自主访问控制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允许客体拥有者以普通帐户决定并控制对客体的访问，并阻止非授权帐户对客体的访问普通用户缺省拥有新建、读写和删除私有目录下文件的权限；支持细粒度的自主访问控制，将访问控制的粒度控制在指定帐户，对系统中的每一个客体，实现由客体拥有者以指定帐户方式确定其对该客体的访问权限，而其他同组帐户或非同组的帐户和用户组对该客体的访问权则由客体拥有者授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169</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continue"/>
            <w:tcBorders>
              <w:top w:val="nil"/>
              <w:bottom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强制访问控制</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操作系统支持对应用程序的访问控制与资源限制，包括对文件、网络等客体的访问控制；支持应用安装控制、应用执行控制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170</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安全审计</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能对身份鉴别的使用、自主访问控制、标记和强制访问控制策略的修改等生成审计日志；审计记录包括事件类型、事件发生的日期、触发事件的帐户、事件成功或失败等字段；支持审计日志查询和导出功能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171</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restart"/>
            <w:tcBorders>
              <w:bottom w:val="nil"/>
            </w:tcBorders>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防火墙工具</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基本要求</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操作系统支持开启或关闭防火墙；支持添加防火墙规则，至少包括名称、协议、地址和端口；提供不同场景下的缺省防火墙配置，如公共、专用和自定义；支持不同的访问策略，包括允许、拒绝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172</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Merge w:val="continue"/>
            <w:tcBorders>
              <w:top w:val="nil"/>
            </w:tcBorders>
            <w:vAlign w:val="center"/>
          </w:tcPr>
          <w:p>
            <w:pPr>
              <w:autoSpaceDE w:val="0"/>
              <w:autoSpaceDN w:val="0"/>
              <w:ind w:firstLine="230"/>
              <w:jc w:val="left"/>
              <w:rPr>
                <w:rFonts w:ascii="宋体" w:hAnsi="宋体" w:cs="宋体" w:eastAsiaTheme="minorEastAsia"/>
                <w:snapToGrid w:val="0"/>
                <w:color w:val="000000"/>
                <w:spacing w:val="-5"/>
                <w:kern w:val="0"/>
                <w:position w:val="4"/>
                <w:sz w:val="24"/>
                <w:lang w:eastAsia="en-US"/>
              </w:rPr>
            </w:pP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rPr>
              <w:t>扩展要求</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提供一键关闭远程访问功能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173</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rPr>
            </w:pPr>
            <w:r>
              <w:rPr>
                <w:rFonts w:hint="eastAsia" w:ascii="宋体" w:hAnsi="宋体" w:eastAsia="宋体" w:cs="宋体"/>
                <w:spacing w:val="-5"/>
                <w:position w:val="4"/>
                <w:sz w:val="24"/>
                <w:szCs w:val="24"/>
              </w:rPr>
              <w:t>安全要求</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漏洞管理</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napToGrid w:val="0"/>
                <w:color w:val="000000"/>
                <w:spacing w:val="-5"/>
                <w:kern w:val="0"/>
                <w:position w:val="4"/>
                <w:sz w:val="24"/>
                <w:szCs w:val="24"/>
              </w:rPr>
              <w:t>漏洞编号</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支持漏洞编号，每个漏洞独立编号，可直接使用NVDB、CNVD或CVE编号；漏洞提醒，发现或获悉漏洞信息时，通过系统推送、电子邮件或官方网站等方式通知用户；漏洞修复，对已发现的安全漏洞通过补丁等方式对系统漏洞进行修复；漏洞列表，提供每个版本已修复的漏洞列表，并提供命令或网页等方式方便用户查询漏洞及其修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48"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pacing w:val="-5"/>
                <w:position w:val="4"/>
                <w:sz w:val="24"/>
                <w:szCs w:val="24"/>
                <w:lang w:eastAsia="zh-CN"/>
              </w:rPr>
            </w:pPr>
            <w:r>
              <w:rPr>
                <w:rFonts w:hint="eastAsia" w:ascii="宋体" w:hAnsi="宋体" w:eastAsia="宋体" w:cs="宋体"/>
                <w:spacing w:val="-5"/>
                <w:position w:val="4"/>
                <w:sz w:val="24"/>
                <w:szCs w:val="24"/>
                <w:lang w:eastAsia="zh-CN"/>
              </w:rPr>
              <w:t>174</w:t>
            </w:r>
          </w:p>
        </w:tc>
        <w:tc>
          <w:tcPr>
            <w:tcW w:w="1190" w:type="dxa"/>
            <w:vAlign w:val="center"/>
          </w:tcPr>
          <w:p>
            <w:pPr>
              <w:pStyle w:val="256"/>
              <w:widowControl/>
              <w:kinsoku w:val="0"/>
              <w:autoSpaceDE w:val="0"/>
              <w:autoSpaceDN w:val="0"/>
              <w:adjustRightInd w:val="0"/>
              <w:snapToGrid w:val="0"/>
              <w:ind w:firstLine="230"/>
              <w:jc w:val="center"/>
              <w:textAlignment w:val="baseline"/>
              <w:rPr>
                <w:rFonts w:ascii="宋体" w:hAnsi="宋体" w:eastAsia="宋体" w:cs="宋体"/>
                <w:spacing w:val="-5"/>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w:t>
            </w:r>
            <w:r>
              <w:rPr>
                <w:rFonts w:hint="eastAsia" w:ascii="宋体" w:hAnsi="宋体" w:eastAsia="宋体" w:cs="宋体"/>
                <w:spacing w:val="-5"/>
                <w:position w:val="4"/>
                <w:sz w:val="24"/>
                <w:szCs w:val="24"/>
                <w:lang w:eastAsia="zh-CN"/>
              </w:rPr>
              <w:t>AI能力</w:t>
            </w:r>
          </w:p>
        </w:tc>
        <w:tc>
          <w:tcPr>
            <w:tcW w:w="1200"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★AI应用</w:t>
            </w:r>
          </w:p>
        </w:tc>
        <w:tc>
          <w:tcPr>
            <w:tcW w:w="1701" w:type="dxa"/>
            <w:vAlign w:val="center"/>
          </w:tcPr>
          <w:p>
            <w:pPr>
              <w:pStyle w:val="256"/>
              <w:widowControl/>
              <w:kinsoku w:val="0"/>
              <w:autoSpaceDE w:val="0"/>
              <w:autoSpaceDN w:val="0"/>
              <w:adjustRightInd w:val="0"/>
              <w:snapToGrid w:val="0"/>
              <w:ind w:firstLine="230"/>
              <w:jc w:val="left"/>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★内置AI助手</w:t>
            </w:r>
          </w:p>
        </w:tc>
        <w:tc>
          <w:tcPr>
            <w:tcW w:w="4045" w:type="dxa"/>
            <w:vAlign w:val="center"/>
          </w:tcPr>
          <w:p>
            <w:pPr>
              <w:pStyle w:val="256"/>
              <w:widowControl/>
              <w:kinsoku w:val="0"/>
              <w:autoSpaceDE w:val="0"/>
              <w:autoSpaceDN w:val="0"/>
              <w:adjustRightInd w:val="0"/>
              <w:snapToGrid w:val="0"/>
              <w:ind w:firstLine="230"/>
              <w:textAlignment w:val="baseline"/>
              <w:rPr>
                <w:rFonts w:ascii="宋体" w:hAnsi="宋体" w:eastAsia="宋体" w:cs="宋体"/>
                <w:snapToGrid w:val="0"/>
                <w:color w:val="000000"/>
                <w:spacing w:val="-5"/>
                <w:kern w:val="0"/>
                <w:position w:val="4"/>
                <w:sz w:val="24"/>
                <w:szCs w:val="24"/>
                <w:lang w:eastAsia="zh-CN"/>
              </w:rPr>
            </w:pPr>
            <w:r>
              <w:rPr>
                <w:rFonts w:hint="eastAsia" w:ascii="宋体" w:hAnsi="宋体" w:eastAsia="宋体" w:cs="宋体"/>
                <w:snapToGrid w:val="0"/>
                <w:color w:val="000000"/>
                <w:spacing w:val="-5"/>
                <w:kern w:val="0"/>
                <w:position w:val="4"/>
                <w:sz w:val="24"/>
                <w:szCs w:val="24"/>
                <w:lang w:eastAsia="zh-CN"/>
              </w:rPr>
              <w:t>操作系统内置AI助手，支持接入在线模型、本地模型、私有化部署模型，兼容DeepSeek、百度、讯飞星火、360、智谱等主流大模型，AI助手所提供生成式人工智能服务和算法符合相关国家政策规定，通过网信部门、国家互联网信息办公室登记备案。</w:t>
            </w:r>
          </w:p>
        </w:tc>
      </w:tr>
    </w:tbl>
    <w:p>
      <w:pPr>
        <w:ind w:firstLine="482" w:firstLineChars="200"/>
        <w:rPr>
          <w:b/>
          <w:sz w:val="24"/>
        </w:rPr>
      </w:pPr>
    </w:p>
    <w:p>
      <w:pPr>
        <w:ind w:firstLine="482" w:firstLineChars="200"/>
        <w:rPr>
          <w:rFonts w:ascii="宋体" w:hAnsi="宋体" w:cs="宋体"/>
          <w:b/>
          <w:sz w:val="24"/>
        </w:rPr>
      </w:pPr>
      <w:r>
        <w:rPr>
          <w:rFonts w:hint="eastAsia"/>
          <w:b/>
          <w:sz w:val="24"/>
        </w:rPr>
        <w:t>注：供应商须出具所提供操作系统满足采购文件要求承诺函（格式附后）。</w:t>
      </w:r>
    </w:p>
    <w:p>
      <w:pPr>
        <w:widowControl/>
        <w:jc w:val="left"/>
        <w:rPr>
          <w:rFonts w:ascii="宋体" w:hAnsi="宋体" w:cs="宋体"/>
          <w:b/>
          <w:sz w:val="24"/>
        </w:rPr>
      </w:pPr>
      <w:r>
        <w:rPr>
          <w:rFonts w:hint="eastAsia" w:ascii="宋体" w:hAnsi="宋体" w:cs="宋体"/>
          <w:b/>
          <w:sz w:val="24"/>
        </w:rPr>
        <w:br w:type="page"/>
      </w:r>
    </w:p>
    <w:p>
      <w:pPr>
        <w:rPr>
          <w:rFonts w:ascii="宋体" w:hAnsi="宋体" w:cs="宋体"/>
          <w:b/>
          <w:sz w:val="24"/>
        </w:rPr>
      </w:pPr>
      <w:r>
        <w:rPr>
          <w:rFonts w:hint="eastAsia" w:ascii="宋体" w:hAnsi="宋体" w:cs="宋体"/>
          <w:b/>
          <w:sz w:val="24"/>
        </w:rPr>
        <w:t>2.4办公软件</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7"/>
        <w:gridCol w:w="1008"/>
        <w:gridCol w:w="6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pPr>
              <w:jc w:val="center"/>
              <w:rPr>
                <w:rFonts w:ascii="黑体" w:hAnsi="黑体" w:eastAsia="黑体" w:cs="宋体"/>
                <w:sz w:val="24"/>
              </w:rPr>
            </w:pPr>
            <w:r>
              <w:rPr>
                <w:rFonts w:hint="eastAsia" w:ascii="黑体" w:hAnsi="黑体" w:eastAsia="黑体" w:cs="宋体"/>
                <w:sz w:val="24"/>
              </w:rPr>
              <w:t>序号</w:t>
            </w:r>
          </w:p>
        </w:tc>
        <w:tc>
          <w:tcPr>
            <w:tcW w:w="1008" w:type="dxa"/>
            <w:vAlign w:val="center"/>
          </w:tcPr>
          <w:p>
            <w:pPr>
              <w:jc w:val="center"/>
              <w:rPr>
                <w:rFonts w:ascii="黑体" w:hAnsi="黑体" w:eastAsia="黑体" w:cs="宋体"/>
                <w:sz w:val="24"/>
              </w:rPr>
            </w:pPr>
            <w:r>
              <w:rPr>
                <w:rFonts w:hint="eastAsia" w:ascii="黑体" w:hAnsi="黑体" w:eastAsia="黑体" w:cs="宋体"/>
                <w:sz w:val="24"/>
              </w:rPr>
              <w:t>指标</w:t>
            </w:r>
          </w:p>
          <w:p>
            <w:pPr>
              <w:jc w:val="center"/>
              <w:rPr>
                <w:rFonts w:ascii="黑体" w:hAnsi="黑体" w:eastAsia="黑体" w:cs="宋体"/>
                <w:sz w:val="24"/>
              </w:rPr>
            </w:pPr>
            <w:r>
              <w:rPr>
                <w:rFonts w:hint="eastAsia" w:ascii="黑体" w:hAnsi="黑体" w:eastAsia="黑体" w:cs="宋体"/>
                <w:sz w:val="24"/>
              </w:rPr>
              <w:t>名称</w:t>
            </w:r>
          </w:p>
        </w:tc>
        <w:tc>
          <w:tcPr>
            <w:tcW w:w="6741" w:type="dxa"/>
            <w:vAlign w:val="center"/>
          </w:tcPr>
          <w:p>
            <w:pPr>
              <w:jc w:val="center"/>
              <w:rPr>
                <w:rFonts w:ascii="黑体" w:hAnsi="黑体" w:eastAsia="黑体" w:cs="宋体"/>
                <w:sz w:val="24"/>
              </w:rPr>
            </w:pPr>
            <w:r>
              <w:rPr>
                <w:rFonts w:hint="eastAsia" w:ascii="黑体" w:hAnsi="黑体" w:eastAsia="黑体" w:cs="宋体"/>
                <w:sz w:val="24"/>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cs="宋体"/>
                <w:sz w:val="24"/>
              </w:rPr>
            </w:pPr>
            <w:r>
              <w:rPr>
                <w:rFonts w:hint="eastAsia" w:ascii="宋体" w:hAnsi="宋体" w:cs="宋体"/>
                <w:sz w:val="24"/>
              </w:rPr>
              <w:t>1</w:t>
            </w:r>
          </w:p>
        </w:tc>
        <w:tc>
          <w:tcPr>
            <w:tcW w:w="1008" w:type="dxa"/>
            <w:vAlign w:val="center"/>
          </w:tcPr>
          <w:p>
            <w:pPr>
              <w:widowControl/>
              <w:jc w:val="left"/>
              <w:textAlignment w:val="center"/>
              <w:rPr>
                <w:rFonts w:ascii="宋体" w:hAnsi="宋体" w:cs="宋体"/>
                <w:sz w:val="24"/>
              </w:rPr>
            </w:pPr>
            <w:r>
              <w:rPr>
                <w:rFonts w:hint="eastAsia" w:ascii="宋体" w:hAnsi="宋体" w:cs="宋体"/>
                <w:sz w:val="24"/>
              </w:rPr>
              <w:t>整体基础性能</w:t>
            </w:r>
          </w:p>
          <w:p>
            <w:pPr>
              <w:jc w:val="center"/>
              <w:rPr>
                <w:rFonts w:ascii="宋体" w:hAnsi="宋体" w:cs="宋体"/>
                <w:sz w:val="24"/>
              </w:rPr>
            </w:pPr>
          </w:p>
        </w:tc>
        <w:tc>
          <w:tcPr>
            <w:tcW w:w="6741" w:type="dxa"/>
          </w:tcPr>
          <w:p>
            <w:pPr>
              <w:rPr>
                <w:rFonts w:ascii="宋体" w:hAnsi="宋体" w:cs="宋体"/>
                <w:sz w:val="24"/>
              </w:rPr>
            </w:pPr>
            <w:r>
              <w:rPr>
                <w:rFonts w:hint="eastAsia" w:ascii="宋体" w:hAnsi="宋体" w:cs="宋体"/>
                <w:sz w:val="24"/>
              </w:rPr>
              <w:t>1.须提供延庆区第三小学正版化场地授权。</w:t>
            </w:r>
          </w:p>
          <w:p>
            <w:pPr>
              <w:rPr>
                <w:rFonts w:ascii="宋体" w:hAnsi="宋体" w:cs="宋体"/>
                <w:sz w:val="24"/>
              </w:rPr>
            </w:pPr>
            <w:r>
              <w:rPr>
                <w:rFonts w:hint="eastAsia" w:ascii="宋体" w:hAnsi="宋体" w:cs="宋体"/>
                <w:sz w:val="24"/>
              </w:rPr>
              <w:t>2.提供运行在国产操作系统上运行的办公软件产品，包含文字处理、表格计算、幻灯片演示三个组件。</w:t>
            </w:r>
          </w:p>
          <w:p>
            <w:pPr>
              <w:jc w:val="left"/>
              <w:rPr>
                <w:rFonts w:ascii="宋体" w:hAnsi="宋体" w:cs="宋体"/>
                <w:sz w:val="24"/>
              </w:rPr>
            </w:pPr>
            <w:r>
              <w:rPr>
                <w:rFonts w:hint="eastAsia" w:ascii="宋体" w:hAnsi="宋体" w:cs="宋体"/>
                <w:sz w:val="24"/>
              </w:rPr>
              <w:t>3.格式要求：所投办公软件能生成.doc/.docx/dot/wps/xls/xlxs/xlt/et/ppt/pptx/pps/dps等文件格式。</w:t>
            </w:r>
            <w:r>
              <w:rPr>
                <w:rFonts w:hint="eastAsia" w:ascii="宋体" w:hAnsi="宋体" w:cs="宋体"/>
                <w:b/>
                <w:sz w:val="24"/>
              </w:rPr>
              <w:t>（</w:t>
            </w:r>
            <w:r>
              <w:rPr>
                <w:rFonts w:ascii="宋体" w:hAnsi="宋体" w:cs="宋体"/>
                <w:b/>
                <w:sz w:val="24"/>
              </w:rPr>
              <w:t>提供官网截图或产品样本或技术白皮书或检测报告复印件</w:t>
            </w:r>
            <w:r>
              <w:rPr>
                <w:rFonts w:hint="eastAsia" w:ascii="宋体" w:hAnsi="宋体" w:cs="宋体"/>
                <w:b/>
                <w:sz w:val="24"/>
              </w:rPr>
              <w:t>）</w:t>
            </w:r>
          </w:p>
          <w:p>
            <w:pPr>
              <w:rPr>
                <w:rFonts w:ascii="宋体" w:hAnsi="宋体" w:cs="宋体"/>
                <w:sz w:val="24"/>
              </w:rPr>
            </w:pPr>
            <w:r>
              <w:rPr>
                <w:rFonts w:hint="eastAsia" w:ascii="宋体" w:hAnsi="宋体" w:cs="宋体"/>
                <w:sz w:val="24"/>
              </w:rPr>
              <w:t>4.支持窗口多组件/整合模式，支持进行单窗口多标签的拆分与组合，在多窗口模式下支持在系统任务栏显示多个窗口。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cs="宋体"/>
                <w:sz w:val="24"/>
              </w:rPr>
            </w:pPr>
            <w:r>
              <w:rPr>
                <w:rFonts w:hint="eastAsia" w:ascii="宋体" w:hAnsi="宋体" w:cs="宋体"/>
                <w:sz w:val="24"/>
              </w:rPr>
              <w:t>2</w:t>
            </w:r>
          </w:p>
        </w:tc>
        <w:tc>
          <w:tcPr>
            <w:tcW w:w="1008" w:type="dxa"/>
            <w:vAlign w:val="center"/>
          </w:tcPr>
          <w:p>
            <w:pPr>
              <w:widowControl/>
              <w:jc w:val="left"/>
              <w:textAlignment w:val="center"/>
              <w:rPr>
                <w:rFonts w:ascii="宋体" w:hAnsi="宋体" w:cs="宋体"/>
                <w:sz w:val="24"/>
              </w:rPr>
            </w:pPr>
            <w:r>
              <w:rPr>
                <w:rFonts w:hint="eastAsia" w:ascii="宋体" w:hAnsi="宋体" w:cs="宋体"/>
                <w:sz w:val="24"/>
              </w:rPr>
              <w:t>文字模块指标</w:t>
            </w:r>
          </w:p>
          <w:p>
            <w:pPr>
              <w:jc w:val="center"/>
              <w:rPr>
                <w:rFonts w:ascii="宋体" w:hAnsi="宋体" w:cs="宋体"/>
                <w:sz w:val="24"/>
              </w:rPr>
            </w:pPr>
          </w:p>
        </w:tc>
        <w:tc>
          <w:tcPr>
            <w:tcW w:w="6741" w:type="dxa"/>
          </w:tcPr>
          <w:p>
            <w:pPr>
              <w:rPr>
                <w:rFonts w:ascii="宋体" w:hAnsi="宋体" w:cs="宋体"/>
                <w:sz w:val="24"/>
              </w:rPr>
            </w:pPr>
            <w:r>
              <w:rPr>
                <w:rFonts w:hint="eastAsia" w:ascii="宋体" w:hAnsi="宋体" w:cs="宋体"/>
                <w:sz w:val="24"/>
              </w:rPr>
              <w:t>1.提供段落布局工具，通过拖动方式直观调整悬挂缩进、段落间距等格式。</w:t>
            </w:r>
          </w:p>
          <w:p>
            <w:pPr>
              <w:rPr>
                <w:rFonts w:ascii="宋体" w:hAnsi="宋体" w:cs="宋体"/>
                <w:sz w:val="24"/>
              </w:rPr>
            </w:pPr>
            <w:r>
              <w:rPr>
                <w:rFonts w:hint="eastAsia" w:ascii="宋体" w:hAnsi="宋体" w:cs="宋体"/>
                <w:sz w:val="24"/>
              </w:rPr>
              <w:t>2.智能目录导航，自动识别文档结构，实时调整文档目录；标题格式不用调整样式，也可智能自动生成目录。</w:t>
            </w:r>
          </w:p>
          <w:p>
            <w:pPr>
              <w:rPr>
                <w:rFonts w:ascii="宋体" w:hAnsi="宋体" w:cs="宋体"/>
                <w:b/>
                <w:sz w:val="24"/>
              </w:rPr>
            </w:pPr>
            <w:r>
              <w:rPr>
                <w:rFonts w:hint="eastAsia" w:ascii="宋体" w:hAnsi="宋体" w:cs="宋体"/>
                <w:b/>
                <w:sz w:val="24"/>
              </w:rPr>
              <w:t>（</w:t>
            </w:r>
            <w:r>
              <w:rPr>
                <w:rFonts w:ascii="宋体" w:hAnsi="宋体" w:cs="宋体"/>
                <w:b/>
                <w:sz w:val="24"/>
              </w:rPr>
              <w:t>提供官网截图或产品样本或技术白皮书或检测报告复印件</w:t>
            </w:r>
            <w:r>
              <w:rPr>
                <w:rFonts w:hint="eastAsia" w:ascii="宋体" w:hAnsi="宋体"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cs="宋体"/>
                <w:sz w:val="24"/>
              </w:rPr>
            </w:pPr>
            <w:r>
              <w:rPr>
                <w:rFonts w:hint="eastAsia" w:ascii="宋体" w:hAnsi="宋体" w:cs="宋体"/>
                <w:sz w:val="24"/>
              </w:rPr>
              <w:t>3</w:t>
            </w:r>
          </w:p>
        </w:tc>
        <w:tc>
          <w:tcPr>
            <w:tcW w:w="1008" w:type="dxa"/>
            <w:vAlign w:val="center"/>
          </w:tcPr>
          <w:p>
            <w:pPr>
              <w:widowControl/>
              <w:jc w:val="left"/>
              <w:textAlignment w:val="center"/>
              <w:rPr>
                <w:rFonts w:ascii="宋体" w:hAnsi="宋体" w:cs="宋体"/>
                <w:sz w:val="24"/>
              </w:rPr>
            </w:pPr>
            <w:r>
              <w:rPr>
                <w:rFonts w:hint="eastAsia" w:ascii="宋体" w:hAnsi="宋体" w:cs="宋体"/>
                <w:sz w:val="24"/>
              </w:rPr>
              <w:t>表格模块指标</w:t>
            </w:r>
          </w:p>
          <w:p>
            <w:pPr>
              <w:jc w:val="center"/>
              <w:rPr>
                <w:rFonts w:ascii="宋体" w:hAnsi="宋体" w:cs="宋体"/>
                <w:sz w:val="24"/>
              </w:rPr>
            </w:pPr>
          </w:p>
        </w:tc>
        <w:tc>
          <w:tcPr>
            <w:tcW w:w="6741" w:type="dxa"/>
          </w:tcPr>
          <w:p>
            <w:pPr>
              <w:rPr>
                <w:rFonts w:ascii="宋体" w:hAnsi="宋体" w:cs="宋体"/>
                <w:sz w:val="24"/>
              </w:rPr>
            </w:pPr>
            <w:r>
              <w:rPr>
                <w:rFonts w:hint="eastAsia" w:ascii="宋体" w:hAnsi="宋体" w:cs="宋体"/>
                <w:sz w:val="24"/>
              </w:rPr>
              <w:t>1.支持在表格中一键插入求和、计数、平均值等常用公式。支持多列数据合并操作。支持单元格数据的循环引用。</w:t>
            </w:r>
          </w:p>
          <w:p>
            <w:pPr>
              <w:rPr>
                <w:rFonts w:ascii="宋体" w:hAnsi="宋体" w:cs="宋体"/>
                <w:sz w:val="24"/>
              </w:rPr>
            </w:pPr>
            <w:r>
              <w:rPr>
                <w:rFonts w:hint="eastAsia" w:ascii="宋体" w:hAnsi="宋体" w:cs="宋体"/>
                <w:sz w:val="24"/>
              </w:rPr>
              <w:t>2.支持表格的快速合并选择，支持教师用户一键选择合并居中、合并单元格、合并相同单元格、合并内容、取消合并单元格、拆分并填充内容。</w:t>
            </w:r>
            <w:r>
              <w:rPr>
                <w:rFonts w:hint="eastAsia" w:ascii="宋体" w:hAnsi="宋体" w:cs="宋体"/>
                <w:b/>
                <w:sz w:val="24"/>
              </w:rPr>
              <w:t>（</w:t>
            </w:r>
            <w:r>
              <w:rPr>
                <w:rFonts w:ascii="宋体" w:hAnsi="宋体" w:cs="宋体"/>
                <w:b/>
                <w:sz w:val="24"/>
              </w:rPr>
              <w:t>提供官网截图或产品样本或技术白皮书或检测报告复印件</w:t>
            </w:r>
            <w:r>
              <w:rPr>
                <w:rFonts w:hint="eastAsia" w:ascii="宋体" w:hAnsi="宋体"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cs="宋体"/>
                <w:sz w:val="24"/>
              </w:rPr>
            </w:pPr>
            <w:r>
              <w:rPr>
                <w:rFonts w:hint="eastAsia" w:ascii="宋体" w:hAnsi="宋体" w:cs="宋体"/>
                <w:sz w:val="24"/>
              </w:rPr>
              <w:t>4</w:t>
            </w:r>
          </w:p>
        </w:tc>
        <w:tc>
          <w:tcPr>
            <w:tcW w:w="1008" w:type="dxa"/>
            <w:vAlign w:val="center"/>
          </w:tcPr>
          <w:p>
            <w:pPr>
              <w:widowControl/>
              <w:jc w:val="left"/>
              <w:textAlignment w:val="center"/>
              <w:rPr>
                <w:rFonts w:ascii="宋体" w:hAnsi="宋体" w:cs="宋体"/>
                <w:sz w:val="24"/>
              </w:rPr>
            </w:pPr>
            <w:r>
              <w:rPr>
                <w:rFonts w:hint="eastAsia" w:ascii="宋体" w:hAnsi="宋体" w:cs="宋体"/>
                <w:sz w:val="24"/>
              </w:rPr>
              <w:t>演示模块指标</w:t>
            </w:r>
          </w:p>
          <w:p>
            <w:pPr>
              <w:jc w:val="center"/>
              <w:rPr>
                <w:rFonts w:ascii="宋体" w:hAnsi="宋体" w:cs="宋体"/>
                <w:sz w:val="24"/>
              </w:rPr>
            </w:pPr>
          </w:p>
        </w:tc>
        <w:tc>
          <w:tcPr>
            <w:tcW w:w="6741" w:type="dxa"/>
          </w:tcPr>
          <w:p>
            <w:pPr>
              <w:rPr>
                <w:rFonts w:ascii="宋体" w:hAnsi="宋体" w:cs="宋体"/>
                <w:sz w:val="24"/>
              </w:rPr>
            </w:pPr>
            <w:r>
              <w:rPr>
                <w:rFonts w:hint="eastAsia" w:ascii="宋体" w:hAnsi="宋体" w:cs="宋体"/>
                <w:sz w:val="24"/>
              </w:rPr>
              <w:t>1.支持双击幻灯片页启动播放的功能。</w:t>
            </w:r>
          </w:p>
          <w:p>
            <w:pPr>
              <w:rPr>
                <w:rFonts w:ascii="宋体" w:hAnsi="宋体" w:cs="宋体"/>
                <w:sz w:val="24"/>
              </w:rPr>
            </w:pPr>
            <w:r>
              <w:rPr>
                <w:rFonts w:hint="eastAsia" w:ascii="宋体" w:hAnsi="宋体" w:cs="宋体"/>
                <w:sz w:val="24"/>
              </w:rPr>
              <w:t>2.支持手机移动OFFICE客户端进行控制PC端OFFICE放映的演示文档，实现把手机变成遥控器，便于演讲人能随时切换演示文档。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cs="宋体"/>
                <w:sz w:val="24"/>
              </w:rPr>
            </w:pPr>
            <w:r>
              <w:rPr>
                <w:rFonts w:hint="eastAsia" w:ascii="宋体" w:hAnsi="宋体" w:cs="宋体"/>
                <w:sz w:val="24"/>
              </w:rPr>
              <w:t>5</w:t>
            </w:r>
          </w:p>
        </w:tc>
        <w:tc>
          <w:tcPr>
            <w:tcW w:w="1008" w:type="dxa"/>
            <w:vAlign w:val="center"/>
          </w:tcPr>
          <w:p>
            <w:pPr>
              <w:widowControl/>
              <w:jc w:val="left"/>
              <w:textAlignment w:val="center"/>
              <w:rPr>
                <w:rFonts w:ascii="宋体" w:hAnsi="宋体" w:cs="宋体"/>
                <w:sz w:val="24"/>
              </w:rPr>
            </w:pPr>
            <w:r>
              <w:rPr>
                <w:rFonts w:hint="eastAsia" w:ascii="宋体" w:hAnsi="宋体" w:cs="宋体"/>
                <w:sz w:val="24"/>
              </w:rPr>
              <w:t>云端存储指标</w:t>
            </w:r>
          </w:p>
          <w:p>
            <w:pPr>
              <w:widowControl/>
              <w:ind w:left="440"/>
              <w:jc w:val="left"/>
              <w:textAlignment w:val="center"/>
              <w:rPr>
                <w:rFonts w:ascii="宋体" w:hAnsi="宋体" w:cs="宋体"/>
                <w:sz w:val="24"/>
              </w:rPr>
            </w:pPr>
          </w:p>
        </w:tc>
        <w:tc>
          <w:tcPr>
            <w:tcW w:w="6741" w:type="dxa"/>
          </w:tcPr>
          <w:p>
            <w:pPr>
              <w:rPr>
                <w:rFonts w:ascii="宋体" w:hAnsi="宋体" w:cs="宋体"/>
                <w:sz w:val="24"/>
              </w:rPr>
            </w:pPr>
            <w:r>
              <w:rPr>
                <w:rFonts w:hint="eastAsia" w:ascii="宋体" w:hAnsi="宋体" w:cs="宋体"/>
                <w:sz w:val="24"/>
              </w:rPr>
              <w:t>1.授权范围内为教师提供云文档空间具备10GB/人的存储容量。（需提供有效证明文件或者截图进行证明）</w:t>
            </w:r>
          </w:p>
          <w:p>
            <w:pPr>
              <w:rPr>
                <w:rFonts w:ascii="宋体" w:hAnsi="宋体" w:cs="宋体"/>
                <w:sz w:val="24"/>
              </w:rPr>
            </w:pPr>
            <w:r>
              <w:rPr>
                <w:rFonts w:hint="eastAsia" w:ascii="宋体" w:hAnsi="宋体" w:cs="宋体"/>
                <w:sz w:val="24"/>
              </w:rPr>
              <w:t>2.支持提供公网云存储，可通过账号登录；支持外链分享、支持文档漫游，支持历史版本、全文检索等功能；支持文档实时跟踪与备份恢复；支持提供后台管理功能，文档统一把控。</w:t>
            </w:r>
          </w:p>
          <w:p>
            <w:pPr>
              <w:rPr>
                <w:rFonts w:ascii="宋体" w:hAnsi="宋体" w:cs="宋体"/>
                <w:sz w:val="24"/>
              </w:rPr>
            </w:pPr>
            <w:r>
              <w:rPr>
                <w:rFonts w:hint="eastAsia" w:ascii="宋体" w:hAnsi="宋体" w:cs="宋体"/>
                <w:sz w:val="24"/>
              </w:rPr>
              <w:t>3.支持云文档调用本地office客户端打开，支持office客户端编辑文档内容同步上传。</w:t>
            </w:r>
            <w:r>
              <w:rPr>
                <w:rFonts w:hint="eastAsia" w:ascii="宋体" w:hAnsi="宋体" w:cs="宋体"/>
                <w:b/>
                <w:sz w:val="24"/>
              </w:rPr>
              <w:t>（</w:t>
            </w:r>
            <w:r>
              <w:rPr>
                <w:rFonts w:ascii="宋体" w:hAnsi="宋体" w:cs="宋体"/>
                <w:b/>
                <w:sz w:val="24"/>
              </w:rPr>
              <w:t>提供官网截图或产品样本或技术白皮书或检测报告复印件</w:t>
            </w:r>
            <w:r>
              <w:rPr>
                <w:rFonts w:hint="eastAsia" w:ascii="宋体" w:hAnsi="宋体"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7" w:type="dxa"/>
            <w:vAlign w:val="center"/>
          </w:tcPr>
          <w:p>
            <w:pPr>
              <w:jc w:val="center"/>
              <w:rPr>
                <w:rFonts w:ascii="宋体" w:hAnsi="宋体" w:cs="宋体"/>
                <w:sz w:val="24"/>
              </w:rPr>
            </w:pPr>
            <w:r>
              <w:rPr>
                <w:rFonts w:hint="eastAsia" w:ascii="宋体" w:hAnsi="宋体" w:cs="宋体"/>
                <w:sz w:val="24"/>
              </w:rPr>
              <w:t>6</w:t>
            </w:r>
          </w:p>
        </w:tc>
        <w:tc>
          <w:tcPr>
            <w:tcW w:w="1008" w:type="dxa"/>
            <w:vAlign w:val="center"/>
          </w:tcPr>
          <w:p>
            <w:pPr>
              <w:widowControl/>
              <w:jc w:val="left"/>
              <w:textAlignment w:val="center"/>
              <w:rPr>
                <w:rFonts w:ascii="宋体" w:hAnsi="宋体" w:cs="宋体"/>
                <w:sz w:val="24"/>
              </w:rPr>
            </w:pPr>
            <w:r>
              <w:rPr>
                <w:rFonts w:hint="eastAsia" w:ascii="宋体" w:hAnsi="宋体" w:cs="宋体"/>
                <w:sz w:val="24"/>
              </w:rPr>
              <w:t>功能应用指标</w:t>
            </w:r>
          </w:p>
          <w:p>
            <w:pPr>
              <w:widowControl/>
              <w:ind w:left="440"/>
              <w:jc w:val="left"/>
              <w:textAlignment w:val="center"/>
              <w:rPr>
                <w:rFonts w:ascii="宋体" w:hAnsi="宋体" w:cs="宋体"/>
                <w:sz w:val="24"/>
              </w:rPr>
            </w:pPr>
          </w:p>
        </w:tc>
        <w:tc>
          <w:tcPr>
            <w:tcW w:w="6741" w:type="dxa"/>
          </w:tcPr>
          <w:p>
            <w:pPr>
              <w:rPr>
                <w:rFonts w:ascii="宋体" w:hAnsi="宋体" w:cs="宋体"/>
                <w:sz w:val="24"/>
              </w:rPr>
            </w:pPr>
            <w:r>
              <w:rPr>
                <w:rFonts w:hint="eastAsia" w:ascii="宋体" w:hAnsi="宋体" w:cs="宋体"/>
                <w:sz w:val="24"/>
              </w:rPr>
              <w:t>1.支持实时通讯能力，支持编辑在线智能文档格式时基于文档开启组织内成员的会话聊天，支持传统IM工具界面的一对一单聊会话和创建群聊会话；会话支持设置消息免打扰、聊天列表置顶等功能。</w:t>
            </w:r>
            <w:r>
              <w:rPr>
                <w:rFonts w:hint="eastAsia" w:ascii="宋体" w:hAnsi="宋体" w:cs="宋体"/>
                <w:b/>
                <w:sz w:val="24"/>
              </w:rPr>
              <w:t>（</w:t>
            </w:r>
            <w:r>
              <w:rPr>
                <w:rFonts w:ascii="宋体" w:hAnsi="宋体" w:cs="宋体"/>
                <w:b/>
                <w:sz w:val="24"/>
              </w:rPr>
              <w:t>提供官网截图或产品样本或技术白皮书或检测报告复印件</w:t>
            </w:r>
            <w:r>
              <w:rPr>
                <w:rFonts w:hint="eastAsia" w:ascii="宋体" w:hAnsi="宋体" w:cs="宋体"/>
                <w:b/>
                <w:sz w:val="24"/>
              </w:rPr>
              <w:t>）</w:t>
            </w:r>
          </w:p>
          <w:p>
            <w:pPr>
              <w:rPr>
                <w:rFonts w:ascii="宋体" w:hAnsi="宋体" w:cs="宋体"/>
                <w:sz w:val="24"/>
              </w:rPr>
            </w:pPr>
            <w:r>
              <w:rPr>
                <w:rFonts w:hint="eastAsia" w:ascii="宋体" w:hAnsi="宋体" w:cs="宋体"/>
                <w:sz w:val="24"/>
              </w:rPr>
              <w:t>2.提供可以共享协作的日历服务，可以将日历分享给其他人，其他人可以根据分享者配置的编辑、查看、仅查看忙闲权限，对于分享者的日历进行管理和查看。日程可以分享到聊天，选择参与人。</w:t>
            </w:r>
          </w:p>
          <w:p>
            <w:pPr>
              <w:rPr>
                <w:rFonts w:ascii="宋体" w:hAnsi="宋体" w:cs="宋体"/>
                <w:b/>
                <w:sz w:val="24"/>
              </w:rPr>
            </w:pPr>
            <w:r>
              <w:rPr>
                <w:rFonts w:hint="eastAsia" w:ascii="宋体" w:hAnsi="宋体" w:cs="宋体"/>
                <w:sz w:val="24"/>
              </w:rPr>
              <w:t>3.支持会议功能，可基于文档发起会议功能，并邀请其他成员参与；支持单独创建会议，通过会议ID或者链接可进行在线会议，可提供云文档共享、屏幕共享多种内容共享方式。</w:t>
            </w:r>
            <w:r>
              <w:rPr>
                <w:rFonts w:hint="eastAsia" w:ascii="宋体" w:hAnsi="宋体" w:cs="宋体"/>
                <w:b/>
                <w:sz w:val="24"/>
              </w:rPr>
              <w:t>（</w:t>
            </w:r>
            <w:r>
              <w:rPr>
                <w:rFonts w:ascii="宋体" w:hAnsi="宋体" w:cs="宋体"/>
                <w:b/>
                <w:sz w:val="24"/>
              </w:rPr>
              <w:t>提供官网截图或产品样本或技术白皮书或检测报告复印件</w:t>
            </w:r>
            <w:r>
              <w:rPr>
                <w:rFonts w:hint="eastAsia" w:ascii="宋体" w:hAnsi="宋体" w:cs="宋体"/>
                <w:b/>
                <w:sz w:val="24"/>
              </w:rPr>
              <w:t>）</w:t>
            </w:r>
          </w:p>
          <w:p>
            <w:pPr>
              <w:rPr>
                <w:rFonts w:ascii="宋体" w:hAnsi="宋体" w:cs="宋体"/>
                <w:sz w:val="24"/>
              </w:rPr>
            </w:pPr>
            <w:r>
              <w:rPr>
                <w:rFonts w:hint="eastAsia" w:ascii="宋体" w:hAnsi="宋体" w:cs="宋体"/>
                <w:sz w:val="24"/>
              </w:rPr>
              <w:t>4.支持表单功能，可创建基础表单、考试、打卡、接龙等多种常用信息采集表，提供多种常用模板，并且支持链接、二维码、海报、微信、QQ等方式进行邀请填写，后台自动生成Excel表格和填报情况汇总。</w:t>
            </w:r>
          </w:p>
        </w:tc>
      </w:tr>
    </w:tbl>
    <w:p>
      <w:pPr>
        <w:rPr>
          <w:rFonts w:ascii="宋体" w:hAnsi="宋体" w:cs="宋体"/>
          <w:b/>
          <w:sz w:val="24"/>
        </w:rPr>
      </w:pPr>
    </w:p>
    <w:p>
      <w:pPr>
        <w:rPr>
          <w:rFonts w:ascii="宋体" w:hAnsi="宋体" w:cs="宋体"/>
          <w:b/>
          <w:sz w:val="24"/>
        </w:rPr>
      </w:pPr>
      <w:r>
        <w:rPr>
          <w:rFonts w:hint="eastAsia" w:ascii="宋体" w:hAnsi="宋体" w:cs="宋体"/>
          <w:b/>
          <w:sz w:val="24"/>
        </w:rPr>
        <w:t xml:space="preserve">    2.5复印机</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
        <w:gridCol w:w="1728"/>
        <w:gridCol w:w="6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vAlign w:val="center"/>
          </w:tcPr>
          <w:p>
            <w:pPr>
              <w:pStyle w:val="109"/>
              <w:jc w:val="center"/>
              <w:rPr>
                <w:rFonts w:ascii="黑体" w:hAnsi="黑体" w:eastAsia="黑体"/>
                <w:lang w:val="en-GB"/>
              </w:rPr>
            </w:pPr>
            <w:r>
              <w:rPr>
                <w:rFonts w:hint="eastAsia" w:ascii="黑体" w:hAnsi="黑体" w:eastAsia="黑体"/>
                <w:lang w:val="en-GB"/>
              </w:rPr>
              <w:t>序号</w:t>
            </w:r>
          </w:p>
        </w:tc>
        <w:tc>
          <w:tcPr>
            <w:tcW w:w="1789" w:type="dxa"/>
            <w:vAlign w:val="center"/>
          </w:tcPr>
          <w:p>
            <w:pPr>
              <w:pStyle w:val="109"/>
              <w:jc w:val="center"/>
              <w:rPr>
                <w:rFonts w:ascii="黑体" w:hAnsi="黑体" w:eastAsia="黑体"/>
                <w:lang w:val="en-GB"/>
              </w:rPr>
            </w:pPr>
            <w:r>
              <w:rPr>
                <w:rFonts w:hint="eastAsia" w:ascii="黑体" w:hAnsi="黑体" w:eastAsia="黑体"/>
                <w:lang w:val="en-GB"/>
              </w:rPr>
              <w:t>指标名称</w:t>
            </w:r>
          </w:p>
        </w:tc>
        <w:tc>
          <w:tcPr>
            <w:tcW w:w="6497" w:type="dxa"/>
            <w:vAlign w:val="center"/>
          </w:tcPr>
          <w:p>
            <w:pPr>
              <w:pStyle w:val="109"/>
              <w:jc w:val="center"/>
              <w:rPr>
                <w:rFonts w:ascii="黑体" w:hAnsi="黑体" w:eastAsia="黑体"/>
                <w:lang w:val="en-GB"/>
              </w:rPr>
            </w:pPr>
            <w:r>
              <w:rPr>
                <w:rFonts w:hint="eastAsia" w:ascii="黑体" w:hAnsi="黑体" w:eastAsia="黑体"/>
                <w:lang w:val="en-GB"/>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spacing w:before="156" w:beforeLines="50"/>
              <w:jc w:val="center"/>
              <w:rPr>
                <w:rFonts w:ascii="宋体" w:hAnsi="宋体" w:cs="宋体"/>
                <w:kern w:val="0"/>
                <w:sz w:val="24"/>
                <w:lang w:val="en-GB"/>
              </w:rPr>
            </w:pPr>
            <w:r>
              <w:rPr>
                <w:rFonts w:hint="eastAsia" w:ascii="宋体" w:hAnsi="宋体" w:cs="宋体"/>
                <w:kern w:val="0"/>
                <w:sz w:val="24"/>
                <w:lang w:val="en-GB"/>
              </w:rPr>
              <w:t>1</w:t>
            </w:r>
          </w:p>
        </w:tc>
        <w:tc>
          <w:tcPr>
            <w:tcW w:w="1789" w:type="dxa"/>
          </w:tcPr>
          <w:p>
            <w:pPr>
              <w:spacing w:before="156" w:beforeLines="50"/>
              <w:jc w:val="center"/>
              <w:rPr>
                <w:rFonts w:ascii="宋体" w:hAnsi="宋体" w:cs="宋体"/>
                <w:kern w:val="0"/>
                <w:sz w:val="24"/>
                <w:lang w:val="en-GB"/>
              </w:rPr>
            </w:pPr>
            <w:r>
              <w:rPr>
                <w:rFonts w:hint="eastAsia" w:ascii="宋体" w:hAnsi="宋体" w:cs="宋体"/>
                <w:kern w:val="0"/>
                <w:sz w:val="24"/>
              </w:rPr>
              <w:t>复印纸规格</w:t>
            </w:r>
          </w:p>
        </w:tc>
        <w:tc>
          <w:tcPr>
            <w:tcW w:w="6497" w:type="dxa"/>
          </w:tcPr>
          <w:p>
            <w:pPr>
              <w:spacing w:before="156" w:beforeLines="50"/>
              <w:rPr>
                <w:rFonts w:ascii="宋体" w:hAnsi="宋体" w:cs="宋体"/>
                <w:kern w:val="0"/>
                <w:sz w:val="24"/>
                <w:lang w:val="en-GB"/>
              </w:rPr>
            </w:pPr>
            <w:r>
              <w:rPr>
                <w:rFonts w:hint="eastAsia" w:ascii="宋体" w:hAnsi="宋体" w:cs="宋体"/>
                <w:kern w:val="0"/>
                <w:sz w:val="24"/>
              </w:rPr>
              <w:t>A3\A4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spacing w:before="156" w:beforeLines="50"/>
              <w:jc w:val="center"/>
              <w:rPr>
                <w:rFonts w:ascii="宋体" w:hAnsi="宋体" w:cs="宋体"/>
                <w:kern w:val="0"/>
                <w:sz w:val="24"/>
                <w:lang w:val="en-GB"/>
              </w:rPr>
            </w:pPr>
            <w:r>
              <w:rPr>
                <w:rFonts w:hint="eastAsia" w:ascii="宋体" w:hAnsi="宋体" w:cs="宋体"/>
                <w:kern w:val="0"/>
                <w:sz w:val="24"/>
                <w:lang w:val="en-GB"/>
              </w:rPr>
              <w:t>2</w:t>
            </w:r>
          </w:p>
        </w:tc>
        <w:tc>
          <w:tcPr>
            <w:tcW w:w="1789" w:type="dxa"/>
          </w:tcPr>
          <w:p>
            <w:pPr>
              <w:spacing w:before="156" w:beforeLines="50"/>
              <w:jc w:val="center"/>
              <w:rPr>
                <w:rFonts w:ascii="宋体" w:hAnsi="宋体" w:cs="宋体"/>
                <w:kern w:val="0"/>
                <w:sz w:val="24"/>
                <w:lang w:val="en-GB"/>
              </w:rPr>
            </w:pPr>
            <w:r>
              <w:rPr>
                <w:rFonts w:hint="eastAsia" w:ascii="宋体" w:hAnsi="宋体" w:cs="宋体"/>
                <w:kern w:val="0"/>
                <w:sz w:val="24"/>
              </w:rPr>
              <w:t>支持功能</w:t>
            </w:r>
          </w:p>
        </w:tc>
        <w:tc>
          <w:tcPr>
            <w:tcW w:w="6497" w:type="dxa"/>
          </w:tcPr>
          <w:p>
            <w:pPr>
              <w:spacing w:before="156" w:beforeLines="50"/>
              <w:rPr>
                <w:rFonts w:ascii="宋体" w:hAnsi="宋体" w:cs="宋体"/>
                <w:kern w:val="0"/>
                <w:sz w:val="24"/>
                <w:lang w:val="en-GB"/>
              </w:rPr>
            </w:pPr>
            <w:r>
              <w:rPr>
                <w:rFonts w:hint="eastAsia" w:ascii="宋体" w:hAnsi="宋体" w:cs="宋体"/>
                <w:kern w:val="0"/>
                <w:sz w:val="24"/>
              </w:rPr>
              <w:t>打印、复印、扫描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spacing w:before="156" w:beforeLines="50"/>
              <w:jc w:val="center"/>
              <w:rPr>
                <w:rFonts w:ascii="宋体" w:hAnsi="宋体" w:cs="宋体"/>
                <w:kern w:val="0"/>
                <w:sz w:val="24"/>
                <w:lang w:val="en-GB"/>
              </w:rPr>
            </w:pPr>
            <w:r>
              <w:rPr>
                <w:rFonts w:hint="eastAsia" w:ascii="宋体" w:hAnsi="宋体" w:cs="宋体"/>
                <w:kern w:val="0"/>
                <w:sz w:val="24"/>
                <w:lang w:val="en-GB"/>
              </w:rPr>
              <w:t>3</w:t>
            </w:r>
          </w:p>
        </w:tc>
        <w:tc>
          <w:tcPr>
            <w:tcW w:w="1789" w:type="dxa"/>
          </w:tcPr>
          <w:p>
            <w:pPr>
              <w:spacing w:before="156" w:beforeLines="50"/>
              <w:jc w:val="center"/>
              <w:rPr>
                <w:rFonts w:ascii="宋体" w:hAnsi="宋体" w:cs="宋体"/>
                <w:kern w:val="0"/>
                <w:sz w:val="24"/>
                <w:lang w:val="en-GB"/>
              </w:rPr>
            </w:pPr>
            <w:r>
              <w:rPr>
                <w:rFonts w:hint="eastAsia" w:ascii="宋体" w:hAnsi="宋体" w:cs="宋体"/>
                <w:kern w:val="0"/>
                <w:sz w:val="24"/>
              </w:rPr>
              <w:t>内存容量</w:t>
            </w:r>
          </w:p>
        </w:tc>
        <w:tc>
          <w:tcPr>
            <w:tcW w:w="6497" w:type="dxa"/>
          </w:tcPr>
          <w:p>
            <w:pPr>
              <w:spacing w:before="156" w:beforeLines="50"/>
              <w:rPr>
                <w:rFonts w:ascii="宋体" w:hAnsi="宋体" w:cs="宋体"/>
                <w:kern w:val="0"/>
                <w:sz w:val="24"/>
                <w:lang w:val="en-GB"/>
              </w:rPr>
            </w:pPr>
            <w:r>
              <w:rPr>
                <w:rFonts w:hint="eastAsia" w:ascii="宋体" w:hAnsi="宋体" w:cs="宋体"/>
                <w:kern w:val="0"/>
                <w:sz w:val="24"/>
              </w:rPr>
              <w:t>2GB+2GB SOP内存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spacing w:before="156" w:beforeLines="50"/>
              <w:jc w:val="center"/>
              <w:rPr>
                <w:rFonts w:ascii="宋体" w:hAnsi="宋体" w:cs="宋体"/>
                <w:kern w:val="0"/>
                <w:sz w:val="24"/>
                <w:lang w:val="en-GB"/>
              </w:rPr>
            </w:pPr>
            <w:r>
              <w:rPr>
                <w:rFonts w:hint="eastAsia" w:ascii="宋体" w:hAnsi="宋体" w:cs="宋体"/>
                <w:kern w:val="0"/>
                <w:sz w:val="24"/>
                <w:lang w:val="en-GB"/>
              </w:rPr>
              <w:t>4</w:t>
            </w:r>
          </w:p>
        </w:tc>
        <w:tc>
          <w:tcPr>
            <w:tcW w:w="1789" w:type="dxa"/>
          </w:tcPr>
          <w:p>
            <w:pPr>
              <w:spacing w:before="156" w:beforeLines="50"/>
              <w:jc w:val="center"/>
              <w:rPr>
                <w:rFonts w:ascii="宋体" w:hAnsi="宋体" w:cs="宋体"/>
                <w:kern w:val="0"/>
                <w:sz w:val="24"/>
              </w:rPr>
            </w:pPr>
            <w:r>
              <w:rPr>
                <w:rFonts w:hint="eastAsia" w:ascii="宋体" w:hAnsi="宋体" w:cs="宋体"/>
                <w:kern w:val="0"/>
                <w:sz w:val="24"/>
              </w:rPr>
              <w:t>复印速度区间-彩色（ppm）</w:t>
            </w:r>
          </w:p>
        </w:tc>
        <w:tc>
          <w:tcPr>
            <w:tcW w:w="6497" w:type="dxa"/>
          </w:tcPr>
          <w:p>
            <w:pPr>
              <w:spacing w:before="156" w:beforeLines="50"/>
              <w:rPr>
                <w:rFonts w:ascii="宋体" w:hAnsi="宋体" w:cs="宋体"/>
                <w:kern w:val="0"/>
                <w:sz w:val="24"/>
              </w:rPr>
            </w:pPr>
            <w:r>
              <w:rPr>
                <w:rFonts w:hint="eastAsia" w:ascii="宋体" w:hAnsi="宋体" w:cs="宋体"/>
                <w:kern w:val="0"/>
                <w:sz w:val="24"/>
              </w:rPr>
              <w:t>30-39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spacing w:before="156" w:beforeLines="50"/>
              <w:jc w:val="center"/>
              <w:rPr>
                <w:rFonts w:ascii="宋体" w:hAnsi="宋体" w:cs="宋体"/>
                <w:kern w:val="0"/>
                <w:sz w:val="24"/>
                <w:lang w:val="en-GB"/>
              </w:rPr>
            </w:pPr>
            <w:r>
              <w:rPr>
                <w:rFonts w:hint="eastAsia" w:ascii="宋体" w:hAnsi="宋体" w:cs="宋体"/>
                <w:kern w:val="0"/>
                <w:sz w:val="24"/>
                <w:lang w:val="en-GB"/>
              </w:rPr>
              <w:t>5</w:t>
            </w:r>
          </w:p>
        </w:tc>
        <w:tc>
          <w:tcPr>
            <w:tcW w:w="1789" w:type="dxa"/>
          </w:tcPr>
          <w:p>
            <w:pPr>
              <w:spacing w:before="156" w:beforeLines="50"/>
              <w:jc w:val="center"/>
              <w:rPr>
                <w:rFonts w:ascii="宋体" w:hAnsi="宋体" w:cs="宋体"/>
                <w:kern w:val="0"/>
                <w:sz w:val="24"/>
              </w:rPr>
            </w:pPr>
            <w:r>
              <w:rPr>
                <w:rFonts w:hint="eastAsia" w:ascii="宋体" w:hAnsi="宋体" w:cs="宋体"/>
                <w:kern w:val="0"/>
                <w:sz w:val="24"/>
              </w:rPr>
              <w:t>分辨率（dpi）</w:t>
            </w:r>
          </w:p>
        </w:tc>
        <w:tc>
          <w:tcPr>
            <w:tcW w:w="6497" w:type="dxa"/>
          </w:tcPr>
          <w:p>
            <w:pPr>
              <w:spacing w:before="156" w:beforeLines="50"/>
              <w:rPr>
                <w:rFonts w:ascii="宋体" w:hAnsi="宋体" w:cs="宋体"/>
                <w:kern w:val="0"/>
                <w:sz w:val="24"/>
              </w:rPr>
            </w:pPr>
            <w:r>
              <w:rPr>
                <w:rFonts w:hint="eastAsia" w:ascii="宋体" w:hAnsi="宋体" w:cs="宋体"/>
                <w:kern w:val="0"/>
                <w:sz w:val="24"/>
              </w:rPr>
              <w:t>1,200 x 1,200 dpi，最大4800 x 1,200 dpi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spacing w:before="156" w:beforeLines="50"/>
              <w:jc w:val="center"/>
              <w:rPr>
                <w:rFonts w:ascii="宋体" w:hAnsi="宋体" w:cs="宋体"/>
                <w:kern w:val="0"/>
                <w:sz w:val="24"/>
                <w:lang w:val="en-GB"/>
              </w:rPr>
            </w:pPr>
            <w:r>
              <w:rPr>
                <w:rFonts w:hint="eastAsia" w:ascii="宋体" w:hAnsi="宋体" w:cs="宋体"/>
                <w:kern w:val="0"/>
                <w:sz w:val="24"/>
                <w:lang w:val="en-GB"/>
              </w:rPr>
              <w:t>6</w:t>
            </w:r>
          </w:p>
        </w:tc>
        <w:tc>
          <w:tcPr>
            <w:tcW w:w="1789" w:type="dxa"/>
          </w:tcPr>
          <w:p>
            <w:pPr>
              <w:spacing w:before="156" w:beforeLines="50"/>
              <w:jc w:val="center"/>
              <w:rPr>
                <w:rFonts w:ascii="宋体" w:hAnsi="宋体" w:cs="宋体"/>
                <w:kern w:val="0"/>
                <w:sz w:val="24"/>
              </w:rPr>
            </w:pPr>
            <w:r>
              <w:rPr>
                <w:rFonts w:hint="eastAsia" w:ascii="宋体" w:hAnsi="宋体" w:cs="宋体"/>
                <w:kern w:val="0"/>
                <w:sz w:val="24"/>
              </w:rPr>
              <w:t>复印速度</w:t>
            </w:r>
          </w:p>
        </w:tc>
        <w:tc>
          <w:tcPr>
            <w:tcW w:w="6497" w:type="dxa"/>
          </w:tcPr>
          <w:p>
            <w:pPr>
              <w:spacing w:before="156" w:beforeLines="50"/>
              <w:rPr>
                <w:rFonts w:ascii="宋体" w:hAnsi="宋体" w:cs="宋体"/>
                <w:kern w:val="0"/>
                <w:sz w:val="24"/>
              </w:rPr>
            </w:pPr>
            <w:r>
              <w:rPr>
                <w:rFonts w:hint="eastAsia" w:ascii="宋体" w:hAnsi="宋体" w:cs="宋体"/>
                <w:kern w:val="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6" w:type="dxa"/>
          </w:tcPr>
          <w:p>
            <w:pPr>
              <w:spacing w:before="156" w:beforeLines="50"/>
              <w:jc w:val="center"/>
              <w:rPr>
                <w:rFonts w:ascii="宋体" w:hAnsi="宋体" w:cs="宋体"/>
                <w:kern w:val="0"/>
                <w:sz w:val="24"/>
                <w:lang w:val="en-GB"/>
              </w:rPr>
            </w:pPr>
            <w:r>
              <w:rPr>
                <w:rFonts w:hint="eastAsia" w:ascii="宋体" w:hAnsi="宋体" w:cs="宋体"/>
                <w:kern w:val="0"/>
                <w:sz w:val="24"/>
                <w:lang w:val="en-GB"/>
              </w:rPr>
              <w:t>7</w:t>
            </w:r>
          </w:p>
        </w:tc>
        <w:tc>
          <w:tcPr>
            <w:tcW w:w="1789" w:type="dxa"/>
          </w:tcPr>
          <w:p>
            <w:pPr>
              <w:spacing w:before="156" w:beforeLines="50"/>
              <w:jc w:val="center"/>
              <w:rPr>
                <w:rFonts w:ascii="宋体" w:hAnsi="宋体" w:cs="宋体"/>
                <w:kern w:val="0"/>
                <w:sz w:val="24"/>
              </w:rPr>
            </w:pPr>
            <w:r>
              <w:rPr>
                <w:rFonts w:hint="eastAsia" w:ascii="宋体" w:hAnsi="宋体" w:cs="宋体"/>
                <w:kern w:val="0"/>
                <w:sz w:val="24"/>
              </w:rPr>
              <w:t>硬盘容量</w:t>
            </w:r>
          </w:p>
        </w:tc>
        <w:tc>
          <w:tcPr>
            <w:tcW w:w="6497" w:type="dxa"/>
          </w:tcPr>
          <w:p>
            <w:pPr>
              <w:spacing w:before="156" w:beforeLines="50"/>
              <w:rPr>
                <w:rFonts w:ascii="宋体" w:hAnsi="宋体" w:cs="宋体"/>
                <w:kern w:val="0"/>
                <w:sz w:val="24"/>
              </w:rPr>
            </w:pPr>
            <w:r>
              <w:rPr>
                <w:rFonts w:hint="eastAsia" w:ascii="宋体" w:hAnsi="宋体" w:cs="宋体"/>
                <w:kern w:val="0"/>
                <w:sz w:val="24"/>
              </w:rPr>
              <w:t>320G</w:t>
            </w:r>
          </w:p>
        </w:tc>
      </w:tr>
    </w:tbl>
    <w:p>
      <w:pPr>
        <w:rPr>
          <w:rFonts w:ascii="宋体" w:hAnsi="宋体" w:cs="宋体"/>
          <w:b/>
          <w:bCs/>
          <w:sz w:val="24"/>
        </w:rPr>
      </w:pPr>
      <w:r>
        <w:rPr>
          <w:rFonts w:hint="eastAsia" w:ascii="宋体" w:hAnsi="宋体" w:cs="宋体"/>
          <w:b/>
          <w:bCs/>
          <w:sz w:val="24"/>
        </w:rPr>
        <w:t xml:space="preserve">    2.6打印机</w:t>
      </w:r>
    </w:p>
    <w:tbl>
      <w:tblPr>
        <w:tblStyle w:val="44"/>
        <w:tblW w:w="8364" w:type="dxa"/>
        <w:tblInd w:w="-5" w:type="dxa"/>
        <w:tblLayout w:type="autofit"/>
        <w:tblCellMar>
          <w:top w:w="0" w:type="dxa"/>
          <w:left w:w="108" w:type="dxa"/>
          <w:bottom w:w="0" w:type="dxa"/>
          <w:right w:w="108" w:type="dxa"/>
        </w:tblCellMar>
      </w:tblPr>
      <w:tblGrid>
        <w:gridCol w:w="851"/>
        <w:gridCol w:w="1701"/>
        <w:gridCol w:w="5812"/>
      </w:tblGrid>
      <w:tr>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指标名称</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参数要求</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尺寸</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381 x 357 x 220 毫米</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打印功能</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黑白</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接口类型</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USB 2.0（随机附带连接线）</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打印原理</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激光</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预热时间</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6.5秒</w:t>
            </w:r>
          </w:p>
        </w:tc>
      </w:tr>
      <w:tr>
        <w:tblPrEx>
          <w:tblCellMar>
            <w:top w:w="0" w:type="dxa"/>
            <w:left w:w="108" w:type="dxa"/>
            <w:bottom w:w="0" w:type="dxa"/>
            <w:right w:w="108" w:type="dxa"/>
          </w:tblCellMar>
        </w:tblPrEx>
        <w:trPr>
          <w:trHeight w:val="51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单面或自动双面打印</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自动双面</w:t>
            </w:r>
          </w:p>
        </w:tc>
      </w:tr>
      <w:tr>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黑白打印速度区间（ppm）</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40-49</w:t>
            </w:r>
          </w:p>
        </w:tc>
      </w:tr>
      <w:tr>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黑白打印速度（ppm）</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40PPM</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网络打印</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支持网络打印</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操作系统</w:t>
            </w:r>
          </w:p>
        </w:tc>
        <w:tc>
          <w:tcPr>
            <w:tcW w:w="5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支持国产化操作系统</w:t>
            </w:r>
          </w:p>
        </w:tc>
      </w:tr>
    </w:tbl>
    <w:p>
      <w:pPr>
        <w:rPr>
          <w:rFonts w:ascii="宋体" w:hAnsi="宋体" w:cs="宋体"/>
          <w:sz w:val="24"/>
        </w:rPr>
      </w:pPr>
    </w:p>
    <w:p>
      <w:pPr>
        <w:rPr>
          <w:rFonts w:ascii="宋体" w:hAnsi="宋体" w:cs="宋体"/>
          <w:b/>
          <w:sz w:val="24"/>
        </w:rPr>
      </w:pPr>
      <w:r>
        <w:rPr>
          <w:rFonts w:hint="eastAsia" w:ascii="宋体" w:hAnsi="宋体" w:cs="宋体"/>
          <w:b/>
          <w:sz w:val="24"/>
        </w:rPr>
        <w:t xml:space="preserve">    2.7速印机</w:t>
      </w:r>
    </w:p>
    <w:tbl>
      <w:tblPr>
        <w:tblStyle w:val="45"/>
        <w:tblW w:w="84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3118"/>
        <w:gridCol w:w="4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851" w:type="dxa"/>
            <w:vAlign w:val="center"/>
          </w:tcPr>
          <w:p>
            <w:pPr>
              <w:jc w:val="center"/>
              <w:rPr>
                <w:rFonts w:ascii="黑体" w:hAnsi="黑体" w:eastAsia="黑体" w:cs="宋体"/>
                <w:sz w:val="24"/>
              </w:rPr>
            </w:pPr>
            <w:r>
              <w:rPr>
                <w:rFonts w:hint="eastAsia" w:ascii="黑体" w:hAnsi="黑体" w:eastAsia="黑体" w:cs="宋体"/>
                <w:sz w:val="24"/>
              </w:rPr>
              <w:t>序号</w:t>
            </w:r>
          </w:p>
        </w:tc>
        <w:tc>
          <w:tcPr>
            <w:tcW w:w="3118" w:type="dxa"/>
            <w:vAlign w:val="center"/>
          </w:tcPr>
          <w:p>
            <w:pPr>
              <w:jc w:val="center"/>
              <w:rPr>
                <w:rFonts w:ascii="黑体" w:hAnsi="黑体" w:eastAsia="黑体" w:cs="宋体"/>
                <w:sz w:val="24"/>
              </w:rPr>
            </w:pPr>
            <w:r>
              <w:rPr>
                <w:rFonts w:hint="eastAsia" w:ascii="黑体" w:hAnsi="黑体" w:eastAsia="黑体" w:cs="宋体"/>
                <w:sz w:val="24"/>
              </w:rPr>
              <w:t>设备名称</w:t>
            </w:r>
          </w:p>
        </w:tc>
        <w:tc>
          <w:tcPr>
            <w:tcW w:w="4508" w:type="dxa"/>
            <w:vAlign w:val="center"/>
          </w:tcPr>
          <w:p>
            <w:pPr>
              <w:jc w:val="center"/>
              <w:rPr>
                <w:rFonts w:ascii="黑体" w:hAnsi="黑体" w:eastAsia="黑体" w:cs="宋体"/>
                <w:sz w:val="24"/>
              </w:rPr>
            </w:pPr>
            <w:r>
              <w:rPr>
                <w:rFonts w:hint="eastAsia" w:ascii="黑体" w:hAnsi="黑体" w:eastAsia="黑体" w:cs="宋体"/>
                <w:sz w:val="24"/>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center"/>
              <w:rPr>
                <w:rFonts w:ascii="宋体" w:hAnsi="宋体" w:cs="宋体"/>
                <w:sz w:val="24"/>
              </w:rPr>
            </w:pPr>
            <w:r>
              <w:rPr>
                <w:rFonts w:hint="eastAsia" w:ascii="宋体" w:hAnsi="宋体" w:cs="宋体"/>
                <w:sz w:val="24"/>
              </w:rPr>
              <w:t>1</w:t>
            </w:r>
          </w:p>
        </w:tc>
        <w:tc>
          <w:tcPr>
            <w:tcW w:w="3118" w:type="dxa"/>
            <w:vAlign w:val="center"/>
          </w:tcPr>
          <w:p>
            <w:pPr>
              <w:jc w:val="center"/>
              <w:rPr>
                <w:rFonts w:ascii="宋体" w:hAnsi="宋体" w:cs="宋体"/>
                <w:sz w:val="24"/>
              </w:rPr>
            </w:pPr>
            <w:r>
              <w:rPr>
                <w:rFonts w:hint="eastAsia" w:ascii="宋体" w:hAnsi="宋体" w:cs="宋体"/>
                <w:sz w:val="24"/>
              </w:rPr>
              <w:t>速印机</w:t>
            </w:r>
          </w:p>
        </w:tc>
        <w:tc>
          <w:tcPr>
            <w:tcW w:w="4508" w:type="dxa"/>
            <w:vAlign w:val="center"/>
          </w:tcPr>
          <w:p>
            <w:pPr>
              <w:jc w:val="center"/>
              <w:rPr>
                <w:rFonts w:ascii="宋体" w:hAnsi="宋体" w:cs="宋体"/>
                <w:sz w:val="24"/>
              </w:rPr>
            </w:pPr>
            <w:r>
              <w:rPr>
                <w:rFonts w:hint="eastAsia" w:ascii="宋体" w:hAnsi="宋体" w:cs="宋体"/>
                <w:sz w:val="24"/>
              </w:rPr>
              <w:t>一体化速印机，130页/分钟</w:t>
            </w:r>
          </w:p>
          <w:p>
            <w:pPr>
              <w:jc w:val="center"/>
              <w:rPr>
                <w:rFonts w:ascii="宋体" w:hAnsi="宋体" w:cs="宋体"/>
                <w:sz w:val="24"/>
              </w:rPr>
            </w:pPr>
            <w:r>
              <w:rPr>
                <w:rFonts w:hint="eastAsia" w:ascii="宋体" w:hAnsi="宋体" w:cs="宋体"/>
                <w:sz w:val="24"/>
              </w:rPr>
              <w:t>中文液晶显示屏+LED</w:t>
            </w:r>
          </w:p>
          <w:p>
            <w:pPr>
              <w:jc w:val="center"/>
              <w:rPr>
                <w:rFonts w:ascii="宋体" w:hAnsi="宋体" w:cs="宋体"/>
                <w:sz w:val="24"/>
              </w:rPr>
            </w:pPr>
            <w:r>
              <w:rPr>
                <w:rFonts w:hint="eastAsia" w:ascii="宋体" w:hAnsi="宋体" w:cs="宋体"/>
                <w:sz w:val="24"/>
              </w:rPr>
              <w:t>A3扫描A3印刷</w:t>
            </w:r>
          </w:p>
          <w:p>
            <w:pPr>
              <w:jc w:val="center"/>
              <w:rPr>
                <w:rFonts w:ascii="宋体" w:hAnsi="宋体" w:cs="宋体"/>
                <w:sz w:val="24"/>
              </w:rPr>
            </w:pPr>
            <w:r>
              <w:rPr>
                <w:rFonts w:hint="eastAsia" w:ascii="宋体" w:hAnsi="宋体" w:cs="宋体"/>
                <w:sz w:val="24"/>
              </w:rPr>
              <w:t>标配USB电脑打印</w:t>
            </w:r>
          </w:p>
          <w:p>
            <w:pPr>
              <w:jc w:val="center"/>
              <w:rPr>
                <w:rFonts w:ascii="宋体" w:hAnsi="宋体" w:cs="宋体"/>
                <w:sz w:val="24"/>
              </w:rPr>
            </w:pPr>
            <w:r>
              <w:rPr>
                <w:rFonts w:hint="eastAsia" w:ascii="宋体" w:hAnsi="宋体" w:cs="宋体"/>
                <w:sz w:val="24"/>
              </w:rPr>
              <w:t>扫描600x600dpi 打印300x600dpi</w:t>
            </w:r>
          </w:p>
        </w:tc>
      </w:tr>
    </w:tbl>
    <w:p>
      <w:pPr>
        <w:rPr>
          <w:rFonts w:ascii="宋体" w:hAnsi="宋体" w:cs="宋体"/>
          <w:b/>
          <w:sz w:val="24"/>
        </w:rPr>
      </w:pPr>
      <w:r>
        <w:rPr>
          <w:rFonts w:hint="eastAsia" w:ascii="宋体" w:hAnsi="宋体" w:cs="宋体"/>
          <w:b/>
          <w:sz w:val="24"/>
        </w:rPr>
        <w:t xml:space="preserve">    2.8摄像机</w:t>
      </w:r>
    </w:p>
    <w:tbl>
      <w:tblPr>
        <w:tblStyle w:val="44"/>
        <w:tblW w:w="8477" w:type="dxa"/>
        <w:tblInd w:w="-5" w:type="dxa"/>
        <w:tblLayout w:type="autofit"/>
        <w:tblCellMar>
          <w:top w:w="0" w:type="dxa"/>
          <w:left w:w="108" w:type="dxa"/>
          <w:bottom w:w="0" w:type="dxa"/>
          <w:right w:w="108" w:type="dxa"/>
        </w:tblCellMar>
      </w:tblPr>
      <w:tblGrid>
        <w:gridCol w:w="851"/>
        <w:gridCol w:w="1701"/>
        <w:gridCol w:w="5925"/>
      </w:tblGrid>
      <w:tr>
        <w:tblPrEx>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指标名称</w:t>
            </w:r>
          </w:p>
        </w:tc>
        <w:tc>
          <w:tcPr>
            <w:tcW w:w="5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参数要求</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像素</w:t>
            </w:r>
          </w:p>
        </w:tc>
        <w:tc>
          <w:tcPr>
            <w:tcW w:w="5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≥600万</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清晰度</w:t>
            </w:r>
          </w:p>
        </w:tc>
        <w:tc>
          <w:tcPr>
            <w:tcW w:w="5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HD高清</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类型</w:t>
            </w:r>
          </w:p>
        </w:tc>
        <w:tc>
          <w:tcPr>
            <w:tcW w:w="5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高速摄像机</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传感器类型</w:t>
            </w:r>
          </w:p>
        </w:tc>
        <w:tc>
          <w:tcPr>
            <w:tcW w:w="5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CMOS</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存储介质</w:t>
            </w:r>
          </w:p>
        </w:tc>
        <w:tc>
          <w:tcPr>
            <w:tcW w:w="5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闪存/硬盘双存储式</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电池</w:t>
            </w:r>
          </w:p>
        </w:tc>
        <w:tc>
          <w:tcPr>
            <w:tcW w:w="5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充电电池</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滤镜直径</w:t>
            </w:r>
          </w:p>
        </w:tc>
        <w:tc>
          <w:tcPr>
            <w:tcW w:w="5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M62 mm</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功能</w:t>
            </w:r>
          </w:p>
        </w:tc>
        <w:tc>
          <w:tcPr>
            <w:tcW w:w="5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全景</w:t>
            </w:r>
          </w:p>
        </w:tc>
      </w:tr>
    </w:tbl>
    <w:p>
      <w:pPr>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 xml:space="preserve">    2.9三脚架</w:t>
      </w:r>
    </w:p>
    <w:p>
      <w:pPr>
        <w:spacing w:line="360" w:lineRule="auto"/>
        <w:rPr>
          <w:rFonts w:ascii="宋体" w:hAnsi="宋体" w:cs="宋体"/>
          <w:sz w:val="24"/>
        </w:rPr>
      </w:pPr>
      <w:r>
        <w:rPr>
          <w:rFonts w:hint="eastAsia" w:ascii="宋体" w:hAnsi="宋体" w:cs="宋体"/>
          <w:sz w:val="24"/>
        </w:rPr>
        <w:t xml:space="preserve">    1.脚管锁类型扳扣式；</w:t>
      </w:r>
    </w:p>
    <w:p>
      <w:pPr>
        <w:spacing w:line="360" w:lineRule="auto"/>
        <w:ind w:firstLine="480"/>
        <w:rPr>
          <w:rFonts w:ascii="宋体" w:hAnsi="宋体" w:cs="宋体"/>
          <w:sz w:val="24"/>
        </w:rPr>
      </w:pPr>
      <w:r>
        <w:rPr>
          <w:rFonts w:hint="eastAsia" w:ascii="宋体" w:hAnsi="宋体" w:cs="宋体"/>
          <w:sz w:val="24"/>
        </w:rPr>
        <w:t xml:space="preserve">2.承重≥10kg </w:t>
      </w:r>
    </w:p>
    <w:p>
      <w:pPr>
        <w:spacing w:line="360" w:lineRule="auto"/>
        <w:ind w:firstLine="480"/>
        <w:rPr>
          <w:rFonts w:ascii="宋体" w:hAnsi="宋体" w:cs="宋体"/>
          <w:sz w:val="24"/>
        </w:rPr>
      </w:pPr>
      <w:r>
        <w:rPr>
          <w:rFonts w:hint="eastAsia" w:ascii="宋体" w:hAnsi="宋体" w:cs="宋体"/>
          <w:sz w:val="24"/>
        </w:rPr>
        <w:t xml:space="preserve">3.具体规格应以满足2.8摄像机使用需求为准。   </w:t>
      </w:r>
    </w:p>
    <w:p>
      <w:pPr>
        <w:spacing w:line="360" w:lineRule="auto"/>
        <w:ind w:firstLine="480" w:firstLineChars="200"/>
        <w:rPr>
          <w:rFonts w:ascii="黑体" w:hAnsi="黑体" w:eastAsia="黑体" w:cs="宋体"/>
          <w:sz w:val="24"/>
        </w:rPr>
      </w:pPr>
      <w:r>
        <w:rPr>
          <w:rFonts w:hint="eastAsia" w:ascii="黑体" w:hAnsi="黑体" w:eastAsia="黑体" w:cs="宋体"/>
          <w:sz w:val="24"/>
        </w:rPr>
        <w:t>五、为落实政府采购政策需满足的要求</w:t>
      </w:r>
    </w:p>
    <w:p>
      <w:pPr>
        <w:spacing w:line="360" w:lineRule="auto"/>
        <w:ind w:firstLine="480" w:firstLineChars="200"/>
        <w:contextualSpacing/>
        <w:rPr>
          <w:rFonts w:ascii="宋体" w:hAnsi="宋体" w:cs="宋体"/>
          <w:sz w:val="24"/>
        </w:rPr>
      </w:pPr>
      <w:bookmarkStart w:id="655" w:name="_Hlk196151499"/>
      <w:r>
        <w:rPr>
          <w:rFonts w:hint="eastAsia" w:ascii="宋体" w:hAnsi="宋体" w:cs="宋体"/>
          <w:sz w:val="24"/>
        </w:rPr>
        <w:t>供应商所报产品</w:t>
      </w:r>
      <w:r>
        <w:rPr>
          <w:rFonts w:ascii="宋体" w:hAnsi="宋体" w:cs="宋体"/>
          <w:sz w:val="24"/>
        </w:rPr>
        <w:t>对应</w:t>
      </w:r>
      <w:r>
        <w:rPr>
          <w:rFonts w:hint="eastAsia" w:ascii="宋体" w:hAnsi="宋体" w:cs="宋体"/>
          <w:sz w:val="24"/>
        </w:rPr>
        <w:t>满足《台式计算机政府采购需求标准（2023年版）》（财库〔2023〕29号）、《操作系统政府采购需求标准（2023年版）》（财库〔2023〕34号）、《关于印发节能产品政府采购品目清单的通知》（财库〔2019〕19号）、《关于调整优化节能产品、环境标志产品政府采购执行机制的通知》（财库〔2019〕9号）、《关于印发环境标志产品政府采购品目清单的通知》《财库〔2019〕18号)的要求。</w:t>
      </w:r>
    </w:p>
    <w:p>
      <w:pPr>
        <w:spacing w:line="360" w:lineRule="auto"/>
        <w:ind w:firstLine="480" w:firstLineChars="200"/>
        <w:rPr>
          <w:rFonts w:ascii="宋体" w:hAnsi="宋体" w:cs="宋体"/>
          <w:sz w:val="24"/>
        </w:rPr>
      </w:pPr>
      <w:r>
        <w:rPr>
          <w:rFonts w:hint="eastAsia" w:ascii="宋体" w:hAnsi="宋体" w:cs="宋体"/>
          <w:sz w:val="24"/>
        </w:rPr>
        <w:t>供应商应保证投标所提供资料的真实性，采购人保留审核其真实性的权利，一旦发现供应商提供的资料存在虚假应标的情况，将取消供应商资格。</w:t>
      </w:r>
    </w:p>
    <w:bookmarkEnd w:id="655"/>
    <w:p>
      <w:pPr>
        <w:spacing w:line="360" w:lineRule="auto"/>
        <w:ind w:firstLine="480" w:firstLineChars="200"/>
        <w:rPr>
          <w:rFonts w:ascii="黑体" w:hAnsi="黑体" w:eastAsia="黑体" w:cs="宋体"/>
          <w:sz w:val="24"/>
        </w:rPr>
      </w:pPr>
      <w:r>
        <w:rPr>
          <w:rFonts w:hint="eastAsia" w:ascii="黑体" w:hAnsi="黑体" w:eastAsia="黑体" w:cs="宋体"/>
          <w:sz w:val="24"/>
        </w:rPr>
        <w:t>六、其他技术、服务等要求</w:t>
      </w:r>
    </w:p>
    <w:p>
      <w:pPr>
        <w:spacing w:line="360" w:lineRule="auto"/>
        <w:ind w:firstLine="480" w:firstLineChars="200"/>
        <w:rPr>
          <w:rFonts w:ascii="宋体" w:hAnsi="宋体" w:cs="宋体"/>
          <w:sz w:val="24"/>
        </w:rPr>
      </w:pPr>
      <w:r>
        <w:rPr>
          <w:rFonts w:hint="eastAsia" w:ascii="宋体" w:hAnsi="宋体" w:cs="宋体"/>
          <w:sz w:val="24"/>
        </w:rPr>
        <w:t>1.供应商提供的项目实施方案，内容包括但不限于项目进度计划、人员安排、供货方案、安装调试、验收方案、安装质量控制管理措施、安全文明施工管理措施、项目风险管理措施等内容。实施方案应详细，针对项目特点可指导实施，产品供货有保障。</w:t>
      </w:r>
    </w:p>
    <w:p>
      <w:pPr>
        <w:spacing w:line="360" w:lineRule="auto"/>
        <w:ind w:firstLine="480" w:firstLineChars="200"/>
        <w:rPr>
          <w:rFonts w:ascii="宋体" w:hAnsi="宋体" w:cs="宋体"/>
          <w:sz w:val="24"/>
        </w:rPr>
      </w:pPr>
      <w:r>
        <w:rPr>
          <w:rFonts w:hint="eastAsia" w:ascii="宋体" w:hAnsi="宋体" w:cs="宋体"/>
          <w:sz w:val="24"/>
        </w:rPr>
        <w:t>2.供应商需提供对系统管理员和普通操作用户的项目培训方案。</w:t>
      </w:r>
    </w:p>
    <w:p>
      <w:pPr>
        <w:spacing w:line="360" w:lineRule="auto"/>
        <w:ind w:firstLine="480" w:firstLineChars="200"/>
        <w:rPr>
          <w:rFonts w:ascii="宋体" w:hAnsi="宋体" w:cs="宋体"/>
          <w:sz w:val="24"/>
        </w:rPr>
      </w:pPr>
      <w:r>
        <w:rPr>
          <w:rFonts w:hint="eastAsia" w:ascii="宋体" w:hAnsi="宋体" w:cs="宋体"/>
          <w:sz w:val="24"/>
        </w:rPr>
        <w:t>（1）供应商须提供高水平的培训，培训教员应参与过该项目的实施，并有一定的教学经验；</w:t>
      </w:r>
    </w:p>
    <w:p>
      <w:pPr>
        <w:spacing w:line="360" w:lineRule="auto"/>
        <w:ind w:firstLine="480" w:firstLineChars="200"/>
        <w:rPr>
          <w:rFonts w:ascii="宋体" w:hAnsi="宋体" w:cs="宋体"/>
          <w:sz w:val="24"/>
        </w:rPr>
      </w:pPr>
      <w:r>
        <w:rPr>
          <w:rFonts w:hint="eastAsia" w:ascii="宋体" w:hAnsi="宋体" w:cs="宋体"/>
          <w:sz w:val="24"/>
        </w:rPr>
        <w:t>（2）供应商提供培训资料、讲义等相关用品，所有的资料主要是用中文书写；</w:t>
      </w:r>
    </w:p>
    <w:p>
      <w:pPr>
        <w:spacing w:line="360" w:lineRule="auto"/>
        <w:ind w:firstLine="480" w:firstLineChars="200"/>
        <w:rPr>
          <w:rFonts w:ascii="宋体" w:hAnsi="宋体" w:cs="宋体"/>
          <w:sz w:val="24"/>
        </w:rPr>
      </w:pPr>
      <w:r>
        <w:rPr>
          <w:rFonts w:hint="eastAsia" w:ascii="宋体" w:hAnsi="宋体" w:cs="宋体"/>
          <w:sz w:val="24"/>
        </w:rPr>
        <w:t>（3）培训方式应包括技术讲课、操作示范、参观学习和其它必须的业务指导和技术咨询，确保参训人员对系统基本理论、技术特性、操作规范、运行规程、管理维护等方面获得全面了解和掌握；</w:t>
      </w:r>
    </w:p>
    <w:p>
      <w:pPr>
        <w:spacing w:line="360" w:lineRule="auto"/>
        <w:ind w:firstLine="480" w:firstLineChars="200"/>
        <w:rPr>
          <w:rFonts w:ascii="宋体" w:hAnsi="宋体" w:cs="宋体"/>
          <w:sz w:val="24"/>
        </w:rPr>
      </w:pPr>
      <w:r>
        <w:rPr>
          <w:rFonts w:hint="eastAsia" w:ascii="宋体" w:hAnsi="宋体" w:cs="宋体"/>
          <w:sz w:val="24"/>
        </w:rPr>
        <w:t>（4）供应商应分阶段分产品组织实施培训，包括但不限于ups管理、服务器日常使用和管理、教师对一体机的教学使用等，需提供不少于30小时的培训。</w:t>
      </w:r>
    </w:p>
    <w:p>
      <w:pPr>
        <w:spacing w:line="360" w:lineRule="auto"/>
        <w:ind w:firstLine="480" w:firstLineChars="200"/>
        <w:rPr>
          <w:rFonts w:ascii="黑体" w:hAnsi="黑体" w:eastAsia="黑体" w:cs="宋体"/>
          <w:sz w:val="24"/>
        </w:rPr>
      </w:pPr>
      <w:r>
        <w:rPr>
          <w:rFonts w:hint="eastAsia" w:ascii="黑体" w:hAnsi="黑体" w:eastAsia="黑体" w:cs="宋体"/>
          <w:sz w:val="24"/>
        </w:rPr>
        <w:t>七、验收要求及标准</w:t>
      </w:r>
    </w:p>
    <w:p>
      <w:pPr>
        <w:spacing w:line="360" w:lineRule="auto"/>
        <w:ind w:firstLine="480" w:firstLineChars="200"/>
        <w:rPr>
          <w:rFonts w:ascii="宋体" w:hAnsi="宋体" w:cs="宋体"/>
          <w:sz w:val="24"/>
        </w:rPr>
      </w:pPr>
      <w:r>
        <w:rPr>
          <w:rFonts w:hint="eastAsia" w:ascii="宋体" w:hAnsi="宋体" w:cs="宋体"/>
          <w:sz w:val="24"/>
        </w:rPr>
        <w:t>满足采购人项目进度要求，严格执行约定的服务内容、服务数量、交付时间和地点的规定，符合国家相关标准、行业标准；质量、技术规格要合格；充分满足和提供本项目的相关技术和服务。</w:t>
      </w:r>
    </w:p>
    <w:p>
      <w:pPr>
        <w:spacing w:line="360" w:lineRule="auto"/>
        <w:ind w:firstLine="480" w:firstLineChars="200"/>
        <w:rPr>
          <w:rFonts w:ascii="宋体" w:hAnsi="宋体" w:cs="宋体"/>
          <w:sz w:val="24"/>
        </w:rPr>
      </w:pPr>
      <w:r>
        <w:rPr>
          <w:rFonts w:hint="eastAsia" w:ascii="宋体" w:hAnsi="宋体" w:cs="宋体"/>
          <w:sz w:val="24"/>
        </w:rPr>
        <w:t>1.按照谈判文件中的各项技术指标、规格、性能及生产厂家提供的正式技术文件进行验收，详见谈判文件中的合同格式。</w:t>
      </w:r>
    </w:p>
    <w:p>
      <w:pPr>
        <w:spacing w:line="360" w:lineRule="auto"/>
        <w:ind w:firstLine="480" w:firstLineChars="200"/>
        <w:rPr>
          <w:rFonts w:ascii="宋体" w:hAnsi="宋体" w:cs="宋体"/>
          <w:sz w:val="24"/>
        </w:rPr>
      </w:pPr>
      <w:r>
        <w:rPr>
          <w:rFonts w:hint="eastAsia" w:ascii="宋体" w:hAnsi="宋体" w:cs="宋体"/>
          <w:sz w:val="24"/>
        </w:rPr>
        <w:t>2.中标供应商须提供相关证明资料，如产品出厂检测报告或原产地证明等；</w:t>
      </w:r>
    </w:p>
    <w:p>
      <w:pPr>
        <w:spacing w:line="360" w:lineRule="auto"/>
        <w:ind w:firstLine="480" w:firstLineChars="200"/>
        <w:rPr>
          <w:rFonts w:ascii="宋体" w:hAnsi="宋体" w:cs="宋体"/>
          <w:sz w:val="24"/>
        </w:rPr>
      </w:pPr>
      <w:r>
        <w:rPr>
          <w:rFonts w:hint="eastAsia" w:ascii="宋体" w:hAnsi="宋体" w:cs="宋体"/>
          <w:sz w:val="24"/>
        </w:rPr>
        <w:t>3.验收完成后，中标供应商必须如数提供完整的软硬件设备配置、操作、使用、测试、控制和维护手册。</w:t>
      </w:r>
    </w:p>
    <w:p>
      <w:pPr>
        <w:spacing w:line="360" w:lineRule="auto"/>
        <w:ind w:firstLine="480" w:firstLineChars="200"/>
        <w:rPr>
          <w:rFonts w:ascii="宋体" w:hAnsi="宋体" w:cs="宋体"/>
          <w:sz w:val="24"/>
        </w:rPr>
      </w:pPr>
      <w:r>
        <w:rPr>
          <w:rFonts w:hint="eastAsia" w:ascii="宋体" w:hAnsi="宋体" w:cs="宋体"/>
          <w:sz w:val="24"/>
        </w:rPr>
        <w:t>4.安装必须符合国家相关标准、行业标准、地方标准或者其他标准、规范；必须调试至正常使用。</w:t>
      </w:r>
    </w:p>
    <w:p>
      <w:pPr>
        <w:spacing w:line="360" w:lineRule="auto"/>
        <w:ind w:firstLine="480" w:firstLineChars="200"/>
        <w:rPr>
          <w:rFonts w:ascii="宋体" w:hAnsi="宋体" w:cs="宋体"/>
          <w:sz w:val="24"/>
        </w:rPr>
      </w:pPr>
      <w:r>
        <w:rPr>
          <w:rFonts w:hint="eastAsia" w:ascii="宋体" w:hAnsi="宋体" w:cs="宋体"/>
          <w:sz w:val="24"/>
        </w:rPr>
        <w:t>5项目初步验收合格后如出现问题供应商需4小时内到现场，24小时内解决。</w:t>
      </w:r>
    </w:p>
    <w:p>
      <w:pPr>
        <w:spacing w:line="360" w:lineRule="auto"/>
        <w:ind w:firstLine="480" w:firstLineChars="200"/>
        <w:rPr>
          <w:rFonts w:ascii="宋体" w:hAnsi="宋体" w:cs="宋体"/>
          <w:sz w:val="24"/>
        </w:rPr>
      </w:pPr>
      <w:r>
        <w:rPr>
          <w:rFonts w:hint="eastAsia" w:ascii="宋体" w:hAnsi="宋体" w:cs="宋体"/>
          <w:sz w:val="24"/>
        </w:rPr>
        <w:t>6.每学期按采购人的需求巡检一次</w:t>
      </w:r>
    </w:p>
    <w:bookmarkEnd w:id="652"/>
    <w:p>
      <w:pPr>
        <w:spacing w:line="360" w:lineRule="auto"/>
        <w:jc w:val="center"/>
        <w:outlineLvl w:val="0"/>
        <w:rPr>
          <w:b/>
          <w:sz w:val="36"/>
          <w:szCs w:val="36"/>
        </w:rPr>
      </w:pPr>
      <w:r>
        <w:rPr>
          <w:b/>
          <w:sz w:val="36"/>
          <w:szCs w:val="36"/>
        </w:rPr>
        <w:br w:type="page"/>
      </w:r>
      <w:bookmarkStart w:id="656" w:name="_Toc99301377"/>
      <w:r>
        <w:rPr>
          <w:b/>
          <w:sz w:val="36"/>
          <w:szCs w:val="36"/>
        </w:rPr>
        <w:t>第五章合同草案条款</w:t>
      </w:r>
      <w:bookmarkEnd w:id="656"/>
    </w:p>
    <w:p>
      <w:pPr>
        <w:tabs>
          <w:tab w:val="left" w:pos="900"/>
          <w:tab w:val="left" w:pos="1080"/>
        </w:tabs>
        <w:snapToGrid w:val="0"/>
        <w:spacing w:line="360" w:lineRule="auto"/>
        <w:rPr>
          <w:kern w:val="0"/>
          <w:sz w:val="24"/>
        </w:rPr>
      </w:pPr>
    </w:p>
    <w:p>
      <w:pPr>
        <w:tabs>
          <w:tab w:val="left" w:pos="900"/>
          <w:tab w:val="left" w:pos="1080"/>
        </w:tabs>
        <w:snapToGrid w:val="0"/>
        <w:spacing w:line="360" w:lineRule="auto"/>
        <w:rPr>
          <w:kern w:val="0"/>
          <w:sz w:val="24"/>
        </w:rPr>
      </w:pPr>
      <w:r>
        <w:rPr>
          <w:kern w:val="0"/>
          <w:sz w:val="24"/>
        </w:rPr>
        <w:t>说明：</w:t>
      </w:r>
    </w:p>
    <w:p>
      <w:pPr>
        <w:tabs>
          <w:tab w:val="left" w:pos="900"/>
          <w:tab w:val="left" w:pos="1080"/>
        </w:tabs>
        <w:snapToGrid w:val="0"/>
        <w:spacing w:line="360" w:lineRule="auto"/>
        <w:rPr>
          <w:sz w:val="24"/>
        </w:rPr>
      </w:pPr>
      <w:r>
        <w:rPr>
          <w:kern w:val="0"/>
          <w:sz w:val="24"/>
        </w:rPr>
        <w:t>1. 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bookmarkStart w:id="657" w:name="_Hlk167123837"/>
      <w:r>
        <w:rPr>
          <w:rFonts w:hint="eastAsia"/>
          <w:sz w:val="24"/>
        </w:rPr>
        <w:t>采购人应积极配合供应商获得政府采购合同融资贷款，无特殊原因，应在收到供应商因融资需要发起的变更收款账户申请后</w:t>
      </w:r>
      <w:r>
        <w:rPr>
          <w:sz w:val="24"/>
        </w:rPr>
        <w:t>10个工作日内确认通过。</w:t>
      </w:r>
    </w:p>
    <w:bookmarkEnd w:id="657"/>
    <w:p>
      <w:pPr>
        <w:tabs>
          <w:tab w:val="left" w:pos="900"/>
          <w:tab w:val="left" w:pos="1080"/>
        </w:tabs>
        <w:snapToGrid w:val="0"/>
        <w:spacing w:line="360" w:lineRule="auto"/>
        <w:rPr>
          <w:kern w:val="0"/>
          <w:sz w:val="24"/>
        </w:rPr>
      </w:pPr>
      <w:bookmarkStart w:id="658" w:name="_Hlk167123844"/>
      <w:r>
        <w:rPr>
          <w:sz w:val="24"/>
        </w:rPr>
        <w:t>2.</w:t>
      </w:r>
      <w:r>
        <w:rPr>
          <w:rFonts w:hint="eastAsia"/>
          <w:sz w:val="24"/>
        </w:rPr>
        <w:t>采购人应严格按照要求，在中标、成交通知书发出之日起</w:t>
      </w:r>
      <w:r>
        <w:rPr>
          <w:sz w:val="24"/>
        </w:rPr>
        <w:t>30日内签订采购合同，鼓励采购人在线签订电子合同，完善电子签章管理、合同审核等配套内控机制，进一步缩短合同签订期限。</w:t>
      </w:r>
    </w:p>
    <w:bookmarkEnd w:id="658"/>
    <w:p>
      <w:pPr>
        <w:tabs>
          <w:tab w:val="left" w:pos="900"/>
          <w:tab w:val="left" w:pos="1080"/>
        </w:tabs>
        <w:snapToGrid w:val="0"/>
        <w:spacing w:line="360" w:lineRule="auto"/>
        <w:rPr>
          <w:kern w:val="0"/>
          <w:sz w:val="24"/>
        </w:rPr>
      </w:pPr>
      <w:r>
        <w:rPr>
          <w:kern w:val="0"/>
          <w:sz w:val="24"/>
        </w:rPr>
        <w:t>3.合同类型按照民法典规定的典型合同类别，结合采购标的的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tabs>
          <w:tab w:val="left" w:pos="900"/>
          <w:tab w:val="left" w:pos="1080"/>
        </w:tabs>
        <w:snapToGrid w:val="0"/>
        <w:spacing w:line="360" w:lineRule="auto"/>
        <w:rPr>
          <w:kern w:val="0"/>
          <w:sz w:val="24"/>
        </w:rPr>
      </w:pPr>
      <w:r>
        <w:rPr>
          <w:kern w:val="0"/>
          <w:sz w:val="24"/>
        </w:rPr>
        <w:t>4. 合同条款中应规定，乙方完全遵守《中华人民共和国妇女权益保障法》中关于“劳动和社会保障权益”的有关要求。</w:t>
      </w:r>
    </w:p>
    <w:p>
      <w:pPr>
        <w:tabs>
          <w:tab w:val="left" w:pos="900"/>
          <w:tab w:val="left" w:pos="1080"/>
        </w:tabs>
        <w:snapToGrid w:val="0"/>
        <w:spacing w:line="360" w:lineRule="auto"/>
        <w:rPr>
          <w:sz w:val="24"/>
        </w:rPr>
      </w:pPr>
      <w:r>
        <w:rPr>
          <w:kern w:val="0"/>
          <w:sz w:val="24"/>
        </w:rPr>
        <w:t xml:space="preserve">5. </w:t>
      </w:r>
      <w:r>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900"/>
          <w:tab w:val="left" w:pos="1080"/>
        </w:tabs>
        <w:snapToGrid w:val="0"/>
        <w:spacing w:line="360" w:lineRule="auto"/>
        <w:rPr>
          <w:sz w:val="24"/>
        </w:rPr>
      </w:pPr>
      <w:r>
        <w:rPr>
          <w:sz w:val="24"/>
        </w:rPr>
        <w:t>6. 政府采购合同设定首付款支付方式的，首付款支付比例原则上不低于合同金额的30%；对于中小企业，首付款支付比例原则上不低于合同金额的50%。</w:t>
      </w:r>
    </w:p>
    <w:p>
      <w:pPr>
        <w:pStyle w:val="38"/>
        <w:shd w:val="clear" w:color="auto" w:fill="FFFFFF"/>
        <w:spacing w:before="0" w:beforeAutospacing="0" w:after="0" w:afterAutospacing="0" w:line="360" w:lineRule="auto"/>
        <w:jc w:val="both"/>
      </w:pPr>
      <w:r>
        <w:rPr>
          <w:rFonts w:ascii="Times New Roman" w:hAnsi="Times New Roman" w:cs="Times New Roman"/>
        </w:rPr>
        <w:t>7. 政府采购合同应当约定资金支付的方式、时间和条件，明确逾期支付资金的违约责任。</w:t>
      </w:r>
      <w:bookmarkStart w:id="659" w:name="_Hlk167123899"/>
      <w:r>
        <w:rPr>
          <w:rFonts w:hint="eastAsia" w:ascii="Times New Roman" w:hAnsi="Times New Roman" w:cs="Times New Roman"/>
        </w:rPr>
        <w:t>对于满足合同约定支付条件的，采购人原则上应当自收到发票后</w:t>
      </w:r>
      <w:r>
        <w:rPr>
          <w:rFonts w:ascii="Times New Roman" w:hAnsi="Times New Roman" w:cs="Times New Roman"/>
        </w:rPr>
        <w:t>10个工作日内将资金支付到合同约定的供应商账户，鼓励采购人完善内部流程，自收到发票后1个工作日内完成资金支付事宜。采购人和供应商对资金支付产生争议的，应当按照法律规定和合同约定及时解决，保证资金支付效率。</w:t>
      </w:r>
      <w:bookmarkEnd w:id="659"/>
    </w:p>
    <w:p>
      <w:pPr>
        <w:tabs>
          <w:tab w:val="left" w:pos="900"/>
          <w:tab w:val="left" w:pos="1080"/>
        </w:tabs>
        <w:snapToGrid w:val="0"/>
        <w:spacing w:line="360" w:lineRule="auto"/>
        <w:rPr>
          <w:sz w:val="24"/>
        </w:rPr>
      </w:pPr>
      <w:r>
        <w:rPr>
          <w:sz w:val="24"/>
        </w:rPr>
        <w:t>8.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pPr>
        <w:tabs>
          <w:tab w:val="left" w:pos="900"/>
          <w:tab w:val="left" w:pos="1080"/>
        </w:tabs>
        <w:snapToGrid w:val="0"/>
        <w:spacing w:line="360" w:lineRule="auto"/>
        <w:rPr>
          <w:sz w:val="24"/>
        </w:rPr>
      </w:pPr>
      <w:r>
        <w:rPr>
          <w:sz w:val="24"/>
        </w:rPr>
        <w:t xml:space="preserve">9. </w:t>
      </w:r>
      <w:r>
        <w:rPr>
          <w:rFonts w:hint="eastAsia"/>
          <w:sz w:val="24"/>
        </w:rPr>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pPr>
        <w:spacing w:line="360" w:lineRule="auto"/>
        <w:jc w:val="center"/>
        <w:outlineLvl w:val="0"/>
        <w:rPr>
          <w:b/>
          <w:sz w:val="36"/>
          <w:szCs w:val="36"/>
        </w:rPr>
      </w:pPr>
      <w:r>
        <w:rPr>
          <w:b/>
          <w:sz w:val="36"/>
          <w:szCs w:val="36"/>
        </w:rPr>
        <w:br w:type="page"/>
      </w:r>
      <w:bookmarkStart w:id="660" w:name="_Toc99301378"/>
    </w:p>
    <w:p>
      <w:pPr>
        <w:pStyle w:val="17"/>
        <w:jc w:val="center"/>
        <w:rPr>
          <w:rFonts w:cs="宋体"/>
          <w:b/>
          <w:bCs/>
          <w:spacing w:val="-20"/>
          <w:kern w:val="44"/>
          <w:sz w:val="48"/>
          <w:szCs w:val="48"/>
        </w:rPr>
      </w:pPr>
    </w:p>
    <w:p>
      <w:pPr>
        <w:pStyle w:val="17"/>
        <w:jc w:val="center"/>
        <w:rPr>
          <w:rFonts w:cs="宋体"/>
          <w:b/>
          <w:bCs/>
          <w:spacing w:val="-20"/>
          <w:kern w:val="44"/>
          <w:sz w:val="48"/>
          <w:szCs w:val="48"/>
        </w:rPr>
      </w:pPr>
    </w:p>
    <w:p>
      <w:pPr>
        <w:pStyle w:val="17"/>
        <w:jc w:val="center"/>
        <w:rPr>
          <w:rFonts w:cs="宋体"/>
          <w:b/>
          <w:bCs/>
          <w:spacing w:val="-20"/>
          <w:kern w:val="44"/>
          <w:sz w:val="48"/>
          <w:szCs w:val="48"/>
        </w:rPr>
      </w:pPr>
    </w:p>
    <w:p>
      <w:pPr>
        <w:pStyle w:val="17"/>
        <w:jc w:val="center"/>
        <w:rPr>
          <w:rFonts w:cs="宋体"/>
          <w:b/>
          <w:bCs/>
          <w:spacing w:val="-20"/>
          <w:kern w:val="44"/>
          <w:sz w:val="48"/>
          <w:szCs w:val="48"/>
        </w:rPr>
      </w:pPr>
    </w:p>
    <w:p>
      <w:pPr>
        <w:pStyle w:val="17"/>
        <w:jc w:val="center"/>
        <w:rPr>
          <w:rFonts w:cs="宋体"/>
          <w:b/>
          <w:bCs/>
          <w:spacing w:val="-20"/>
          <w:kern w:val="44"/>
          <w:sz w:val="48"/>
          <w:szCs w:val="48"/>
        </w:rPr>
      </w:pPr>
      <w:r>
        <w:rPr>
          <w:rFonts w:hint="eastAsia" w:cs="宋体"/>
          <w:b/>
          <w:bCs/>
          <w:spacing w:val="-20"/>
          <w:kern w:val="44"/>
          <w:sz w:val="48"/>
          <w:szCs w:val="48"/>
        </w:rPr>
        <w:t>政府采购货物买卖合同</w:t>
      </w:r>
    </w:p>
    <w:p>
      <w:pPr>
        <w:pStyle w:val="17"/>
        <w:jc w:val="center"/>
        <w:rPr>
          <w:rFonts w:cs="宋体"/>
          <w:b/>
          <w:bCs/>
          <w:spacing w:val="-20"/>
          <w:kern w:val="44"/>
          <w:sz w:val="48"/>
          <w:szCs w:val="48"/>
        </w:rPr>
      </w:pPr>
      <w:r>
        <w:rPr>
          <w:rFonts w:hint="eastAsia" w:cs="宋体"/>
          <w:b/>
          <w:bCs/>
          <w:spacing w:val="-20"/>
          <w:kern w:val="44"/>
          <w:sz w:val="48"/>
          <w:szCs w:val="48"/>
        </w:rPr>
        <w:t>（试行）</w:t>
      </w:r>
    </w:p>
    <w:p>
      <w:pPr>
        <w:rPr>
          <w:rFonts w:ascii="宋体" w:hAnsi="宋体" w:cs="宋体"/>
          <w:b/>
          <w:bCs/>
          <w:spacing w:val="-20"/>
          <w:kern w:val="44"/>
          <w:sz w:val="40"/>
          <w:szCs w:val="40"/>
        </w:rPr>
      </w:pPr>
    </w:p>
    <w:p>
      <w:pPr>
        <w:rPr>
          <w:rFonts w:ascii="宋体" w:hAnsi="宋体" w:cs="宋体"/>
          <w:b/>
          <w:bCs/>
          <w:spacing w:val="-20"/>
          <w:kern w:val="44"/>
          <w:sz w:val="40"/>
          <w:szCs w:val="40"/>
        </w:rPr>
      </w:pPr>
    </w:p>
    <w:p>
      <w:pPr>
        <w:rPr>
          <w:rFonts w:ascii="宋体" w:hAnsi="宋体" w:cs="宋体"/>
          <w:b/>
          <w:bCs/>
          <w:spacing w:val="-20"/>
          <w:kern w:val="44"/>
          <w:sz w:val="40"/>
          <w:szCs w:val="40"/>
        </w:rPr>
      </w:pPr>
    </w:p>
    <w:p>
      <w:pPr>
        <w:spacing w:line="360" w:lineRule="auto"/>
        <w:ind w:left="420" w:leftChars="200"/>
        <w:rPr>
          <w:sz w:val="32"/>
          <w:szCs w:val="32"/>
        </w:rPr>
      </w:pPr>
      <w:r>
        <w:rPr>
          <w:rFonts w:hint="eastAsia" w:ascii="宋体" w:hAnsi="宋体" w:cs="宋体"/>
          <w:kern w:val="0"/>
          <w:sz w:val="32"/>
          <w:szCs w:val="32"/>
        </w:rPr>
        <w:t>项目名称：</w:t>
      </w:r>
    </w:p>
    <w:p>
      <w:pPr>
        <w:spacing w:line="360" w:lineRule="auto"/>
        <w:ind w:left="420" w:leftChars="200"/>
        <w:rPr>
          <w:sz w:val="32"/>
          <w:szCs w:val="32"/>
          <w:u w:val="single"/>
        </w:rPr>
      </w:pPr>
      <w:r>
        <w:rPr>
          <w:rFonts w:hint="eastAsia"/>
          <w:sz w:val="32"/>
          <w:szCs w:val="32"/>
        </w:rPr>
        <w:t>合同编号：</w:t>
      </w:r>
    </w:p>
    <w:p>
      <w:pPr>
        <w:spacing w:line="360" w:lineRule="auto"/>
        <w:ind w:left="420" w:leftChars="200"/>
        <w:rPr>
          <w:sz w:val="32"/>
          <w:szCs w:val="32"/>
        </w:rPr>
      </w:pPr>
      <w:r>
        <w:rPr>
          <w:rFonts w:hint="eastAsia"/>
          <w:sz w:val="32"/>
          <w:szCs w:val="32"/>
        </w:rPr>
        <w:t>甲方：</w:t>
      </w:r>
    </w:p>
    <w:p>
      <w:pPr>
        <w:spacing w:line="360" w:lineRule="auto"/>
        <w:ind w:left="420" w:leftChars="200"/>
        <w:rPr>
          <w:sz w:val="32"/>
          <w:szCs w:val="32"/>
          <w:u w:val="single"/>
        </w:rPr>
      </w:pPr>
      <w:r>
        <w:rPr>
          <w:rFonts w:hint="eastAsia"/>
          <w:sz w:val="32"/>
          <w:szCs w:val="32"/>
        </w:rPr>
        <w:t>乙方：</w:t>
      </w:r>
    </w:p>
    <w:p>
      <w:pPr>
        <w:spacing w:line="360" w:lineRule="auto"/>
        <w:ind w:left="420" w:leftChars="200"/>
        <w:rPr>
          <w:sz w:val="32"/>
          <w:szCs w:val="32"/>
        </w:rPr>
      </w:pPr>
      <w:r>
        <w:rPr>
          <w:rFonts w:hint="eastAsia"/>
          <w:sz w:val="32"/>
          <w:szCs w:val="32"/>
        </w:rPr>
        <w:t>签订时间：</w:t>
      </w:r>
    </w:p>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eastAsia="黑体"/>
          <w:sz w:val="44"/>
          <w:szCs w:val="44"/>
        </w:rPr>
      </w:pPr>
      <w:r>
        <w:rPr>
          <w:rFonts w:hint="eastAsia" w:eastAsia="黑体"/>
          <w:sz w:val="44"/>
          <w:szCs w:val="44"/>
        </w:rPr>
        <w:t>使用说明</w:t>
      </w:r>
    </w:p>
    <w:p>
      <w:pPr>
        <w:ind w:firstLine="640" w:firstLineChars="200"/>
        <w:rPr>
          <w:rFonts w:ascii="仿宋_GB2312" w:hAnsi="仿宋_GB2312" w:eastAsia="仿宋_GB2312" w:cs="仿宋_GB2312"/>
          <w:sz w:val="32"/>
          <w:szCs w:val="32"/>
        </w:rPr>
      </w:pPr>
    </w:p>
    <w:p>
      <w:pPr>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1.本合同标准文本适用于购买现成货物的采购项目，不包括需要供应商定制开发、创新研发的货物采购项目。</w:t>
      </w:r>
    </w:p>
    <w:p>
      <w:pPr>
        <w:ind w:firstLine="640" w:firstLineChars="200"/>
        <w:rPr>
          <w:rFonts w:asciiTheme="minorEastAsia" w:hAnsiTheme="minorEastAsia" w:eastAsiaTheme="minorEastAsia"/>
          <w:sz w:val="44"/>
          <w:szCs w:val="44"/>
        </w:rPr>
      </w:pPr>
      <w:r>
        <w:rPr>
          <w:rFonts w:hint="eastAsia" w:cs="仿宋_GB2312" w:asciiTheme="minorEastAsia" w:hAnsiTheme="minorEastAsia" w:eastAsiaTheme="minorEastAsia"/>
          <w:sz w:val="32"/>
          <w:szCs w:val="32"/>
        </w:rPr>
        <w:t>2.本合同标准文本为政府采购货物买卖合同编制提供参考，可以结合采购项目具体情况，对文本作必要的调整修订后使用。</w:t>
      </w:r>
    </w:p>
    <w:p>
      <w:pPr>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3.本合同标准文本各条款中，如涉及填写多家供应商、制造商，多种采购标的、分包主要内容等信息的，可根据采购项目具体情况添加信息项。</w:t>
      </w:r>
    </w:p>
    <w:p>
      <w:pPr>
        <w:widowControl/>
        <w:jc w:val="left"/>
        <w:rPr>
          <w:rFonts w:asciiTheme="minorEastAsia" w:hAnsiTheme="minorEastAsia" w:eastAsiaTheme="minorEastAsia"/>
          <w:sz w:val="44"/>
          <w:szCs w:val="44"/>
        </w:rPr>
        <w:sectPr>
          <w:pgSz w:w="11906" w:h="16838"/>
          <w:pgMar w:top="1440" w:right="1800" w:bottom="1440" w:left="1800" w:header="851" w:footer="992" w:gutter="0"/>
          <w:cols w:space="720" w:num="1"/>
          <w:docGrid w:type="lines" w:linePitch="312" w:charSpace="0"/>
        </w:sectPr>
      </w:pPr>
    </w:p>
    <w:p>
      <w:pPr>
        <w:pStyle w:val="3"/>
        <w:snapToGrid w:val="0"/>
        <w:spacing w:line="400" w:lineRule="exact"/>
        <w:rPr>
          <w:rFonts w:ascii="黑体" w:hAnsi="黑体"/>
          <w:sz w:val="28"/>
          <w:szCs w:val="28"/>
        </w:rPr>
      </w:pPr>
      <w:bookmarkStart w:id="661" w:name="_Toc22209"/>
    </w:p>
    <w:bookmarkEnd w:id="661"/>
    <w:p>
      <w:pPr>
        <w:keepNext/>
        <w:keepLines/>
        <w:adjustRightInd w:val="0"/>
        <w:snapToGrid w:val="0"/>
        <w:spacing w:line="400" w:lineRule="exact"/>
        <w:jc w:val="center"/>
        <w:outlineLvl w:val="1"/>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p>
    <w:p>
      <w:pPr>
        <w:keepNext/>
        <w:keepLines/>
        <w:adjustRightInd w:val="0"/>
        <w:snapToGrid w:val="0"/>
        <w:spacing w:line="400" w:lineRule="exact"/>
        <w:jc w:val="center"/>
        <w:outlineLvl w:val="1"/>
        <w:rPr>
          <w:rFonts w:ascii="黑体" w:hAnsi="华文中宋" w:eastAsia="黑体"/>
          <w:sz w:val="28"/>
          <w:szCs w:val="28"/>
        </w:rPr>
      </w:pPr>
    </w:p>
    <w:p>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00" w:lineRule="exact"/>
      </w:pPr>
    </w:p>
    <w:p>
      <w:pPr>
        <w:adjustRightInd w:val="0"/>
        <w:snapToGrid w:val="0"/>
        <w:spacing w:line="400" w:lineRule="exact"/>
        <w:ind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16"/>
        </w:numPr>
        <w:adjustRightInd w:val="0"/>
        <w:snapToGrid w:val="0"/>
        <w:spacing w:line="400" w:lineRule="exact"/>
        <w:ind w:firstLine="422" w:firstLineChars="200"/>
        <w:rPr>
          <w:rFonts w:ascii="宋体" w:hAnsi="宋体"/>
          <w:b/>
          <w:szCs w:val="21"/>
        </w:rPr>
      </w:pPr>
      <w:r>
        <w:rPr>
          <w:rFonts w:hint="eastAsia" w:ascii="宋体" w:hAnsi="宋体"/>
          <w:b/>
          <w:szCs w:val="21"/>
        </w:rPr>
        <w:t>项目信息</w:t>
      </w:r>
    </w:p>
    <w:p>
      <w:pPr>
        <w:numPr>
          <w:ilvl w:val="0"/>
          <w:numId w:val="17"/>
        </w:numPr>
        <w:adjustRightInd w:val="0"/>
        <w:snapToGrid w:val="0"/>
        <w:spacing w:line="400" w:lineRule="exact"/>
        <w:ind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numPr>
          <w:ilvl w:val="255"/>
          <w:numId w:val="0"/>
        </w:numPr>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szCs w:val="21"/>
        </w:rPr>
      </w:pPr>
      <w:r>
        <w:rPr>
          <w:rFonts w:hint="eastAsia" w:ascii="宋体" w:hAnsi="宋体" w:cs="宋体"/>
          <w:szCs w:val="21"/>
        </w:rPr>
        <w:t>①涉及信息类产品，请填写该产品关键部件的品牌、型号：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关键部件</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②涉及车辆采购，请填写是否属于新能源汽车：</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是，《政府采购品目分类目录》底级品目名称：</w:t>
      </w:r>
      <w:r>
        <w:rPr>
          <w:rFonts w:hint="eastAsia" w:ascii="宋体" w:hAnsi="宋体" w:cs="宋体"/>
          <w:kern w:val="0"/>
          <w:szCs w:val="21"/>
          <w:u w:val="single"/>
        </w:rPr>
        <w:t xml:space="preserve">     </w:t>
      </w:r>
      <w:r>
        <w:rPr>
          <w:rFonts w:hint="eastAsia" w:ascii="宋体" w:hAnsi="宋体" w:cs="宋体"/>
          <w:kern w:val="0"/>
          <w:szCs w:val="21"/>
        </w:rPr>
        <w:t xml:space="preserve"> 数量：</w:t>
      </w:r>
      <w:r>
        <w:rPr>
          <w:rFonts w:hint="eastAsia" w:ascii="宋体" w:hAnsi="宋体" w:cs="宋体"/>
          <w:kern w:val="0"/>
          <w:szCs w:val="21"/>
          <w:u w:val="single"/>
        </w:rPr>
        <w:t xml:space="preserve">    </w:t>
      </w:r>
      <w:r>
        <w:rPr>
          <w:rFonts w:hint="eastAsia" w:ascii="宋体" w:hAnsi="宋体" w:cs="宋体"/>
          <w:kern w:val="0"/>
          <w:szCs w:val="21"/>
        </w:rPr>
        <w:t xml:space="preserve"> 金额：</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否</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lang w:val="en"/>
        </w:rPr>
        <w:t>4</w:t>
      </w:r>
      <w:r>
        <w:rPr>
          <w:rFonts w:hint="eastAsia" w:ascii="宋体" w:hAnsi="宋体" w:cs="宋体"/>
          <w:kern w:val="0"/>
          <w:szCs w:val="21"/>
        </w:rPr>
        <w:t>）政府采购组织形式：</w:t>
      </w:r>
      <w:r>
        <w:rPr>
          <w:rFonts w:hint="eastAsia" w:ascii="宋体" w:hAnsi="宋体" w:cs="宋体"/>
          <w:kern w:val="0"/>
          <w:szCs w:val="21"/>
        </w:rPr>
        <w:sym w:font="Wingdings" w:char="00A8"/>
      </w:r>
      <w:r>
        <w:rPr>
          <w:rFonts w:hint="eastAsia" w:ascii="宋体" w:hAnsi="宋体" w:cs="宋体"/>
          <w:kern w:val="0"/>
          <w:szCs w:val="21"/>
        </w:rPr>
        <w:t xml:space="preserve">政府集中采购  </w:t>
      </w:r>
      <w:r>
        <w:rPr>
          <w:rFonts w:hint="eastAsia" w:ascii="宋体" w:hAnsi="宋体" w:cs="宋体"/>
          <w:kern w:val="0"/>
          <w:szCs w:val="21"/>
        </w:rPr>
        <w:sym w:font="Wingdings" w:char="00A8"/>
      </w:r>
      <w:r>
        <w:rPr>
          <w:rFonts w:hint="eastAsia" w:ascii="宋体" w:hAnsi="宋体" w:cs="宋体"/>
          <w:kern w:val="0"/>
          <w:szCs w:val="21"/>
        </w:rPr>
        <w:t xml:space="preserve">部门集中采购  </w:t>
      </w:r>
      <w:r>
        <w:rPr>
          <w:rFonts w:hint="eastAsia" w:ascii="宋体" w:hAnsi="宋体" w:cs="宋体"/>
          <w:kern w:val="0"/>
          <w:szCs w:val="21"/>
        </w:rPr>
        <w:sym w:font="Wingdings" w:char="00A8"/>
      </w:r>
      <w:r>
        <w:rPr>
          <w:rFonts w:hint="eastAsia" w:ascii="宋体" w:hAnsi="宋体" w:cs="宋体"/>
          <w:kern w:val="0"/>
          <w:szCs w:val="21"/>
        </w:rPr>
        <w:t>分散采购</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lang w:val="en"/>
        </w:rPr>
        <w:t>5</w:t>
      </w:r>
      <w:r>
        <w:rPr>
          <w:rFonts w:hint="eastAsia" w:ascii="宋体" w:hAnsi="宋体" w:cs="宋体"/>
          <w:kern w:val="0"/>
          <w:szCs w:val="21"/>
        </w:rPr>
        <w:t>）政府采购方式：</w:t>
      </w:r>
      <w:r>
        <w:rPr>
          <w:rFonts w:hint="eastAsia" w:ascii="宋体" w:hAnsi="宋体" w:cs="宋体"/>
          <w:kern w:val="0"/>
          <w:szCs w:val="21"/>
        </w:rPr>
        <w:sym w:font="Wingdings" w:char="00A8"/>
      </w:r>
      <w:r>
        <w:rPr>
          <w:rFonts w:hint="eastAsia" w:ascii="宋体" w:hAnsi="宋体" w:cs="宋体"/>
          <w:kern w:val="0"/>
          <w:szCs w:val="21"/>
        </w:rPr>
        <w:t xml:space="preserve">公开招标 </w:t>
      </w:r>
      <w:r>
        <w:rPr>
          <w:rFonts w:hint="eastAsia" w:ascii="宋体" w:hAnsi="宋体" w:cs="宋体"/>
          <w:kern w:val="0"/>
          <w:szCs w:val="21"/>
        </w:rPr>
        <w:sym w:font="Wingdings" w:char="00A8"/>
      </w:r>
      <w:r>
        <w:rPr>
          <w:rFonts w:hint="eastAsia" w:ascii="宋体" w:hAnsi="宋体" w:cs="宋体"/>
          <w:kern w:val="0"/>
          <w:szCs w:val="21"/>
        </w:rPr>
        <w:t xml:space="preserve">邀请招标 </w:t>
      </w:r>
      <w:r>
        <w:rPr>
          <w:rFonts w:hint="eastAsia" w:ascii="宋体" w:hAnsi="宋体" w:cs="宋体"/>
          <w:kern w:val="0"/>
          <w:szCs w:val="21"/>
        </w:rPr>
        <w:sym w:font="Wingdings" w:char="00A8"/>
      </w:r>
      <w:r>
        <w:rPr>
          <w:rFonts w:hint="eastAsia" w:ascii="宋体" w:hAnsi="宋体" w:cs="宋体"/>
          <w:kern w:val="0"/>
          <w:szCs w:val="21"/>
        </w:rPr>
        <w:t xml:space="preserve">竞争性谈判 </w:t>
      </w:r>
      <w:r>
        <w:rPr>
          <w:rFonts w:hint="eastAsia" w:ascii="宋体" w:hAnsi="宋体" w:cs="宋体"/>
          <w:kern w:val="0"/>
          <w:szCs w:val="21"/>
        </w:rPr>
        <w:sym w:font="Wingdings" w:char="00A8"/>
      </w:r>
      <w:r>
        <w:rPr>
          <w:rFonts w:hint="eastAsia" w:ascii="宋体" w:hAnsi="宋体" w:cs="宋体"/>
          <w:kern w:val="0"/>
          <w:szCs w:val="21"/>
        </w:rPr>
        <w:t>竞争性磋商</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Pr>
          <w:rFonts w:hint="eastAsia" w:ascii="宋体" w:hAnsi="宋体" w:eastAsia="华文楷体" w:cs="宋体"/>
          <w:kern w:val="0"/>
          <w:sz w:val="22"/>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询价 </w:t>
      </w:r>
      <w:r>
        <w:rPr>
          <w:rFonts w:hint="eastAsia" w:ascii="宋体" w:hAnsi="宋体" w:cs="宋体"/>
          <w:kern w:val="0"/>
          <w:szCs w:val="21"/>
        </w:rPr>
        <w:sym w:font="Wingdings" w:char="00A8"/>
      </w:r>
      <w:r>
        <w:rPr>
          <w:rFonts w:hint="eastAsia" w:ascii="宋体" w:hAnsi="宋体" w:cs="宋体"/>
          <w:kern w:val="0"/>
          <w:szCs w:val="21"/>
        </w:rPr>
        <w:t xml:space="preserve">单一来源 </w:t>
      </w:r>
      <w:r>
        <w:rPr>
          <w:rFonts w:hint="eastAsia" w:ascii="宋体" w:hAnsi="宋体" w:cs="宋体"/>
          <w:kern w:val="0"/>
          <w:szCs w:val="21"/>
        </w:rPr>
        <w:sym w:font="Wingdings" w:char="00A8"/>
      </w:r>
      <w:r>
        <w:rPr>
          <w:rFonts w:hint="eastAsia" w:ascii="宋体" w:hAnsi="宋体" w:cs="宋体"/>
          <w:kern w:val="0"/>
          <w:szCs w:val="21"/>
        </w:rPr>
        <w:t xml:space="preserve">框架协议 </w:t>
      </w:r>
      <w:r>
        <w:rPr>
          <w:rFonts w:hint="eastAsia" w:ascii="宋体" w:hAnsi="宋体" w:cs="宋体"/>
          <w:kern w:val="0"/>
          <w:szCs w:val="21"/>
        </w:rPr>
        <w:sym w:font="Wingdings" w:char="00A8"/>
      </w:r>
      <w:r>
        <w:rPr>
          <w:rFonts w:hint="eastAsia" w:ascii="宋体" w:hAnsi="宋体" w:cs="宋体"/>
          <w:kern w:val="0"/>
          <w:szCs w:val="21"/>
        </w:rPr>
        <w:t>其他：</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Pr>
          <w:rFonts w:hint="eastAsia" w:ascii="宋体" w:hAnsi="宋体" w:cs="宋体"/>
          <w:kern w:val="0"/>
          <w:szCs w:val="21"/>
        </w:rPr>
        <w:t>（注：在框架协议采购的第二阶段，可选择使用该合同文本）</w:t>
      </w:r>
    </w:p>
    <w:p>
      <w:pPr>
        <w:widowControl/>
        <w:numPr>
          <w:ilvl w:val="255"/>
          <w:numId w:val="0"/>
        </w:numPr>
        <w:autoSpaceDE w:val="0"/>
        <w:autoSpaceDN w:val="0"/>
        <w:adjustRightInd w:val="0"/>
        <w:snapToGrid w:val="0"/>
        <w:spacing w:line="400" w:lineRule="exact"/>
        <w:ind w:firstLine="220" w:firstLineChars="100"/>
        <w:jc w:val="left"/>
        <w:rPr>
          <w:rFonts w:ascii="宋体" w:hAnsi="宋体"/>
          <w:szCs w:val="21"/>
        </w:rPr>
      </w:pPr>
      <w:r>
        <w:rPr>
          <w:rFonts w:hint="eastAsia" w:ascii="宋体" w:hAnsi="宋体" w:eastAsia="华文楷体" w:cs="华文楷体"/>
          <w:kern w:val="0"/>
          <w:sz w:val="22"/>
          <w:szCs w:val="21"/>
        </w:rPr>
        <w:t xml:space="preserve"> （</w:t>
      </w:r>
      <w:r>
        <w:rPr>
          <w:rFonts w:ascii="宋体" w:hAnsi="宋体" w:eastAsia="华文楷体" w:cs="华文楷体"/>
          <w:kern w:val="0"/>
          <w:sz w:val="22"/>
          <w:szCs w:val="21"/>
          <w:lang w:val="en"/>
        </w:rPr>
        <w:t>6</w:t>
      </w:r>
      <w:r>
        <w:rPr>
          <w:rFonts w:hint="eastAsia" w:ascii="宋体" w:hAnsi="宋体" w:eastAsia="华文楷体" w:cs="华文楷体"/>
          <w:kern w:val="0"/>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widowControl/>
        <w:tabs>
          <w:tab w:val="left" w:pos="1340"/>
        </w:tabs>
        <w:autoSpaceDE w:val="0"/>
        <w:autoSpaceDN w:val="0"/>
        <w:adjustRightInd w:val="0"/>
        <w:spacing w:line="40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外商投资企业类型：</w:t>
      </w:r>
      <w:r>
        <w:rPr>
          <w:rFonts w:hint="eastAsia" w:ascii="宋体" w:hAnsi="宋体" w:cs="宋体"/>
          <w:iCs/>
          <w:kern w:val="0"/>
          <w:szCs w:val="21"/>
        </w:rPr>
        <w:sym w:font="Wingdings" w:char="00A8"/>
      </w:r>
      <w:r>
        <w:rPr>
          <w:rFonts w:hint="eastAsia" w:ascii="宋体" w:hAnsi="宋体" w:cs="宋体"/>
          <w:kern w:val="0"/>
          <w:szCs w:val="21"/>
        </w:rPr>
        <w:t xml:space="preserve">全部由外国投资者投资  </w:t>
      </w:r>
      <w:r>
        <w:rPr>
          <w:rFonts w:hint="eastAsia" w:ascii="宋体" w:hAnsi="宋体" w:cs="宋体"/>
          <w:iCs/>
          <w:kern w:val="0"/>
          <w:szCs w:val="21"/>
        </w:rPr>
        <w:sym w:font="Wingdings" w:char="00A8"/>
      </w:r>
      <w:r>
        <w:rPr>
          <w:rFonts w:hint="eastAsia" w:ascii="宋体" w:hAnsi="宋体" w:cs="宋体"/>
          <w:iCs/>
          <w:kern w:val="0"/>
          <w:szCs w:val="21"/>
        </w:rPr>
        <w:t>部分由外国投资者投资</w:t>
      </w:r>
    </w:p>
    <w:p>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pPr>
        <w:widowControl/>
        <w:numPr>
          <w:ilvl w:val="255"/>
          <w:numId w:val="0"/>
        </w:numPr>
        <w:autoSpaceDE w:val="0"/>
        <w:autoSpaceDN w:val="0"/>
        <w:adjustRightInd w:val="0"/>
        <w:snapToGrid w:val="0"/>
        <w:spacing w:line="400" w:lineRule="exact"/>
        <w:jc w:val="left"/>
        <w:rPr>
          <w:rFonts w:ascii="宋体" w:hAnsi="宋体"/>
          <w:szCs w:val="21"/>
        </w:rPr>
      </w:pPr>
      <w:r>
        <w:rPr>
          <w:rFonts w:hint="eastAsia" w:ascii="宋体" w:hAnsi="宋体" w:eastAsia="华文楷体" w:cs="华文楷体"/>
          <w:kern w:val="0"/>
          <w:szCs w:val="21"/>
        </w:rPr>
        <w:t xml:space="preserve">          </w:t>
      </w:r>
      <w:r>
        <w:rPr>
          <w:rFonts w:hint="eastAsia" w:ascii="宋体" w:hAnsi="宋体"/>
          <w:szCs w:val="21"/>
        </w:rPr>
        <w:t xml:space="preserve">是否涉及绿色产品： </w:t>
      </w:r>
    </w:p>
    <w:p>
      <w:pPr>
        <w:widowControl/>
        <w:autoSpaceDE w:val="0"/>
        <w:autoSpaceDN w:val="0"/>
        <w:adjustRightInd w:val="0"/>
        <w:spacing w:line="400" w:lineRule="exact"/>
        <w:ind w:firstLine="420"/>
        <w:jc w:val="left"/>
        <w:rPr>
          <w:rFonts w:ascii="宋体" w:hAnsi="宋体" w:cs="华文楷体"/>
          <w:kern w:val="0"/>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kern w:val="0"/>
          <w:sz w:val="22"/>
          <w:szCs w:val="21"/>
          <w:u w:val="single"/>
        </w:rPr>
        <w:t xml:space="preserve">         </w:t>
      </w:r>
    </w:p>
    <w:p>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pPr>
        <w:widowControl/>
        <w:autoSpaceDE w:val="0"/>
        <w:autoSpaceDN w:val="0"/>
        <w:adjustRightInd w:val="0"/>
        <w:spacing w:line="400" w:lineRule="exact"/>
        <w:ind w:firstLine="420"/>
        <w:jc w:val="left"/>
        <w:rPr>
          <w:rFonts w:ascii="宋体" w:hAnsi="宋体" w:eastAsia="华文楷体" w:cs="华文楷体"/>
          <w:kern w:val="0"/>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16"/>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00" w:lineRule="exact"/>
        <w:ind w:firstLine="420" w:firstLineChars="200"/>
        <w:rPr>
          <w:szCs w:val="21"/>
        </w:rPr>
      </w:pPr>
      <w:r>
        <w:rPr>
          <w:rFonts w:hint="eastAsia" w:ascii="宋体" w:hAnsi="宋体"/>
          <w:szCs w:val="21"/>
        </w:rPr>
        <w:t>（3）付款方式（按项目实际勾选填写）：</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16"/>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widowControl/>
        <w:autoSpaceDE w:val="0"/>
        <w:autoSpaceDN w:val="0"/>
        <w:adjustRightInd w:val="0"/>
        <w:spacing w:line="400" w:lineRule="exact"/>
        <w:ind w:firstLine="440" w:firstLineChars="200"/>
        <w:jc w:val="left"/>
        <w:rPr>
          <w:rFonts w:ascii="宋体" w:hAnsi="宋体" w:cs="宋体"/>
          <w:kern w:val="0"/>
          <w:szCs w:val="21"/>
        </w:rPr>
      </w:pPr>
      <w:r>
        <w:rPr>
          <w:rFonts w:hint="eastAsia" w:ascii="宋体" w:hAnsi="宋体" w:eastAsia="华文楷体" w:cs="宋体"/>
          <w:bCs/>
          <w:kern w:val="0"/>
          <w:sz w:val="22"/>
          <w:szCs w:val="21"/>
        </w:rPr>
        <w:t xml:space="preserve">  </w:t>
      </w:r>
      <w:r>
        <w:rPr>
          <w:rFonts w:hint="eastAsia" w:ascii="宋体" w:hAnsi="宋体" w:cs="宋体"/>
          <w:kern w:val="0"/>
          <w:szCs w:val="21"/>
        </w:rPr>
        <w:t xml:space="preserve">  收取履约保证金形式：</w:t>
      </w:r>
      <w:r>
        <w:rPr>
          <w:rFonts w:hint="eastAsia" w:ascii="宋体" w:hAnsi="宋体" w:cs="宋体"/>
          <w:bCs/>
          <w:kern w:val="0"/>
          <w:szCs w:val="21"/>
          <w:u w:val="single"/>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    收取履约保证金金额：</w:t>
      </w:r>
      <w:r>
        <w:rPr>
          <w:rFonts w:hint="eastAsia" w:ascii="宋体" w:hAnsi="宋体" w:cs="宋体"/>
          <w:bCs/>
          <w:kern w:val="0"/>
          <w:szCs w:val="21"/>
          <w:u w:val="single"/>
        </w:rPr>
        <w:t xml:space="preserve">                            </w:t>
      </w:r>
    </w:p>
    <w:p>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numPr>
          <w:ilvl w:val="0"/>
          <w:numId w:val="16"/>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pPr>
        <w:numPr>
          <w:ilvl w:val="0"/>
          <w:numId w:val="18"/>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widowControl/>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bCs/>
          <w:kern w:val="0"/>
          <w:szCs w:val="21"/>
        </w:rPr>
        <w:t>（7）是否以采购活动中供应商提供的样品作为参考：</w:t>
      </w:r>
      <w:r>
        <w:rPr>
          <w:rFonts w:hint="eastAsia" w:ascii="宋体" w:hAnsi="宋体" w:cs="宋体"/>
          <w:kern w:val="0"/>
          <w:szCs w:val="21"/>
        </w:rPr>
        <w:sym w:font="Wingdings" w:char="00A8"/>
      </w:r>
      <w:r>
        <w:rPr>
          <w:rFonts w:hint="eastAsia" w:ascii="宋体" w:hAnsi="宋体" w:cs="宋体"/>
          <w:bCs/>
          <w:kern w:val="0"/>
          <w:szCs w:val="21"/>
        </w:rPr>
        <w:t xml:space="preserve">是  </w:t>
      </w:r>
      <w:r>
        <w:rPr>
          <w:rFonts w:hint="eastAsia" w:ascii="宋体" w:hAnsi="宋体" w:cs="宋体"/>
          <w:kern w:val="0"/>
          <w:szCs w:val="21"/>
        </w:rPr>
        <w:sym w:font="Wingdings" w:char="00A8"/>
      </w:r>
      <w:r>
        <w:rPr>
          <w:rFonts w:hint="eastAsia" w:ascii="宋体" w:hAnsi="宋体" w:cs="宋体"/>
          <w:bCs/>
          <w:kern w:val="0"/>
          <w:szCs w:val="21"/>
        </w:rPr>
        <w:t>否</w:t>
      </w:r>
    </w:p>
    <w:p>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16"/>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pPr>
        <w:widowControl/>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kern w:val="0"/>
          <w:szCs w:val="21"/>
        </w:rPr>
        <w:t>（8）</w:t>
      </w:r>
      <w:r>
        <w:rPr>
          <w:rFonts w:hint="eastAsia" w:ascii="宋体" w:hAnsi="宋体" w:cs="宋体"/>
          <w:color w:val="000000"/>
          <w:szCs w:val="21"/>
        </w:rPr>
        <w:t>国家法律、行政法规和规章制度规定或合同约定的作为合同组成部分的其他文件</w:t>
      </w:r>
    </w:p>
    <w:p>
      <w:pPr>
        <w:numPr>
          <w:ilvl w:val="0"/>
          <w:numId w:val="16"/>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16"/>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pPr>
        <w:pStyle w:val="161"/>
        <w:spacing w:line="400" w:lineRule="exact"/>
        <w:ind w:left="840"/>
      </w:pPr>
    </w:p>
    <w:p>
      <w:pPr>
        <w:pStyle w:val="3"/>
        <w:spacing w:line="400" w:lineRule="exact"/>
        <w:rPr>
          <w:rFonts w:ascii="宋体" w:hAnsi="宋体"/>
          <w:b w:val="0"/>
          <w:sz w:val="21"/>
          <w:szCs w:val="21"/>
        </w:rPr>
      </w:pPr>
    </w:p>
    <w:p>
      <w:r>
        <w:br w:type="page"/>
      </w:r>
    </w:p>
    <w:p>
      <w:pPr>
        <w:pStyle w:val="161"/>
        <w:ind w:left="840"/>
      </w:pP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pPr>
              <w:adjustRightInd w:val="0"/>
              <w:snapToGrid w:val="0"/>
              <w:spacing w:line="300" w:lineRule="exact"/>
              <w:jc w:val="center"/>
            </w:pPr>
            <w:r>
              <w:rPr>
                <w:rFonts w:hint="eastAsia"/>
                <w:szCs w:val="21"/>
              </w:rPr>
              <w:t>甲方（采购人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pPr>
              <w:adjustRightInd w:val="0"/>
              <w:snapToGrid w:val="0"/>
              <w:spacing w:line="300" w:lineRule="exact"/>
              <w:jc w:val="center"/>
            </w:pPr>
            <w:r>
              <w:rPr>
                <w:rFonts w:hint="eastAsia"/>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法定代表人</w:t>
            </w:r>
          </w:p>
          <w:p>
            <w:pPr>
              <w:adjustRightInd w:val="0"/>
              <w:snapToGrid w:val="0"/>
              <w:spacing w:line="300" w:lineRule="exact"/>
              <w:ind w:firstLine="100" w:firstLineChars="48"/>
              <w:jc w:val="center"/>
              <w:rPr>
                <w:szCs w:val="21"/>
              </w:rPr>
            </w:pPr>
            <w:r>
              <w:rPr>
                <w:rFonts w:hint="eastAsia"/>
                <w:szCs w:val="21"/>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法定代表人</w:t>
            </w:r>
          </w:p>
          <w:p>
            <w:pPr>
              <w:adjustRightInd w:val="0"/>
              <w:snapToGrid w:val="0"/>
              <w:spacing w:line="300" w:lineRule="exact"/>
              <w:jc w:val="center"/>
              <w:rPr>
                <w:szCs w:val="21"/>
              </w:rPr>
            </w:pPr>
            <w:r>
              <w:rPr>
                <w:rFonts w:hint="eastAsia"/>
                <w:szCs w:val="21"/>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pPr>
              <w:widowControl/>
              <w:jc w:val="left"/>
              <w:rPr>
                <w:szCs w:val="21"/>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pPr>
              <w:widowControl/>
              <w:jc w:val="left"/>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住所</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联系人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联系人</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pStyle w:val="18"/>
              <w:adjustRightInd w:val="0"/>
              <w:snapToGrid w:val="0"/>
              <w:spacing w:before="120" w:beforeLines="50"/>
              <w:jc w:val="left"/>
              <w:rPr>
                <w:spacing w:val="20"/>
                <w:szCs w:val="21"/>
              </w:rPr>
            </w:pPr>
            <w:r>
              <w:rPr>
                <w:rFonts w:hint="eastAsia" w:ascii="宋体" w:hAnsi="宋体"/>
                <w:szCs w:val="21"/>
              </w:rPr>
              <w:t>注：涉及联合体或其他合同主体的信息应按上表格式加列。</w:t>
            </w:r>
          </w:p>
        </w:tc>
      </w:tr>
    </w:tbl>
    <w:p>
      <w:pPr>
        <w:pStyle w:val="3"/>
        <w:snapToGrid w:val="0"/>
        <w:spacing w:beforeLines="50"/>
        <w:rPr>
          <w:rFonts w:ascii="黑体" w:hAnsi="黑体"/>
          <w:kern w:val="2"/>
          <w:sz w:val="28"/>
          <w:szCs w:val="28"/>
        </w:rPr>
      </w:pPr>
      <w:r>
        <w:rPr>
          <w:rFonts w:hint="eastAsia" w:ascii="宋体" w:hAnsi="宋体"/>
          <w:b w:val="0"/>
          <w:bCs/>
          <w:szCs w:val="21"/>
          <w:u w:val="single"/>
        </w:rPr>
        <w:br w:type="page"/>
      </w:r>
      <w:bookmarkStart w:id="662" w:name="_Toc27624"/>
      <w:r>
        <w:rPr>
          <w:rFonts w:hint="eastAsia" w:ascii="黑体" w:hAnsi="黑体"/>
          <w:b w:val="0"/>
          <w:bCs/>
          <w:sz w:val="28"/>
          <w:szCs w:val="28"/>
        </w:rPr>
        <w:t>第二节 政府采购合同通用条款</w:t>
      </w:r>
      <w:bookmarkEnd w:id="662"/>
    </w:p>
    <w:p>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1.1合同当事人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themeColor="text1"/>
          <w:szCs w:val="21"/>
          <w14:textFill>
            <w14:solidFill>
              <w14:schemeClr w14:val="tx1"/>
            </w14:solidFill>
          </w14:textFill>
        </w:rPr>
        <w:t>包括软件）及相关的其备品备件、工具、手册及其他技术资料和材料等。</w:t>
      </w:r>
    </w:p>
    <w:p>
      <w:pPr>
        <w:adjustRightInd w:val="0"/>
        <w:snapToGrid w:val="0"/>
        <w:spacing w:line="400" w:lineRule="exact"/>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szCs w:val="21"/>
        </w:rPr>
        <w:t>相关</w:t>
      </w:r>
      <w:r>
        <w:rPr>
          <w:rFonts w:hint="eastAsia" w:ascii="宋体" w:hAnsi="宋体"/>
          <w:color w:val="000000" w:themeColor="text1"/>
          <w:szCs w:val="21"/>
          <w14:textFill>
            <w14:solidFill>
              <w14:schemeClr w14:val="tx1"/>
            </w14:solidFill>
          </w14:textFill>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adjustRightInd w:val="0"/>
        <w:snapToGrid w:val="0"/>
        <w:spacing w:line="400" w:lineRule="exact"/>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pPr>
        <w:numPr>
          <w:ilvl w:val="0"/>
          <w:numId w:val="19"/>
        </w:num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pPr>
        <w:autoSpaceDE w:val="0"/>
        <w:autoSpaceDN w:val="0"/>
        <w:adjustRightInd w:val="0"/>
        <w:snapToGrid w:val="0"/>
        <w:spacing w:line="400" w:lineRule="exact"/>
        <w:ind w:firstLine="420" w:firstLineChars="200"/>
        <w:jc w:val="left"/>
        <w:rPr>
          <w:rFonts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合同标的及金额应与中标（成交）结果一致。乙方为履行本合同而发生的所有费用均应包含在合同价款中，甲方不再另行支付其他任何费用。</w:t>
      </w:r>
    </w:p>
    <w:p>
      <w:pPr>
        <w:adjustRightInd w:val="0"/>
        <w:snapToGrid w:val="0"/>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 甲方有权要求乙方对缺陷部分予以修复，并按合同约定享有货物保修及其他合同约定的权利。</w:t>
      </w:r>
    </w:p>
    <w:p>
      <w:pPr>
        <w:snapToGrid w:val="0"/>
        <w:spacing w:line="400" w:lineRule="exact"/>
        <w:ind w:firstLine="420" w:firstLineChars="200"/>
        <w:rPr>
          <w:rFonts w:eastAsia="华文楷体"/>
        </w:rPr>
      </w:pPr>
      <w:r>
        <w:rPr>
          <w:rFonts w:hint="eastAsia" w:ascii="宋体" w:hAnsi="宋体"/>
          <w:color w:val="000000" w:themeColor="text1"/>
          <w:szCs w:val="21"/>
          <w14:textFill>
            <w14:solidFill>
              <w14:schemeClr w14:val="tx1"/>
            </w14:solidFill>
          </w14:textFill>
        </w:rPr>
        <w:t>4.4 甲方应当按照合同约定及时对交付的货物进行验收，</w:t>
      </w:r>
      <w:r>
        <w:rPr>
          <w:rFonts w:hint="eastAsia" w:ascii="宋体" w:hAnsi="宋体" w:cs="宋体"/>
          <w:szCs w:val="21"/>
        </w:rPr>
        <w:t>未</w:t>
      </w:r>
      <w:r>
        <w:rPr>
          <w:rFonts w:hint="eastAsia" w:ascii="宋体" w:hAnsi="宋体"/>
          <w:color w:val="000000" w:themeColor="text1"/>
          <w:szCs w:val="21"/>
          <w14:textFill>
            <w14:solidFill>
              <w14:schemeClr w14:val="tx1"/>
            </w14:solidFill>
          </w14:textFill>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 甲方应当根据合同约定及时向乙方支付合同价款，不得以内部人员变更、履行内部付款流程等为由，拒绝或迟延支付。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国家法律法规规定及</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p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 签署合同后，乙方应确定项目负责人（或项目联系人），负责与本合同有关的事务。</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autoSpaceDE w:val="0"/>
        <w:autoSpaceDN w:val="0"/>
        <w:adjustRightInd w:val="0"/>
        <w:snapToGrid w:val="0"/>
        <w:spacing w:line="400" w:lineRule="exact"/>
        <w:ind w:firstLine="420" w:firstLineChars="200"/>
        <w:jc w:val="left"/>
        <w:rPr>
          <w:rFonts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5.3乙方有权</w:t>
      </w:r>
      <w:r>
        <w:rPr>
          <w:rFonts w:hint="eastAsia" w:cs="宋体"/>
          <w:color w:val="000000" w:themeColor="text1"/>
          <w:szCs w:val="21"/>
          <w14:textFill>
            <w14:solidFill>
              <w14:schemeClr w14:val="tx1"/>
            </w14:solidFill>
          </w14:textFill>
        </w:rPr>
        <w:t>根据合同约定向甲方收取合同价款。</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w:t>
      </w:r>
      <w:r>
        <w:rPr>
          <w:rFonts w:hint="eastAsia" w:cs="宋体"/>
          <w:color w:val="000000" w:themeColor="text1"/>
          <w:szCs w:val="21"/>
          <w14:textFill>
            <w14:solidFill>
              <w14:schemeClr w14:val="tx1"/>
            </w14:solidFill>
          </w14:textFill>
        </w:rPr>
        <w:t>国家法律法规规定</w:t>
      </w:r>
      <w:r>
        <w:rPr>
          <w:rFonts w:hint="eastAsia"/>
          <w:color w:val="000000" w:themeColor="text1"/>
          <w:szCs w:val="21"/>
          <w14:textFill>
            <w14:solidFill>
              <w14:schemeClr w14:val="tx1"/>
            </w14:solidFill>
          </w14:textFill>
        </w:rPr>
        <w:t>及</w:t>
      </w:r>
      <w:r>
        <w:rPr>
          <w:rFonts w:hint="eastAsia" w:cs="宋体"/>
          <w:b/>
          <w:bCs/>
          <w:szCs w:val="21"/>
        </w:rPr>
        <w:t>【政府采购合同专用条款】</w:t>
      </w:r>
      <w:r>
        <w:rPr>
          <w:rFonts w:hint="eastAsia" w:cs="宋体"/>
          <w:szCs w:val="21"/>
        </w:rPr>
        <w:t>约定应</w:t>
      </w:r>
      <w:r>
        <w:rPr>
          <w:rFonts w:hint="eastAsia" w:cs="宋体"/>
          <w:color w:val="000000" w:themeColor="text1"/>
          <w:szCs w:val="21"/>
          <w14:textFill>
            <w14:solidFill>
              <w14:schemeClr w14:val="tx1"/>
            </w14:solidFill>
          </w14:textFill>
        </w:rPr>
        <w:t>由乙方承担的其他义务和责任。</w:t>
      </w:r>
    </w:p>
    <w:p>
      <w:pPr>
        <w:numPr>
          <w:ilvl w:val="0"/>
          <w:numId w:val="20"/>
        </w:num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pPr>
        <w:autoSpaceDE w:val="0"/>
        <w:autoSpaceDN w:val="0"/>
        <w:adjustRightInd w:val="0"/>
        <w:snapToGrid w:val="0"/>
        <w:spacing w:line="400" w:lineRule="exact"/>
        <w:ind w:firstLine="420" w:firstLineChars="200"/>
        <w:jc w:val="left"/>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pPr>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pPr>
        <w:pStyle w:val="252"/>
        <w:ind w:firstLine="420"/>
        <w:rPr>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pPr>
        <w:adjustRightInd w:val="0"/>
        <w:snapToGrid w:val="0"/>
        <w:spacing w:line="400" w:lineRule="exact"/>
        <w:jc w:val="left"/>
        <w:rPr>
          <w:rFonts w:ascii="宋体" w:hAnsi="宋体"/>
          <w:b/>
          <w:sz w:val="24"/>
        </w:rPr>
      </w:pPr>
      <w:r>
        <w:rPr>
          <w:rFonts w:hint="eastAsia" w:ascii="宋体" w:hAnsi="宋体"/>
          <w:b/>
          <w:color w:val="000000" w:themeColor="text1"/>
          <w:sz w:val="24"/>
          <w14:textFill>
            <w14:solidFill>
              <w14:schemeClr w14:val="tx1"/>
            </w14:solidFill>
          </w14:textFill>
        </w:rPr>
        <w:t xml:space="preserve">8. </w:t>
      </w:r>
      <w:r>
        <w:rPr>
          <w:rFonts w:hint="eastAsia" w:ascii="宋体" w:hAnsi="宋体"/>
          <w:b/>
          <w:sz w:val="24"/>
        </w:rPr>
        <w:t>质量标准和保证</w:t>
      </w:r>
    </w:p>
    <w:p>
      <w:pPr>
        <w:pStyle w:val="23"/>
        <w:adjustRightInd w:val="0"/>
        <w:snapToGrid w:val="0"/>
        <w:spacing w:line="400" w:lineRule="exact"/>
        <w:ind w:firstLine="420" w:firstLineChars="200"/>
        <w:jc w:val="left"/>
        <w:rPr>
          <w:rFonts w:hint="default" w:hAnsi="宋体"/>
          <w:b/>
        </w:rPr>
      </w:pPr>
      <w:r>
        <w:rPr>
          <w:rFonts w:hAnsi="宋体"/>
        </w:rPr>
        <w:t>8.1 质量标准</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3"/>
        <w:adjustRightInd w:val="0"/>
        <w:snapToGrid w:val="0"/>
        <w:spacing w:line="400" w:lineRule="exact"/>
        <w:ind w:firstLine="420" w:firstLineChars="200"/>
        <w:jc w:val="left"/>
        <w:rPr>
          <w:rFonts w:hint="default" w:hAnsi="宋体"/>
          <w:szCs w:val="21"/>
        </w:rPr>
      </w:pPr>
      <w:r>
        <w:rPr>
          <w:rFonts w:hAnsi="宋体"/>
        </w:rPr>
        <w:t>（2）采用中华人民共和国法定计量单位。</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14:textFill>
            <w14:solidFill>
              <w14:schemeClr w14:val="tx1"/>
            </w14:solidFill>
          </w14:textFill>
        </w:rPr>
        <w:t>5</w:t>
      </w:r>
      <w:r>
        <w:rPr>
          <w:rFonts w:hint="eastAsia" w:ascii="宋体" w:hAnsi="宋体"/>
          <w:szCs w:val="21"/>
        </w:rPr>
        <w:t>.1条规定以书面形式</w:t>
      </w:r>
      <w:r>
        <w:rPr>
          <w:rFonts w:hint="eastAsia" w:ascii="宋体" w:hAnsi="宋体"/>
          <w:color w:val="000000" w:themeColor="text1"/>
          <w:szCs w:val="21"/>
          <w14:textFill>
            <w14:solidFill>
              <w14:schemeClr w14:val="tx1"/>
            </w14:solidFill>
          </w14:textFill>
        </w:rPr>
        <w:t>追究</w:t>
      </w:r>
      <w:r>
        <w:rPr>
          <w:rFonts w:hint="eastAsia" w:ascii="宋体" w:hAnsi="宋体"/>
          <w:szCs w:val="21"/>
        </w:rPr>
        <w:t>乙方</w:t>
      </w:r>
      <w:r>
        <w:rPr>
          <w:rFonts w:hint="eastAsia" w:ascii="宋体" w:hAnsi="宋体"/>
          <w:color w:val="000000" w:themeColor="text1"/>
          <w:szCs w:val="21"/>
          <w14:textFill>
            <w14:solidFill>
              <w14:schemeClr w14:val="tx1"/>
            </w14:solidFill>
          </w14:textFill>
        </w:rPr>
        <w:t>的违约责任</w:t>
      </w:r>
      <w:r>
        <w:rPr>
          <w:rFonts w:hint="eastAsia" w:ascii="宋体" w:hAnsi="宋体"/>
          <w:szCs w:val="21"/>
        </w:rPr>
        <w:t>。</w:t>
      </w:r>
    </w:p>
    <w:p>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sz w:val="24"/>
        </w:rPr>
      </w:pPr>
      <w:r>
        <w:rPr>
          <w:rFonts w:hint="eastAsia" w:ascii="宋体" w:hAnsi="宋体"/>
          <w:b/>
          <w:bCs/>
          <w:color w:val="000000" w:themeColor="text1"/>
          <w:sz w:val="24"/>
          <w14:textFill>
            <w14:solidFill>
              <w14:schemeClr w14:val="tx1"/>
            </w14:solidFill>
          </w14:textFill>
        </w:rPr>
        <w:t>9</w:t>
      </w:r>
      <w:r>
        <w:rPr>
          <w:rFonts w:hint="eastAsia" w:ascii="宋体" w:hAnsi="宋体"/>
          <w:b/>
          <w:bCs/>
          <w:sz w:val="24"/>
        </w:rPr>
        <w:t>.权利瑕疵担保</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w:t>
      </w:r>
      <w:r>
        <w:rPr>
          <w:rFonts w:hint="eastAsia" w:ascii="宋体" w:hAnsi="宋体"/>
          <w:szCs w:val="21"/>
        </w:rPr>
        <w:t>何第三人的知识产权等权利。</w:t>
      </w:r>
      <w:bookmarkStart w:id="663"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63"/>
      <w:r>
        <w:rPr>
          <w:rFonts w:hint="eastAsia" w:ascii="宋体" w:hAnsi="宋体"/>
          <w:szCs w:val="21"/>
        </w:rPr>
        <w:t>。</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autoSpaceDE w:val="0"/>
        <w:autoSpaceDN w:val="0"/>
        <w:adjustRightInd w:val="0"/>
        <w:snapToGrid w:val="0"/>
        <w:spacing w:line="400" w:lineRule="exact"/>
        <w:ind w:firstLine="420" w:firstLineChars="200"/>
        <w:jc w:val="left"/>
        <w:rPr>
          <w:rFonts w:ascii="宋体" w:hAnsi="宋体"/>
          <w:bCs/>
          <w:sz w:val="24"/>
        </w:rPr>
      </w:pPr>
      <w:r>
        <w:rPr>
          <w:rFonts w:hint="eastAsia" w:ascii="宋体" w:hAnsi="宋体"/>
          <w:bCs/>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w:t>
      </w:r>
      <w:r>
        <w:rPr>
          <w:rFonts w:hint="eastAsia" w:ascii="宋体" w:hAnsi="宋体"/>
          <w:b/>
          <w:szCs w:val="21"/>
        </w:rPr>
        <w:t>政府采购合同专用条款</w:t>
      </w:r>
      <w:r>
        <w:rPr>
          <w:rFonts w:hint="eastAsia" w:ascii="宋体" w:hAnsi="宋体"/>
          <w:b/>
          <w:bCs/>
          <w:szCs w:val="21"/>
        </w:rPr>
        <w:t>】</w:t>
      </w:r>
      <w:r>
        <w:rPr>
          <w:rFonts w:hint="eastAsia" w:ascii="宋体" w:hAnsi="宋体"/>
          <w:bCs/>
          <w:szCs w:val="21"/>
        </w:rPr>
        <w:t>中约定。</w:t>
      </w:r>
    </w:p>
    <w:p>
      <w:pPr>
        <w:pStyle w:val="17"/>
        <w:spacing w:line="400" w:lineRule="exact"/>
        <w:rPr>
          <w:b/>
          <w:bCs/>
        </w:rPr>
      </w:pPr>
      <w:r>
        <w:rPr>
          <w:rFonts w:hint="eastAsia"/>
          <w:b/>
          <w:bCs/>
        </w:rPr>
        <w:t>13. 履约保证金</w:t>
      </w:r>
    </w:p>
    <w:p>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pStyle w:val="252"/>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0" w:lineRule="exact"/>
        <w:jc w:val="left"/>
        <w:rPr>
          <w:rFonts w:ascii="宋体" w:hAnsi="宋体"/>
          <w:b/>
          <w:bCs/>
          <w:sz w:val="24"/>
        </w:rPr>
      </w:pPr>
      <w:r>
        <w:rPr>
          <w:rFonts w:hint="eastAsia" w:ascii="宋体" w:hAnsi="宋体"/>
          <w:b/>
          <w:bCs/>
          <w:sz w:val="24"/>
        </w:rPr>
        <w:t>15. 违约责任</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21"/>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pPr>
        <w:adjustRightInd w:val="0"/>
        <w:snapToGrid w:val="0"/>
        <w:spacing w:line="400"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252"/>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pStyle w:val="252"/>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pPr>
        <w:pStyle w:val="252"/>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pPr>
        <w:pStyle w:val="252"/>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pPr>
        <w:pStyle w:val="252"/>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252"/>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autoSpaceDE w:val="0"/>
        <w:autoSpaceDN w:val="0"/>
        <w:adjustRightInd w:val="0"/>
        <w:snapToGrid w:val="0"/>
        <w:spacing w:line="400" w:lineRule="exact"/>
        <w:ind w:firstLine="420" w:firstLineChars="200"/>
        <w:jc w:val="left"/>
        <w:rPr>
          <w:rFonts w:ascii="宋体" w:hAnsi="宋体"/>
          <w:szCs w:val="21"/>
        </w:rPr>
      </w:pPr>
      <w:r>
        <w:rPr>
          <w:rFonts w:hint="eastAsia"/>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pPr>
        <w:pStyle w:val="252"/>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pPr>
        <w:pStyle w:val="252"/>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pPr>
        <w:pStyle w:val="252"/>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pPr>
        <w:pStyle w:val="252"/>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22"/>
        </w:numPr>
        <w:adjustRightInd w:val="0"/>
        <w:snapToGrid w:val="0"/>
        <w:spacing w:line="400" w:lineRule="exact"/>
        <w:jc w:val="left"/>
        <w:rPr>
          <w:rFonts w:ascii="宋体" w:hAnsi="宋体"/>
          <w:b/>
          <w:bCs/>
          <w:sz w:val="24"/>
        </w:rPr>
      </w:pPr>
      <w:r>
        <w:rPr>
          <w:rFonts w:hint="eastAsia" w:ascii="宋体" w:hAnsi="宋体"/>
          <w:b/>
          <w:bCs/>
          <w:sz w:val="24"/>
        </w:rPr>
        <w:t>合同未尽事项</w:t>
      </w:r>
    </w:p>
    <w:p>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64"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pStyle w:val="3"/>
        <w:snapToGrid w:val="0"/>
        <w:rPr>
          <w:rFonts w:ascii="黑体" w:hAnsi="华文中宋"/>
          <w:b w:val="0"/>
          <w:sz w:val="28"/>
          <w:szCs w:val="28"/>
        </w:rPr>
      </w:pPr>
      <w:r>
        <w:rPr>
          <w:rFonts w:hint="eastAsia" w:ascii="黑体" w:hAnsi="华文中宋"/>
          <w:b w:val="0"/>
          <w:bCs/>
          <w:sz w:val="28"/>
          <w:szCs w:val="28"/>
        </w:rPr>
        <w:t>第三节 政府采购合同专用条款</w:t>
      </w:r>
      <w:bookmarkEnd w:id="664"/>
    </w:p>
    <w:tbl>
      <w:tblPr>
        <w:tblStyle w:val="44"/>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1742" w:type="dxa"/>
            <w:tcBorders>
              <w:top w:val="double" w:color="auto" w:sz="4"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szCs w:val="21"/>
              </w:rPr>
            </w:pP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第二节</w:t>
            </w:r>
          </w:p>
          <w:p>
            <w:pPr>
              <w:pStyle w:val="252"/>
              <w:ind w:firstLine="0" w:firstLineChars="0"/>
              <w:jc w:val="center"/>
            </w:pPr>
            <w:r>
              <w:rPr>
                <w:rFonts w:hint="eastAsia" w:ascii="宋体" w:hAnsi="宋体" w:eastAsia="宋体" w:cs="宋体"/>
              </w:rPr>
              <w:t>第11.1款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rPr>
            </w:pPr>
            <w:r>
              <w:rPr>
                <w:rFonts w:hint="eastAsia" w:ascii="宋体" w:hAnsi="宋体"/>
                <w:szCs w:val="21"/>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174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Cs w:val="21"/>
              </w:rPr>
            </w:pPr>
            <w:r>
              <w:rPr>
                <w:rFonts w:hint="eastAsia" w:ascii="宋体" w:hAnsi="宋体"/>
                <w:szCs w:val="21"/>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1742" w:type="dxa"/>
            <w:tcBorders>
              <w:top w:val="single" w:color="auto" w:sz="6" w:space="0"/>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bottom w:val="single" w:color="auto" w:sz="6"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（1）向仲裁委员会申请仲裁，仲裁地点为；</w:t>
            </w:r>
          </w:p>
          <w:p>
            <w:pPr>
              <w:adjustRightInd w:val="0"/>
              <w:snapToGrid w:val="0"/>
              <w:jc w:val="left"/>
              <w:rPr>
                <w:rFonts w:ascii="宋体" w:hAnsi="宋体"/>
                <w:szCs w:val="21"/>
                <w:u w:val="single"/>
              </w:rPr>
            </w:pPr>
            <w:r>
              <w:rPr>
                <w:rFonts w:hint="eastAsia" w:ascii="宋体" w:hAnsi="宋体" w:cs="宋体"/>
                <w:iCs/>
                <w:szCs w:val="21"/>
              </w:rPr>
              <w:t>（2）向人民法院起诉。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1742" w:type="dxa"/>
            <w:tcBorders>
              <w:top w:val="single" w:color="auto" w:sz="6" w:space="0"/>
              <w:left w:val="single" w:color="auto" w:sz="6" w:space="0"/>
              <w:bottom w:val="double" w:color="auto" w:sz="4" w:space="0"/>
              <w:right w:val="single" w:color="auto" w:sz="6" w:space="0"/>
            </w:tcBorders>
            <w:vAlign w:val="center"/>
          </w:tcPr>
          <w:p>
            <w:pPr>
              <w:adjustRightInd w:val="0"/>
              <w:snapToGrid w:val="0"/>
              <w:jc w:val="left"/>
              <w:rPr>
                <w:rFonts w:ascii="宋体" w:hAnsi="宋体"/>
                <w:szCs w:val="21"/>
              </w:rPr>
            </w:pPr>
            <w:r>
              <w:rPr>
                <w:rFonts w:hint="eastAsia" w:ascii="宋体" w:hAnsi="宋体"/>
                <w:bCs/>
                <w:szCs w:val="21"/>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pPr>
              <w:adjustRightInd w:val="0"/>
              <w:snapToGrid w:val="0"/>
              <w:jc w:val="left"/>
              <w:rPr>
                <w:rFonts w:ascii="宋体" w:hAnsi="宋体"/>
                <w:szCs w:val="21"/>
              </w:rPr>
            </w:pPr>
          </w:p>
        </w:tc>
      </w:tr>
    </w:tbl>
    <w:p/>
    <w:p/>
    <w:p>
      <w:pPr>
        <w:spacing w:line="360" w:lineRule="auto"/>
        <w:jc w:val="center"/>
        <w:outlineLvl w:val="0"/>
        <w:rPr>
          <w:b/>
          <w:sz w:val="36"/>
          <w:szCs w:val="36"/>
        </w:rPr>
      </w:pPr>
      <w:r>
        <w:rPr>
          <w:b/>
          <w:sz w:val="36"/>
          <w:szCs w:val="36"/>
        </w:rPr>
        <w:br w:type="page"/>
      </w:r>
    </w:p>
    <w:p>
      <w:pPr>
        <w:spacing w:line="360" w:lineRule="auto"/>
        <w:jc w:val="center"/>
        <w:outlineLvl w:val="0"/>
        <w:rPr>
          <w:b/>
          <w:sz w:val="36"/>
          <w:szCs w:val="36"/>
        </w:rPr>
      </w:pPr>
      <w:r>
        <w:rPr>
          <w:b/>
          <w:sz w:val="36"/>
          <w:szCs w:val="36"/>
        </w:rPr>
        <w:t>第六章响应文件格式</w:t>
      </w:r>
      <w:bookmarkEnd w:id="660"/>
    </w:p>
    <w:p>
      <w:pPr>
        <w:widowControl/>
        <w:spacing w:line="360" w:lineRule="auto"/>
        <w:jc w:val="left"/>
        <w:rPr>
          <w:b/>
          <w:sz w:val="24"/>
        </w:rPr>
      </w:pPr>
    </w:p>
    <w:p>
      <w:pPr>
        <w:tabs>
          <w:tab w:val="left" w:pos="900"/>
          <w:tab w:val="left" w:pos="1980"/>
        </w:tabs>
        <w:snapToGrid w:val="0"/>
        <w:spacing w:line="360" w:lineRule="auto"/>
        <w:ind w:left="142"/>
        <w:rPr>
          <w:b/>
          <w:sz w:val="24"/>
        </w:rPr>
      </w:pPr>
      <w:r>
        <w:rPr>
          <w:b/>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对于谈判文件中标记了“实质性格式”文件的，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。未标记“实质性格式”的文件和谈判文件未提供格式的内容，可由供应商自行编写。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响应文件</w:t>
      </w:r>
    </w:p>
    <w:p>
      <w:pPr>
        <w:ind w:firstLine="963" w:firstLineChars="150"/>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numPr>
          <w:ilvl w:val="0"/>
          <w:numId w:val="23"/>
        </w:numPr>
        <w:tabs>
          <w:tab w:val="left" w:pos="360"/>
        </w:tabs>
        <w:snapToGrid w:val="0"/>
        <w:spacing w:line="360" w:lineRule="auto"/>
        <w:outlineLvl w:val="1"/>
        <w:rPr>
          <w:color w:val="000000"/>
          <w:sz w:val="24"/>
          <w:szCs w:val="20"/>
        </w:rPr>
      </w:pPr>
      <w:r>
        <w:rPr>
          <w:color w:val="000000"/>
          <w:sz w:val="24"/>
          <w:szCs w:val="20"/>
        </w:rPr>
        <w:t>满足《中华人民共和国政府采购法》第二十二条规定</w:t>
      </w:r>
    </w:p>
    <w:p>
      <w:pPr>
        <w:spacing w:line="360" w:lineRule="auto"/>
        <w:outlineLvl w:val="2"/>
        <w:rPr>
          <w:color w:val="000000"/>
          <w:sz w:val="24"/>
          <w:szCs w:val="20"/>
        </w:rPr>
      </w:pPr>
      <w:r>
        <w:rPr>
          <w:color w:val="000000"/>
          <w:sz w:val="24"/>
          <w:szCs w:val="20"/>
        </w:rPr>
        <w:t>1-1营业执照等证明文件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5"/>
        <w:rPr>
          <w:rFonts w:ascii="Times New Roman"/>
          <w:b w:val="0"/>
          <w:color w:val="000000"/>
          <w:u w:val="none"/>
        </w:rPr>
      </w:pPr>
      <w:r>
        <w:rPr>
          <w:rFonts w:ascii="Times New Roman"/>
          <w:b w:val="0"/>
          <w:color w:val="000000"/>
          <w:u w:val="none"/>
        </w:rPr>
        <w:t>1-2 供应商资格声明书</w:t>
      </w:r>
    </w:p>
    <w:p>
      <w:pPr>
        <w:spacing w:line="360" w:lineRule="auto"/>
        <w:jc w:val="center"/>
        <w:rPr>
          <w:b/>
          <w:color w:val="000000"/>
          <w:sz w:val="36"/>
          <w:szCs w:val="36"/>
        </w:rPr>
      </w:pPr>
      <w:r>
        <w:rPr>
          <w:b/>
          <w:color w:val="000000"/>
          <w:sz w:val="36"/>
          <w:szCs w:val="36"/>
        </w:rPr>
        <w:t>供应商资格声明书</w:t>
      </w:r>
    </w:p>
    <w:p>
      <w:pPr>
        <w:rPr>
          <w:color w:val="000000"/>
          <w:szCs w:val="20"/>
        </w:rPr>
      </w:pPr>
    </w:p>
    <w:p>
      <w:pPr>
        <w:tabs>
          <w:tab w:val="left" w:pos="5580"/>
        </w:tabs>
        <w:spacing w:line="360" w:lineRule="auto"/>
        <w:rPr>
          <w:b/>
          <w:sz w:val="24"/>
        </w:rPr>
      </w:pPr>
      <w:r>
        <w:rPr>
          <w:sz w:val="24"/>
        </w:rPr>
        <w:t>致：</w:t>
      </w:r>
      <w:r>
        <w:rPr>
          <w:rFonts w:hint="eastAsia"/>
          <w:sz w:val="24"/>
          <w:u w:val="single"/>
        </w:rPr>
        <w:t xml:space="preserve">              </w:t>
      </w:r>
      <w:r>
        <w:rPr>
          <w:rFonts w:hint="eastAsia"/>
          <w:b/>
          <w:sz w:val="24"/>
        </w:rPr>
        <w:t>（请供应商填写“采购</w:t>
      </w:r>
      <w:r>
        <w:rPr>
          <w:b/>
          <w:sz w:val="24"/>
        </w:rPr>
        <w:t>人</w:t>
      </w:r>
      <w:r>
        <w:rPr>
          <w:rFonts w:hint="eastAsia"/>
          <w:b/>
          <w:sz w:val="24"/>
        </w:rPr>
        <w:t>”名称）</w:t>
      </w:r>
    </w:p>
    <w:p>
      <w:pPr>
        <w:spacing w:line="360" w:lineRule="auto"/>
        <w:ind w:firstLine="480" w:firstLineChars="200"/>
        <w:rPr>
          <w:sz w:val="24"/>
        </w:rPr>
      </w:pPr>
      <w:r>
        <w:rPr>
          <w:sz w:val="24"/>
        </w:rPr>
        <w:t>在参与本次项目响应中，我单位承诺：</w:t>
      </w:r>
    </w:p>
    <w:p>
      <w:pPr>
        <w:numPr>
          <w:ilvl w:val="0"/>
          <w:numId w:val="24"/>
        </w:numPr>
        <w:spacing w:line="360" w:lineRule="auto"/>
        <w:ind w:left="1134"/>
        <w:rPr>
          <w:sz w:val="24"/>
          <w:szCs w:val="22"/>
        </w:rPr>
      </w:pPr>
      <w:r>
        <w:rPr>
          <w:sz w:val="24"/>
          <w:szCs w:val="22"/>
        </w:rPr>
        <w:t>具有良好的商业信誉和健全的财务会计制度；</w:t>
      </w:r>
    </w:p>
    <w:p>
      <w:pPr>
        <w:numPr>
          <w:ilvl w:val="0"/>
          <w:numId w:val="24"/>
        </w:numPr>
        <w:spacing w:line="360" w:lineRule="auto"/>
        <w:ind w:left="1134"/>
        <w:rPr>
          <w:sz w:val="24"/>
          <w:szCs w:val="22"/>
        </w:rPr>
      </w:pPr>
      <w:r>
        <w:rPr>
          <w:sz w:val="24"/>
          <w:szCs w:val="22"/>
        </w:rPr>
        <w:t>具有履行合同所必需的设备和专业技术能力；</w:t>
      </w:r>
    </w:p>
    <w:p>
      <w:pPr>
        <w:numPr>
          <w:ilvl w:val="0"/>
          <w:numId w:val="24"/>
        </w:numPr>
        <w:spacing w:line="360" w:lineRule="auto"/>
        <w:ind w:left="1134"/>
        <w:rPr>
          <w:sz w:val="24"/>
          <w:szCs w:val="22"/>
        </w:rPr>
      </w:pPr>
      <w:r>
        <w:rPr>
          <w:sz w:val="24"/>
          <w:szCs w:val="22"/>
        </w:rPr>
        <w:t>有依法缴纳税收和社会保障资金的良好记录；</w:t>
      </w:r>
    </w:p>
    <w:p>
      <w:pPr>
        <w:numPr>
          <w:ilvl w:val="0"/>
          <w:numId w:val="2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2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24"/>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    ____________</w:t>
      </w:r>
    </w:p>
    <w:p>
      <w:pPr>
        <w:spacing w:line="360" w:lineRule="auto"/>
        <w:ind w:right="360" w:firstLine="480"/>
        <w:jc w:val="right"/>
        <w:rPr>
          <w:sz w:val="24"/>
        </w:rPr>
      </w:pPr>
      <w:r>
        <w:rPr>
          <w:color w:val="000000"/>
          <w:sz w:val="24"/>
          <w:szCs w:val="20"/>
        </w:rPr>
        <w:t>日期：_____年______月______日</w:t>
      </w:r>
    </w:p>
    <w:p>
      <w:pPr>
        <w:spacing w:line="360" w:lineRule="auto"/>
        <w:rPr>
          <w:sz w:val="24"/>
        </w:rPr>
      </w:pPr>
      <w:r>
        <w:rPr>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p>
    <w:p>
      <w:pPr>
        <w:numPr>
          <w:ilvl w:val="0"/>
          <w:numId w:val="23"/>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pPr>
        <w:spacing w:line="360" w:lineRule="auto"/>
        <w:outlineLvl w:val="2"/>
        <w:rPr>
          <w:rFonts w:eastAsiaTheme="minorEastAsia"/>
          <w:color w:val="000000"/>
          <w:sz w:val="24"/>
          <w:szCs w:val="20"/>
        </w:rPr>
      </w:pPr>
      <w:r>
        <w:rPr>
          <w:rFonts w:eastAsiaTheme="minorEastAsia"/>
          <w:color w:val="000000"/>
          <w:sz w:val="24"/>
          <w:szCs w:val="20"/>
        </w:rPr>
        <w:t>2-1中小企业</w:t>
      </w:r>
      <w:r>
        <w:rPr>
          <w:rFonts w:hint="eastAsia" w:eastAsiaTheme="minorEastAsia"/>
          <w:color w:val="000000"/>
          <w:sz w:val="24"/>
          <w:szCs w:val="20"/>
        </w:rPr>
        <w:t>政策</w:t>
      </w:r>
      <w:r>
        <w:rPr>
          <w:rFonts w:eastAsiaTheme="minorEastAsia"/>
          <w:color w:val="000000"/>
          <w:sz w:val="24"/>
          <w:szCs w:val="20"/>
        </w:rPr>
        <w:t>证明文件</w:t>
      </w: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sz w:val="24"/>
        </w:rPr>
      </w:pPr>
      <w:r>
        <w:rPr>
          <w:rFonts w:eastAsiaTheme="minorEastAsia"/>
          <w:sz w:val="24"/>
        </w:rPr>
        <w:t>（4）</w:t>
      </w:r>
      <w:r>
        <w:rPr>
          <w:sz w:val="24"/>
        </w:rPr>
        <w:t>中小企业声明函填写注意事项</w:t>
      </w:r>
    </w:p>
    <w:p>
      <w:pPr>
        <w:tabs>
          <w:tab w:val="left" w:pos="5580"/>
        </w:tabs>
        <w:spacing w:line="360" w:lineRule="auto"/>
        <w:rPr>
          <w:sz w:val="24"/>
        </w:rPr>
      </w:pPr>
      <w:r>
        <w:rPr>
          <w:sz w:val="24"/>
        </w:rPr>
        <w:t>1）《中小企业声明函》由参加政府采购活动的供应商出具。联合体参与的，《中小企业声明函》可由牵头人出具。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pPr>
        <w:tabs>
          <w:tab w:val="left" w:pos="5580"/>
        </w:tabs>
        <w:spacing w:line="360" w:lineRule="auto"/>
        <w:rPr>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r>
        <w:rPr>
          <w:sz w:val="24"/>
        </w:rPr>
        <w:br w:type="page"/>
      </w:r>
    </w:p>
    <w:p>
      <w:pPr>
        <w:pStyle w:val="6"/>
        <w:rPr>
          <w:b w:val="0"/>
        </w:rPr>
      </w:pPr>
      <w:r>
        <w:rPr>
          <w:b w:val="0"/>
        </w:rPr>
        <w:t>2-1-1 中小企业</w:t>
      </w:r>
      <w:r>
        <w:rPr>
          <w:rFonts w:hint="eastAsia"/>
          <w:b w:val="0"/>
        </w:rPr>
        <w:t>证明文件</w:t>
      </w:r>
    </w:p>
    <w:p>
      <w:pPr>
        <w:spacing w:line="360" w:lineRule="auto"/>
        <w:jc w:val="left"/>
        <w:rPr>
          <w:sz w:val="24"/>
        </w:rPr>
      </w:pPr>
    </w:p>
    <w:p>
      <w:pPr>
        <w:spacing w:line="360" w:lineRule="auto"/>
        <w:jc w:val="center"/>
        <w:rPr>
          <w:b/>
          <w:color w:val="000000"/>
          <w:sz w:val="36"/>
          <w:szCs w:val="36"/>
        </w:rPr>
      </w:pPr>
      <w:r>
        <w:rPr>
          <w:b/>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line="360" w:lineRule="auto"/>
        <w:jc w:val="center"/>
        <w:rPr>
          <w:color w:val="000000"/>
          <w:sz w:val="24"/>
          <w:szCs w:val="20"/>
        </w:rPr>
      </w:pPr>
      <w:r>
        <w:rPr>
          <w:color w:val="000000"/>
          <w:sz w:val="24"/>
        </w:rPr>
        <w:br w:type="page"/>
      </w:r>
    </w:p>
    <w:p>
      <w:pPr>
        <w:spacing w:line="360" w:lineRule="auto"/>
        <w:jc w:val="center"/>
        <w:rPr>
          <w:b/>
          <w:color w:val="000000"/>
        </w:rPr>
      </w:pPr>
      <w:r>
        <w:rPr>
          <w:b/>
          <w:color w:val="000000"/>
          <w:sz w:val="36"/>
          <w:szCs w:val="36"/>
        </w:rPr>
        <w:t>残疾人福利性单位声明函格式</w:t>
      </w:r>
    </w:p>
    <w:p>
      <w:pPr>
        <w:spacing w:line="588" w:lineRule="exact"/>
        <w:ind w:firstLine="504"/>
        <w:rPr>
          <w:spacing w:val="6"/>
          <w:sz w:val="24"/>
        </w:rPr>
      </w:pPr>
      <w:r>
        <w:rPr>
          <w:spacing w:val="6"/>
          <w:sz w:val="24"/>
        </w:rPr>
        <w:t>本单位郑重声明，根据《财政部民政部中国残疾人联合会关于促进残疾人就业政府采购政策的通知》（财库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单位名称（盖章）：</w:t>
      </w:r>
    </w:p>
    <w:p>
      <w:pPr>
        <w:tabs>
          <w:tab w:val="left" w:pos="4860"/>
        </w:tabs>
        <w:spacing w:line="588" w:lineRule="exact"/>
        <w:ind w:right="1560" w:firstLine="504" w:firstLineChars="200"/>
        <w:jc w:val="center"/>
        <w:rPr>
          <w:spacing w:val="6"/>
          <w:sz w:val="24"/>
        </w:rPr>
      </w:pPr>
      <w:r>
        <w:rPr>
          <w:spacing w:val="6"/>
          <w:sz w:val="24"/>
        </w:rPr>
        <w:t>日期：</w:t>
      </w:r>
    </w:p>
    <w:p>
      <w:pPr>
        <w:widowControl/>
        <w:jc w:val="left"/>
        <w:rPr>
          <w:color w:val="000000"/>
          <w:sz w:val="24"/>
          <w:szCs w:val="20"/>
        </w:rPr>
      </w:pPr>
      <w:r>
        <w:rPr>
          <w:color w:val="000000"/>
          <w:sz w:val="24"/>
          <w:szCs w:val="20"/>
        </w:rPr>
        <w:br w:type="page"/>
      </w:r>
    </w:p>
    <w:p>
      <w:pPr>
        <w:numPr>
          <w:ilvl w:val="0"/>
          <w:numId w:val="23"/>
        </w:numPr>
        <w:tabs>
          <w:tab w:val="left" w:pos="360"/>
        </w:tabs>
        <w:snapToGrid w:val="0"/>
        <w:spacing w:line="360" w:lineRule="auto"/>
        <w:outlineLvl w:val="1"/>
        <w:rPr>
          <w:color w:val="000000"/>
          <w:sz w:val="24"/>
          <w:szCs w:val="20"/>
        </w:rPr>
      </w:pPr>
      <w:bookmarkStart w:id="665" w:name="_Hlt520274065"/>
      <w:bookmarkEnd w:id="665"/>
      <w:bookmarkStart w:id="666" w:name="_Hlt520343392"/>
      <w:bookmarkEnd w:id="666"/>
      <w:bookmarkStart w:id="667" w:name="_Hlt520274121"/>
      <w:bookmarkEnd w:id="667"/>
      <w:bookmarkStart w:id="668" w:name="_Hlt520271212"/>
      <w:bookmarkEnd w:id="668"/>
      <w:bookmarkStart w:id="669" w:name="_Hlt520274393"/>
      <w:bookmarkEnd w:id="669"/>
      <w:bookmarkStart w:id="670" w:name="_Hlt520350918"/>
      <w:bookmarkEnd w:id="670"/>
      <w:bookmarkStart w:id="671" w:name="_Hlt520274407"/>
      <w:bookmarkEnd w:id="671"/>
      <w:bookmarkStart w:id="672" w:name="_Hlt520355504"/>
      <w:bookmarkEnd w:id="672"/>
      <w:bookmarkStart w:id="673" w:name="_Hlt520273711"/>
      <w:bookmarkEnd w:id="673"/>
      <w:bookmarkStart w:id="674" w:name="_Hlt520343000"/>
      <w:bookmarkEnd w:id="674"/>
      <w:bookmarkStart w:id="675" w:name="_Toc142311058"/>
      <w:bookmarkStart w:id="676" w:name="_Toc195842921"/>
      <w:bookmarkStart w:id="677" w:name="_Toc520356217"/>
      <w:bookmarkStart w:id="678" w:name="_Toc226309800"/>
      <w:bookmarkStart w:id="679" w:name="_Toc226337252"/>
      <w:bookmarkStart w:id="680" w:name="_Toc150774761"/>
      <w:bookmarkStart w:id="681" w:name="_Toc226965746"/>
      <w:bookmarkStart w:id="682" w:name="_Toc127151556"/>
      <w:bookmarkStart w:id="683" w:name="_Toc226965829"/>
      <w:bookmarkStart w:id="684" w:name="_Toc150480794"/>
      <w:r>
        <w:rPr>
          <w:color w:val="000000"/>
          <w:sz w:val="24"/>
        </w:rPr>
        <w:t>响应书</w:t>
      </w:r>
      <w:bookmarkEnd w:id="675"/>
      <w:bookmarkEnd w:id="676"/>
      <w:bookmarkEnd w:id="677"/>
      <w:bookmarkEnd w:id="678"/>
      <w:bookmarkEnd w:id="679"/>
      <w:bookmarkEnd w:id="680"/>
      <w:bookmarkEnd w:id="681"/>
      <w:bookmarkEnd w:id="682"/>
      <w:bookmarkEnd w:id="683"/>
      <w:bookmarkEnd w:id="684"/>
      <w:r>
        <w:rPr>
          <w:color w:val="000000"/>
          <w:sz w:val="24"/>
        </w:rPr>
        <w:t>（实质性格式）</w:t>
      </w:r>
    </w:p>
    <w:p>
      <w:pPr>
        <w:tabs>
          <w:tab w:val="left" w:pos="5580"/>
        </w:tabs>
        <w:spacing w:line="360" w:lineRule="auto"/>
        <w:rPr>
          <w:color w:val="000000"/>
          <w:sz w:val="24"/>
        </w:rPr>
      </w:pPr>
    </w:p>
    <w:p>
      <w:pPr>
        <w:spacing w:line="360" w:lineRule="auto"/>
        <w:jc w:val="center"/>
        <w:rPr>
          <w:b/>
          <w:color w:val="000000"/>
          <w:sz w:val="36"/>
          <w:szCs w:val="36"/>
        </w:rPr>
      </w:pPr>
      <w:r>
        <w:rPr>
          <w:b/>
          <w:color w:val="000000"/>
          <w:sz w:val="36"/>
          <w:szCs w:val="36"/>
        </w:rPr>
        <w:t>响应书</w:t>
      </w:r>
    </w:p>
    <w:p>
      <w:pPr>
        <w:tabs>
          <w:tab w:val="left" w:pos="5580"/>
        </w:tabs>
        <w:spacing w:line="360" w:lineRule="auto"/>
        <w:rPr>
          <w:color w:val="000000"/>
          <w:sz w:val="24"/>
        </w:rPr>
      </w:pPr>
      <w:r>
        <w:rPr>
          <w:color w:val="000000"/>
          <w:sz w:val="24"/>
        </w:rPr>
        <w:t>致：</w:t>
      </w:r>
      <w:r>
        <w:rPr>
          <w:rFonts w:hint="eastAsia"/>
          <w:color w:val="000000"/>
          <w:sz w:val="24"/>
          <w:u w:val="single"/>
        </w:rPr>
        <w:t xml:space="preserve">           </w:t>
      </w:r>
      <w:r>
        <w:rPr>
          <w:rFonts w:hint="eastAsia"/>
          <w:b/>
          <w:sz w:val="24"/>
        </w:rPr>
        <w:t>（请供应商填写“采购</w:t>
      </w:r>
      <w:r>
        <w:rPr>
          <w:b/>
          <w:sz w:val="24"/>
        </w:rPr>
        <w:t>人</w:t>
      </w:r>
      <w:r>
        <w:rPr>
          <w:rFonts w:hint="eastAsia"/>
          <w:b/>
          <w:sz w:val="24"/>
        </w:rPr>
        <w:t>”名称）</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我方参加你方就_____________________（项目名称，项目编号/包号）组织的采购活动，并对此项目进行响应。</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已详细审查全部谈判文件</w:t>
      </w:r>
      <w:r>
        <w:rPr>
          <w:color w:val="000000"/>
          <w:sz w:val="24"/>
          <w:szCs w:val="20"/>
        </w:rPr>
        <w:t>，自愿参与响应并承诺如下：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sz w:val="24"/>
        </w:rPr>
        <w:t>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（2）除合同条款及采购需求偏离表列出的偏离外，我方响应谈判文件的全部要求。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（4）如我方成交，我方将在法律规定的期限内与你方签订合同，按照谈判文件要求提交履约保证金，并在合同约定的期限内完成合同规定的全部义务。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_____________________</w:t>
      </w:r>
      <w:r>
        <w:rPr>
          <w:color w:val="000000"/>
          <w:sz w:val="24"/>
        </w:rPr>
        <w:t>。</w:t>
      </w:r>
    </w:p>
    <w:p>
      <w:pPr>
        <w:spacing w:line="360" w:lineRule="auto"/>
        <w:ind w:firstLine="480" w:firstLineChars="200"/>
        <w:rPr>
          <w:color w:val="000000"/>
          <w:sz w:val="24"/>
        </w:rPr>
      </w:pPr>
      <w:r>
        <w:rPr>
          <w:color w:val="000000"/>
          <w:sz w:val="24"/>
        </w:rPr>
        <w:t>与本响应有关的一切正式往来信函请寄：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供应商名称（加盖公章）_____________________</w:t>
      </w:r>
    </w:p>
    <w:p>
      <w:pPr>
        <w:tabs>
          <w:tab w:val="left" w:pos="5580"/>
        </w:tabs>
        <w:spacing w:line="360" w:lineRule="auto"/>
        <w:ind w:left="420"/>
        <w:rPr>
          <w:color w:val="000000"/>
          <w:sz w:val="24"/>
          <w:szCs w:val="20"/>
        </w:rPr>
      </w:pPr>
      <w:r>
        <w:rPr>
          <w:color w:val="000000"/>
          <w:sz w:val="24"/>
          <w:szCs w:val="20"/>
        </w:rPr>
        <w:t>日期：_____年______月______日</w:t>
      </w:r>
    </w:p>
    <w:p>
      <w:pPr>
        <w:tabs>
          <w:tab w:val="left" w:pos="5580"/>
        </w:tabs>
        <w:spacing w:line="360" w:lineRule="auto"/>
        <w:ind w:left="420"/>
        <w:rPr>
          <w:color w:val="000000"/>
          <w:sz w:val="24"/>
          <w:szCs w:val="20"/>
        </w:rPr>
      </w:pPr>
    </w:p>
    <w:p>
      <w:pPr>
        <w:widowControl/>
        <w:jc w:val="left"/>
        <w:rPr>
          <w:b/>
          <w:color w:val="000000"/>
          <w:sz w:val="24"/>
          <w:szCs w:val="20"/>
        </w:rPr>
      </w:pPr>
      <w:r>
        <w:rPr>
          <w:b/>
          <w:color w:val="000000"/>
          <w:sz w:val="24"/>
          <w:szCs w:val="20"/>
        </w:rPr>
        <w:br w:type="page"/>
      </w:r>
    </w:p>
    <w:p>
      <w:pPr>
        <w:numPr>
          <w:ilvl w:val="0"/>
          <w:numId w:val="23"/>
        </w:numPr>
        <w:tabs>
          <w:tab w:val="left" w:pos="360"/>
        </w:tabs>
        <w:snapToGrid w:val="0"/>
        <w:spacing w:line="360" w:lineRule="auto"/>
        <w:outlineLvl w:val="1"/>
        <w:rPr>
          <w:color w:val="000000"/>
          <w:sz w:val="24"/>
        </w:rPr>
      </w:pPr>
      <w:bookmarkStart w:id="685" w:name="_Hlt520355938"/>
      <w:bookmarkEnd w:id="685"/>
      <w:bookmarkStart w:id="686" w:name="_Hlt520356243"/>
      <w:bookmarkEnd w:id="686"/>
      <w:bookmarkStart w:id="687" w:name="_Ref467988705"/>
      <w:bookmarkStart w:id="688" w:name="_Toc480942350"/>
      <w:bookmarkStart w:id="689" w:name="_Toc520356218"/>
      <w:bookmarkStart w:id="690" w:name="_Toc127151557"/>
      <w:bookmarkStart w:id="691" w:name="_Toc142311059"/>
      <w:bookmarkStart w:id="692" w:name="_Toc226337253"/>
      <w:bookmarkStart w:id="693" w:name="_Toc150480795"/>
      <w:bookmarkStart w:id="694" w:name="_Toc226309801"/>
      <w:bookmarkStart w:id="695" w:name="_Toc305158899"/>
      <w:bookmarkStart w:id="696" w:name="_Toc264969247"/>
      <w:bookmarkStart w:id="697" w:name="_Toc226965747"/>
      <w:bookmarkStart w:id="698" w:name="_Toc305158825"/>
      <w:bookmarkStart w:id="699" w:name="_Toc226965830"/>
      <w:bookmarkStart w:id="700" w:name="_Toc150774762"/>
      <w:bookmarkStart w:id="701" w:name="_Toc265228395"/>
      <w:bookmarkStart w:id="702" w:name="_Toc195842922"/>
      <w:r>
        <w:rPr>
          <w:color w:val="000000"/>
          <w:sz w:val="24"/>
        </w:rPr>
        <w:t>授权委托书（实质性格式）</w:t>
      </w:r>
    </w:p>
    <w:p>
      <w:pPr>
        <w:spacing w:line="360" w:lineRule="exact"/>
        <w:jc w:val="center"/>
        <w:rPr>
          <w:b/>
          <w:color w:val="000000"/>
          <w:sz w:val="36"/>
          <w:szCs w:val="36"/>
        </w:rPr>
      </w:pPr>
      <w:r>
        <w:rPr>
          <w:b/>
          <w:color w:val="000000"/>
          <w:sz w:val="36"/>
          <w:szCs w:val="36"/>
        </w:rPr>
        <w:t>授权委托书</w:t>
      </w:r>
    </w:p>
    <w:p>
      <w:pPr>
        <w:spacing w:line="360" w:lineRule="auto"/>
        <w:ind w:firstLine="420"/>
        <w:rPr>
          <w:color w:val="000000"/>
          <w:sz w:val="24"/>
          <w:szCs w:val="20"/>
        </w:rPr>
      </w:pPr>
    </w:p>
    <w:p>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（供应商名称）的法定代表人（单位负责人），现委托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rPr>
      </w:pPr>
      <w:r>
        <w:rPr>
          <w:color w:val="000000"/>
          <w:sz w:val="24"/>
        </w:rPr>
        <w:t>供应商名称（加盖公章）</w:t>
      </w:r>
      <w:r>
        <w:rPr>
          <w:color w:val="000000"/>
          <w:sz w:val="24"/>
          <w:lang w:val="zh-CN"/>
        </w:rPr>
        <w:t>：________________</w:t>
      </w:r>
    </w:p>
    <w:p>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或签章</w:t>
      </w:r>
      <w:r>
        <w:rPr>
          <w:color w:val="000000"/>
          <w:sz w:val="24"/>
        </w:rPr>
        <w:t>）：</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日期：_____年______月______日</w:t>
      </w:r>
    </w:p>
    <w:p>
      <w:pPr>
        <w:tabs>
          <w:tab w:val="left" w:pos="5580"/>
        </w:tabs>
        <w:spacing w:line="360" w:lineRule="auto"/>
        <w:ind w:firstLine="480" w:firstLineChars="200"/>
        <w:rPr>
          <w:color w:val="000000"/>
          <w:sz w:val="24"/>
          <w:szCs w:val="20"/>
        </w:rPr>
      </w:pPr>
    </w:p>
    <w:p>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及委托代理人身份证明文件电子件：</w:t>
      </w: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pPr>
        <w:spacing w:line="360" w:lineRule="exact"/>
        <w:jc w:val="center"/>
        <w:rPr>
          <w:b/>
          <w:color w:val="000000"/>
          <w:sz w:val="36"/>
          <w:szCs w:val="36"/>
        </w:rPr>
      </w:pPr>
      <w:r>
        <w:rPr>
          <w:b/>
          <w:color w:val="000000"/>
          <w:sz w:val="36"/>
          <w:szCs w:val="36"/>
        </w:rPr>
        <w:t>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p>
    <w:p>
      <w:pPr>
        <w:tabs>
          <w:tab w:val="left" w:pos="5580"/>
        </w:tabs>
        <w:spacing w:line="360" w:lineRule="auto"/>
        <w:rPr>
          <w:color w:val="000000"/>
          <w:sz w:val="24"/>
        </w:rPr>
      </w:pPr>
      <w:r>
        <w:rPr>
          <w:color w:val="000000"/>
          <w:sz w:val="24"/>
        </w:rPr>
        <w:t>致：</w:t>
      </w:r>
      <w:r>
        <w:rPr>
          <w:rFonts w:hint="eastAsia"/>
          <w:color w:val="000000"/>
          <w:sz w:val="24"/>
          <w:u w:val="single"/>
        </w:rPr>
        <w:t xml:space="preserve">           </w:t>
      </w:r>
      <w:r>
        <w:rPr>
          <w:rFonts w:hint="eastAsia"/>
          <w:b/>
          <w:sz w:val="24"/>
        </w:rPr>
        <w:t>（请供应商填写“采购</w:t>
      </w:r>
      <w:r>
        <w:rPr>
          <w:b/>
          <w:sz w:val="24"/>
        </w:rPr>
        <w:t>人</w:t>
      </w:r>
      <w:r>
        <w:rPr>
          <w:rFonts w:hint="eastAsia"/>
          <w:b/>
          <w:sz w:val="24"/>
        </w:rPr>
        <w:t>”名称）</w:t>
      </w:r>
    </w:p>
    <w:p>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（供应商名称）的法定代表人（单位负责人）。</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p>
    <w:p>
      <w:pPr>
        <w:pStyle w:val="17"/>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rPr>
      </w:pPr>
      <w:r>
        <w:rPr>
          <w:color w:val="000000"/>
          <w:sz w:val="24"/>
        </w:rPr>
        <w:t>供应商名称（加盖公章）</w:t>
      </w:r>
      <w:r>
        <w:rPr>
          <w:color w:val="000000"/>
          <w:sz w:val="24"/>
          <w:lang w:val="zh-CN"/>
        </w:rPr>
        <w:t>：________________</w:t>
      </w:r>
    </w:p>
    <w:p>
      <w:pPr>
        <w:pStyle w:val="17"/>
        <w:kinsoku w:val="0"/>
        <w:overflowPunct w:val="0"/>
        <w:spacing w:line="360"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w:t>
      </w:r>
      <w:r>
        <w:rPr>
          <w:rFonts w:ascii="Times New Roman" w:hAnsi="Times New Roman"/>
          <w:color w:val="000000"/>
          <w:szCs w:val="20"/>
        </w:rPr>
        <w:t>或签章</w:t>
      </w:r>
      <w:r>
        <w:rPr>
          <w:rFonts w:ascii="Times New Roman" w:hAnsi="Times New Roman"/>
          <w:spacing w:val="-3"/>
        </w:rPr>
        <w:t>）：_____________</w:t>
      </w:r>
    </w:p>
    <w:p>
      <w:pPr>
        <w:pStyle w:val="17"/>
        <w:spacing w:line="360" w:lineRule="auto"/>
        <w:rPr>
          <w:rFonts w:ascii="Times New Roman" w:hAnsi="Times New Roman"/>
          <w:color w:val="000000"/>
          <w:lang w:val="zh-CN"/>
        </w:rPr>
      </w:pPr>
      <w:r>
        <w:rPr>
          <w:rFonts w:ascii="Times New Roman" w:hAnsi="Times New Roman"/>
          <w:color w:val="000000"/>
        </w:rPr>
        <w:t>日期：_____年______月______日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numPr>
          <w:ilvl w:val="0"/>
          <w:numId w:val="23"/>
        </w:numPr>
        <w:tabs>
          <w:tab w:val="left" w:pos="360"/>
        </w:tabs>
        <w:snapToGrid w:val="0"/>
        <w:spacing w:line="360" w:lineRule="auto"/>
        <w:outlineLvl w:val="1"/>
        <w:rPr>
          <w:color w:val="000000"/>
          <w:sz w:val="24"/>
          <w:szCs w:val="20"/>
        </w:rPr>
      </w:pPr>
      <w:r>
        <w:rPr>
          <w:color w:val="000000"/>
          <w:sz w:val="24"/>
          <w:szCs w:val="20"/>
        </w:rPr>
        <w:t>报价一览表</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spacing w:line="360" w:lineRule="exact"/>
        <w:jc w:val="center"/>
        <w:rPr>
          <w:b/>
          <w:color w:val="000000"/>
          <w:sz w:val="36"/>
          <w:szCs w:val="36"/>
        </w:rPr>
      </w:pPr>
      <w:bookmarkStart w:id="703" w:name="_Toc164608672"/>
      <w:bookmarkStart w:id="704" w:name="_Toc226337254"/>
      <w:bookmarkStart w:id="705" w:name="_Toc305158900"/>
      <w:bookmarkStart w:id="706" w:name="_Toc226965831"/>
      <w:bookmarkStart w:id="707" w:name="_Toc226309802"/>
      <w:bookmarkStart w:id="708" w:name="_Toc264969248"/>
      <w:bookmarkStart w:id="709" w:name="_Toc195842923"/>
      <w:bookmarkStart w:id="710" w:name="_Toc305158826"/>
      <w:bookmarkStart w:id="711" w:name="_Toc164608827"/>
      <w:bookmarkStart w:id="712" w:name="_Toc226965748"/>
      <w:bookmarkStart w:id="713" w:name="_Toc265228396"/>
      <w:r>
        <w:rPr>
          <w:b/>
          <w:color w:val="000000"/>
          <w:sz w:val="36"/>
          <w:szCs w:val="36"/>
        </w:rPr>
        <w:t>报价一览表</w:t>
      </w:r>
      <w:bookmarkEnd w:id="703"/>
      <w:bookmarkEnd w:id="704"/>
      <w:bookmarkEnd w:id="705"/>
      <w:bookmarkEnd w:id="706"/>
      <w:bookmarkEnd w:id="707"/>
      <w:bookmarkEnd w:id="708"/>
      <w:bookmarkEnd w:id="709"/>
      <w:bookmarkEnd w:id="710"/>
      <w:bookmarkEnd w:id="711"/>
      <w:bookmarkEnd w:id="712"/>
      <w:bookmarkEnd w:id="713"/>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项目名称：_______________________</w:t>
      </w:r>
    </w:p>
    <w:tbl>
      <w:tblPr>
        <w:tblStyle w:val="44"/>
        <w:tblW w:w="44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94"/>
        <w:gridCol w:w="202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451"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供应商名称</w:t>
            </w:r>
          </w:p>
        </w:tc>
        <w:tc>
          <w:tcPr>
            <w:tcW w:w="2549"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4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1243"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大写</w:t>
            </w:r>
          </w:p>
        </w:tc>
        <w:tc>
          <w:tcPr>
            <w:tcW w:w="1307"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451"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243"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307"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r>
    </w:tbl>
    <w:p>
      <w:pPr>
        <w:autoSpaceDE w:val="0"/>
        <w:autoSpaceDN w:val="0"/>
        <w:adjustRightInd w:val="0"/>
        <w:jc w:val="left"/>
        <w:rPr>
          <w:color w:val="000000"/>
          <w:kern w:val="0"/>
          <w:sz w:val="24"/>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日期：_____年______月______日</w:t>
      </w:r>
    </w:p>
    <w:p>
      <w:pPr>
        <w:widowControl/>
        <w:jc w:val="left"/>
        <w:rPr>
          <w:color w:val="000000"/>
          <w:sz w:val="24"/>
          <w:szCs w:val="20"/>
        </w:rPr>
      </w:pPr>
      <w:bookmarkStart w:id="714" w:name="_Toc127151558"/>
      <w:bookmarkStart w:id="715" w:name="_Toc142311060"/>
      <w:bookmarkStart w:id="716" w:name="_Toc150480796"/>
      <w:bookmarkStart w:id="717" w:name="_Toc150774763"/>
      <w:bookmarkStart w:id="718" w:name="_Toc195842924"/>
      <w:bookmarkStart w:id="719" w:name="_Toc226309803"/>
      <w:bookmarkStart w:id="720" w:name="_Toc226337255"/>
      <w:bookmarkStart w:id="721" w:name="_Toc265228397"/>
      <w:bookmarkStart w:id="722" w:name="_Toc226965749"/>
      <w:bookmarkStart w:id="723" w:name="_Toc264969249"/>
      <w:bookmarkStart w:id="724" w:name="_Toc305158827"/>
      <w:bookmarkStart w:id="725" w:name="_Toc305158901"/>
      <w:bookmarkStart w:id="726" w:name="_Toc226965832"/>
    </w:p>
    <w:p>
      <w:pPr>
        <w:numPr>
          <w:ilvl w:val="0"/>
          <w:numId w:val="23"/>
        </w:numPr>
        <w:tabs>
          <w:tab w:val="left" w:pos="360"/>
        </w:tabs>
        <w:snapToGrid w:val="0"/>
        <w:spacing w:line="360" w:lineRule="auto"/>
        <w:outlineLvl w:val="1"/>
        <w:rPr>
          <w:color w:val="000000"/>
          <w:sz w:val="24"/>
          <w:szCs w:val="20"/>
        </w:rPr>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pPr>
    </w:p>
    <w:p>
      <w:pPr>
        <w:numPr>
          <w:ilvl w:val="0"/>
          <w:numId w:val="23"/>
        </w:numPr>
        <w:tabs>
          <w:tab w:val="left" w:pos="360"/>
        </w:tabs>
        <w:snapToGrid w:val="0"/>
        <w:spacing w:line="360" w:lineRule="auto"/>
        <w:outlineLvl w:val="1"/>
        <w:rPr>
          <w:color w:val="000000"/>
          <w:sz w:val="24"/>
          <w:szCs w:val="20"/>
        </w:rPr>
      </w:pPr>
      <w:r>
        <w:rPr>
          <w:color w:val="000000"/>
          <w:sz w:val="24"/>
          <w:szCs w:val="20"/>
        </w:rPr>
        <w:t>分项报价表</w:t>
      </w:r>
      <w:bookmarkEnd w:id="714"/>
      <w:bookmarkEnd w:id="715"/>
      <w:bookmarkEnd w:id="716"/>
      <w:bookmarkEnd w:id="717"/>
      <w:bookmarkEnd w:id="718"/>
      <w:bookmarkEnd w:id="719"/>
      <w:bookmarkEnd w:id="720"/>
      <w:bookmarkEnd w:id="721"/>
      <w:bookmarkEnd w:id="722"/>
      <w:bookmarkEnd w:id="723"/>
      <w:bookmarkEnd w:id="724"/>
      <w:bookmarkEnd w:id="725"/>
      <w:bookmarkEnd w:id="726"/>
    </w:p>
    <w:p>
      <w:pPr>
        <w:spacing w:line="360" w:lineRule="exact"/>
        <w:jc w:val="center"/>
        <w:rPr>
          <w:color w:val="000000"/>
          <w:sz w:val="36"/>
          <w:szCs w:val="36"/>
        </w:rPr>
      </w:pPr>
    </w:p>
    <w:p>
      <w:pPr>
        <w:spacing w:line="360" w:lineRule="exact"/>
        <w:jc w:val="center"/>
        <w:rPr>
          <w:b/>
          <w:color w:val="000000"/>
          <w:sz w:val="36"/>
          <w:szCs w:val="36"/>
        </w:rPr>
      </w:pPr>
      <w:r>
        <w:rPr>
          <w:b/>
          <w:color w:val="000000"/>
          <w:sz w:val="36"/>
          <w:szCs w:val="36"/>
        </w:rPr>
        <w:t>分项报价表</w:t>
      </w:r>
    </w:p>
    <w:p>
      <w:pPr>
        <w:tabs>
          <w:tab w:val="left" w:pos="1800"/>
          <w:tab w:val="left" w:pos="5580"/>
        </w:tabs>
        <w:rPr>
          <w:rFonts w:eastAsiaTheme="minorEastAsia"/>
          <w:color w:val="000000"/>
          <w:sz w:val="24"/>
        </w:rPr>
      </w:pPr>
    </w:p>
    <w:p>
      <w:pPr>
        <w:tabs>
          <w:tab w:val="left" w:pos="1800"/>
          <w:tab w:val="left" w:pos="5580"/>
        </w:tabs>
        <w:rPr>
          <w:rFonts w:eastAsiaTheme="minorEastAsia"/>
          <w:color w:val="000000"/>
          <w:sz w:val="24"/>
        </w:rPr>
      </w:pPr>
      <w:r>
        <w:rPr>
          <w:rFonts w:eastAsiaTheme="minorEastAsia"/>
          <w:color w:val="000000"/>
          <w:sz w:val="24"/>
        </w:rPr>
        <w:t>项目编号：_____</w:t>
      </w:r>
      <w:r>
        <w:rPr>
          <w:rFonts w:eastAsiaTheme="minorEastAsia"/>
          <w:color w:val="000000"/>
          <w:sz w:val="24"/>
          <w:u w:val="single"/>
        </w:rPr>
        <w:t xml:space="preserve">         </w:t>
      </w:r>
      <w:r>
        <w:rPr>
          <w:rFonts w:eastAsiaTheme="minorEastAsia"/>
          <w:color w:val="000000"/>
          <w:sz w:val="24"/>
        </w:rPr>
        <w:t>____ 项目名称：____</w:t>
      </w:r>
      <w:r>
        <w:rPr>
          <w:rFonts w:eastAsiaTheme="minorEastAsia"/>
          <w:color w:val="000000"/>
          <w:sz w:val="24"/>
          <w:u w:val="single"/>
        </w:rPr>
        <w:t xml:space="preserve">       _</w:t>
      </w:r>
      <w:r>
        <w:rPr>
          <w:rFonts w:eastAsiaTheme="minorEastAsia"/>
          <w:color w:val="000000"/>
          <w:sz w:val="24"/>
        </w:rPr>
        <w:t>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5" w:type="pct"/>
            <w:vAlign w:val="center"/>
          </w:tcPr>
          <w:p>
            <w:pPr>
              <w:adjustRightInd w:val="0"/>
              <w:snapToGrid w:val="0"/>
              <w:jc w:val="center"/>
              <w:rPr>
                <w:b/>
                <w:color w:val="000000"/>
                <w:sz w:val="24"/>
              </w:rPr>
            </w:pPr>
            <w:r>
              <w:rPr>
                <w:b/>
                <w:color w:val="000000"/>
                <w:sz w:val="24"/>
              </w:rPr>
              <w:t>序号</w:t>
            </w:r>
          </w:p>
        </w:tc>
        <w:tc>
          <w:tcPr>
            <w:tcW w:w="370" w:type="pct"/>
            <w:vAlign w:val="center"/>
          </w:tcPr>
          <w:p>
            <w:pPr>
              <w:adjustRightInd w:val="0"/>
              <w:snapToGrid w:val="0"/>
              <w:jc w:val="center"/>
              <w:rPr>
                <w:b/>
                <w:color w:val="000000"/>
                <w:sz w:val="24"/>
              </w:rPr>
            </w:pPr>
            <w:r>
              <w:rPr>
                <w:b/>
                <w:color w:val="000000"/>
                <w:sz w:val="24"/>
              </w:rPr>
              <w:t>分项</w:t>
            </w:r>
          </w:p>
          <w:p>
            <w:pPr>
              <w:adjustRightInd w:val="0"/>
              <w:snapToGrid w:val="0"/>
              <w:jc w:val="center"/>
              <w:rPr>
                <w:b/>
                <w:color w:val="000000"/>
                <w:sz w:val="24"/>
              </w:rPr>
            </w:pPr>
            <w:r>
              <w:rPr>
                <w:b/>
                <w:color w:val="000000"/>
                <w:sz w:val="24"/>
              </w:rPr>
              <w:t>名称</w:t>
            </w:r>
          </w:p>
        </w:tc>
        <w:tc>
          <w:tcPr>
            <w:tcW w:w="466" w:type="pct"/>
            <w:vAlign w:val="center"/>
          </w:tcPr>
          <w:p>
            <w:pPr>
              <w:adjustRightInd w:val="0"/>
              <w:snapToGrid w:val="0"/>
              <w:jc w:val="center"/>
              <w:rPr>
                <w:b/>
                <w:color w:val="000000"/>
                <w:sz w:val="24"/>
              </w:rPr>
            </w:pPr>
            <w:r>
              <w:rPr>
                <w:b/>
                <w:color w:val="000000"/>
                <w:sz w:val="24"/>
              </w:rPr>
              <w:t>制造商</w:t>
            </w:r>
          </w:p>
        </w:tc>
        <w:tc>
          <w:tcPr>
            <w:tcW w:w="332" w:type="pct"/>
            <w:vAlign w:val="center"/>
          </w:tcPr>
          <w:p>
            <w:pPr>
              <w:adjustRightInd w:val="0"/>
              <w:snapToGrid w:val="0"/>
              <w:jc w:val="center"/>
              <w:rPr>
                <w:b/>
                <w:color w:val="000000"/>
                <w:sz w:val="24"/>
              </w:rPr>
            </w:pPr>
            <w:r>
              <w:rPr>
                <w:b/>
                <w:color w:val="000000"/>
                <w:sz w:val="24"/>
              </w:rPr>
              <w:t>产地/国别</w:t>
            </w:r>
          </w:p>
        </w:tc>
        <w:tc>
          <w:tcPr>
            <w:tcW w:w="441" w:type="pct"/>
            <w:vAlign w:val="center"/>
          </w:tcPr>
          <w:p>
            <w:pPr>
              <w:jc w:val="center"/>
              <w:rPr>
                <w:b/>
                <w:color w:val="000000"/>
                <w:sz w:val="24"/>
              </w:rPr>
            </w:pPr>
            <w:r>
              <w:rPr>
                <w:b/>
                <w:color w:val="000000"/>
                <w:sz w:val="24"/>
              </w:rPr>
              <w:t>制造商统一</w:t>
            </w:r>
            <w:r>
              <w:rPr>
                <w:rFonts w:hint="eastAsia"/>
                <w:b/>
                <w:color w:val="000000"/>
                <w:sz w:val="24"/>
              </w:rPr>
              <w:t>社会</w:t>
            </w:r>
            <w:r>
              <w:rPr>
                <w:b/>
                <w:color w:val="000000"/>
                <w:sz w:val="24"/>
              </w:rPr>
              <w:t>信用代码</w:t>
            </w:r>
          </w:p>
        </w:tc>
        <w:tc>
          <w:tcPr>
            <w:tcW w:w="441" w:type="pct"/>
            <w:vAlign w:val="center"/>
          </w:tcPr>
          <w:p>
            <w:pPr>
              <w:jc w:val="center"/>
              <w:rPr>
                <w:b/>
                <w:color w:val="000000"/>
                <w:sz w:val="24"/>
              </w:rPr>
            </w:pPr>
            <w:r>
              <w:rPr>
                <w:b/>
                <w:color w:val="000000"/>
                <w:sz w:val="24"/>
              </w:rPr>
              <w:t>制造商</w:t>
            </w:r>
          </w:p>
          <w:p>
            <w:pPr>
              <w:adjustRightInd w:val="0"/>
              <w:snapToGrid w:val="0"/>
              <w:jc w:val="center"/>
              <w:rPr>
                <w:b/>
                <w:color w:val="000000"/>
                <w:sz w:val="24"/>
              </w:rPr>
            </w:pPr>
            <w:r>
              <w:rPr>
                <w:b/>
                <w:color w:val="000000"/>
                <w:sz w:val="24"/>
              </w:rPr>
              <w:t>规模</w:t>
            </w:r>
          </w:p>
        </w:tc>
        <w:tc>
          <w:tcPr>
            <w:tcW w:w="441" w:type="pct"/>
            <w:vAlign w:val="center"/>
          </w:tcPr>
          <w:p>
            <w:pPr>
              <w:adjustRightInd w:val="0"/>
              <w:snapToGrid w:val="0"/>
              <w:jc w:val="center"/>
              <w:rPr>
                <w:b/>
                <w:color w:val="000000"/>
                <w:sz w:val="24"/>
              </w:rPr>
            </w:pPr>
            <w:r>
              <w:rPr>
                <w:rFonts w:hint="eastAsia"/>
                <w:b/>
                <w:color w:val="000000"/>
                <w:sz w:val="24"/>
              </w:rPr>
              <w:t>制造商所属性别</w:t>
            </w:r>
          </w:p>
        </w:tc>
        <w:tc>
          <w:tcPr>
            <w:tcW w:w="441" w:type="pct"/>
            <w:vAlign w:val="center"/>
          </w:tcPr>
          <w:p>
            <w:pPr>
              <w:adjustRightInd w:val="0"/>
              <w:snapToGrid w:val="0"/>
              <w:jc w:val="center"/>
              <w:rPr>
                <w:b/>
                <w:color w:val="000000"/>
                <w:sz w:val="24"/>
              </w:rPr>
            </w:pPr>
            <w:r>
              <w:rPr>
                <w:rFonts w:hint="eastAsia"/>
                <w:b/>
                <w:color w:val="000000"/>
                <w:sz w:val="24"/>
              </w:rPr>
              <w:t>外商投资类型</w:t>
            </w:r>
          </w:p>
        </w:tc>
        <w:tc>
          <w:tcPr>
            <w:tcW w:w="441" w:type="pct"/>
            <w:vAlign w:val="center"/>
          </w:tcPr>
          <w:p>
            <w:pPr>
              <w:adjustRightInd w:val="0"/>
              <w:snapToGrid w:val="0"/>
              <w:jc w:val="center"/>
              <w:rPr>
                <w:b/>
                <w:color w:val="000000"/>
                <w:sz w:val="24"/>
              </w:rPr>
            </w:pPr>
            <w:r>
              <w:rPr>
                <w:b/>
                <w:color w:val="000000"/>
                <w:sz w:val="24"/>
              </w:rPr>
              <w:t>品牌</w:t>
            </w:r>
          </w:p>
        </w:tc>
        <w:tc>
          <w:tcPr>
            <w:tcW w:w="441" w:type="pct"/>
            <w:vAlign w:val="center"/>
          </w:tcPr>
          <w:p>
            <w:pPr>
              <w:adjustRightInd w:val="0"/>
              <w:snapToGrid w:val="0"/>
              <w:jc w:val="center"/>
              <w:rPr>
                <w:b/>
                <w:color w:val="000000"/>
                <w:sz w:val="24"/>
              </w:rPr>
            </w:pPr>
            <w:r>
              <w:rPr>
                <w:b/>
                <w:color w:val="000000"/>
                <w:sz w:val="24"/>
              </w:rPr>
              <w:t>规格、型号</w:t>
            </w:r>
          </w:p>
        </w:tc>
        <w:tc>
          <w:tcPr>
            <w:tcW w:w="360" w:type="pct"/>
            <w:vAlign w:val="center"/>
          </w:tcPr>
          <w:p>
            <w:pPr>
              <w:adjustRightInd w:val="0"/>
              <w:snapToGrid w:val="0"/>
              <w:jc w:val="center"/>
              <w:rPr>
                <w:b/>
                <w:color w:val="000000"/>
                <w:sz w:val="24"/>
              </w:rPr>
            </w:pPr>
            <w:r>
              <w:rPr>
                <w:b/>
                <w:color w:val="000000"/>
                <w:sz w:val="24"/>
              </w:rPr>
              <w:t>单价（元）</w:t>
            </w:r>
          </w:p>
        </w:tc>
        <w:tc>
          <w:tcPr>
            <w:tcW w:w="292" w:type="pct"/>
            <w:vAlign w:val="center"/>
          </w:tcPr>
          <w:p>
            <w:pPr>
              <w:adjustRightInd w:val="0"/>
              <w:snapToGrid w:val="0"/>
              <w:jc w:val="center"/>
              <w:rPr>
                <w:b/>
                <w:color w:val="000000"/>
                <w:sz w:val="24"/>
              </w:rPr>
            </w:pPr>
            <w:r>
              <w:rPr>
                <w:b/>
                <w:color w:val="000000"/>
                <w:sz w:val="24"/>
              </w:rPr>
              <w:t>数量</w:t>
            </w:r>
          </w:p>
        </w:tc>
        <w:tc>
          <w:tcPr>
            <w:tcW w:w="359" w:type="pct"/>
            <w:vAlign w:val="center"/>
          </w:tcPr>
          <w:p>
            <w:pPr>
              <w:adjustRightInd w:val="0"/>
              <w:snapToGrid w:val="0"/>
              <w:jc w:val="center"/>
              <w:rPr>
                <w:b/>
                <w:color w:val="000000"/>
                <w:sz w:val="24"/>
              </w:rPr>
            </w:pPr>
            <w:r>
              <w:rPr>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1</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2</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3</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4</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pPr>
              <w:jc w:val="center"/>
              <w:rPr>
                <w:b/>
                <w:sz w:val="24"/>
              </w:rPr>
            </w:pPr>
            <w:r>
              <w:rPr>
                <w:b/>
                <w:sz w:val="24"/>
              </w:rPr>
              <w:t>总价（元）</w:t>
            </w:r>
          </w:p>
        </w:tc>
        <w:tc>
          <w:tcPr>
            <w:tcW w:w="359" w:type="pct"/>
            <w:vAlign w:val="center"/>
          </w:tcPr>
          <w:p>
            <w:pPr>
              <w:adjustRightInd w:val="0"/>
              <w:snapToGrid w:val="0"/>
              <w:jc w:val="left"/>
              <w:rPr>
                <w:color w:val="000000"/>
                <w:sz w:val="24"/>
              </w:rPr>
            </w:pPr>
          </w:p>
        </w:tc>
      </w:tr>
    </w:tbl>
    <w:p>
      <w:pPr>
        <w:adjustRightInd w:val="0"/>
        <w:snapToGrid w:val="0"/>
        <w:jc w:val="left"/>
        <w:rPr>
          <w:b/>
          <w:i/>
          <w:color w:val="FF0000"/>
          <w:sz w:val="24"/>
        </w:rPr>
      </w:pPr>
      <w:r>
        <w:rPr>
          <w:b/>
          <w:i/>
          <w:color w:val="FF0000"/>
          <w:sz w:val="24"/>
        </w:rPr>
        <w:t>说明：制造商规模请填写“</w:t>
      </w:r>
      <w:r>
        <w:rPr>
          <w:rFonts w:hint="eastAsia"/>
          <w:b/>
          <w:i/>
          <w:color w:val="FF0000"/>
          <w:sz w:val="24"/>
        </w:rPr>
        <w:t>大</w:t>
      </w:r>
      <w:r>
        <w:rPr>
          <w:b/>
          <w:i/>
          <w:color w:val="FF0000"/>
          <w:sz w:val="24"/>
        </w:rPr>
        <w:t>型”“中型”“小型”“微型”或“其他”，中小企业的定义见第二章《供应商须知》。</w:t>
      </w:r>
    </w:p>
    <w:p>
      <w:pPr>
        <w:tabs>
          <w:tab w:val="left" w:pos="1800"/>
          <w:tab w:val="left" w:pos="5580"/>
        </w:tabs>
        <w:ind w:firstLine="723" w:firstLineChars="300"/>
        <w:jc w:val="left"/>
        <w:rPr>
          <w:b/>
          <w:i/>
          <w:color w:val="FF0000"/>
          <w:sz w:val="24"/>
        </w:rPr>
      </w:pPr>
      <w:r>
        <w:rPr>
          <w:rFonts w:hint="eastAsia"/>
          <w:b/>
          <w:i/>
          <w:color w:val="FF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b/>
          <w:i/>
          <w:color w:val="FF0000"/>
          <w:sz w:val="24"/>
        </w:rPr>
        <w:t>。</w:t>
      </w:r>
    </w:p>
    <w:p>
      <w:pPr>
        <w:tabs>
          <w:tab w:val="left" w:pos="1800"/>
          <w:tab w:val="left" w:pos="5580"/>
        </w:tabs>
        <w:ind w:firstLine="723" w:firstLineChars="300"/>
        <w:jc w:val="left"/>
        <w:rPr>
          <w:b/>
          <w:i/>
          <w:color w:val="FF0000"/>
          <w:sz w:val="24"/>
        </w:rPr>
      </w:pPr>
      <w:r>
        <w:rPr>
          <w:rFonts w:hint="eastAsia"/>
          <w:b/>
          <w:i/>
          <w:color w:val="FF0000"/>
          <w:sz w:val="24"/>
        </w:rPr>
        <w:t>外商投资类型请填写“外商单独投资”“外商部分投资”或“内资”。</w:t>
      </w:r>
    </w:p>
    <w:p>
      <w:pPr>
        <w:tabs>
          <w:tab w:val="left" w:pos="1800"/>
          <w:tab w:val="left" w:pos="5580"/>
        </w:tabs>
        <w:jc w:val="left"/>
        <w:rPr>
          <w:color w:val="000000"/>
          <w:sz w:val="24"/>
        </w:rPr>
      </w:pPr>
      <w:r>
        <w:rPr>
          <w:color w:val="000000"/>
          <w:sz w:val="24"/>
        </w:rPr>
        <w:t>注：</w:t>
      </w:r>
    </w:p>
    <w:p>
      <w:pPr>
        <w:tabs>
          <w:tab w:val="left" w:pos="1800"/>
          <w:tab w:val="left" w:pos="5580"/>
        </w:tabs>
        <w:ind w:firstLine="480" w:firstLineChars="200"/>
        <w:jc w:val="left"/>
        <w:rPr>
          <w:color w:val="000000"/>
          <w:sz w:val="24"/>
        </w:rPr>
      </w:pPr>
      <w:r>
        <w:rPr>
          <w:color w:val="000000"/>
          <w:sz w:val="24"/>
        </w:rPr>
        <w:t>1.上述各项的详细规格（如有），可另页描述。</w:t>
      </w:r>
    </w:p>
    <w:p>
      <w:pPr>
        <w:tabs>
          <w:tab w:val="left" w:pos="1800"/>
          <w:tab w:val="left" w:pos="5580"/>
        </w:tabs>
        <w:ind w:firstLine="480" w:firstLineChars="200"/>
        <w:jc w:val="left"/>
        <w:rPr>
          <w:color w:val="000000"/>
          <w:sz w:val="24"/>
        </w:rPr>
      </w:pPr>
      <w:r>
        <w:rPr>
          <w:color w:val="000000"/>
          <w:sz w:val="24"/>
        </w:rPr>
        <w:t>2.</w:t>
      </w:r>
      <w:r>
        <w:rPr>
          <w:rFonts w:eastAsiaTheme="minorEastAsia"/>
          <w:color w:val="000000"/>
          <w:sz w:val="24"/>
        </w:rPr>
        <w:t>制造商规模列应填写</w:t>
      </w:r>
      <w:r>
        <w:rPr>
          <w:rFonts w:hint="eastAsia" w:eastAsiaTheme="minorEastAsia"/>
          <w:color w:val="000000"/>
          <w:sz w:val="24"/>
        </w:rPr>
        <w:t>“大型”</w:t>
      </w:r>
      <w:r>
        <w:rPr>
          <w:rFonts w:eastAsiaTheme="minorEastAsia"/>
          <w:color w:val="000000"/>
          <w:sz w:val="24"/>
        </w:rPr>
        <w:t>“中型”“小型”“微型”或“其他”，且不应与《中小企业声明函》或《拟分包情况说明》中内容矛盾。</w:t>
      </w:r>
      <w:bookmarkStart w:id="727" w:name="_Hlk167124099"/>
      <w:r>
        <w:rPr>
          <w:rFonts w:hint="eastAsia" w:eastAsiaTheme="minorEastAsia"/>
          <w:color w:val="00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eastAsiaTheme="minorEastAsia"/>
          <w:color w:val="000000"/>
          <w:sz w:val="24"/>
        </w:rPr>
        <w:t>。外商投资类型请填写“外商单独投资”“外商部分投资”或“内资”。</w:t>
      </w:r>
    </w:p>
    <w:bookmarkEnd w:id="727"/>
    <w:p>
      <w:pPr>
        <w:tabs>
          <w:tab w:val="left" w:pos="1800"/>
          <w:tab w:val="left" w:pos="5580"/>
        </w:tabs>
        <w:ind w:firstLine="480" w:firstLineChars="200"/>
        <w:jc w:val="left"/>
        <w:rPr>
          <w:color w:val="000000"/>
          <w:sz w:val="24"/>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日期：_____年______月______日</w:t>
      </w:r>
    </w:p>
    <w:p>
      <w:pPr>
        <w:spacing w:line="260" w:lineRule="exact"/>
        <w:rPr>
          <w:color w:val="000000"/>
          <w:sz w:val="36"/>
          <w:szCs w:val="36"/>
        </w:rPr>
      </w:pPr>
    </w:p>
    <w:p>
      <w:pPr>
        <w:adjustRightInd w:val="0"/>
        <w:snapToGrid w:val="0"/>
        <w:spacing w:before="240" w:beforeLines="100" w:after="240" w:afterLines="100"/>
        <w:jc w:val="left"/>
        <w:rPr>
          <w:b/>
          <w:i/>
          <w:color w:val="FF0000"/>
          <w:sz w:val="24"/>
        </w:rPr>
        <w:sectPr>
          <w:pgSz w:w="16840" w:h="11907" w:orient="landscape"/>
          <w:pgMar w:top="1701" w:right="1418" w:bottom="1134" w:left="1418" w:header="851" w:footer="851" w:gutter="0"/>
          <w:cols w:space="720" w:num="1"/>
          <w:docGrid w:linePitch="462" w:charSpace="0"/>
        </w:sectPr>
      </w:pPr>
    </w:p>
    <w:p>
      <w:pPr>
        <w:numPr>
          <w:ilvl w:val="0"/>
          <w:numId w:val="23"/>
        </w:numPr>
        <w:tabs>
          <w:tab w:val="left" w:pos="360"/>
        </w:tabs>
        <w:snapToGrid w:val="0"/>
        <w:spacing w:line="360" w:lineRule="auto"/>
        <w:outlineLvl w:val="1"/>
        <w:rPr>
          <w:color w:val="000000"/>
          <w:sz w:val="24"/>
          <w:szCs w:val="20"/>
        </w:rPr>
      </w:pPr>
      <w:bookmarkStart w:id="728" w:name="_Toc226965752"/>
      <w:bookmarkStart w:id="729" w:name="_Toc265228400"/>
      <w:bookmarkStart w:id="730" w:name="_Toc226309806"/>
      <w:bookmarkStart w:id="731" w:name="_Toc305158904"/>
      <w:bookmarkStart w:id="732" w:name="_Toc150774765"/>
      <w:bookmarkStart w:id="733" w:name="_Toc142311062"/>
      <w:bookmarkStart w:id="734" w:name="_Toc195842927"/>
      <w:bookmarkStart w:id="735" w:name="_Toc150480798"/>
      <w:bookmarkStart w:id="736" w:name="_Toc226337258"/>
      <w:bookmarkStart w:id="737" w:name="_Toc305158830"/>
      <w:bookmarkStart w:id="738" w:name="_Toc264969252"/>
      <w:bookmarkStart w:id="739" w:name="_Toc226965835"/>
      <w:bookmarkStart w:id="740" w:name="_Toc127151562"/>
      <w:bookmarkStart w:id="741" w:name="_Toc264969251"/>
      <w:bookmarkStart w:id="742" w:name="_Toc305158903"/>
      <w:bookmarkStart w:id="743" w:name="_Toc150480797"/>
      <w:bookmarkStart w:id="744" w:name="_Toc226965751"/>
      <w:bookmarkStart w:id="745" w:name="_Toc142311061"/>
      <w:bookmarkStart w:id="746" w:name="_Toc195842926"/>
      <w:bookmarkStart w:id="747" w:name="_Toc226965834"/>
      <w:bookmarkStart w:id="748" w:name="_Toc127151561"/>
      <w:bookmarkStart w:id="749" w:name="_Toc226337257"/>
      <w:bookmarkStart w:id="750" w:name="_Toc150774764"/>
      <w:bookmarkStart w:id="751" w:name="_Toc226309805"/>
      <w:bookmarkStart w:id="752" w:name="_Toc265228399"/>
      <w:bookmarkStart w:id="753" w:name="_Toc305158829"/>
      <w:r>
        <w:rPr>
          <w:color w:val="000000"/>
          <w:sz w:val="24"/>
          <w:szCs w:val="20"/>
        </w:rPr>
        <w:t>合同条款偏离表</w:t>
      </w:r>
      <w:bookmarkEnd w:id="728"/>
      <w:bookmarkEnd w:id="729"/>
      <w:bookmarkEnd w:id="730"/>
      <w:bookmarkEnd w:id="731"/>
      <w:bookmarkEnd w:id="732"/>
      <w:bookmarkEnd w:id="733"/>
      <w:bookmarkEnd w:id="734"/>
      <w:bookmarkEnd w:id="735"/>
      <w:bookmarkEnd w:id="736"/>
      <w:bookmarkEnd w:id="737"/>
      <w:bookmarkEnd w:id="738"/>
      <w:bookmarkEnd w:id="739"/>
      <w:bookmarkEnd w:id="740"/>
      <w:r>
        <w:rPr>
          <w:rFonts w:hint="eastAsia"/>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项目编号：_______________     项目名称：____________________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560"/>
        <w:gridCol w:w="1777"/>
        <w:gridCol w:w="1778"/>
        <w:gridCol w:w="218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98" w:type="dxa"/>
            <w:vAlign w:val="center"/>
          </w:tcPr>
          <w:p>
            <w:pPr>
              <w:adjustRightInd w:val="0"/>
              <w:snapToGrid w:val="0"/>
              <w:jc w:val="center"/>
              <w:rPr>
                <w:color w:val="000000"/>
                <w:sz w:val="24"/>
              </w:rPr>
            </w:pPr>
            <w:r>
              <w:rPr>
                <w:color w:val="000000"/>
                <w:sz w:val="24"/>
              </w:rPr>
              <w:t>序号</w:t>
            </w:r>
          </w:p>
        </w:tc>
        <w:tc>
          <w:tcPr>
            <w:tcW w:w="1394" w:type="dxa"/>
            <w:vAlign w:val="center"/>
          </w:tcPr>
          <w:p>
            <w:pPr>
              <w:adjustRightInd w:val="0"/>
              <w:snapToGrid w:val="0"/>
              <w:jc w:val="center"/>
              <w:rPr>
                <w:color w:val="000000"/>
                <w:sz w:val="24"/>
              </w:rPr>
            </w:pPr>
            <w:r>
              <w:rPr>
                <w:color w:val="000000"/>
                <w:sz w:val="24"/>
                <w:szCs w:val="21"/>
              </w:rPr>
              <w:t>谈判文件</w:t>
            </w:r>
            <w:r>
              <w:rPr>
                <w:color w:val="000000"/>
                <w:sz w:val="24"/>
              </w:rPr>
              <w:t>条目号（页码）</w:t>
            </w:r>
          </w:p>
        </w:tc>
        <w:tc>
          <w:tcPr>
            <w:tcW w:w="1808" w:type="dxa"/>
            <w:vAlign w:val="center"/>
          </w:tcPr>
          <w:p>
            <w:pPr>
              <w:adjustRightInd w:val="0"/>
              <w:snapToGrid w:val="0"/>
              <w:jc w:val="center"/>
              <w:rPr>
                <w:color w:val="000000"/>
                <w:sz w:val="24"/>
              </w:rPr>
            </w:pPr>
            <w:r>
              <w:rPr>
                <w:color w:val="000000"/>
                <w:sz w:val="24"/>
                <w:szCs w:val="21"/>
              </w:rPr>
              <w:t>谈判文件</w:t>
            </w:r>
            <w:r>
              <w:rPr>
                <w:color w:val="000000"/>
                <w:sz w:val="24"/>
              </w:rPr>
              <w:t>要求</w:t>
            </w:r>
          </w:p>
        </w:tc>
        <w:tc>
          <w:tcPr>
            <w:tcW w:w="1809" w:type="dxa"/>
            <w:vAlign w:val="center"/>
          </w:tcPr>
          <w:p>
            <w:pPr>
              <w:adjustRightInd w:val="0"/>
              <w:snapToGrid w:val="0"/>
              <w:jc w:val="center"/>
              <w:rPr>
                <w:color w:val="000000"/>
                <w:sz w:val="24"/>
              </w:rPr>
            </w:pPr>
            <w:r>
              <w:rPr>
                <w:color w:val="000000"/>
                <w:sz w:val="24"/>
              </w:rPr>
              <w:t>响应文件内容</w:t>
            </w:r>
          </w:p>
        </w:tc>
        <w:tc>
          <w:tcPr>
            <w:tcW w:w="2290" w:type="dxa"/>
            <w:vAlign w:val="center"/>
          </w:tcPr>
          <w:p>
            <w:pPr>
              <w:adjustRightInd w:val="0"/>
              <w:snapToGrid w:val="0"/>
              <w:jc w:val="center"/>
              <w:rPr>
                <w:color w:val="000000"/>
                <w:sz w:val="24"/>
              </w:rPr>
            </w:pPr>
            <w:r>
              <w:rPr>
                <w:color w:val="000000"/>
                <w:sz w:val="24"/>
              </w:rPr>
              <w:t>偏离情况</w:t>
            </w:r>
          </w:p>
        </w:tc>
        <w:tc>
          <w:tcPr>
            <w:tcW w:w="863"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pPr>
              <w:adjustRightInd w:val="0"/>
              <w:snapToGrid w:val="0"/>
              <w:jc w:val="left"/>
              <w:rPr>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pPr>
              <w:adjustRightInd w:val="0"/>
              <w:snapToGrid w:val="0"/>
              <w:jc w:val="center"/>
              <w:rPr>
                <w:color w:val="000000"/>
                <w:sz w:val="24"/>
              </w:rPr>
            </w:pPr>
          </w:p>
        </w:tc>
        <w:tc>
          <w:tcPr>
            <w:tcW w:w="1394" w:type="dxa"/>
            <w:vAlign w:val="center"/>
          </w:tcPr>
          <w:p>
            <w:pPr>
              <w:adjustRightInd w:val="0"/>
              <w:snapToGrid w:val="0"/>
              <w:jc w:val="center"/>
              <w:rPr>
                <w:color w:val="000000"/>
                <w:sz w:val="24"/>
              </w:rPr>
            </w:pPr>
          </w:p>
        </w:tc>
        <w:tc>
          <w:tcPr>
            <w:tcW w:w="1808" w:type="dxa"/>
            <w:vAlign w:val="center"/>
          </w:tcPr>
          <w:p>
            <w:pPr>
              <w:adjustRightInd w:val="0"/>
              <w:snapToGrid w:val="0"/>
              <w:jc w:val="center"/>
              <w:rPr>
                <w:color w:val="000000"/>
                <w:sz w:val="24"/>
              </w:rPr>
            </w:pPr>
          </w:p>
        </w:tc>
        <w:tc>
          <w:tcPr>
            <w:tcW w:w="1809" w:type="dxa"/>
            <w:vAlign w:val="center"/>
          </w:tcPr>
          <w:p>
            <w:pPr>
              <w:adjustRightInd w:val="0"/>
              <w:snapToGrid w:val="0"/>
              <w:jc w:val="center"/>
              <w:rPr>
                <w:color w:val="000000"/>
                <w:sz w:val="24"/>
              </w:rPr>
            </w:pPr>
          </w:p>
        </w:tc>
        <w:tc>
          <w:tcPr>
            <w:tcW w:w="2290" w:type="dxa"/>
            <w:vAlign w:val="center"/>
          </w:tcPr>
          <w:p>
            <w:pPr>
              <w:adjustRightInd w:val="0"/>
              <w:snapToGrid w:val="0"/>
              <w:jc w:val="center"/>
              <w:rPr>
                <w:color w:val="000000"/>
                <w:sz w:val="24"/>
              </w:rPr>
            </w:pPr>
          </w:p>
        </w:tc>
        <w:tc>
          <w:tcPr>
            <w:tcW w:w="863"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日期：_____年______月______日</w:t>
      </w:r>
    </w:p>
    <w:p>
      <w:pPr>
        <w:numPr>
          <w:ilvl w:val="0"/>
          <w:numId w:val="23"/>
        </w:numPr>
        <w:tabs>
          <w:tab w:val="left" w:pos="360"/>
        </w:tabs>
        <w:snapToGrid w:val="0"/>
        <w:spacing w:line="360" w:lineRule="auto"/>
        <w:outlineLvl w:val="1"/>
        <w:rPr>
          <w:color w:val="000000"/>
          <w:sz w:val="24"/>
          <w:szCs w:val="20"/>
        </w:rPr>
      </w:pPr>
      <w:r>
        <w:rPr>
          <w:color w:val="000000"/>
          <w:sz w:val="24"/>
          <w:szCs w:val="20"/>
        </w:rPr>
        <w:br w:type="page"/>
      </w:r>
      <w:bookmarkEnd w:id="741"/>
      <w:bookmarkEnd w:id="742"/>
      <w:bookmarkEnd w:id="743"/>
      <w:bookmarkEnd w:id="744"/>
      <w:bookmarkEnd w:id="745"/>
      <w:bookmarkEnd w:id="746"/>
      <w:bookmarkEnd w:id="747"/>
      <w:bookmarkEnd w:id="748"/>
      <w:bookmarkEnd w:id="749"/>
      <w:bookmarkEnd w:id="750"/>
      <w:bookmarkEnd w:id="751"/>
      <w:bookmarkEnd w:id="752"/>
      <w:bookmarkEnd w:id="753"/>
      <w:r>
        <w:rPr>
          <w:color w:val="000000"/>
          <w:sz w:val="24"/>
          <w:szCs w:val="20"/>
        </w:rPr>
        <w:t>采购需求偏离表</w:t>
      </w:r>
      <w:r>
        <w:rPr>
          <w:rFonts w:hint="eastAsia"/>
          <w:color w:val="000000"/>
          <w:sz w:val="24"/>
          <w:szCs w:val="20"/>
        </w:rPr>
        <w:t>（实质性格式）</w:t>
      </w:r>
    </w:p>
    <w:p>
      <w:pPr>
        <w:autoSpaceDE w:val="0"/>
        <w:autoSpaceDN w:val="0"/>
        <w:adjustRightInd w:val="0"/>
        <w:spacing w:line="360" w:lineRule="auto"/>
        <w:jc w:val="center"/>
        <w:rPr>
          <w:b/>
          <w:color w:val="000000"/>
          <w:sz w:val="36"/>
          <w:szCs w:val="36"/>
        </w:rPr>
      </w:pPr>
      <w:r>
        <w:rPr>
          <w:b/>
          <w:color w:val="000000"/>
          <w:sz w:val="36"/>
          <w:szCs w:val="36"/>
        </w:rPr>
        <w:t>采购需求偏离表</w:t>
      </w:r>
    </w:p>
    <w:p>
      <w:pPr>
        <w:tabs>
          <w:tab w:val="left" w:pos="1800"/>
          <w:tab w:val="left" w:pos="5580"/>
        </w:tabs>
        <w:spacing w:line="360" w:lineRule="auto"/>
        <w:jc w:val="left"/>
        <w:rPr>
          <w:color w:val="000000"/>
          <w:sz w:val="24"/>
          <w:u w:val="single"/>
        </w:rPr>
      </w:pPr>
      <w:r>
        <w:rPr>
          <w:color w:val="000000"/>
          <w:sz w:val="24"/>
        </w:rPr>
        <w:t>项目编号：_____________________     项目名称：_______________________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谈判文件条目号(页码)</w:t>
            </w:r>
          </w:p>
        </w:tc>
        <w:tc>
          <w:tcPr>
            <w:tcW w:w="2384" w:type="dxa"/>
            <w:vAlign w:val="center"/>
          </w:tcPr>
          <w:p>
            <w:pPr>
              <w:adjustRightInd w:val="0"/>
              <w:snapToGrid w:val="0"/>
              <w:jc w:val="center"/>
              <w:rPr>
                <w:color w:val="000000"/>
                <w:sz w:val="24"/>
              </w:rPr>
            </w:pPr>
            <w:r>
              <w:rPr>
                <w:color w:val="000000"/>
                <w:sz w:val="24"/>
              </w:rPr>
              <w:t>谈判文件要求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color w:val="000000"/>
          <w:sz w:val="24"/>
        </w:rPr>
        <w:t xml:space="preserve">1. </w:t>
      </w:r>
      <w:r>
        <w:rPr>
          <w:sz w:val="24"/>
        </w:rPr>
        <w:t>对谈判文件中的所有商务、技术要求，除本表所列明的所有偏离外，均视作供应商已对之理解和响应。</w:t>
      </w:r>
      <w:r>
        <w:rPr>
          <w:color w:val="000000"/>
          <w:sz w:val="24"/>
        </w:rPr>
        <w:t>此表中若无任何文字说明，内容为空白的，</w:t>
      </w:r>
      <w:r>
        <w:rPr>
          <w:b/>
          <w:bCs/>
          <w:color w:val="000000"/>
          <w:sz w:val="24"/>
        </w:rPr>
        <w:t>响应无效</w:t>
      </w:r>
      <w:r>
        <w:rPr>
          <w:color w:val="000000"/>
          <w:sz w:val="24"/>
        </w:rPr>
        <w:t>。</w:t>
      </w:r>
    </w:p>
    <w:p>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pPr>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pPr>
        <w:autoSpaceDE w:val="0"/>
        <w:autoSpaceDN w:val="0"/>
        <w:adjustRightInd w:val="0"/>
        <w:snapToGrid w:val="0"/>
        <w:spacing w:before="25" w:after="25" w:line="360" w:lineRule="auto"/>
        <w:rPr>
          <w:color w:val="000000"/>
          <w:sz w:val="24"/>
          <w:szCs w:val="20"/>
        </w:rPr>
      </w:pPr>
      <w:r>
        <w:rPr>
          <w:color w:val="000000"/>
          <w:sz w:val="24"/>
          <w:szCs w:val="20"/>
        </w:rPr>
        <w:t>日期：_____年______月______日</w:t>
      </w:r>
    </w:p>
    <w:p>
      <w:pPr>
        <w:adjustRightInd w:val="0"/>
        <w:snapToGrid w:val="0"/>
        <w:spacing w:line="360" w:lineRule="auto"/>
        <w:ind w:firstLine="480" w:firstLineChars="200"/>
        <w:jc w:val="right"/>
        <w:rPr>
          <w:sz w:val="24"/>
        </w:rPr>
      </w:pPr>
    </w:p>
    <w:p>
      <w:pPr>
        <w:spacing w:line="360" w:lineRule="auto"/>
        <w:rPr>
          <w:b/>
          <w:color w:val="000000"/>
          <w:sz w:val="24"/>
        </w:rPr>
      </w:pPr>
    </w:p>
    <w:p>
      <w:pPr>
        <w:numPr>
          <w:ilvl w:val="0"/>
          <w:numId w:val="23"/>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谈判文件要求提供或供应商认为应附的其他材料</w:t>
      </w:r>
    </w:p>
    <w:p>
      <w:pPr>
        <w:widowControl/>
        <w:jc w:val="left"/>
        <w:rPr>
          <w:sz w:val="24"/>
        </w:rPr>
      </w:pPr>
    </w:p>
    <w:p>
      <w:pPr>
        <w:widowControl/>
        <w:jc w:val="left"/>
        <w:rPr>
          <w:color w:val="000000"/>
          <w:sz w:val="24"/>
          <w:szCs w:val="20"/>
        </w:rPr>
      </w:pPr>
      <w:bookmarkStart w:id="754" w:name="_Hlk167094858"/>
      <w:r>
        <w:rPr>
          <w:color w:val="000000"/>
          <w:sz w:val="24"/>
          <w:szCs w:val="20"/>
        </w:rPr>
        <w:t>9-1</w:t>
      </w:r>
      <w:r>
        <w:rPr>
          <w:rFonts w:hint="eastAsia"/>
          <w:color w:val="000000"/>
          <w:sz w:val="24"/>
          <w:szCs w:val="20"/>
        </w:rPr>
        <w:t>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pPr>
              <w:jc w:val="center"/>
              <w:rPr>
                <w:sz w:val="24"/>
              </w:rPr>
            </w:pPr>
            <w:r>
              <w:rPr>
                <w:rFonts w:hint="eastAsia"/>
                <w:sz w:val="24"/>
              </w:rPr>
              <w:t>供应商名称</w:t>
            </w:r>
          </w:p>
        </w:tc>
        <w:tc>
          <w:tcPr>
            <w:tcW w:w="1667" w:type="pct"/>
          </w:tcPr>
          <w:p>
            <w:pPr>
              <w:jc w:val="center"/>
              <w:rPr>
                <w:sz w:val="24"/>
              </w:rPr>
            </w:pPr>
            <w:r>
              <w:rPr>
                <w:rFonts w:hint="eastAsia"/>
                <w:sz w:val="24"/>
              </w:rPr>
              <w:t>供应商所属性别</w:t>
            </w:r>
          </w:p>
        </w:tc>
        <w:tc>
          <w:tcPr>
            <w:tcW w:w="1667" w:type="pct"/>
          </w:tcPr>
          <w:p>
            <w:pPr>
              <w:jc w:val="center"/>
              <w:rPr>
                <w:sz w:val="24"/>
              </w:rPr>
            </w:pPr>
            <w:r>
              <w:rPr>
                <w:rFonts w:hint="eastAsia"/>
                <w:sz w:val="24"/>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tc>
        <w:tc>
          <w:tcPr>
            <w:tcW w:w="1667" w:type="pct"/>
          </w:tcPr>
          <w:p/>
        </w:tc>
        <w:tc>
          <w:tcPr>
            <w:tcW w:w="1667" w:type="pct"/>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tc>
        <w:tc>
          <w:tcPr>
            <w:tcW w:w="1667" w:type="pct"/>
          </w:tcPr>
          <w:p/>
        </w:tc>
        <w:tc>
          <w:tcPr>
            <w:tcW w:w="1667" w:type="pct"/>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tc>
        <w:tc>
          <w:tcPr>
            <w:tcW w:w="1667" w:type="pct"/>
          </w:tcPr>
          <w:p/>
        </w:tc>
        <w:tc>
          <w:tcPr>
            <w:tcW w:w="1667" w:type="pct"/>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p/>
        </w:tc>
        <w:tc>
          <w:tcPr>
            <w:tcW w:w="1667" w:type="pct"/>
          </w:tcPr>
          <w:p/>
        </w:tc>
        <w:tc>
          <w:tcPr>
            <w:tcW w:w="1667" w:type="pct"/>
          </w:tcPr>
          <w:p/>
        </w:tc>
      </w:tr>
    </w:tbl>
    <w:p>
      <w:pPr>
        <w:tabs>
          <w:tab w:val="left" w:pos="1800"/>
          <w:tab w:val="left" w:pos="5580"/>
        </w:tabs>
        <w:jc w:val="left"/>
        <w:rPr>
          <w:color w:val="000000"/>
          <w:sz w:val="24"/>
        </w:rPr>
      </w:pPr>
      <w:r>
        <w:rPr>
          <w:rFonts w:hint="eastAsia"/>
          <w:color w:val="000000"/>
          <w:sz w:val="24"/>
        </w:rPr>
        <w:t>注：1.供应商如为联合体，则应填写联合体各成员信息。</w:t>
      </w:r>
    </w:p>
    <w:p>
      <w:pPr>
        <w:tabs>
          <w:tab w:val="left" w:pos="1800"/>
          <w:tab w:val="left" w:pos="5580"/>
        </w:tabs>
        <w:ind w:firstLine="480" w:firstLineChars="200"/>
        <w:jc w:val="left"/>
        <w:rPr>
          <w:color w:val="000000"/>
          <w:sz w:val="24"/>
        </w:rPr>
      </w:pPr>
      <w:r>
        <w:rPr>
          <w:rFonts w:hint="eastAsia"/>
          <w:color w:val="000000"/>
          <w:sz w:val="24"/>
        </w:rPr>
        <w:t>2.供应商所属性别请填写“男”或“女”，指拥有供应商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pPr>
        <w:tabs>
          <w:tab w:val="left" w:pos="1800"/>
          <w:tab w:val="left" w:pos="5580"/>
        </w:tabs>
        <w:ind w:firstLine="480" w:firstLineChars="200"/>
        <w:jc w:val="left"/>
        <w:rPr>
          <w:color w:val="000000"/>
          <w:sz w:val="24"/>
        </w:rPr>
      </w:pPr>
      <w:r>
        <w:rPr>
          <w:rFonts w:hint="eastAsia"/>
          <w:color w:val="000000"/>
          <w:sz w:val="24"/>
        </w:rPr>
        <w:t>3.外商投资类型请填写“外商单独投资”“外商部分投资”或“内资”。</w:t>
      </w:r>
    </w:p>
    <w:bookmarkEnd w:id="754"/>
    <w:p>
      <w:pPr>
        <w:widowControl/>
        <w:jc w:val="left"/>
        <w:rPr>
          <w:sz w:val="24"/>
        </w:rPr>
      </w:pPr>
    </w:p>
    <w:p>
      <w:pPr>
        <w:widowControl/>
        <w:jc w:val="left"/>
        <w:rPr>
          <w:sz w:val="24"/>
        </w:rPr>
      </w:pPr>
    </w:p>
    <w:p>
      <w:pPr>
        <w:widowControl/>
        <w:jc w:val="left"/>
        <w:rPr>
          <w:sz w:val="24"/>
        </w:rPr>
      </w:pPr>
      <w:r>
        <w:rPr>
          <w:sz w:val="24"/>
        </w:rPr>
        <w:br w:type="page"/>
      </w:r>
    </w:p>
    <w:p>
      <w:pPr>
        <w:widowControl/>
        <w:jc w:val="left"/>
        <w:rPr>
          <w:sz w:val="24"/>
        </w:rPr>
      </w:pPr>
      <w:r>
        <w:rPr>
          <w:sz w:val="24"/>
        </w:rPr>
        <w:t>9</w:t>
      </w:r>
      <w:r>
        <w:rPr>
          <w:rFonts w:hint="eastAsia"/>
          <w:sz w:val="24"/>
        </w:rPr>
        <w:t>-2承诺</w:t>
      </w:r>
      <w:r>
        <w:rPr>
          <w:sz w:val="24"/>
        </w:rPr>
        <w:t>函</w:t>
      </w:r>
    </w:p>
    <w:p>
      <w:pPr>
        <w:tabs>
          <w:tab w:val="left" w:pos="5580"/>
        </w:tabs>
        <w:spacing w:line="360" w:lineRule="auto"/>
        <w:jc w:val="center"/>
        <w:rPr>
          <w:rFonts w:ascii="宋体" w:cs="宋体"/>
          <w:b/>
          <w:sz w:val="36"/>
          <w:szCs w:val="36"/>
        </w:rPr>
      </w:pPr>
      <w:r>
        <w:rPr>
          <w:rFonts w:hint="eastAsia" w:ascii="宋体" w:hAnsi="宋体" w:cs="宋体"/>
          <w:b/>
          <w:sz w:val="36"/>
          <w:szCs w:val="36"/>
        </w:rPr>
        <w:t>承诺函</w:t>
      </w:r>
    </w:p>
    <w:p>
      <w:pPr>
        <w:adjustRightInd w:val="0"/>
        <w:snapToGrid w:val="0"/>
        <w:spacing w:line="360" w:lineRule="auto"/>
        <w:rPr>
          <w:rFonts w:ascii="宋体" w:cs="宋体"/>
          <w:sz w:val="24"/>
        </w:rPr>
      </w:pPr>
      <w:r>
        <w:rPr>
          <w:rFonts w:hint="eastAsia" w:ascii="宋体" w:hAnsi="宋体" w:cs="宋体"/>
          <w:b/>
          <w:sz w:val="24"/>
        </w:rPr>
        <w:t>注：“承诺函”至少应包含以下内容（供应商视情况填写）：</w:t>
      </w:r>
    </w:p>
    <w:p>
      <w:pPr>
        <w:adjustRightInd w:val="0"/>
        <w:snapToGrid w:val="0"/>
        <w:spacing w:line="360" w:lineRule="auto"/>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（请供应商</w:t>
      </w:r>
      <w:r>
        <w:rPr>
          <w:rFonts w:ascii="宋体" w:hAnsi="宋体" w:cs="宋体"/>
          <w:sz w:val="24"/>
        </w:rPr>
        <w:t>填写“</w:t>
      </w:r>
      <w:r>
        <w:rPr>
          <w:rFonts w:hint="eastAsia" w:ascii="宋体" w:hAnsi="宋体" w:cs="宋体"/>
          <w:sz w:val="24"/>
        </w:rPr>
        <w:t>采购</w:t>
      </w:r>
      <w:r>
        <w:rPr>
          <w:rFonts w:ascii="宋体" w:hAnsi="宋体" w:cs="宋体"/>
          <w:sz w:val="24"/>
        </w:rPr>
        <w:t>人名称”</w:t>
      </w:r>
      <w:r>
        <w:rPr>
          <w:rFonts w:hint="eastAsia" w:ascii="宋体" w:hAnsi="宋体" w:cs="宋体"/>
          <w:sz w:val="24"/>
        </w:rPr>
        <w:t>）</w:t>
      </w:r>
    </w:p>
    <w:p>
      <w:pPr>
        <w:adjustRightInd w:val="0"/>
        <w:snapToGrid w:val="0"/>
        <w:spacing w:line="360" w:lineRule="auto"/>
        <w:ind w:firstLine="480" w:firstLineChars="200"/>
        <w:rPr>
          <w:rFonts w:ascii="宋体" w:cs="宋体"/>
          <w:sz w:val="24"/>
        </w:rPr>
      </w:pPr>
      <w:r>
        <w:rPr>
          <w:rFonts w:hint="eastAsia" w:ascii="宋体" w:hAnsi="宋体" w:cs="宋体"/>
          <w:sz w:val="24"/>
        </w:rPr>
        <w:t>我公司在</w:t>
      </w:r>
      <w:r>
        <w:rPr>
          <w:rFonts w:hint="eastAsia" w:ascii="宋体" w:hAnsi="宋体" w:cs="宋体"/>
          <w:sz w:val="24"/>
          <w:u w:val="single" w:color="DDD9C4"/>
        </w:rPr>
        <w:t>（项目名称：                     ，项目编号               ：）</w:t>
      </w:r>
      <w:r>
        <w:rPr>
          <w:rFonts w:hint="eastAsia" w:ascii="宋体" w:hAnsi="宋体" w:cs="宋体"/>
          <w:sz w:val="24"/>
        </w:rPr>
        <w:t>，作出如下承诺：</w:t>
      </w:r>
    </w:p>
    <w:p>
      <w:pPr>
        <w:adjustRightInd w:val="0"/>
        <w:snapToGrid w:val="0"/>
        <w:spacing w:line="360" w:lineRule="auto"/>
        <w:ind w:firstLine="482" w:firstLineChars="200"/>
        <w:rPr>
          <w:rFonts w:ascii="宋体" w:hAnsi="宋体" w:cs="宋体"/>
          <w:b/>
          <w:snapToGrid w:val="0"/>
          <w:sz w:val="24"/>
        </w:rPr>
      </w:pPr>
      <w:r>
        <w:rPr>
          <w:rFonts w:hint="eastAsia" w:ascii="宋体" w:hAnsi="宋体" w:cs="宋体"/>
          <w:b/>
          <w:snapToGrid w:val="0"/>
          <w:sz w:val="24"/>
        </w:rPr>
        <w:t>（</w:t>
      </w:r>
      <w:r>
        <w:rPr>
          <w:rFonts w:ascii="宋体" w:hAnsi="宋体" w:cs="宋体"/>
          <w:b/>
          <w:snapToGrid w:val="0"/>
          <w:sz w:val="24"/>
        </w:rPr>
        <w:t>1</w:t>
      </w:r>
      <w:r>
        <w:rPr>
          <w:rFonts w:hint="eastAsia" w:ascii="宋体" w:hAnsi="宋体" w:cs="宋体"/>
          <w:b/>
          <w:snapToGrid w:val="0"/>
          <w:sz w:val="24"/>
        </w:rPr>
        <w:t>）所</w:t>
      </w:r>
      <w:r>
        <w:rPr>
          <w:rFonts w:ascii="宋体" w:hAnsi="宋体" w:cs="宋体"/>
          <w:b/>
          <w:snapToGrid w:val="0"/>
          <w:sz w:val="24"/>
        </w:rPr>
        <w:t>提供台式机和操作系统</w:t>
      </w:r>
      <w:r>
        <w:rPr>
          <w:rFonts w:hint="eastAsia" w:ascii="宋体" w:hAnsi="宋体" w:cs="宋体"/>
          <w:b/>
          <w:snapToGrid w:val="0"/>
          <w:sz w:val="24"/>
        </w:rPr>
        <w:t>功能</w:t>
      </w:r>
      <w:r>
        <w:rPr>
          <w:rFonts w:ascii="宋体" w:hAnsi="宋体" w:cs="宋体"/>
          <w:b/>
          <w:snapToGrid w:val="0"/>
          <w:sz w:val="24"/>
        </w:rPr>
        <w:t>指标</w:t>
      </w:r>
      <w:r>
        <w:rPr>
          <w:rFonts w:hint="eastAsia" w:ascii="宋体" w:hAnsi="宋体" w:cs="宋体"/>
          <w:b/>
          <w:snapToGrid w:val="0"/>
          <w:sz w:val="24"/>
        </w:rPr>
        <w:t>均</w:t>
      </w:r>
      <w:r>
        <w:rPr>
          <w:rFonts w:ascii="宋体" w:hAnsi="宋体" w:cs="宋体"/>
          <w:b/>
          <w:snapToGrid w:val="0"/>
          <w:sz w:val="24"/>
        </w:rPr>
        <w:t>满足采购文件要求。</w:t>
      </w:r>
    </w:p>
    <w:p>
      <w:pPr>
        <w:adjustRightInd w:val="0"/>
        <w:snapToGrid w:val="0"/>
        <w:spacing w:line="360" w:lineRule="auto"/>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2</w:t>
      </w:r>
      <w:r>
        <w:rPr>
          <w:rFonts w:hint="eastAsia" w:ascii="宋体" w:hAnsi="宋体" w:cs="宋体"/>
          <w:snapToGrid w:val="0"/>
          <w:sz w:val="24"/>
        </w:rPr>
        <w:t>）自合同签订并验收合格之日起</w:t>
      </w:r>
      <w:r>
        <w:rPr>
          <w:rFonts w:hint="eastAsia" w:ascii="宋体" w:hAnsi="宋体" w:cs="宋体"/>
          <w:snapToGrid w:val="0"/>
          <w:sz w:val="24"/>
          <w:u w:val="single"/>
          <w:lang w:val="en-US" w:eastAsia="zh-CN"/>
        </w:rPr>
        <w:t xml:space="preserve"> </w:t>
      </w:r>
      <w:bookmarkStart w:id="757" w:name="_GoBack"/>
      <w:bookmarkEnd w:id="757"/>
      <w:r>
        <w:rPr>
          <w:rFonts w:hint="eastAsia" w:ascii="宋体" w:hAnsi="宋体" w:cs="宋体"/>
          <w:snapToGrid w:val="0"/>
          <w:sz w:val="24"/>
          <w:u w:val="single"/>
          <w:lang w:val="en-US" w:eastAsia="zh-CN"/>
        </w:rPr>
        <w:t xml:space="preserve"> </w:t>
      </w:r>
      <w:r>
        <w:rPr>
          <w:rFonts w:hint="eastAsia" w:ascii="宋体" w:hAnsi="宋体" w:cs="宋体"/>
          <w:snapToGrid w:val="0"/>
          <w:sz w:val="24"/>
        </w:rPr>
        <w:t>年整机质保，</w:t>
      </w:r>
      <w:r>
        <w:rPr>
          <w:rFonts w:hint="eastAsia" w:ascii="宋体" w:hAnsi="宋体" w:cs="宋体"/>
          <w:snapToGrid w:val="0"/>
          <w:sz w:val="24"/>
          <w:u w:val="single"/>
          <w:lang w:val="en-US" w:eastAsia="zh-CN"/>
        </w:rPr>
        <w:t xml:space="preserve">  </w:t>
      </w:r>
      <w:r>
        <w:rPr>
          <w:rFonts w:hint="eastAsia" w:ascii="宋体" w:hAnsi="宋体" w:cs="宋体"/>
          <w:snapToGrid w:val="0"/>
          <w:sz w:val="24"/>
        </w:rPr>
        <w:t>年上门服务。</w:t>
      </w:r>
    </w:p>
    <w:p>
      <w:pPr>
        <w:adjustRightInd w:val="0"/>
        <w:snapToGrid w:val="0"/>
        <w:spacing w:line="360" w:lineRule="auto"/>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3</w:t>
      </w:r>
      <w:r>
        <w:rPr>
          <w:rFonts w:hint="eastAsia" w:ascii="宋体" w:hAnsi="宋体" w:cs="宋体"/>
          <w:snapToGrid w:val="0"/>
          <w:sz w:val="24"/>
        </w:rPr>
        <w:t>）质保期内因货品质量问题应给予免费维修或更换。我公司提供</w:t>
      </w:r>
      <w:r>
        <w:rPr>
          <w:rFonts w:hint="eastAsia" w:ascii="宋体" w:hAnsi="宋体" w:cs="宋体"/>
          <w:snapToGrid w:val="0"/>
          <w:sz w:val="24"/>
          <w:u w:val="single"/>
          <w:lang w:val="en-US" w:eastAsia="zh-CN"/>
        </w:rPr>
        <w:t xml:space="preserve">  </w:t>
      </w:r>
      <w:r>
        <w:rPr>
          <w:rFonts w:hint="eastAsia" w:ascii="宋体" w:hAnsi="宋体" w:cs="宋体"/>
          <w:snapToGrid w:val="0"/>
          <w:sz w:val="24"/>
        </w:rPr>
        <w:t>分钟上门服务和电话技术支持服务，如遇紧急故障</w:t>
      </w:r>
      <w:r>
        <w:rPr>
          <w:rFonts w:hint="eastAsia" w:ascii="宋体" w:hAnsi="宋体" w:cs="宋体"/>
          <w:snapToGrid w:val="0"/>
          <w:sz w:val="24"/>
          <w:u w:val="single"/>
          <w:lang w:val="en-US" w:eastAsia="zh-CN"/>
        </w:rPr>
        <w:t xml:space="preserve">  </w:t>
      </w:r>
      <w:r>
        <w:rPr>
          <w:rFonts w:hint="eastAsia" w:ascii="宋体" w:hAnsi="宋体" w:cs="宋体"/>
          <w:snapToGrid w:val="0"/>
          <w:sz w:val="24"/>
        </w:rPr>
        <w:t>分钟上门处理故障。</w:t>
      </w:r>
    </w:p>
    <w:p>
      <w:pPr>
        <w:adjustRightInd w:val="0"/>
        <w:snapToGrid w:val="0"/>
        <w:spacing w:line="360" w:lineRule="auto"/>
        <w:ind w:firstLine="480" w:firstLineChars="200"/>
        <w:rPr>
          <w:rFonts w:ascii="宋体" w:cs="宋体"/>
          <w:snapToGrid w:val="0"/>
          <w:sz w:val="24"/>
        </w:rPr>
      </w:pPr>
      <w:r>
        <w:rPr>
          <w:rFonts w:hint="eastAsia" w:ascii="宋体" w:hAnsi="宋体" w:cs="宋体"/>
          <w:snapToGrid w:val="0"/>
          <w:sz w:val="24"/>
        </w:rPr>
        <w:t>（</w:t>
      </w:r>
      <w:r>
        <w:rPr>
          <w:rFonts w:ascii="宋体" w:hAnsi="宋体" w:cs="宋体"/>
          <w:snapToGrid w:val="0"/>
          <w:sz w:val="24"/>
        </w:rPr>
        <w:t>4</w:t>
      </w:r>
      <w:r>
        <w:rPr>
          <w:rFonts w:hint="eastAsia" w:ascii="宋体" w:hAnsi="宋体" w:cs="宋体"/>
          <w:snapToGrid w:val="0"/>
          <w:sz w:val="24"/>
        </w:rPr>
        <w:t>）在质保期内，我公司保证所提供的设备无故障开机运行，如达不到要求，质保期顺延。</w:t>
      </w:r>
    </w:p>
    <w:p>
      <w:pPr>
        <w:adjustRightInd w:val="0"/>
        <w:snapToGrid w:val="0"/>
        <w:spacing w:line="360" w:lineRule="auto"/>
        <w:ind w:firstLine="480" w:firstLineChars="200"/>
        <w:rPr>
          <w:rFonts w:ascii="宋体" w:hAnsi="宋体" w:cs="宋体"/>
          <w:snapToGrid w:val="0"/>
          <w:sz w:val="24"/>
        </w:rPr>
      </w:pPr>
      <w:r>
        <w:rPr>
          <w:rFonts w:hint="eastAsia" w:ascii="宋体" w:hAnsi="宋体" w:cs="宋体"/>
          <w:snapToGrid w:val="0"/>
          <w:sz w:val="24"/>
        </w:rPr>
        <w:t>（5）为保证教学顺利开展，根据采购人教学需要，质保期内每学期根据采购人指定时间，对所投设备进行巡检。</w:t>
      </w:r>
    </w:p>
    <w:p>
      <w:pPr>
        <w:adjustRightInd w:val="0"/>
        <w:snapToGrid w:val="0"/>
        <w:spacing w:line="360" w:lineRule="auto"/>
        <w:ind w:firstLine="480" w:firstLineChars="200"/>
        <w:rPr>
          <w:rFonts w:ascii="宋体" w:cs="宋体"/>
          <w:snapToGrid w:val="0"/>
          <w:sz w:val="24"/>
        </w:rPr>
      </w:pPr>
      <w:r>
        <w:rPr>
          <w:rFonts w:hint="eastAsia" w:ascii="宋体" w:hAnsi="宋体" w:cs="宋体"/>
          <w:snapToGrid w:val="0"/>
          <w:sz w:val="24"/>
        </w:rPr>
        <w:t>（6）质保期外要求提供终身广泛优惠的技术支持和维修服务。</w:t>
      </w:r>
    </w:p>
    <w:p>
      <w:pPr>
        <w:adjustRightInd w:val="0"/>
        <w:snapToGrid w:val="0"/>
        <w:spacing w:line="360" w:lineRule="auto"/>
        <w:rPr>
          <w:rFonts w:ascii="宋体" w:cs="宋体"/>
          <w:sz w:val="24"/>
        </w:rPr>
      </w:pPr>
    </w:p>
    <w:p>
      <w:pPr>
        <w:adjustRightInd w:val="0"/>
        <w:snapToGrid w:val="0"/>
        <w:spacing w:line="360" w:lineRule="auto"/>
        <w:ind w:firstLine="480" w:firstLineChars="200"/>
        <w:rPr>
          <w:rFonts w:ascii="宋体" w:cs="宋体"/>
          <w:sz w:val="24"/>
        </w:rPr>
      </w:pPr>
      <w:r>
        <w:rPr>
          <w:rFonts w:hint="eastAsia" w:ascii="宋体" w:hAnsi="宋体" w:cs="宋体"/>
          <w:sz w:val="24"/>
        </w:rPr>
        <w:t>注：以上各项内容可在本承诺后，另附相关附件进行详细说明</w:t>
      </w:r>
    </w:p>
    <w:p>
      <w:pPr>
        <w:tabs>
          <w:tab w:val="left" w:pos="5580"/>
        </w:tabs>
        <w:spacing w:line="360" w:lineRule="auto"/>
        <w:rPr>
          <w:rFonts w:ascii="宋体" w:cs="宋体"/>
          <w:sz w:val="24"/>
          <w:szCs w:val="20"/>
        </w:rPr>
      </w:pPr>
    </w:p>
    <w:p>
      <w:pPr>
        <w:tabs>
          <w:tab w:val="left" w:pos="5580"/>
        </w:tabs>
        <w:spacing w:line="360" w:lineRule="auto"/>
        <w:ind w:left="420"/>
        <w:rPr>
          <w:rFonts w:ascii="宋体" w:hAnsi="宋体" w:cs="宋体"/>
          <w:sz w:val="24"/>
          <w:szCs w:val="20"/>
        </w:rPr>
      </w:pPr>
      <w:r>
        <w:rPr>
          <w:rFonts w:hint="eastAsia" w:ascii="宋体" w:hAnsi="宋体" w:cs="宋体"/>
          <w:sz w:val="24"/>
          <w:szCs w:val="20"/>
        </w:rPr>
        <w:t>供应商名称（加盖公章）</w:t>
      </w:r>
      <w:r>
        <w:rPr>
          <w:rFonts w:ascii="宋体" w:hAnsi="宋体" w:cs="宋体"/>
          <w:sz w:val="24"/>
          <w:szCs w:val="20"/>
        </w:rPr>
        <w:t xml:space="preserve"> ___________</w:t>
      </w:r>
    </w:p>
    <w:p>
      <w:pPr>
        <w:ind w:firstLine="480" w:firstLineChars="200"/>
        <w:rPr>
          <w:b/>
          <w:sz w:val="24"/>
        </w:rPr>
      </w:pPr>
      <w:r>
        <w:rPr>
          <w:rFonts w:hint="eastAsia" w:ascii="宋体" w:hAnsi="宋体" w:cs="宋体"/>
          <w:sz w:val="24"/>
          <w:szCs w:val="20"/>
        </w:rPr>
        <w:t>日期：</w:t>
      </w:r>
      <w:r>
        <w:rPr>
          <w:rFonts w:ascii="宋体" w:hAnsi="宋体" w:cs="宋体"/>
          <w:sz w:val="24"/>
          <w:szCs w:val="20"/>
        </w:rPr>
        <w:t>_____</w:t>
      </w:r>
      <w:r>
        <w:rPr>
          <w:rFonts w:hint="eastAsia" w:ascii="宋体" w:hAnsi="宋体" w:cs="宋体"/>
          <w:sz w:val="24"/>
          <w:szCs w:val="20"/>
        </w:rPr>
        <w:t>年</w:t>
      </w:r>
      <w:r>
        <w:rPr>
          <w:rFonts w:ascii="宋体" w:hAnsi="宋体" w:cs="宋体"/>
          <w:sz w:val="24"/>
          <w:szCs w:val="20"/>
        </w:rPr>
        <w:t>______</w:t>
      </w:r>
      <w:r>
        <w:rPr>
          <w:rFonts w:hint="eastAsia" w:ascii="宋体" w:hAnsi="宋体" w:cs="宋体"/>
          <w:sz w:val="24"/>
          <w:szCs w:val="20"/>
        </w:rPr>
        <w:t>月</w:t>
      </w:r>
      <w:r>
        <w:rPr>
          <w:rFonts w:ascii="宋体" w:hAnsi="宋体" w:cs="宋体"/>
          <w:sz w:val="24"/>
          <w:szCs w:val="20"/>
        </w:rPr>
        <w:t>______</w:t>
      </w:r>
      <w:r>
        <w:rPr>
          <w:rFonts w:hint="eastAsia" w:ascii="宋体" w:hAnsi="宋体" w:cs="宋体"/>
          <w:sz w:val="24"/>
          <w:szCs w:val="20"/>
        </w:rPr>
        <w:t>日</w:t>
      </w:r>
    </w:p>
    <w:p>
      <w:pPr>
        <w:widowControl/>
        <w:jc w:val="left"/>
        <w:rPr>
          <w:b/>
          <w:sz w:val="36"/>
          <w:szCs w:val="36"/>
        </w:rPr>
      </w:pPr>
      <w:r>
        <w:rPr>
          <w:b/>
          <w:sz w:val="36"/>
          <w:szCs w:val="36"/>
        </w:rPr>
        <w:br w:type="page"/>
      </w:r>
    </w:p>
    <w:p>
      <w:pPr>
        <w:numPr>
          <w:ilvl w:val="0"/>
          <w:numId w:val="23"/>
        </w:numPr>
        <w:tabs>
          <w:tab w:val="left" w:pos="360"/>
        </w:tabs>
        <w:snapToGrid w:val="0"/>
        <w:spacing w:line="360" w:lineRule="auto"/>
        <w:outlineLvl w:val="1"/>
        <w:rPr>
          <w:color w:val="000000"/>
          <w:sz w:val="24"/>
          <w:szCs w:val="20"/>
        </w:rPr>
      </w:pPr>
      <w:r>
        <w:rPr>
          <w:color w:val="000000"/>
          <w:sz w:val="24"/>
          <w:szCs w:val="20"/>
        </w:rPr>
        <w:t>最后报价一览表（实质性格式，谈判后提交）</w:t>
      </w:r>
    </w:p>
    <w:p>
      <w:pPr>
        <w:spacing w:line="360" w:lineRule="exact"/>
        <w:jc w:val="center"/>
        <w:rPr>
          <w:b/>
          <w:color w:val="000000"/>
          <w:sz w:val="36"/>
          <w:szCs w:val="36"/>
        </w:rPr>
      </w:pPr>
      <w:r>
        <w:rPr>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2"/>
        <w:gridCol w:w="2721"/>
        <w:gridCol w:w="2023"/>
        <w:gridCol w:w="180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b/>
                <w:sz w:val="24"/>
              </w:rPr>
            </w:pPr>
            <w:r>
              <w:rPr>
                <w:b/>
                <w:sz w:val="24"/>
              </w:rPr>
              <w:t>序号</w:t>
            </w:r>
          </w:p>
        </w:tc>
        <w:tc>
          <w:tcPr>
            <w:tcW w:w="1498" w:type="pct"/>
            <w:vMerge w:val="restart"/>
            <w:vAlign w:val="center"/>
          </w:tcPr>
          <w:p>
            <w:pPr>
              <w:tabs>
                <w:tab w:val="left" w:pos="5580"/>
              </w:tabs>
              <w:jc w:val="center"/>
              <w:rPr>
                <w:b/>
                <w:sz w:val="24"/>
              </w:rPr>
            </w:pPr>
            <w:r>
              <w:rPr>
                <w:b/>
                <w:sz w:val="24"/>
              </w:rPr>
              <w:t>供应商名称</w:t>
            </w:r>
          </w:p>
        </w:tc>
        <w:tc>
          <w:tcPr>
            <w:tcW w:w="2106" w:type="pct"/>
            <w:gridSpan w:val="2"/>
            <w:vAlign w:val="center"/>
          </w:tcPr>
          <w:p>
            <w:pPr>
              <w:tabs>
                <w:tab w:val="left" w:pos="5580"/>
              </w:tabs>
              <w:jc w:val="center"/>
              <w:rPr>
                <w:b/>
                <w:sz w:val="24"/>
              </w:rPr>
            </w:pPr>
            <w:r>
              <w:rPr>
                <w:b/>
                <w:sz w:val="24"/>
              </w:rPr>
              <w:t>最后报价</w:t>
            </w:r>
          </w:p>
        </w:tc>
        <w:tc>
          <w:tcPr>
            <w:tcW w:w="949" w:type="pct"/>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sz w:val="24"/>
              </w:rPr>
            </w:pPr>
          </w:p>
        </w:tc>
        <w:tc>
          <w:tcPr>
            <w:tcW w:w="1498" w:type="pct"/>
            <w:vMerge w:val="continue"/>
            <w:vAlign w:val="center"/>
          </w:tcPr>
          <w:p>
            <w:pPr>
              <w:tabs>
                <w:tab w:val="left" w:pos="5580"/>
              </w:tabs>
              <w:jc w:val="center"/>
              <w:rPr>
                <w:sz w:val="24"/>
              </w:rPr>
            </w:pPr>
          </w:p>
        </w:tc>
        <w:tc>
          <w:tcPr>
            <w:tcW w:w="1114" w:type="pct"/>
            <w:vAlign w:val="center"/>
          </w:tcPr>
          <w:p>
            <w:pPr>
              <w:tabs>
                <w:tab w:val="left" w:pos="5580"/>
              </w:tabs>
              <w:jc w:val="center"/>
              <w:rPr>
                <w:b/>
                <w:sz w:val="24"/>
              </w:rPr>
            </w:pPr>
            <w:r>
              <w:rPr>
                <w:b/>
                <w:sz w:val="24"/>
              </w:rPr>
              <w:t>大写</w:t>
            </w:r>
          </w:p>
        </w:tc>
        <w:tc>
          <w:tcPr>
            <w:tcW w:w="992" w:type="pct"/>
            <w:vAlign w:val="center"/>
          </w:tcPr>
          <w:p>
            <w:pPr>
              <w:tabs>
                <w:tab w:val="left" w:pos="5580"/>
              </w:tabs>
              <w:jc w:val="center"/>
              <w:rPr>
                <w:b/>
                <w:sz w:val="24"/>
              </w:rPr>
            </w:pPr>
            <w:r>
              <w:rPr>
                <w:b/>
                <w:sz w:val="24"/>
              </w:rPr>
              <w:t>小写</w:t>
            </w:r>
          </w:p>
        </w:tc>
        <w:tc>
          <w:tcPr>
            <w:tcW w:w="949" w:type="pct"/>
            <w:vMerge w:val="continue"/>
            <w:vAlign w:val="center"/>
          </w:tcPr>
          <w:p>
            <w:pPr>
              <w:tabs>
                <w:tab w:val="left" w:pos="5580"/>
              </w:tabs>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sz w:val="24"/>
              </w:rPr>
            </w:pPr>
          </w:p>
        </w:tc>
        <w:tc>
          <w:tcPr>
            <w:tcW w:w="1498" w:type="pct"/>
            <w:vAlign w:val="center"/>
          </w:tcPr>
          <w:p>
            <w:pPr>
              <w:tabs>
                <w:tab w:val="left" w:pos="5580"/>
              </w:tabs>
              <w:jc w:val="center"/>
              <w:rPr>
                <w:sz w:val="24"/>
              </w:rPr>
            </w:pPr>
          </w:p>
        </w:tc>
        <w:tc>
          <w:tcPr>
            <w:tcW w:w="1114" w:type="pct"/>
            <w:vAlign w:val="center"/>
          </w:tcPr>
          <w:p>
            <w:pPr>
              <w:tabs>
                <w:tab w:val="left" w:pos="5580"/>
              </w:tabs>
              <w:jc w:val="center"/>
              <w:rPr>
                <w:sz w:val="24"/>
              </w:rPr>
            </w:pPr>
          </w:p>
        </w:tc>
        <w:tc>
          <w:tcPr>
            <w:tcW w:w="992" w:type="pct"/>
            <w:vAlign w:val="center"/>
          </w:tcPr>
          <w:p>
            <w:pPr>
              <w:tabs>
                <w:tab w:val="left" w:pos="5580"/>
              </w:tabs>
              <w:jc w:val="center"/>
              <w:rPr>
                <w:sz w:val="24"/>
              </w:rPr>
            </w:pPr>
          </w:p>
        </w:tc>
        <w:tc>
          <w:tcPr>
            <w:tcW w:w="949"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w:t>
      </w:r>
      <w:bookmarkStart w:id="755" w:name="_Hlk137145744"/>
      <w:r>
        <w:rPr>
          <w:sz w:val="24"/>
        </w:rPr>
        <w:t>此表无需在响应文件中提交，谈判后供应商按谈判小组要求提交。</w:t>
      </w:r>
    </w:p>
    <w:bookmarkEnd w:id="755"/>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bookmarkStart w:id="756" w:name="_Hlk144141560"/>
      <w:r>
        <w:rPr>
          <w:color w:val="000000"/>
          <w:sz w:val="24"/>
        </w:rPr>
        <w:t>供应商授权代表签字（或加盖供应商公章）</w:t>
      </w:r>
      <w:r>
        <w:rPr>
          <w:color w:val="000000"/>
          <w:sz w:val="24"/>
          <w:lang w:val="zh-CN"/>
        </w:rPr>
        <w:t>：</w:t>
      </w:r>
      <w:bookmarkEnd w:id="756"/>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日期：_____年______月______日</w:t>
      </w:r>
    </w:p>
    <w:p>
      <w:pPr>
        <w:widowControl/>
        <w:jc w:val="left"/>
        <w:rPr>
          <w:color w:val="000000"/>
          <w:sz w:val="24"/>
          <w:szCs w:val="20"/>
        </w:rPr>
      </w:pPr>
    </w:p>
    <w:p>
      <w:pPr>
        <w:numPr>
          <w:ilvl w:val="0"/>
          <w:numId w:val="23"/>
        </w:numPr>
        <w:tabs>
          <w:tab w:val="left" w:pos="360"/>
        </w:tabs>
        <w:snapToGrid w:val="0"/>
        <w:spacing w:line="360" w:lineRule="auto"/>
        <w:outlineLvl w:val="1"/>
        <w:rPr>
          <w:color w:val="000000"/>
          <w:sz w:val="24"/>
          <w:szCs w:val="20"/>
        </w:rPr>
        <w:sectPr>
          <w:pgSz w:w="11907" w:h="16840"/>
          <w:pgMar w:top="1418" w:right="1134" w:bottom="1418" w:left="1701" w:header="851" w:footer="851" w:gutter="0"/>
          <w:cols w:space="720" w:num="1"/>
          <w:docGrid w:linePitch="462" w:charSpace="0"/>
        </w:sectPr>
      </w:pPr>
    </w:p>
    <w:p>
      <w:pPr>
        <w:numPr>
          <w:ilvl w:val="0"/>
          <w:numId w:val="23"/>
        </w:numPr>
        <w:tabs>
          <w:tab w:val="left" w:pos="360"/>
        </w:tabs>
        <w:snapToGrid w:val="0"/>
        <w:spacing w:line="360" w:lineRule="auto"/>
        <w:outlineLvl w:val="1"/>
        <w:rPr>
          <w:color w:val="000000"/>
          <w:sz w:val="24"/>
          <w:szCs w:val="20"/>
        </w:rPr>
      </w:pPr>
      <w:r>
        <w:rPr>
          <w:color w:val="000000"/>
          <w:sz w:val="24"/>
          <w:szCs w:val="20"/>
        </w:rPr>
        <w:t>最后分项报价表（实质性格式，谈判后提交）</w:t>
      </w:r>
    </w:p>
    <w:p>
      <w:pPr>
        <w:spacing w:line="360" w:lineRule="exact"/>
        <w:jc w:val="center"/>
        <w:rPr>
          <w:b/>
          <w:color w:val="000000"/>
          <w:sz w:val="36"/>
          <w:szCs w:val="36"/>
        </w:rPr>
      </w:pPr>
    </w:p>
    <w:p>
      <w:pPr>
        <w:spacing w:line="360" w:lineRule="exact"/>
        <w:jc w:val="center"/>
        <w:rPr>
          <w:b/>
          <w:color w:val="000000"/>
          <w:sz w:val="36"/>
          <w:szCs w:val="36"/>
        </w:rPr>
      </w:pPr>
      <w:r>
        <w:rPr>
          <w:b/>
          <w:color w:val="000000"/>
          <w:sz w:val="36"/>
          <w:szCs w:val="36"/>
        </w:rPr>
        <w:t>最后分项报价表</w:t>
      </w:r>
    </w:p>
    <w:p>
      <w:pPr>
        <w:spacing w:line="360" w:lineRule="exact"/>
        <w:jc w:val="center"/>
        <w:rPr>
          <w:b/>
          <w:color w:val="000000"/>
          <w:sz w:val="36"/>
          <w:szCs w:val="36"/>
        </w:rPr>
      </w:pPr>
    </w:p>
    <w:p>
      <w:pPr>
        <w:tabs>
          <w:tab w:val="left" w:pos="1800"/>
          <w:tab w:val="left" w:pos="5580"/>
        </w:tabs>
        <w:rPr>
          <w:rFonts w:eastAsiaTheme="minorEastAsia"/>
          <w:color w:val="000000"/>
          <w:sz w:val="24"/>
        </w:rPr>
      </w:pPr>
      <w:r>
        <w:rPr>
          <w:rFonts w:eastAsiaTheme="minorEastAsia"/>
          <w:color w:val="000000"/>
          <w:sz w:val="24"/>
        </w:rPr>
        <w:t>项目编号：______</w:t>
      </w:r>
      <w:r>
        <w:rPr>
          <w:rFonts w:eastAsiaTheme="minorEastAsia"/>
          <w:color w:val="000000"/>
          <w:sz w:val="24"/>
          <w:u w:val="single"/>
        </w:rPr>
        <w:t xml:space="preserve">            </w:t>
      </w:r>
      <w:r>
        <w:rPr>
          <w:rFonts w:eastAsiaTheme="minorEastAsia"/>
          <w:color w:val="000000"/>
          <w:sz w:val="24"/>
        </w:rPr>
        <w:t>___ 项目名称：__</w:t>
      </w:r>
      <w:r>
        <w:rPr>
          <w:rFonts w:eastAsiaTheme="minorEastAsia"/>
          <w:color w:val="000000"/>
          <w:sz w:val="24"/>
          <w:u w:val="single"/>
        </w:rPr>
        <w:t xml:space="preserve">                 </w:t>
      </w:r>
      <w:r>
        <w:rPr>
          <w:rFonts w:eastAsiaTheme="minorEastAsia"/>
          <w:color w:val="000000"/>
          <w:sz w:val="24"/>
        </w:rPr>
        <w:t>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5" w:type="pct"/>
            <w:vAlign w:val="center"/>
          </w:tcPr>
          <w:p>
            <w:pPr>
              <w:adjustRightInd w:val="0"/>
              <w:snapToGrid w:val="0"/>
              <w:jc w:val="left"/>
              <w:rPr>
                <w:b/>
                <w:color w:val="000000"/>
                <w:sz w:val="24"/>
              </w:rPr>
            </w:pPr>
            <w:r>
              <w:rPr>
                <w:b/>
                <w:color w:val="000000"/>
                <w:sz w:val="24"/>
              </w:rPr>
              <w:t>序号</w:t>
            </w:r>
          </w:p>
        </w:tc>
        <w:tc>
          <w:tcPr>
            <w:tcW w:w="370" w:type="pct"/>
            <w:vAlign w:val="center"/>
          </w:tcPr>
          <w:p>
            <w:pPr>
              <w:adjustRightInd w:val="0"/>
              <w:snapToGrid w:val="0"/>
              <w:jc w:val="left"/>
              <w:rPr>
                <w:b/>
                <w:color w:val="000000"/>
                <w:sz w:val="24"/>
              </w:rPr>
            </w:pPr>
            <w:r>
              <w:rPr>
                <w:b/>
                <w:color w:val="000000"/>
                <w:sz w:val="24"/>
              </w:rPr>
              <w:t>分项名称</w:t>
            </w:r>
          </w:p>
        </w:tc>
        <w:tc>
          <w:tcPr>
            <w:tcW w:w="466" w:type="pct"/>
            <w:vAlign w:val="center"/>
          </w:tcPr>
          <w:p>
            <w:pPr>
              <w:adjustRightInd w:val="0"/>
              <w:snapToGrid w:val="0"/>
              <w:jc w:val="left"/>
              <w:rPr>
                <w:b/>
                <w:color w:val="000000"/>
                <w:sz w:val="24"/>
              </w:rPr>
            </w:pPr>
            <w:r>
              <w:rPr>
                <w:b/>
                <w:color w:val="000000"/>
                <w:sz w:val="24"/>
              </w:rPr>
              <w:t>制造商/</w:t>
            </w:r>
          </w:p>
          <w:p>
            <w:pPr>
              <w:adjustRightInd w:val="0"/>
              <w:snapToGrid w:val="0"/>
              <w:jc w:val="left"/>
              <w:rPr>
                <w:b/>
                <w:color w:val="000000"/>
                <w:sz w:val="24"/>
              </w:rPr>
            </w:pPr>
            <w:r>
              <w:rPr>
                <w:b/>
                <w:color w:val="000000"/>
                <w:sz w:val="24"/>
              </w:rPr>
              <w:t>生产厂家</w:t>
            </w:r>
          </w:p>
        </w:tc>
        <w:tc>
          <w:tcPr>
            <w:tcW w:w="332" w:type="pct"/>
            <w:vAlign w:val="center"/>
          </w:tcPr>
          <w:p>
            <w:pPr>
              <w:adjustRightInd w:val="0"/>
              <w:snapToGrid w:val="0"/>
              <w:jc w:val="left"/>
              <w:rPr>
                <w:b/>
                <w:color w:val="000000"/>
                <w:sz w:val="24"/>
              </w:rPr>
            </w:pPr>
            <w:r>
              <w:rPr>
                <w:b/>
                <w:color w:val="000000"/>
                <w:sz w:val="24"/>
              </w:rPr>
              <w:t>产地/国别</w:t>
            </w:r>
          </w:p>
        </w:tc>
        <w:tc>
          <w:tcPr>
            <w:tcW w:w="441" w:type="pct"/>
            <w:vAlign w:val="center"/>
          </w:tcPr>
          <w:p>
            <w:pPr>
              <w:jc w:val="center"/>
              <w:rPr>
                <w:b/>
                <w:color w:val="000000"/>
                <w:sz w:val="24"/>
              </w:rPr>
            </w:pPr>
            <w:r>
              <w:rPr>
                <w:b/>
                <w:color w:val="000000"/>
                <w:sz w:val="24"/>
              </w:rPr>
              <w:t>制造商统一</w:t>
            </w:r>
            <w:r>
              <w:rPr>
                <w:rFonts w:hint="eastAsia"/>
                <w:b/>
                <w:color w:val="000000"/>
                <w:sz w:val="24"/>
              </w:rPr>
              <w:t>社会</w:t>
            </w:r>
            <w:r>
              <w:rPr>
                <w:b/>
                <w:color w:val="000000"/>
                <w:sz w:val="24"/>
              </w:rPr>
              <w:t>信用代码</w:t>
            </w:r>
          </w:p>
        </w:tc>
        <w:tc>
          <w:tcPr>
            <w:tcW w:w="441" w:type="pct"/>
            <w:vAlign w:val="center"/>
          </w:tcPr>
          <w:p>
            <w:pPr>
              <w:jc w:val="center"/>
              <w:rPr>
                <w:b/>
                <w:color w:val="000000"/>
                <w:sz w:val="24"/>
              </w:rPr>
            </w:pPr>
            <w:r>
              <w:rPr>
                <w:b/>
                <w:color w:val="000000"/>
                <w:sz w:val="24"/>
              </w:rPr>
              <w:t>制造商</w:t>
            </w:r>
          </w:p>
          <w:p>
            <w:pPr>
              <w:adjustRightInd w:val="0"/>
              <w:snapToGrid w:val="0"/>
              <w:jc w:val="center"/>
              <w:rPr>
                <w:b/>
                <w:color w:val="000000"/>
                <w:sz w:val="24"/>
              </w:rPr>
            </w:pPr>
            <w:r>
              <w:rPr>
                <w:b/>
                <w:color w:val="000000"/>
                <w:sz w:val="24"/>
              </w:rPr>
              <w:t>规模</w:t>
            </w:r>
          </w:p>
        </w:tc>
        <w:tc>
          <w:tcPr>
            <w:tcW w:w="441" w:type="pct"/>
            <w:vAlign w:val="center"/>
          </w:tcPr>
          <w:p>
            <w:pPr>
              <w:adjustRightInd w:val="0"/>
              <w:snapToGrid w:val="0"/>
              <w:jc w:val="center"/>
              <w:rPr>
                <w:b/>
                <w:color w:val="000000"/>
                <w:sz w:val="24"/>
              </w:rPr>
            </w:pPr>
            <w:r>
              <w:rPr>
                <w:rFonts w:hint="eastAsia"/>
                <w:b/>
                <w:color w:val="000000"/>
                <w:sz w:val="24"/>
              </w:rPr>
              <w:t>制造商所属性别</w:t>
            </w:r>
          </w:p>
        </w:tc>
        <w:tc>
          <w:tcPr>
            <w:tcW w:w="441" w:type="pct"/>
            <w:vAlign w:val="center"/>
          </w:tcPr>
          <w:p>
            <w:pPr>
              <w:adjustRightInd w:val="0"/>
              <w:snapToGrid w:val="0"/>
              <w:jc w:val="center"/>
              <w:rPr>
                <w:b/>
                <w:color w:val="000000"/>
                <w:sz w:val="24"/>
              </w:rPr>
            </w:pPr>
            <w:r>
              <w:rPr>
                <w:rFonts w:hint="eastAsia"/>
                <w:b/>
                <w:color w:val="000000"/>
                <w:sz w:val="24"/>
              </w:rPr>
              <w:t>外商投资类型</w:t>
            </w:r>
          </w:p>
        </w:tc>
        <w:tc>
          <w:tcPr>
            <w:tcW w:w="441" w:type="pct"/>
            <w:vAlign w:val="center"/>
          </w:tcPr>
          <w:p>
            <w:pPr>
              <w:adjustRightInd w:val="0"/>
              <w:snapToGrid w:val="0"/>
              <w:jc w:val="center"/>
              <w:rPr>
                <w:b/>
                <w:color w:val="000000"/>
                <w:sz w:val="24"/>
              </w:rPr>
            </w:pPr>
            <w:r>
              <w:rPr>
                <w:b/>
                <w:color w:val="000000"/>
                <w:sz w:val="24"/>
              </w:rPr>
              <w:t>品牌</w:t>
            </w:r>
          </w:p>
        </w:tc>
        <w:tc>
          <w:tcPr>
            <w:tcW w:w="441" w:type="pct"/>
            <w:vAlign w:val="center"/>
          </w:tcPr>
          <w:p>
            <w:pPr>
              <w:adjustRightInd w:val="0"/>
              <w:snapToGrid w:val="0"/>
              <w:jc w:val="left"/>
              <w:rPr>
                <w:b/>
                <w:color w:val="000000"/>
                <w:sz w:val="24"/>
              </w:rPr>
            </w:pPr>
            <w:r>
              <w:rPr>
                <w:b/>
                <w:color w:val="000000"/>
                <w:sz w:val="24"/>
              </w:rPr>
              <w:t>规格、型号</w:t>
            </w:r>
          </w:p>
        </w:tc>
        <w:tc>
          <w:tcPr>
            <w:tcW w:w="360" w:type="pct"/>
            <w:vAlign w:val="center"/>
          </w:tcPr>
          <w:p>
            <w:pPr>
              <w:adjustRightInd w:val="0"/>
              <w:snapToGrid w:val="0"/>
              <w:jc w:val="left"/>
              <w:rPr>
                <w:b/>
                <w:color w:val="000000"/>
                <w:sz w:val="24"/>
              </w:rPr>
            </w:pPr>
            <w:r>
              <w:rPr>
                <w:b/>
                <w:color w:val="000000"/>
                <w:sz w:val="24"/>
              </w:rPr>
              <w:t>单价（元）</w:t>
            </w:r>
          </w:p>
        </w:tc>
        <w:tc>
          <w:tcPr>
            <w:tcW w:w="292" w:type="pct"/>
            <w:vAlign w:val="center"/>
          </w:tcPr>
          <w:p>
            <w:pPr>
              <w:adjustRightInd w:val="0"/>
              <w:snapToGrid w:val="0"/>
              <w:jc w:val="left"/>
              <w:rPr>
                <w:b/>
                <w:color w:val="000000"/>
                <w:sz w:val="24"/>
              </w:rPr>
            </w:pPr>
            <w:r>
              <w:rPr>
                <w:b/>
                <w:color w:val="000000"/>
                <w:sz w:val="24"/>
              </w:rPr>
              <w:t>数量</w:t>
            </w:r>
          </w:p>
        </w:tc>
        <w:tc>
          <w:tcPr>
            <w:tcW w:w="359" w:type="pct"/>
            <w:vAlign w:val="center"/>
          </w:tcPr>
          <w:p>
            <w:pPr>
              <w:adjustRightInd w:val="0"/>
              <w:snapToGrid w:val="0"/>
              <w:jc w:val="left"/>
              <w:rPr>
                <w:b/>
                <w:color w:val="000000"/>
                <w:sz w:val="24"/>
              </w:rPr>
            </w:pPr>
            <w:r>
              <w:rPr>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1</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2</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3</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4</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pPr>
              <w:adjustRightInd w:val="0"/>
              <w:snapToGrid w:val="0"/>
              <w:jc w:val="left"/>
              <w:rPr>
                <w:color w:val="000000"/>
                <w:sz w:val="24"/>
              </w:rPr>
            </w:pPr>
            <w:r>
              <w:rPr>
                <w:color w:val="000000"/>
                <w:sz w:val="24"/>
              </w:rPr>
              <w:t>…</w:t>
            </w:r>
          </w:p>
        </w:tc>
        <w:tc>
          <w:tcPr>
            <w:tcW w:w="370" w:type="pct"/>
            <w:vAlign w:val="center"/>
          </w:tcPr>
          <w:p>
            <w:pPr>
              <w:adjustRightInd w:val="0"/>
              <w:snapToGrid w:val="0"/>
              <w:jc w:val="left"/>
              <w:rPr>
                <w:color w:val="000000"/>
                <w:sz w:val="24"/>
              </w:rPr>
            </w:pPr>
          </w:p>
        </w:tc>
        <w:tc>
          <w:tcPr>
            <w:tcW w:w="466" w:type="pct"/>
            <w:vAlign w:val="center"/>
          </w:tcPr>
          <w:p>
            <w:pPr>
              <w:adjustRightInd w:val="0"/>
              <w:snapToGrid w:val="0"/>
              <w:jc w:val="left"/>
              <w:rPr>
                <w:color w:val="000000"/>
                <w:sz w:val="24"/>
              </w:rPr>
            </w:pPr>
          </w:p>
        </w:tc>
        <w:tc>
          <w:tcPr>
            <w:tcW w:w="332" w:type="pct"/>
          </w:tcPr>
          <w:p>
            <w:pPr>
              <w:adjustRightInd w:val="0"/>
              <w:snapToGrid w:val="0"/>
              <w:jc w:val="left"/>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tcPr>
          <w:p>
            <w:pPr>
              <w:adjustRightInd w:val="0"/>
              <w:snapToGrid w:val="0"/>
              <w:jc w:val="center"/>
              <w:rPr>
                <w:color w:val="000000"/>
                <w:sz w:val="24"/>
              </w:rPr>
            </w:pPr>
          </w:p>
        </w:tc>
        <w:tc>
          <w:tcPr>
            <w:tcW w:w="441" w:type="pct"/>
            <w:vAlign w:val="center"/>
          </w:tcPr>
          <w:p>
            <w:pPr>
              <w:adjustRightInd w:val="0"/>
              <w:snapToGrid w:val="0"/>
              <w:jc w:val="center"/>
              <w:rPr>
                <w:color w:val="000000"/>
                <w:sz w:val="24"/>
              </w:rPr>
            </w:pPr>
          </w:p>
        </w:tc>
        <w:tc>
          <w:tcPr>
            <w:tcW w:w="441" w:type="pct"/>
            <w:vAlign w:val="center"/>
          </w:tcPr>
          <w:p>
            <w:pPr>
              <w:adjustRightInd w:val="0"/>
              <w:snapToGrid w:val="0"/>
              <w:jc w:val="left"/>
              <w:rPr>
                <w:color w:val="000000"/>
                <w:sz w:val="24"/>
              </w:rPr>
            </w:pPr>
          </w:p>
        </w:tc>
        <w:tc>
          <w:tcPr>
            <w:tcW w:w="360" w:type="pct"/>
            <w:vAlign w:val="center"/>
          </w:tcPr>
          <w:p>
            <w:pPr>
              <w:adjustRightInd w:val="0"/>
              <w:snapToGrid w:val="0"/>
              <w:jc w:val="left"/>
              <w:rPr>
                <w:color w:val="000000"/>
                <w:sz w:val="24"/>
              </w:rPr>
            </w:pPr>
          </w:p>
        </w:tc>
        <w:tc>
          <w:tcPr>
            <w:tcW w:w="292" w:type="pct"/>
            <w:vAlign w:val="center"/>
          </w:tcPr>
          <w:p>
            <w:pPr>
              <w:adjustRightInd w:val="0"/>
              <w:snapToGrid w:val="0"/>
              <w:jc w:val="left"/>
              <w:rPr>
                <w:color w:val="000000"/>
                <w:sz w:val="24"/>
              </w:rPr>
            </w:pPr>
          </w:p>
        </w:tc>
        <w:tc>
          <w:tcPr>
            <w:tcW w:w="359"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pPr>
              <w:jc w:val="center"/>
              <w:rPr>
                <w:b/>
                <w:sz w:val="24"/>
              </w:rPr>
            </w:pPr>
            <w:r>
              <w:rPr>
                <w:b/>
                <w:sz w:val="24"/>
              </w:rPr>
              <w:t>总价（元）</w:t>
            </w:r>
          </w:p>
        </w:tc>
        <w:tc>
          <w:tcPr>
            <w:tcW w:w="359" w:type="pct"/>
            <w:vAlign w:val="center"/>
          </w:tcPr>
          <w:p>
            <w:pPr>
              <w:adjustRightInd w:val="0"/>
              <w:snapToGrid w:val="0"/>
              <w:jc w:val="left"/>
              <w:rPr>
                <w:color w:val="000000"/>
                <w:sz w:val="24"/>
              </w:rPr>
            </w:pPr>
          </w:p>
        </w:tc>
      </w:tr>
    </w:tbl>
    <w:p>
      <w:pPr>
        <w:adjustRightInd w:val="0"/>
        <w:snapToGrid w:val="0"/>
        <w:jc w:val="left"/>
        <w:rPr>
          <w:rFonts w:eastAsiaTheme="minorEastAsia"/>
          <w:b/>
          <w:i/>
          <w:color w:val="FF0000"/>
          <w:sz w:val="24"/>
        </w:rPr>
      </w:pPr>
      <w:r>
        <w:rPr>
          <w:b/>
          <w:i/>
          <w:color w:val="FF0000"/>
          <w:sz w:val="24"/>
        </w:rPr>
        <w:t>说明：制造商规模请填写“</w:t>
      </w:r>
      <w:r>
        <w:rPr>
          <w:rFonts w:hint="eastAsia"/>
          <w:b/>
          <w:i/>
          <w:color w:val="FF0000"/>
          <w:sz w:val="24"/>
        </w:rPr>
        <w:t>大</w:t>
      </w:r>
      <w:r>
        <w:rPr>
          <w:b/>
          <w:i/>
          <w:color w:val="FF0000"/>
          <w:sz w:val="24"/>
        </w:rPr>
        <w:t>型”“中型”“小型”、“微型”或“其他”，中小企业的定义见第二章《供应商须知》。</w:t>
      </w:r>
    </w:p>
    <w:p>
      <w:pPr>
        <w:tabs>
          <w:tab w:val="left" w:pos="1800"/>
          <w:tab w:val="left" w:pos="5580"/>
        </w:tabs>
        <w:ind w:firstLine="723" w:firstLineChars="300"/>
        <w:jc w:val="left"/>
        <w:rPr>
          <w:b/>
          <w:i/>
          <w:color w:val="FF0000"/>
          <w:sz w:val="24"/>
        </w:rPr>
      </w:pPr>
      <w:r>
        <w:rPr>
          <w:rFonts w:hint="eastAsia"/>
          <w:b/>
          <w:i/>
          <w:color w:val="FF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b/>
          <w:i/>
          <w:color w:val="FF0000"/>
          <w:sz w:val="24"/>
        </w:rPr>
        <w:t>。</w:t>
      </w:r>
    </w:p>
    <w:p>
      <w:pPr>
        <w:tabs>
          <w:tab w:val="left" w:pos="1800"/>
          <w:tab w:val="left" w:pos="5580"/>
        </w:tabs>
        <w:jc w:val="left"/>
        <w:rPr>
          <w:b/>
          <w:i/>
          <w:color w:val="FF0000"/>
          <w:sz w:val="24"/>
        </w:rPr>
      </w:pPr>
      <w:r>
        <w:rPr>
          <w:rFonts w:hint="eastAsia"/>
          <w:b/>
          <w:i/>
          <w:color w:val="FF0000"/>
          <w:sz w:val="24"/>
        </w:rPr>
        <w:t>外商投资类型请填写“外商单独投资”“外商部分投资”或“内资”。</w:t>
      </w: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注：1.上述各项的详细规格（如有），可另页描述。</w:t>
      </w:r>
    </w:p>
    <w:p>
      <w:pPr>
        <w:tabs>
          <w:tab w:val="left" w:pos="1800"/>
          <w:tab w:val="left" w:pos="5580"/>
        </w:tabs>
        <w:ind w:firstLine="480" w:firstLineChars="200"/>
        <w:jc w:val="left"/>
        <w:rPr>
          <w:sz w:val="24"/>
        </w:rPr>
      </w:pPr>
      <w:r>
        <w:rPr>
          <w:rFonts w:hint="eastAsia"/>
          <w:sz w:val="24"/>
        </w:rPr>
        <w:t>2</w:t>
      </w:r>
      <w:r>
        <w:rPr>
          <w:sz w:val="24"/>
        </w:rPr>
        <w:t>.此表无需在响应文件中提交，谈判后供应商按谈判小组要求提交。</w:t>
      </w:r>
    </w:p>
    <w:p>
      <w:pPr>
        <w:tabs>
          <w:tab w:val="left" w:pos="1800"/>
          <w:tab w:val="left" w:pos="5580"/>
        </w:tabs>
        <w:ind w:firstLine="480" w:firstLineChars="200"/>
        <w:jc w:val="left"/>
        <w:rPr>
          <w:color w:val="000000"/>
          <w:sz w:val="24"/>
        </w:rPr>
      </w:pPr>
      <w:r>
        <w:rPr>
          <w:rFonts w:hint="eastAsia" w:eastAsiaTheme="minorEastAsia"/>
          <w:color w:val="000000"/>
          <w:sz w:val="24"/>
        </w:rPr>
        <w:t>3</w:t>
      </w:r>
      <w:r>
        <w:rPr>
          <w:rFonts w:eastAsiaTheme="minorEastAsia"/>
          <w:color w:val="000000"/>
          <w:sz w:val="24"/>
        </w:rPr>
        <w:t>.制造商规模列应填写</w:t>
      </w:r>
      <w:r>
        <w:rPr>
          <w:rFonts w:hint="eastAsia" w:eastAsiaTheme="minorEastAsia"/>
          <w:color w:val="000000"/>
          <w:sz w:val="24"/>
        </w:rPr>
        <w:t>“大型”</w:t>
      </w:r>
      <w:r>
        <w:rPr>
          <w:rFonts w:eastAsiaTheme="minorEastAsia"/>
          <w:color w:val="000000"/>
          <w:sz w:val="24"/>
        </w:rPr>
        <w:t>“</w:t>
      </w:r>
      <w:r>
        <w:rPr>
          <w:rFonts w:hint="eastAsia" w:eastAsiaTheme="minorEastAsia"/>
          <w:color w:val="000000"/>
          <w:sz w:val="24"/>
        </w:rPr>
        <w:t>中型</w:t>
      </w:r>
      <w:r>
        <w:rPr>
          <w:rFonts w:eastAsiaTheme="minorEastAsia"/>
          <w:color w:val="000000"/>
          <w:sz w:val="24"/>
        </w:rPr>
        <w:t>”“</w:t>
      </w:r>
      <w:r>
        <w:rPr>
          <w:rFonts w:hint="eastAsia" w:eastAsiaTheme="minorEastAsia"/>
          <w:color w:val="000000"/>
          <w:sz w:val="24"/>
        </w:rPr>
        <w:t>小型</w:t>
      </w:r>
      <w:r>
        <w:rPr>
          <w:rFonts w:eastAsiaTheme="minorEastAsia"/>
          <w:color w:val="000000"/>
          <w:sz w:val="24"/>
        </w:rPr>
        <w:t>”“</w:t>
      </w:r>
      <w:r>
        <w:rPr>
          <w:rFonts w:hint="eastAsia" w:eastAsiaTheme="minorEastAsia"/>
          <w:color w:val="000000"/>
          <w:sz w:val="24"/>
        </w:rPr>
        <w:t>微型</w:t>
      </w:r>
      <w:r>
        <w:rPr>
          <w:rFonts w:eastAsiaTheme="minorEastAsia"/>
          <w:color w:val="000000"/>
          <w:sz w:val="24"/>
        </w:rPr>
        <w:t>”</w:t>
      </w:r>
      <w:r>
        <w:rPr>
          <w:rFonts w:hint="eastAsia" w:eastAsiaTheme="minorEastAsia"/>
          <w:color w:val="000000"/>
          <w:sz w:val="24"/>
        </w:rPr>
        <w:t>或</w:t>
      </w:r>
      <w:r>
        <w:rPr>
          <w:rFonts w:eastAsiaTheme="minorEastAsia"/>
          <w:color w:val="000000"/>
          <w:sz w:val="24"/>
        </w:rPr>
        <w:t>“</w:t>
      </w:r>
      <w:r>
        <w:rPr>
          <w:rFonts w:hint="eastAsia" w:eastAsiaTheme="minorEastAsia"/>
          <w:color w:val="000000"/>
          <w:sz w:val="24"/>
        </w:rPr>
        <w:t>其他</w:t>
      </w:r>
      <w:r>
        <w:rPr>
          <w:rFonts w:eastAsiaTheme="minorEastAsia"/>
          <w:color w:val="000000"/>
          <w:sz w:val="24"/>
        </w:rPr>
        <w:t>”，且不应与《中小企业声明函》或《拟分包情况说明》中内容矛盾。</w:t>
      </w:r>
      <w:r>
        <w:rPr>
          <w:rFonts w:hint="eastAsia" w:eastAsiaTheme="minorEastAsia"/>
          <w:color w:val="00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eastAsiaTheme="minorEastAsia"/>
          <w:color w:val="000000"/>
          <w:sz w:val="24"/>
        </w:rPr>
        <w:t>。外商投资类型请填写“外商单独投资”“外商部分投资”或“内资”。</w:t>
      </w:r>
    </w:p>
    <w:p>
      <w:pPr>
        <w:tabs>
          <w:tab w:val="left" w:pos="1800"/>
          <w:tab w:val="left" w:pos="5580"/>
        </w:tabs>
        <w:ind w:firstLine="480" w:firstLineChars="200"/>
        <w:jc w:val="left"/>
        <w:rPr>
          <w:color w:val="000000"/>
          <w:sz w:val="24"/>
        </w:rPr>
      </w:pP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：____________</w:t>
      </w:r>
    </w:p>
    <w:p>
      <w:pPr>
        <w:autoSpaceDE w:val="0"/>
        <w:autoSpaceDN w:val="0"/>
        <w:adjustRightInd w:val="0"/>
        <w:snapToGrid w:val="0"/>
        <w:spacing w:before="25" w:after="25" w:line="360" w:lineRule="auto"/>
        <w:rPr>
          <w:b/>
          <w:sz w:val="36"/>
          <w:szCs w:val="36"/>
        </w:rPr>
      </w:pPr>
      <w:r>
        <w:rPr>
          <w:color w:val="000000"/>
          <w:sz w:val="24"/>
          <w:szCs w:val="20"/>
        </w:rPr>
        <w:t>日期：_____年______月______</w:t>
      </w:r>
    </w:p>
    <w:sectPr>
      <w:pgSz w:w="16840" w:h="11907" w:orient="landscape"/>
      <w:pgMar w:top="1701" w:right="1418" w:bottom="1134" w:left="1418"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华文楷体">
    <w:altName w:val="楷体_GB2312"/>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p>
  <w:p>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42326"/>
      <w:docPartObj>
        <w:docPartGallery w:val="AutoText"/>
      </w:docPartObj>
    </w:sdtPr>
    <w:sdtEndPr>
      <w:rPr>
        <w:rFonts w:ascii="Times New Roman"/>
      </w:rPr>
    </w:sdtEndPr>
    <w:sdtContent>
      <w:p>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28</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p>
  <w:p>
    <w:pPr>
      <w:pStyle w:val="29"/>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9"/>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北京市政府采购项目竞争性谈判文件示范文本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北京市延庆区第三小学改扩建设备购置项目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color w:val="4F81BD" w:themeColor="accent1"/>
        <w14:textFill>
          <w14:solidFill>
            <w14:schemeClr w14:val="accent1"/>
          </w14:solidFill>
        </w14:textFill>
      </w:rPr>
    </w:pPr>
    <w:r>
      <w:rPr>
        <w:rFonts w:hint="eastAsia"/>
      </w:rPr>
      <w:t>北京市延庆区第三小学改扩建设备购置项目</w:t>
    </w:r>
  </w:p>
  <w:p>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BA81D"/>
    <w:multiLevelType w:val="singleLevel"/>
    <w:tmpl w:val="BE1BA81D"/>
    <w:lvl w:ilvl="0" w:tentative="0">
      <w:start w:val="1"/>
      <w:numFmt w:val="bullet"/>
      <w:lvlText w:val=""/>
      <w:lvlJc w:val="left"/>
      <w:pPr>
        <w:ind w:left="420" w:hanging="420"/>
      </w:pPr>
      <w:rPr>
        <w:rFonts w:hint="default" w:ascii="Wingdings" w:hAnsi="Wingdings"/>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C97D7"/>
    <w:multiLevelType w:val="singleLevel"/>
    <w:tmpl w:val="FFFC97D7"/>
    <w:lvl w:ilvl="0" w:tentative="0">
      <w:start w:val="1"/>
      <w:numFmt w:val="lowerLetter"/>
      <w:lvlText w:val="%1)"/>
      <w:lvlJc w:val="left"/>
      <w:pPr>
        <w:tabs>
          <w:tab w:val="left" w:pos="312"/>
        </w:tabs>
      </w:pPr>
    </w:lvl>
  </w:abstractNum>
  <w:abstractNum w:abstractNumId="8">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9">
    <w:nsid w:val="0000000A"/>
    <w:multiLevelType w:val="multilevel"/>
    <w:tmpl w:val="0000000A"/>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00000013"/>
    <w:multiLevelType w:val="singleLevel"/>
    <w:tmpl w:val="00000013"/>
    <w:lvl w:ilvl="0" w:tentative="0">
      <w:start w:val="1"/>
      <w:numFmt w:val="decimal"/>
      <w:pStyle w:val="135"/>
      <w:lvlText w:val="%1."/>
      <w:lvlJc w:val="left"/>
      <w:pPr>
        <w:tabs>
          <w:tab w:val="left" w:pos="360"/>
        </w:tabs>
        <w:ind w:left="360" w:hanging="360"/>
      </w:pPr>
      <w:rPr>
        <w:rFonts w:hint="default"/>
      </w:rPr>
    </w:lvl>
  </w:abstractNum>
  <w:abstractNum w:abstractNumId="12">
    <w:nsid w:val="00000026"/>
    <w:multiLevelType w:val="multilevel"/>
    <w:tmpl w:val="00000026"/>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3">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4">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0000002F"/>
    <w:multiLevelType w:val="multilevel"/>
    <w:tmpl w:val="0000002F"/>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366F74A0"/>
    <w:multiLevelType w:val="multilevel"/>
    <w:tmpl w:val="366F74A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4399B33F"/>
    <w:multiLevelType w:val="singleLevel"/>
    <w:tmpl w:val="4399B33F"/>
    <w:lvl w:ilvl="0" w:tentative="0">
      <w:start w:val="2"/>
      <w:numFmt w:val="decimal"/>
      <w:lvlText w:val="%1."/>
      <w:lvlJc w:val="left"/>
      <w:pPr>
        <w:tabs>
          <w:tab w:val="left" w:pos="312"/>
        </w:tabs>
      </w:pPr>
    </w:lvl>
  </w:abstractNum>
  <w:abstractNum w:abstractNumId="22">
    <w:nsid w:val="7A0F6431"/>
    <w:multiLevelType w:val="singleLevel"/>
    <w:tmpl w:val="7A0F6431"/>
    <w:lvl w:ilvl="0" w:tentative="0">
      <w:start w:val="1"/>
      <w:numFmt w:val="decimal"/>
      <w:suff w:val="space"/>
      <w:lvlText w:val="%1."/>
      <w:lvlJc w:val="left"/>
    </w:lvl>
  </w:abstractNum>
  <w:abstractNum w:abstractNumId="23">
    <w:nsid w:val="7C7ACD6C"/>
    <w:multiLevelType w:val="singleLevel"/>
    <w:tmpl w:val="7C7ACD6C"/>
    <w:lvl w:ilvl="0" w:tentative="0">
      <w:start w:val="1"/>
      <w:numFmt w:val="lowerLetter"/>
      <w:lvlText w:val="%1)"/>
      <w:lvlJc w:val="left"/>
      <w:pPr>
        <w:tabs>
          <w:tab w:val="left" w:pos="312"/>
        </w:tabs>
      </w:pPr>
    </w:lvl>
  </w:abstractNum>
  <w:num w:numId="1">
    <w:abstractNumId w:val="12"/>
  </w:num>
  <w:num w:numId="2">
    <w:abstractNumId w:val="15"/>
  </w:num>
  <w:num w:numId="3">
    <w:abstractNumId w:val="9"/>
  </w:num>
  <w:num w:numId="4">
    <w:abstractNumId w:val="13"/>
  </w:num>
  <w:num w:numId="5">
    <w:abstractNumId w:val="11"/>
  </w:num>
  <w:num w:numId="6">
    <w:abstractNumId w:val="10"/>
  </w:num>
  <w:num w:numId="7">
    <w:abstractNumId w:val="16"/>
  </w:num>
  <w:num w:numId="8">
    <w:abstractNumId w:val="14"/>
  </w:num>
  <w:num w:numId="9">
    <w:abstractNumId w:val="18"/>
  </w:num>
  <w:num w:numId="10">
    <w:abstractNumId w:val="8"/>
  </w:num>
  <w:num w:numId="11">
    <w:abstractNumId w:val="17"/>
  </w:num>
  <w:num w:numId="12">
    <w:abstractNumId w:val="0"/>
  </w:num>
  <w:num w:numId="13">
    <w:abstractNumId w:val="21"/>
  </w:num>
  <w:num w:numId="14">
    <w:abstractNumId w:val="7"/>
  </w:num>
  <w:num w:numId="15">
    <w:abstractNumId w:val="23"/>
  </w:num>
  <w:num w:numId="16">
    <w:abstractNumId w:val="22"/>
  </w:num>
  <w:num w:numId="17">
    <w:abstractNumId w:val="2"/>
  </w:num>
  <w:num w:numId="18">
    <w:abstractNumId w:val="6"/>
  </w:num>
  <w:num w:numId="19">
    <w:abstractNumId w:val="4"/>
    <w:lvlOverride w:ilvl="0">
      <w:startOverride w:val="2"/>
    </w:lvlOverride>
  </w:num>
  <w:num w:numId="20">
    <w:abstractNumId w:val="3"/>
    <w:lvlOverride w:ilvl="0">
      <w:startOverride w:val="6"/>
    </w:lvlOverride>
  </w:num>
  <w:num w:numId="21">
    <w:abstractNumId w:val="1"/>
    <w:lvlOverride w:ilvl="0">
      <w:startOverride w:val="16"/>
    </w:lvlOverride>
  </w:num>
  <w:num w:numId="22">
    <w:abstractNumId w:val="5"/>
    <w:lvlOverride w:ilvl="0">
      <w:startOverride w:val="23"/>
    </w:lvlOverride>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3BC"/>
    <w:rsid w:val="00000432"/>
    <w:rsid w:val="00000448"/>
    <w:rsid w:val="00000905"/>
    <w:rsid w:val="00000CCE"/>
    <w:rsid w:val="00000DF5"/>
    <w:rsid w:val="00000F3F"/>
    <w:rsid w:val="00001711"/>
    <w:rsid w:val="00001895"/>
    <w:rsid w:val="00001948"/>
    <w:rsid w:val="00001CAB"/>
    <w:rsid w:val="00001F9C"/>
    <w:rsid w:val="000020BD"/>
    <w:rsid w:val="0000218D"/>
    <w:rsid w:val="0000240B"/>
    <w:rsid w:val="000026F7"/>
    <w:rsid w:val="0000279B"/>
    <w:rsid w:val="000027EB"/>
    <w:rsid w:val="00002944"/>
    <w:rsid w:val="00002F3D"/>
    <w:rsid w:val="00002FE1"/>
    <w:rsid w:val="00003279"/>
    <w:rsid w:val="00003711"/>
    <w:rsid w:val="00003804"/>
    <w:rsid w:val="000039FD"/>
    <w:rsid w:val="00003A41"/>
    <w:rsid w:val="00003DDF"/>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727"/>
    <w:rsid w:val="00006923"/>
    <w:rsid w:val="00006BD5"/>
    <w:rsid w:val="00006CD1"/>
    <w:rsid w:val="00006CD3"/>
    <w:rsid w:val="000073B1"/>
    <w:rsid w:val="000073E8"/>
    <w:rsid w:val="0000781A"/>
    <w:rsid w:val="00007A5A"/>
    <w:rsid w:val="00007DA4"/>
    <w:rsid w:val="00007F3E"/>
    <w:rsid w:val="00010010"/>
    <w:rsid w:val="000100A2"/>
    <w:rsid w:val="000100B6"/>
    <w:rsid w:val="000104BA"/>
    <w:rsid w:val="00010532"/>
    <w:rsid w:val="000106FC"/>
    <w:rsid w:val="00010763"/>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4DA"/>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56C"/>
    <w:rsid w:val="00020696"/>
    <w:rsid w:val="00020880"/>
    <w:rsid w:val="00020900"/>
    <w:rsid w:val="00020C28"/>
    <w:rsid w:val="00020E48"/>
    <w:rsid w:val="00020F27"/>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B64"/>
    <w:rsid w:val="00026D3D"/>
    <w:rsid w:val="00026F4A"/>
    <w:rsid w:val="000272EC"/>
    <w:rsid w:val="00027416"/>
    <w:rsid w:val="000274ED"/>
    <w:rsid w:val="0002751F"/>
    <w:rsid w:val="00027819"/>
    <w:rsid w:val="000279DE"/>
    <w:rsid w:val="00027B19"/>
    <w:rsid w:val="0003010B"/>
    <w:rsid w:val="000301C2"/>
    <w:rsid w:val="000304E9"/>
    <w:rsid w:val="00030640"/>
    <w:rsid w:val="0003072E"/>
    <w:rsid w:val="000307A8"/>
    <w:rsid w:val="00030887"/>
    <w:rsid w:val="00030D81"/>
    <w:rsid w:val="00030DB7"/>
    <w:rsid w:val="00030EDC"/>
    <w:rsid w:val="00031069"/>
    <w:rsid w:val="0003113B"/>
    <w:rsid w:val="000313A2"/>
    <w:rsid w:val="000313C2"/>
    <w:rsid w:val="00031442"/>
    <w:rsid w:val="000315E4"/>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5A0"/>
    <w:rsid w:val="00034786"/>
    <w:rsid w:val="00034820"/>
    <w:rsid w:val="0003491D"/>
    <w:rsid w:val="00034F4A"/>
    <w:rsid w:val="000352D3"/>
    <w:rsid w:val="0003536A"/>
    <w:rsid w:val="00035640"/>
    <w:rsid w:val="000357FF"/>
    <w:rsid w:val="00035B0F"/>
    <w:rsid w:val="00035C34"/>
    <w:rsid w:val="00035DDC"/>
    <w:rsid w:val="00035FEF"/>
    <w:rsid w:val="00036158"/>
    <w:rsid w:val="00036235"/>
    <w:rsid w:val="00036268"/>
    <w:rsid w:val="0003628C"/>
    <w:rsid w:val="00036301"/>
    <w:rsid w:val="000363BC"/>
    <w:rsid w:val="00036500"/>
    <w:rsid w:val="000366A5"/>
    <w:rsid w:val="0003683A"/>
    <w:rsid w:val="000369F4"/>
    <w:rsid w:val="00036A1C"/>
    <w:rsid w:val="00036B73"/>
    <w:rsid w:val="00036BEE"/>
    <w:rsid w:val="00036C78"/>
    <w:rsid w:val="00036D6E"/>
    <w:rsid w:val="00036E36"/>
    <w:rsid w:val="00036EE2"/>
    <w:rsid w:val="000370CE"/>
    <w:rsid w:val="000371CF"/>
    <w:rsid w:val="00037376"/>
    <w:rsid w:val="000375F9"/>
    <w:rsid w:val="00037AF2"/>
    <w:rsid w:val="00040091"/>
    <w:rsid w:val="000403CA"/>
    <w:rsid w:val="0004042F"/>
    <w:rsid w:val="0004060C"/>
    <w:rsid w:val="00040B56"/>
    <w:rsid w:val="00040BB8"/>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30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10"/>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7CF"/>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0E2B"/>
    <w:rsid w:val="000514DF"/>
    <w:rsid w:val="0005161F"/>
    <w:rsid w:val="00051756"/>
    <w:rsid w:val="000517DD"/>
    <w:rsid w:val="0005182E"/>
    <w:rsid w:val="0005191F"/>
    <w:rsid w:val="0005192B"/>
    <w:rsid w:val="00051C52"/>
    <w:rsid w:val="00052978"/>
    <w:rsid w:val="00052D2A"/>
    <w:rsid w:val="00052E25"/>
    <w:rsid w:val="00052FD2"/>
    <w:rsid w:val="00053251"/>
    <w:rsid w:val="000535E6"/>
    <w:rsid w:val="00053890"/>
    <w:rsid w:val="00053AC5"/>
    <w:rsid w:val="00053B80"/>
    <w:rsid w:val="00053E3F"/>
    <w:rsid w:val="0005403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FB5"/>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0C7"/>
    <w:rsid w:val="0006142A"/>
    <w:rsid w:val="00061819"/>
    <w:rsid w:val="00061DD1"/>
    <w:rsid w:val="00061EF5"/>
    <w:rsid w:val="00061F68"/>
    <w:rsid w:val="000620CE"/>
    <w:rsid w:val="0006234D"/>
    <w:rsid w:val="00062474"/>
    <w:rsid w:val="00062613"/>
    <w:rsid w:val="0006280B"/>
    <w:rsid w:val="00062854"/>
    <w:rsid w:val="000630BA"/>
    <w:rsid w:val="0006314D"/>
    <w:rsid w:val="0006336F"/>
    <w:rsid w:val="000633D6"/>
    <w:rsid w:val="000634A5"/>
    <w:rsid w:val="00063AB9"/>
    <w:rsid w:val="00063C74"/>
    <w:rsid w:val="000640A5"/>
    <w:rsid w:val="00064564"/>
    <w:rsid w:val="000645FE"/>
    <w:rsid w:val="000649EC"/>
    <w:rsid w:val="00064E78"/>
    <w:rsid w:val="00065020"/>
    <w:rsid w:val="00065240"/>
    <w:rsid w:val="00065259"/>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7D8"/>
    <w:rsid w:val="0007090B"/>
    <w:rsid w:val="00070998"/>
    <w:rsid w:val="00070BB9"/>
    <w:rsid w:val="0007103D"/>
    <w:rsid w:val="00071171"/>
    <w:rsid w:val="00071223"/>
    <w:rsid w:val="00071356"/>
    <w:rsid w:val="000717B7"/>
    <w:rsid w:val="00071D3C"/>
    <w:rsid w:val="00071DF6"/>
    <w:rsid w:val="00071FFA"/>
    <w:rsid w:val="0007206F"/>
    <w:rsid w:val="000720B4"/>
    <w:rsid w:val="00072449"/>
    <w:rsid w:val="000725F4"/>
    <w:rsid w:val="000726DA"/>
    <w:rsid w:val="000729EE"/>
    <w:rsid w:val="00072BC1"/>
    <w:rsid w:val="00072BD9"/>
    <w:rsid w:val="00072CC1"/>
    <w:rsid w:val="00072E30"/>
    <w:rsid w:val="00072F0B"/>
    <w:rsid w:val="000730C3"/>
    <w:rsid w:val="0007344E"/>
    <w:rsid w:val="00073590"/>
    <w:rsid w:val="0007376E"/>
    <w:rsid w:val="0007378B"/>
    <w:rsid w:val="00073C70"/>
    <w:rsid w:val="00073FA3"/>
    <w:rsid w:val="00074113"/>
    <w:rsid w:val="00074147"/>
    <w:rsid w:val="00074252"/>
    <w:rsid w:val="0007464A"/>
    <w:rsid w:val="00074780"/>
    <w:rsid w:val="00074786"/>
    <w:rsid w:val="00074C28"/>
    <w:rsid w:val="000752FF"/>
    <w:rsid w:val="000756AC"/>
    <w:rsid w:val="00075879"/>
    <w:rsid w:val="00075941"/>
    <w:rsid w:val="00075AFF"/>
    <w:rsid w:val="00075BC6"/>
    <w:rsid w:val="00075BE3"/>
    <w:rsid w:val="00075C3C"/>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713"/>
    <w:rsid w:val="000817A1"/>
    <w:rsid w:val="00081948"/>
    <w:rsid w:val="00082322"/>
    <w:rsid w:val="0008234E"/>
    <w:rsid w:val="00082377"/>
    <w:rsid w:val="0008253C"/>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BC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070"/>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5E"/>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0"/>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B35"/>
    <w:rsid w:val="000A3D00"/>
    <w:rsid w:val="000A3FFB"/>
    <w:rsid w:val="000A414A"/>
    <w:rsid w:val="000A41F4"/>
    <w:rsid w:val="000A4578"/>
    <w:rsid w:val="000A4A3B"/>
    <w:rsid w:val="000A4D3E"/>
    <w:rsid w:val="000A4DA3"/>
    <w:rsid w:val="000A4F98"/>
    <w:rsid w:val="000A5098"/>
    <w:rsid w:val="000A539A"/>
    <w:rsid w:val="000A54CC"/>
    <w:rsid w:val="000A54ED"/>
    <w:rsid w:val="000A5506"/>
    <w:rsid w:val="000A5577"/>
    <w:rsid w:val="000A5754"/>
    <w:rsid w:val="000A5860"/>
    <w:rsid w:val="000A5902"/>
    <w:rsid w:val="000A59BC"/>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07"/>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D4E"/>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9CC"/>
    <w:rsid w:val="000C1E46"/>
    <w:rsid w:val="000C1F62"/>
    <w:rsid w:val="000C206A"/>
    <w:rsid w:val="000C2090"/>
    <w:rsid w:val="000C210C"/>
    <w:rsid w:val="000C219A"/>
    <w:rsid w:val="000C24A8"/>
    <w:rsid w:val="000C2692"/>
    <w:rsid w:val="000C2706"/>
    <w:rsid w:val="000C2707"/>
    <w:rsid w:val="000C2E10"/>
    <w:rsid w:val="000C3279"/>
    <w:rsid w:val="000C333F"/>
    <w:rsid w:val="000C3406"/>
    <w:rsid w:val="000C3497"/>
    <w:rsid w:val="000C352D"/>
    <w:rsid w:val="000C36BD"/>
    <w:rsid w:val="000C36F6"/>
    <w:rsid w:val="000C394A"/>
    <w:rsid w:val="000C3A5D"/>
    <w:rsid w:val="000C3A98"/>
    <w:rsid w:val="000C3C31"/>
    <w:rsid w:val="000C41AB"/>
    <w:rsid w:val="000C4314"/>
    <w:rsid w:val="000C440E"/>
    <w:rsid w:val="000C4636"/>
    <w:rsid w:val="000C463D"/>
    <w:rsid w:val="000C4681"/>
    <w:rsid w:val="000C48A6"/>
    <w:rsid w:val="000C4985"/>
    <w:rsid w:val="000C4C98"/>
    <w:rsid w:val="000C4E0C"/>
    <w:rsid w:val="000C4E9E"/>
    <w:rsid w:val="000C4F33"/>
    <w:rsid w:val="000C4F74"/>
    <w:rsid w:val="000C5166"/>
    <w:rsid w:val="000C516C"/>
    <w:rsid w:val="000C5319"/>
    <w:rsid w:val="000C53CE"/>
    <w:rsid w:val="000C5476"/>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8AE"/>
    <w:rsid w:val="000D0D09"/>
    <w:rsid w:val="000D0E8B"/>
    <w:rsid w:val="000D0F36"/>
    <w:rsid w:val="000D0F46"/>
    <w:rsid w:val="000D11FA"/>
    <w:rsid w:val="000D144A"/>
    <w:rsid w:val="000D1495"/>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032"/>
    <w:rsid w:val="000D7460"/>
    <w:rsid w:val="000D7971"/>
    <w:rsid w:val="000D79DB"/>
    <w:rsid w:val="000D7D7F"/>
    <w:rsid w:val="000D7D9A"/>
    <w:rsid w:val="000D7E52"/>
    <w:rsid w:val="000D7EEC"/>
    <w:rsid w:val="000E0249"/>
    <w:rsid w:val="000E05B3"/>
    <w:rsid w:val="000E0865"/>
    <w:rsid w:val="000E0994"/>
    <w:rsid w:val="000E09FF"/>
    <w:rsid w:val="000E10BC"/>
    <w:rsid w:val="000E11BF"/>
    <w:rsid w:val="000E1232"/>
    <w:rsid w:val="000E1253"/>
    <w:rsid w:val="000E12D6"/>
    <w:rsid w:val="000E1754"/>
    <w:rsid w:val="000E179D"/>
    <w:rsid w:val="000E1859"/>
    <w:rsid w:val="000E1C30"/>
    <w:rsid w:val="000E1CCF"/>
    <w:rsid w:val="000E1E99"/>
    <w:rsid w:val="000E208B"/>
    <w:rsid w:val="000E2595"/>
    <w:rsid w:val="000E2961"/>
    <w:rsid w:val="000E2982"/>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66C"/>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901"/>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A5A"/>
    <w:rsid w:val="00106D64"/>
    <w:rsid w:val="00106E02"/>
    <w:rsid w:val="00106EA1"/>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08E"/>
    <w:rsid w:val="00112212"/>
    <w:rsid w:val="00112496"/>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1C1"/>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57"/>
    <w:rsid w:val="001278ED"/>
    <w:rsid w:val="00127B9E"/>
    <w:rsid w:val="00127CA5"/>
    <w:rsid w:val="00127D7F"/>
    <w:rsid w:val="00127EBF"/>
    <w:rsid w:val="00127FC5"/>
    <w:rsid w:val="0013004A"/>
    <w:rsid w:val="00130315"/>
    <w:rsid w:val="001304DC"/>
    <w:rsid w:val="0013052D"/>
    <w:rsid w:val="00130A6F"/>
    <w:rsid w:val="00130B75"/>
    <w:rsid w:val="00130C9F"/>
    <w:rsid w:val="00130D4E"/>
    <w:rsid w:val="00130DA1"/>
    <w:rsid w:val="00130DBC"/>
    <w:rsid w:val="00130F26"/>
    <w:rsid w:val="001310F1"/>
    <w:rsid w:val="00131197"/>
    <w:rsid w:val="001314B9"/>
    <w:rsid w:val="00131606"/>
    <w:rsid w:val="001316FA"/>
    <w:rsid w:val="0013186F"/>
    <w:rsid w:val="001319A0"/>
    <w:rsid w:val="00131CD7"/>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8"/>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AFB"/>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462"/>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BC1"/>
    <w:rsid w:val="00152FE4"/>
    <w:rsid w:val="0015310F"/>
    <w:rsid w:val="001532A4"/>
    <w:rsid w:val="001537A4"/>
    <w:rsid w:val="001537D0"/>
    <w:rsid w:val="00153B7D"/>
    <w:rsid w:val="00153BC8"/>
    <w:rsid w:val="00153F15"/>
    <w:rsid w:val="00154395"/>
    <w:rsid w:val="00154401"/>
    <w:rsid w:val="001545AD"/>
    <w:rsid w:val="00154682"/>
    <w:rsid w:val="001547F6"/>
    <w:rsid w:val="00154E2A"/>
    <w:rsid w:val="00154E60"/>
    <w:rsid w:val="00155202"/>
    <w:rsid w:val="0015538F"/>
    <w:rsid w:val="00155434"/>
    <w:rsid w:val="00155619"/>
    <w:rsid w:val="00155BFC"/>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6B"/>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803"/>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27E"/>
    <w:rsid w:val="001703B4"/>
    <w:rsid w:val="001705E4"/>
    <w:rsid w:val="0017091A"/>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53B"/>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35"/>
    <w:rsid w:val="00176149"/>
    <w:rsid w:val="0017622F"/>
    <w:rsid w:val="0017623A"/>
    <w:rsid w:val="00176250"/>
    <w:rsid w:val="00176399"/>
    <w:rsid w:val="00176768"/>
    <w:rsid w:val="00176794"/>
    <w:rsid w:val="001767E0"/>
    <w:rsid w:val="0017690B"/>
    <w:rsid w:val="00176DE2"/>
    <w:rsid w:val="00176E48"/>
    <w:rsid w:val="00176E8F"/>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CCE"/>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775"/>
    <w:rsid w:val="00191ABB"/>
    <w:rsid w:val="00191B72"/>
    <w:rsid w:val="00191D08"/>
    <w:rsid w:val="00191F11"/>
    <w:rsid w:val="00191FD1"/>
    <w:rsid w:val="00192450"/>
    <w:rsid w:val="001924F5"/>
    <w:rsid w:val="001928B8"/>
    <w:rsid w:val="00192A48"/>
    <w:rsid w:val="00192ADE"/>
    <w:rsid w:val="00192D14"/>
    <w:rsid w:val="00192E9C"/>
    <w:rsid w:val="00192FE2"/>
    <w:rsid w:val="001930E3"/>
    <w:rsid w:val="00193106"/>
    <w:rsid w:val="001938D7"/>
    <w:rsid w:val="00193A98"/>
    <w:rsid w:val="00193AA4"/>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7B3"/>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46C"/>
    <w:rsid w:val="001A168B"/>
    <w:rsid w:val="001A1914"/>
    <w:rsid w:val="001A198B"/>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9BB"/>
    <w:rsid w:val="001A4A0B"/>
    <w:rsid w:val="001A52A6"/>
    <w:rsid w:val="001A5496"/>
    <w:rsid w:val="001A5595"/>
    <w:rsid w:val="001A55F7"/>
    <w:rsid w:val="001A568A"/>
    <w:rsid w:val="001A570C"/>
    <w:rsid w:val="001A57B9"/>
    <w:rsid w:val="001A5FC1"/>
    <w:rsid w:val="001A5FF0"/>
    <w:rsid w:val="001A62AF"/>
    <w:rsid w:val="001A63B1"/>
    <w:rsid w:val="001A6701"/>
    <w:rsid w:val="001A6762"/>
    <w:rsid w:val="001A6862"/>
    <w:rsid w:val="001A68CC"/>
    <w:rsid w:val="001A6996"/>
    <w:rsid w:val="001A69AA"/>
    <w:rsid w:val="001A6BD3"/>
    <w:rsid w:val="001A6D7F"/>
    <w:rsid w:val="001A6F08"/>
    <w:rsid w:val="001A7040"/>
    <w:rsid w:val="001A70FF"/>
    <w:rsid w:val="001A72F5"/>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A08"/>
    <w:rsid w:val="001B1C0B"/>
    <w:rsid w:val="001B1D06"/>
    <w:rsid w:val="001B2015"/>
    <w:rsid w:val="001B2049"/>
    <w:rsid w:val="001B2067"/>
    <w:rsid w:val="001B2322"/>
    <w:rsid w:val="001B28A7"/>
    <w:rsid w:val="001B28F9"/>
    <w:rsid w:val="001B2A06"/>
    <w:rsid w:val="001B2EB9"/>
    <w:rsid w:val="001B2FD0"/>
    <w:rsid w:val="001B302C"/>
    <w:rsid w:val="001B30FE"/>
    <w:rsid w:val="001B3159"/>
    <w:rsid w:val="001B33F0"/>
    <w:rsid w:val="001B3793"/>
    <w:rsid w:val="001B38ED"/>
    <w:rsid w:val="001B39CE"/>
    <w:rsid w:val="001B39DF"/>
    <w:rsid w:val="001B3B2F"/>
    <w:rsid w:val="001B3B98"/>
    <w:rsid w:val="001B3BBA"/>
    <w:rsid w:val="001B3EF9"/>
    <w:rsid w:val="001B40F1"/>
    <w:rsid w:val="001B43B1"/>
    <w:rsid w:val="001B4499"/>
    <w:rsid w:val="001B453C"/>
    <w:rsid w:val="001B49F0"/>
    <w:rsid w:val="001B504D"/>
    <w:rsid w:val="001B5307"/>
    <w:rsid w:val="001B53EE"/>
    <w:rsid w:val="001B56F4"/>
    <w:rsid w:val="001B5918"/>
    <w:rsid w:val="001B5BA3"/>
    <w:rsid w:val="001B5CD4"/>
    <w:rsid w:val="001B64C1"/>
    <w:rsid w:val="001B6C13"/>
    <w:rsid w:val="001B6EEB"/>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0A"/>
    <w:rsid w:val="001C4429"/>
    <w:rsid w:val="001C47A0"/>
    <w:rsid w:val="001C47E6"/>
    <w:rsid w:val="001C49E9"/>
    <w:rsid w:val="001C4AD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2FA"/>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778"/>
    <w:rsid w:val="001D07CF"/>
    <w:rsid w:val="001D0985"/>
    <w:rsid w:val="001D0BEB"/>
    <w:rsid w:val="001D0C91"/>
    <w:rsid w:val="001D0D65"/>
    <w:rsid w:val="001D112C"/>
    <w:rsid w:val="001D165E"/>
    <w:rsid w:val="001D1689"/>
    <w:rsid w:val="001D1980"/>
    <w:rsid w:val="001D1EED"/>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8A1"/>
    <w:rsid w:val="001D7969"/>
    <w:rsid w:val="001D7B11"/>
    <w:rsid w:val="001D7B71"/>
    <w:rsid w:val="001D7C04"/>
    <w:rsid w:val="001D7D1B"/>
    <w:rsid w:val="001D7EBE"/>
    <w:rsid w:val="001E0074"/>
    <w:rsid w:val="001E01D0"/>
    <w:rsid w:val="001E0327"/>
    <w:rsid w:val="001E0334"/>
    <w:rsid w:val="001E04A2"/>
    <w:rsid w:val="001E0621"/>
    <w:rsid w:val="001E0666"/>
    <w:rsid w:val="001E080E"/>
    <w:rsid w:val="001E09DD"/>
    <w:rsid w:val="001E0B3E"/>
    <w:rsid w:val="001E0B9A"/>
    <w:rsid w:val="001E0C8D"/>
    <w:rsid w:val="001E0D6F"/>
    <w:rsid w:val="001E0DBA"/>
    <w:rsid w:val="001E0FFD"/>
    <w:rsid w:val="001E1087"/>
    <w:rsid w:val="001E10CD"/>
    <w:rsid w:val="001E141A"/>
    <w:rsid w:val="001E14D7"/>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283"/>
    <w:rsid w:val="001E437E"/>
    <w:rsid w:val="001E447D"/>
    <w:rsid w:val="001E4ED1"/>
    <w:rsid w:val="001E5295"/>
    <w:rsid w:val="001E54DC"/>
    <w:rsid w:val="001E5F6D"/>
    <w:rsid w:val="001E60C7"/>
    <w:rsid w:val="001E62EA"/>
    <w:rsid w:val="001E63BE"/>
    <w:rsid w:val="001E649A"/>
    <w:rsid w:val="001E65C3"/>
    <w:rsid w:val="001E6704"/>
    <w:rsid w:val="001E6978"/>
    <w:rsid w:val="001E698B"/>
    <w:rsid w:val="001E6A37"/>
    <w:rsid w:val="001E6A83"/>
    <w:rsid w:val="001E6B6F"/>
    <w:rsid w:val="001E6D16"/>
    <w:rsid w:val="001E6E79"/>
    <w:rsid w:val="001E6F5F"/>
    <w:rsid w:val="001E7238"/>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20"/>
    <w:rsid w:val="001F0C50"/>
    <w:rsid w:val="001F107E"/>
    <w:rsid w:val="001F126A"/>
    <w:rsid w:val="001F137C"/>
    <w:rsid w:val="001F13E5"/>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D73"/>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22"/>
    <w:rsid w:val="00202B44"/>
    <w:rsid w:val="00203118"/>
    <w:rsid w:val="00203153"/>
    <w:rsid w:val="00203220"/>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2F7"/>
    <w:rsid w:val="00206410"/>
    <w:rsid w:val="00206722"/>
    <w:rsid w:val="00206A04"/>
    <w:rsid w:val="00206BE4"/>
    <w:rsid w:val="00206D3E"/>
    <w:rsid w:val="00206D5B"/>
    <w:rsid w:val="002074D2"/>
    <w:rsid w:val="002075AE"/>
    <w:rsid w:val="0020761E"/>
    <w:rsid w:val="002077D3"/>
    <w:rsid w:val="002078ED"/>
    <w:rsid w:val="00207913"/>
    <w:rsid w:val="002079D2"/>
    <w:rsid w:val="00207CF8"/>
    <w:rsid w:val="00207E99"/>
    <w:rsid w:val="002105B2"/>
    <w:rsid w:val="002105C3"/>
    <w:rsid w:val="0021063C"/>
    <w:rsid w:val="0021085B"/>
    <w:rsid w:val="002109C6"/>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8B8"/>
    <w:rsid w:val="002139C6"/>
    <w:rsid w:val="00213B0D"/>
    <w:rsid w:val="00213B31"/>
    <w:rsid w:val="00213EC0"/>
    <w:rsid w:val="00213EE5"/>
    <w:rsid w:val="00214137"/>
    <w:rsid w:val="002141E2"/>
    <w:rsid w:val="00214368"/>
    <w:rsid w:val="00214950"/>
    <w:rsid w:val="00214B2B"/>
    <w:rsid w:val="00214F86"/>
    <w:rsid w:val="00214FA6"/>
    <w:rsid w:val="0021509C"/>
    <w:rsid w:val="002152AD"/>
    <w:rsid w:val="00215476"/>
    <w:rsid w:val="0021554A"/>
    <w:rsid w:val="0021618E"/>
    <w:rsid w:val="002161B4"/>
    <w:rsid w:val="00216642"/>
    <w:rsid w:val="002166AF"/>
    <w:rsid w:val="002167D9"/>
    <w:rsid w:val="00216A22"/>
    <w:rsid w:val="00216B83"/>
    <w:rsid w:val="00216EEC"/>
    <w:rsid w:val="00217445"/>
    <w:rsid w:val="00217706"/>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CD6"/>
    <w:rsid w:val="0022418F"/>
    <w:rsid w:val="0022432D"/>
    <w:rsid w:val="002243F5"/>
    <w:rsid w:val="0022472F"/>
    <w:rsid w:val="00224738"/>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1DF"/>
    <w:rsid w:val="00226217"/>
    <w:rsid w:val="0022656B"/>
    <w:rsid w:val="00226831"/>
    <w:rsid w:val="00226BA4"/>
    <w:rsid w:val="00226F38"/>
    <w:rsid w:val="00226FD1"/>
    <w:rsid w:val="0022737E"/>
    <w:rsid w:val="00227679"/>
    <w:rsid w:val="00227B21"/>
    <w:rsid w:val="002300FB"/>
    <w:rsid w:val="00230A63"/>
    <w:rsid w:val="00230AEB"/>
    <w:rsid w:val="00230B42"/>
    <w:rsid w:val="00230CB0"/>
    <w:rsid w:val="00230CFB"/>
    <w:rsid w:val="00230EA6"/>
    <w:rsid w:val="0023108B"/>
    <w:rsid w:val="0023109B"/>
    <w:rsid w:val="002312EC"/>
    <w:rsid w:val="002313D6"/>
    <w:rsid w:val="0023145D"/>
    <w:rsid w:val="00231658"/>
    <w:rsid w:val="002316B7"/>
    <w:rsid w:val="002317BB"/>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3F8"/>
    <w:rsid w:val="00234AA6"/>
    <w:rsid w:val="00234AED"/>
    <w:rsid w:val="00234B77"/>
    <w:rsid w:val="00234BF1"/>
    <w:rsid w:val="00235450"/>
    <w:rsid w:val="002355E5"/>
    <w:rsid w:val="00235640"/>
    <w:rsid w:val="00235BDF"/>
    <w:rsid w:val="00235BEE"/>
    <w:rsid w:val="00235DA2"/>
    <w:rsid w:val="00235FCF"/>
    <w:rsid w:val="00236642"/>
    <w:rsid w:val="00236688"/>
    <w:rsid w:val="00236765"/>
    <w:rsid w:val="00236C96"/>
    <w:rsid w:val="00237096"/>
    <w:rsid w:val="00237125"/>
    <w:rsid w:val="002371F0"/>
    <w:rsid w:val="00237712"/>
    <w:rsid w:val="00237B33"/>
    <w:rsid w:val="00237C8B"/>
    <w:rsid w:val="00237DF5"/>
    <w:rsid w:val="00237E9C"/>
    <w:rsid w:val="00240071"/>
    <w:rsid w:val="00240561"/>
    <w:rsid w:val="00240852"/>
    <w:rsid w:val="00240AC8"/>
    <w:rsid w:val="00240CC3"/>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20"/>
    <w:rsid w:val="00243352"/>
    <w:rsid w:val="00243380"/>
    <w:rsid w:val="0024345C"/>
    <w:rsid w:val="00243846"/>
    <w:rsid w:val="00243ACD"/>
    <w:rsid w:val="00243CC7"/>
    <w:rsid w:val="00243F98"/>
    <w:rsid w:val="0024445A"/>
    <w:rsid w:val="0024469F"/>
    <w:rsid w:val="00244762"/>
    <w:rsid w:val="00244840"/>
    <w:rsid w:val="00244969"/>
    <w:rsid w:val="00244CC6"/>
    <w:rsid w:val="00244D86"/>
    <w:rsid w:val="00244E3D"/>
    <w:rsid w:val="00245223"/>
    <w:rsid w:val="0024539F"/>
    <w:rsid w:val="002454AE"/>
    <w:rsid w:val="00245564"/>
    <w:rsid w:val="002455C7"/>
    <w:rsid w:val="0024563B"/>
    <w:rsid w:val="00245972"/>
    <w:rsid w:val="002460FE"/>
    <w:rsid w:val="00246133"/>
    <w:rsid w:val="0024623F"/>
    <w:rsid w:val="00246812"/>
    <w:rsid w:val="002469F5"/>
    <w:rsid w:val="00246BC6"/>
    <w:rsid w:val="00246C48"/>
    <w:rsid w:val="00246D51"/>
    <w:rsid w:val="00246E3E"/>
    <w:rsid w:val="00246FBC"/>
    <w:rsid w:val="0024701C"/>
    <w:rsid w:val="0024706D"/>
    <w:rsid w:val="002479EA"/>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8F4"/>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B5E"/>
    <w:rsid w:val="00256DC3"/>
    <w:rsid w:val="00256FCA"/>
    <w:rsid w:val="002570CA"/>
    <w:rsid w:val="0025735E"/>
    <w:rsid w:val="0025757C"/>
    <w:rsid w:val="00257615"/>
    <w:rsid w:val="0025779E"/>
    <w:rsid w:val="0025784D"/>
    <w:rsid w:val="0025796D"/>
    <w:rsid w:val="00257B21"/>
    <w:rsid w:val="00257BBD"/>
    <w:rsid w:val="00257EAF"/>
    <w:rsid w:val="00257EC6"/>
    <w:rsid w:val="00257ED6"/>
    <w:rsid w:val="00260201"/>
    <w:rsid w:val="0026037B"/>
    <w:rsid w:val="002604FD"/>
    <w:rsid w:val="002605E4"/>
    <w:rsid w:val="00260770"/>
    <w:rsid w:val="002607EE"/>
    <w:rsid w:val="00260A36"/>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3B8"/>
    <w:rsid w:val="002654F2"/>
    <w:rsid w:val="00265791"/>
    <w:rsid w:val="00265ADC"/>
    <w:rsid w:val="00265EFB"/>
    <w:rsid w:val="00266784"/>
    <w:rsid w:val="002667BA"/>
    <w:rsid w:val="00266A1C"/>
    <w:rsid w:val="00266AC3"/>
    <w:rsid w:val="00266BF6"/>
    <w:rsid w:val="0026712C"/>
    <w:rsid w:val="00267217"/>
    <w:rsid w:val="00267471"/>
    <w:rsid w:val="002674BB"/>
    <w:rsid w:val="002675BA"/>
    <w:rsid w:val="00267698"/>
    <w:rsid w:val="0026796B"/>
    <w:rsid w:val="00267D0F"/>
    <w:rsid w:val="00267DC9"/>
    <w:rsid w:val="00267E37"/>
    <w:rsid w:val="00267E98"/>
    <w:rsid w:val="002701E5"/>
    <w:rsid w:val="0027033A"/>
    <w:rsid w:val="0027037A"/>
    <w:rsid w:val="0027038E"/>
    <w:rsid w:val="00270464"/>
    <w:rsid w:val="0027063A"/>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5E7"/>
    <w:rsid w:val="00272769"/>
    <w:rsid w:val="00272E7F"/>
    <w:rsid w:val="00273108"/>
    <w:rsid w:val="002731C8"/>
    <w:rsid w:val="0027386E"/>
    <w:rsid w:val="002739ED"/>
    <w:rsid w:val="00273A94"/>
    <w:rsid w:val="00273E7D"/>
    <w:rsid w:val="002743A6"/>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88C"/>
    <w:rsid w:val="00276AEA"/>
    <w:rsid w:val="00276B43"/>
    <w:rsid w:val="00276B8D"/>
    <w:rsid w:val="00276DA3"/>
    <w:rsid w:val="00276E70"/>
    <w:rsid w:val="0027711C"/>
    <w:rsid w:val="00277147"/>
    <w:rsid w:val="002771C6"/>
    <w:rsid w:val="002771CC"/>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2F59"/>
    <w:rsid w:val="00283031"/>
    <w:rsid w:val="002832A6"/>
    <w:rsid w:val="002834E4"/>
    <w:rsid w:val="002837B1"/>
    <w:rsid w:val="0028395C"/>
    <w:rsid w:val="00283AA1"/>
    <w:rsid w:val="00283C48"/>
    <w:rsid w:val="00283D5E"/>
    <w:rsid w:val="00283E2E"/>
    <w:rsid w:val="00283ED2"/>
    <w:rsid w:val="00283FC0"/>
    <w:rsid w:val="002844F7"/>
    <w:rsid w:val="0028465C"/>
    <w:rsid w:val="002846A1"/>
    <w:rsid w:val="00284859"/>
    <w:rsid w:val="00284905"/>
    <w:rsid w:val="00284C10"/>
    <w:rsid w:val="00284F69"/>
    <w:rsid w:val="00285306"/>
    <w:rsid w:val="00285314"/>
    <w:rsid w:val="002856BE"/>
    <w:rsid w:val="00285712"/>
    <w:rsid w:val="0028577F"/>
    <w:rsid w:val="0028584C"/>
    <w:rsid w:val="0028596A"/>
    <w:rsid w:val="00285A00"/>
    <w:rsid w:val="00285A13"/>
    <w:rsid w:val="00285C35"/>
    <w:rsid w:val="002860FB"/>
    <w:rsid w:val="002864B2"/>
    <w:rsid w:val="00286500"/>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4A4"/>
    <w:rsid w:val="00293919"/>
    <w:rsid w:val="002939AF"/>
    <w:rsid w:val="00293BA4"/>
    <w:rsid w:val="00293D57"/>
    <w:rsid w:val="00293F96"/>
    <w:rsid w:val="002940CA"/>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BDE"/>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EE0"/>
    <w:rsid w:val="002A2FCD"/>
    <w:rsid w:val="002A30A1"/>
    <w:rsid w:val="002A3686"/>
    <w:rsid w:val="002A368A"/>
    <w:rsid w:val="002A39F2"/>
    <w:rsid w:val="002A3C11"/>
    <w:rsid w:val="002A3D55"/>
    <w:rsid w:val="002A3E48"/>
    <w:rsid w:val="002A3F8D"/>
    <w:rsid w:val="002A41F4"/>
    <w:rsid w:val="002A42CF"/>
    <w:rsid w:val="002A4349"/>
    <w:rsid w:val="002A43C2"/>
    <w:rsid w:val="002A43C6"/>
    <w:rsid w:val="002A43E1"/>
    <w:rsid w:val="002A4847"/>
    <w:rsid w:val="002A4DA4"/>
    <w:rsid w:val="002A524C"/>
    <w:rsid w:val="002A5749"/>
    <w:rsid w:val="002A5B18"/>
    <w:rsid w:val="002A5D23"/>
    <w:rsid w:val="002A5D36"/>
    <w:rsid w:val="002A5ECF"/>
    <w:rsid w:val="002A60AE"/>
    <w:rsid w:val="002A6390"/>
    <w:rsid w:val="002A6B4C"/>
    <w:rsid w:val="002A6C81"/>
    <w:rsid w:val="002A6CB1"/>
    <w:rsid w:val="002A6CBC"/>
    <w:rsid w:val="002A6CFE"/>
    <w:rsid w:val="002A71C9"/>
    <w:rsid w:val="002A743B"/>
    <w:rsid w:val="002A7544"/>
    <w:rsid w:val="002A77D7"/>
    <w:rsid w:val="002A7A0F"/>
    <w:rsid w:val="002A7B62"/>
    <w:rsid w:val="002A7F5B"/>
    <w:rsid w:val="002B0056"/>
    <w:rsid w:val="002B00E2"/>
    <w:rsid w:val="002B02F2"/>
    <w:rsid w:val="002B04FD"/>
    <w:rsid w:val="002B05CF"/>
    <w:rsid w:val="002B0621"/>
    <w:rsid w:val="002B06F7"/>
    <w:rsid w:val="002B073A"/>
    <w:rsid w:val="002B087D"/>
    <w:rsid w:val="002B0BEB"/>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71"/>
    <w:rsid w:val="002B36C4"/>
    <w:rsid w:val="002B37A2"/>
    <w:rsid w:val="002B380B"/>
    <w:rsid w:val="002B389E"/>
    <w:rsid w:val="002B38E4"/>
    <w:rsid w:val="002B3C62"/>
    <w:rsid w:val="002B3E1D"/>
    <w:rsid w:val="002B3E55"/>
    <w:rsid w:val="002B40E6"/>
    <w:rsid w:val="002B41B7"/>
    <w:rsid w:val="002B425C"/>
    <w:rsid w:val="002B4262"/>
    <w:rsid w:val="002B42DF"/>
    <w:rsid w:val="002B44C1"/>
    <w:rsid w:val="002B45DC"/>
    <w:rsid w:val="002B46EB"/>
    <w:rsid w:val="002B4988"/>
    <w:rsid w:val="002B4A39"/>
    <w:rsid w:val="002B4AC8"/>
    <w:rsid w:val="002B4C03"/>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BC8"/>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ED6"/>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0D"/>
    <w:rsid w:val="002C3113"/>
    <w:rsid w:val="002C3127"/>
    <w:rsid w:val="002C3195"/>
    <w:rsid w:val="002C34FA"/>
    <w:rsid w:val="002C354D"/>
    <w:rsid w:val="002C36A2"/>
    <w:rsid w:val="002C38AA"/>
    <w:rsid w:val="002C3A0B"/>
    <w:rsid w:val="002C3B26"/>
    <w:rsid w:val="002C3CFE"/>
    <w:rsid w:val="002C407B"/>
    <w:rsid w:val="002C4310"/>
    <w:rsid w:val="002C43B0"/>
    <w:rsid w:val="002C4B7F"/>
    <w:rsid w:val="002C4C00"/>
    <w:rsid w:val="002C4ECA"/>
    <w:rsid w:val="002C50AE"/>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B13"/>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4C"/>
    <w:rsid w:val="002D4A67"/>
    <w:rsid w:val="002D4A89"/>
    <w:rsid w:val="002D4BBC"/>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ED4"/>
    <w:rsid w:val="002E0044"/>
    <w:rsid w:val="002E00FB"/>
    <w:rsid w:val="002E0993"/>
    <w:rsid w:val="002E0A10"/>
    <w:rsid w:val="002E0B22"/>
    <w:rsid w:val="002E0C91"/>
    <w:rsid w:val="002E0D1D"/>
    <w:rsid w:val="002E0FE5"/>
    <w:rsid w:val="002E13AA"/>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4991"/>
    <w:rsid w:val="002E4E06"/>
    <w:rsid w:val="002E51A3"/>
    <w:rsid w:val="002E54A1"/>
    <w:rsid w:val="002E5586"/>
    <w:rsid w:val="002E5875"/>
    <w:rsid w:val="002E58BE"/>
    <w:rsid w:val="002E59B7"/>
    <w:rsid w:val="002E5C25"/>
    <w:rsid w:val="002E6163"/>
    <w:rsid w:val="002E622F"/>
    <w:rsid w:val="002E62DD"/>
    <w:rsid w:val="002E6383"/>
    <w:rsid w:val="002E6675"/>
    <w:rsid w:val="002E6E1F"/>
    <w:rsid w:val="002E6ED1"/>
    <w:rsid w:val="002E6ED6"/>
    <w:rsid w:val="002E6EDD"/>
    <w:rsid w:val="002E70A9"/>
    <w:rsid w:val="002E72A8"/>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43"/>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83C"/>
    <w:rsid w:val="002F7B45"/>
    <w:rsid w:val="002F7EEB"/>
    <w:rsid w:val="002F7F33"/>
    <w:rsid w:val="002F7F95"/>
    <w:rsid w:val="003003E9"/>
    <w:rsid w:val="003003F6"/>
    <w:rsid w:val="00300607"/>
    <w:rsid w:val="00300BFC"/>
    <w:rsid w:val="00300CAB"/>
    <w:rsid w:val="00300E19"/>
    <w:rsid w:val="00301052"/>
    <w:rsid w:val="00301186"/>
    <w:rsid w:val="003012F3"/>
    <w:rsid w:val="003013BA"/>
    <w:rsid w:val="003013BF"/>
    <w:rsid w:val="003013F3"/>
    <w:rsid w:val="00301620"/>
    <w:rsid w:val="00301668"/>
    <w:rsid w:val="003016CA"/>
    <w:rsid w:val="003016F0"/>
    <w:rsid w:val="00301772"/>
    <w:rsid w:val="003017ED"/>
    <w:rsid w:val="003018F5"/>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42"/>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8E6"/>
    <w:rsid w:val="00306DA5"/>
    <w:rsid w:val="00306E6D"/>
    <w:rsid w:val="00306FC9"/>
    <w:rsid w:val="0030730A"/>
    <w:rsid w:val="00307877"/>
    <w:rsid w:val="0030792F"/>
    <w:rsid w:val="00307A94"/>
    <w:rsid w:val="00307C4F"/>
    <w:rsid w:val="00307C74"/>
    <w:rsid w:val="0031003F"/>
    <w:rsid w:val="00310638"/>
    <w:rsid w:val="00310741"/>
    <w:rsid w:val="00310D4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51B"/>
    <w:rsid w:val="0031494D"/>
    <w:rsid w:val="0031495F"/>
    <w:rsid w:val="00314AAF"/>
    <w:rsid w:val="00314D15"/>
    <w:rsid w:val="00314D31"/>
    <w:rsid w:val="00315055"/>
    <w:rsid w:val="0031524C"/>
    <w:rsid w:val="003152F2"/>
    <w:rsid w:val="0031572F"/>
    <w:rsid w:val="00315D8D"/>
    <w:rsid w:val="00315E32"/>
    <w:rsid w:val="00315F20"/>
    <w:rsid w:val="00316055"/>
    <w:rsid w:val="00316098"/>
    <w:rsid w:val="00316210"/>
    <w:rsid w:val="0031639C"/>
    <w:rsid w:val="00316530"/>
    <w:rsid w:val="00316650"/>
    <w:rsid w:val="003167D3"/>
    <w:rsid w:val="00316A43"/>
    <w:rsid w:val="00316A48"/>
    <w:rsid w:val="00316AE9"/>
    <w:rsid w:val="00316B62"/>
    <w:rsid w:val="00316CC7"/>
    <w:rsid w:val="00316F6E"/>
    <w:rsid w:val="00316F85"/>
    <w:rsid w:val="00317263"/>
    <w:rsid w:val="00317339"/>
    <w:rsid w:val="00317343"/>
    <w:rsid w:val="0031737A"/>
    <w:rsid w:val="00320187"/>
    <w:rsid w:val="00320305"/>
    <w:rsid w:val="003203EF"/>
    <w:rsid w:val="00320658"/>
    <w:rsid w:val="003207F3"/>
    <w:rsid w:val="00320E72"/>
    <w:rsid w:val="003213AC"/>
    <w:rsid w:val="00321898"/>
    <w:rsid w:val="003219FA"/>
    <w:rsid w:val="00321F0D"/>
    <w:rsid w:val="0032215D"/>
    <w:rsid w:val="0032223C"/>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250"/>
    <w:rsid w:val="00330B18"/>
    <w:rsid w:val="00330D71"/>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B05"/>
    <w:rsid w:val="00334DD2"/>
    <w:rsid w:val="00334E9D"/>
    <w:rsid w:val="00334FC3"/>
    <w:rsid w:val="0033524C"/>
    <w:rsid w:val="003354C8"/>
    <w:rsid w:val="00335800"/>
    <w:rsid w:val="00335849"/>
    <w:rsid w:val="0033597F"/>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27"/>
    <w:rsid w:val="00340888"/>
    <w:rsid w:val="00340B47"/>
    <w:rsid w:val="00341185"/>
    <w:rsid w:val="0034179B"/>
    <w:rsid w:val="00341A17"/>
    <w:rsid w:val="00341A8B"/>
    <w:rsid w:val="00341CFB"/>
    <w:rsid w:val="00341E81"/>
    <w:rsid w:val="003421D1"/>
    <w:rsid w:val="003421D9"/>
    <w:rsid w:val="0034225D"/>
    <w:rsid w:val="003425D9"/>
    <w:rsid w:val="003426DD"/>
    <w:rsid w:val="00342785"/>
    <w:rsid w:val="003428E8"/>
    <w:rsid w:val="00342B67"/>
    <w:rsid w:val="00342C1D"/>
    <w:rsid w:val="00343098"/>
    <w:rsid w:val="00343567"/>
    <w:rsid w:val="003435AD"/>
    <w:rsid w:val="0034386E"/>
    <w:rsid w:val="00343CCD"/>
    <w:rsid w:val="00343F1C"/>
    <w:rsid w:val="00344001"/>
    <w:rsid w:val="0034434F"/>
    <w:rsid w:val="00344442"/>
    <w:rsid w:val="003445C2"/>
    <w:rsid w:val="003445D6"/>
    <w:rsid w:val="00344893"/>
    <w:rsid w:val="00344CA2"/>
    <w:rsid w:val="00344E50"/>
    <w:rsid w:val="00345469"/>
    <w:rsid w:val="0034581F"/>
    <w:rsid w:val="00345846"/>
    <w:rsid w:val="00345A10"/>
    <w:rsid w:val="00345F57"/>
    <w:rsid w:val="003460FF"/>
    <w:rsid w:val="00346218"/>
    <w:rsid w:val="00346850"/>
    <w:rsid w:val="003469F1"/>
    <w:rsid w:val="00346B32"/>
    <w:rsid w:val="00346C45"/>
    <w:rsid w:val="00346CDC"/>
    <w:rsid w:val="00346D1A"/>
    <w:rsid w:val="00346FDB"/>
    <w:rsid w:val="00347095"/>
    <w:rsid w:val="00347501"/>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948"/>
    <w:rsid w:val="003550CA"/>
    <w:rsid w:val="00355184"/>
    <w:rsid w:val="003552A4"/>
    <w:rsid w:val="003555A7"/>
    <w:rsid w:val="003557A6"/>
    <w:rsid w:val="003557E3"/>
    <w:rsid w:val="003558D7"/>
    <w:rsid w:val="00355968"/>
    <w:rsid w:val="003561DF"/>
    <w:rsid w:val="00356734"/>
    <w:rsid w:val="00356C97"/>
    <w:rsid w:val="003570E4"/>
    <w:rsid w:val="00357A03"/>
    <w:rsid w:val="00357B76"/>
    <w:rsid w:val="00357C60"/>
    <w:rsid w:val="00357C99"/>
    <w:rsid w:val="00357CAC"/>
    <w:rsid w:val="00357D2E"/>
    <w:rsid w:val="00357EBC"/>
    <w:rsid w:val="00360066"/>
    <w:rsid w:val="00360548"/>
    <w:rsid w:val="003606B1"/>
    <w:rsid w:val="00360902"/>
    <w:rsid w:val="0036094C"/>
    <w:rsid w:val="00360CAA"/>
    <w:rsid w:val="003610BA"/>
    <w:rsid w:val="003611CD"/>
    <w:rsid w:val="003611D0"/>
    <w:rsid w:val="003611EB"/>
    <w:rsid w:val="00361229"/>
    <w:rsid w:val="0036146B"/>
    <w:rsid w:val="00361558"/>
    <w:rsid w:val="003616CD"/>
    <w:rsid w:val="003617D6"/>
    <w:rsid w:val="00361A16"/>
    <w:rsid w:val="00361B86"/>
    <w:rsid w:val="00361D07"/>
    <w:rsid w:val="00361D99"/>
    <w:rsid w:val="00361E23"/>
    <w:rsid w:val="00361F38"/>
    <w:rsid w:val="00361FDF"/>
    <w:rsid w:val="003622AC"/>
    <w:rsid w:val="00362303"/>
    <w:rsid w:val="0036251F"/>
    <w:rsid w:val="00362BEA"/>
    <w:rsid w:val="00362DBD"/>
    <w:rsid w:val="00362F4E"/>
    <w:rsid w:val="00362F81"/>
    <w:rsid w:val="0036303C"/>
    <w:rsid w:val="00363098"/>
    <w:rsid w:val="0036320F"/>
    <w:rsid w:val="0036325A"/>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D5F"/>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794"/>
    <w:rsid w:val="003729BC"/>
    <w:rsid w:val="00372A01"/>
    <w:rsid w:val="00372F28"/>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A53"/>
    <w:rsid w:val="00374B83"/>
    <w:rsid w:val="00374C20"/>
    <w:rsid w:val="00374CD7"/>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DF6"/>
    <w:rsid w:val="00377E36"/>
    <w:rsid w:val="00377F4C"/>
    <w:rsid w:val="00377F7E"/>
    <w:rsid w:val="00380483"/>
    <w:rsid w:val="00380501"/>
    <w:rsid w:val="0038054E"/>
    <w:rsid w:val="00380689"/>
    <w:rsid w:val="00380837"/>
    <w:rsid w:val="00380873"/>
    <w:rsid w:val="003808E4"/>
    <w:rsid w:val="00380941"/>
    <w:rsid w:val="00380CB6"/>
    <w:rsid w:val="00380D14"/>
    <w:rsid w:val="00380D52"/>
    <w:rsid w:val="00380E48"/>
    <w:rsid w:val="0038130C"/>
    <w:rsid w:val="003818E3"/>
    <w:rsid w:val="00381A8F"/>
    <w:rsid w:val="00381AF0"/>
    <w:rsid w:val="00381F0C"/>
    <w:rsid w:val="0038217A"/>
    <w:rsid w:val="003822BF"/>
    <w:rsid w:val="003823AA"/>
    <w:rsid w:val="0038240E"/>
    <w:rsid w:val="00382746"/>
    <w:rsid w:val="0038278D"/>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8B5"/>
    <w:rsid w:val="00391CA6"/>
    <w:rsid w:val="00391CF0"/>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9F5"/>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2F98"/>
    <w:rsid w:val="003A3007"/>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DB3"/>
    <w:rsid w:val="003A4E85"/>
    <w:rsid w:val="003A5178"/>
    <w:rsid w:val="003A51BE"/>
    <w:rsid w:val="003A55F8"/>
    <w:rsid w:val="003A562F"/>
    <w:rsid w:val="003A5788"/>
    <w:rsid w:val="003A5964"/>
    <w:rsid w:val="003A5E83"/>
    <w:rsid w:val="003A5FBB"/>
    <w:rsid w:val="003A6294"/>
    <w:rsid w:val="003A63A6"/>
    <w:rsid w:val="003A6621"/>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BF"/>
    <w:rsid w:val="003B0306"/>
    <w:rsid w:val="003B07AC"/>
    <w:rsid w:val="003B08E8"/>
    <w:rsid w:val="003B09EC"/>
    <w:rsid w:val="003B0B19"/>
    <w:rsid w:val="003B0CA6"/>
    <w:rsid w:val="003B0D96"/>
    <w:rsid w:val="003B0D9A"/>
    <w:rsid w:val="003B0E65"/>
    <w:rsid w:val="003B0FFF"/>
    <w:rsid w:val="003B121F"/>
    <w:rsid w:val="003B122B"/>
    <w:rsid w:val="003B126E"/>
    <w:rsid w:val="003B15EE"/>
    <w:rsid w:val="003B17FA"/>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DA1"/>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11"/>
    <w:rsid w:val="003C1CAF"/>
    <w:rsid w:val="003C23D6"/>
    <w:rsid w:val="003C23E4"/>
    <w:rsid w:val="003C2415"/>
    <w:rsid w:val="003C248A"/>
    <w:rsid w:val="003C264D"/>
    <w:rsid w:val="003C2A70"/>
    <w:rsid w:val="003C2A7B"/>
    <w:rsid w:val="003C2B3C"/>
    <w:rsid w:val="003C3747"/>
    <w:rsid w:val="003C3B28"/>
    <w:rsid w:val="003C3E67"/>
    <w:rsid w:val="003C40BF"/>
    <w:rsid w:val="003C412E"/>
    <w:rsid w:val="003C417A"/>
    <w:rsid w:val="003C43A6"/>
    <w:rsid w:val="003C43D1"/>
    <w:rsid w:val="003C4515"/>
    <w:rsid w:val="003C46EF"/>
    <w:rsid w:val="003C4E96"/>
    <w:rsid w:val="003C5054"/>
    <w:rsid w:val="003C5201"/>
    <w:rsid w:val="003C5276"/>
    <w:rsid w:val="003C54E8"/>
    <w:rsid w:val="003C5687"/>
    <w:rsid w:val="003C578D"/>
    <w:rsid w:val="003C5793"/>
    <w:rsid w:val="003C59C7"/>
    <w:rsid w:val="003C5A06"/>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44"/>
    <w:rsid w:val="003D0071"/>
    <w:rsid w:val="003D0106"/>
    <w:rsid w:val="003D03B4"/>
    <w:rsid w:val="003D0D10"/>
    <w:rsid w:val="003D11E9"/>
    <w:rsid w:val="003D1254"/>
    <w:rsid w:val="003D1397"/>
    <w:rsid w:val="003D13BC"/>
    <w:rsid w:val="003D1419"/>
    <w:rsid w:val="003D17A4"/>
    <w:rsid w:val="003D1835"/>
    <w:rsid w:val="003D1C9B"/>
    <w:rsid w:val="003D1CAC"/>
    <w:rsid w:val="003D1D47"/>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3FCE"/>
    <w:rsid w:val="003D40F5"/>
    <w:rsid w:val="003D414E"/>
    <w:rsid w:val="003D4177"/>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498"/>
    <w:rsid w:val="003D6899"/>
    <w:rsid w:val="003D6B8C"/>
    <w:rsid w:val="003D6C7D"/>
    <w:rsid w:val="003D7368"/>
    <w:rsid w:val="003D73ED"/>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1E6B"/>
    <w:rsid w:val="003E21A8"/>
    <w:rsid w:val="003E22EF"/>
    <w:rsid w:val="003E2606"/>
    <w:rsid w:val="003E281C"/>
    <w:rsid w:val="003E292E"/>
    <w:rsid w:val="003E2A2E"/>
    <w:rsid w:val="003E2B3B"/>
    <w:rsid w:val="003E2B91"/>
    <w:rsid w:val="003E2D06"/>
    <w:rsid w:val="003E2F5F"/>
    <w:rsid w:val="003E2F7A"/>
    <w:rsid w:val="003E30A6"/>
    <w:rsid w:val="003E3327"/>
    <w:rsid w:val="003E3356"/>
    <w:rsid w:val="003E3366"/>
    <w:rsid w:val="003E3624"/>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2C"/>
    <w:rsid w:val="003E5628"/>
    <w:rsid w:val="003E56E1"/>
    <w:rsid w:val="003E5907"/>
    <w:rsid w:val="003E5C42"/>
    <w:rsid w:val="003E5E13"/>
    <w:rsid w:val="003E5E2A"/>
    <w:rsid w:val="003E63C1"/>
    <w:rsid w:val="003E6569"/>
    <w:rsid w:val="003E6589"/>
    <w:rsid w:val="003E6BB5"/>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69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34F"/>
    <w:rsid w:val="003F5537"/>
    <w:rsid w:val="003F55BE"/>
    <w:rsid w:val="003F583E"/>
    <w:rsid w:val="003F5BFA"/>
    <w:rsid w:val="003F5CFF"/>
    <w:rsid w:val="003F6044"/>
    <w:rsid w:val="003F6088"/>
    <w:rsid w:val="003F6454"/>
    <w:rsid w:val="003F66BB"/>
    <w:rsid w:val="003F6817"/>
    <w:rsid w:val="003F6A80"/>
    <w:rsid w:val="003F6D84"/>
    <w:rsid w:val="003F6E46"/>
    <w:rsid w:val="003F6E64"/>
    <w:rsid w:val="003F6E8E"/>
    <w:rsid w:val="003F6EC1"/>
    <w:rsid w:val="003F73F7"/>
    <w:rsid w:val="003F7536"/>
    <w:rsid w:val="003F78D1"/>
    <w:rsid w:val="003F7A69"/>
    <w:rsid w:val="003F7D52"/>
    <w:rsid w:val="003F7EAC"/>
    <w:rsid w:val="00400054"/>
    <w:rsid w:val="0040015A"/>
    <w:rsid w:val="004001A6"/>
    <w:rsid w:val="00400359"/>
    <w:rsid w:val="0040035C"/>
    <w:rsid w:val="004003FA"/>
    <w:rsid w:val="004004FE"/>
    <w:rsid w:val="004005F9"/>
    <w:rsid w:val="00400856"/>
    <w:rsid w:val="00400E91"/>
    <w:rsid w:val="00400EFC"/>
    <w:rsid w:val="00400F0D"/>
    <w:rsid w:val="00401033"/>
    <w:rsid w:val="00401045"/>
    <w:rsid w:val="00401293"/>
    <w:rsid w:val="004012CB"/>
    <w:rsid w:val="00401340"/>
    <w:rsid w:val="00401613"/>
    <w:rsid w:val="004017EC"/>
    <w:rsid w:val="00401A8E"/>
    <w:rsid w:val="00401BF6"/>
    <w:rsid w:val="00401D93"/>
    <w:rsid w:val="00402436"/>
    <w:rsid w:val="004029DF"/>
    <w:rsid w:val="004029EC"/>
    <w:rsid w:val="00402ABC"/>
    <w:rsid w:val="00402B36"/>
    <w:rsid w:val="00402FE5"/>
    <w:rsid w:val="0040303D"/>
    <w:rsid w:val="004031A5"/>
    <w:rsid w:val="004032E4"/>
    <w:rsid w:val="0040345E"/>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9F0"/>
    <w:rsid w:val="00413AD8"/>
    <w:rsid w:val="00413FF3"/>
    <w:rsid w:val="0041402C"/>
    <w:rsid w:val="00414303"/>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99B"/>
    <w:rsid w:val="00417A97"/>
    <w:rsid w:val="00417CB1"/>
    <w:rsid w:val="00417E6C"/>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9F7"/>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6E"/>
    <w:rsid w:val="004310ED"/>
    <w:rsid w:val="00431222"/>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D74"/>
    <w:rsid w:val="0043505E"/>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DA7"/>
    <w:rsid w:val="00437E2E"/>
    <w:rsid w:val="00440015"/>
    <w:rsid w:val="004402E3"/>
    <w:rsid w:val="004406C1"/>
    <w:rsid w:val="004408D1"/>
    <w:rsid w:val="00440DD7"/>
    <w:rsid w:val="00440DED"/>
    <w:rsid w:val="00440EC0"/>
    <w:rsid w:val="00440F5D"/>
    <w:rsid w:val="00441030"/>
    <w:rsid w:val="00441405"/>
    <w:rsid w:val="00441490"/>
    <w:rsid w:val="00441AAC"/>
    <w:rsid w:val="00441B3D"/>
    <w:rsid w:val="00441BFB"/>
    <w:rsid w:val="00441F5B"/>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3FD5"/>
    <w:rsid w:val="0044440B"/>
    <w:rsid w:val="0044472F"/>
    <w:rsid w:val="00444783"/>
    <w:rsid w:val="00444C59"/>
    <w:rsid w:val="00444DD0"/>
    <w:rsid w:val="00444ED1"/>
    <w:rsid w:val="00444FC6"/>
    <w:rsid w:val="0044506C"/>
    <w:rsid w:val="00445422"/>
    <w:rsid w:val="0044563B"/>
    <w:rsid w:val="004457C8"/>
    <w:rsid w:val="004457EE"/>
    <w:rsid w:val="00445971"/>
    <w:rsid w:val="00445BC2"/>
    <w:rsid w:val="00445C65"/>
    <w:rsid w:val="00445C71"/>
    <w:rsid w:val="00445C78"/>
    <w:rsid w:val="00445F8D"/>
    <w:rsid w:val="00446100"/>
    <w:rsid w:val="004461DB"/>
    <w:rsid w:val="00446335"/>
    <w:rsid w:val="00446497"/>
    <w:rsid w:val="004464FA"/>
    <w:rsid w:val="004466E4"/>
    <w:rsid w:val="00446AB1"/>
    <w:rsid w:val="00446AC7"/>
    <w:rsid w:val="00446B58"/>
    <w:rsid w:val="00446C69"/>
    <w:rsid w:val="00446E59"/>
    <w:rsid w:val="004473B1"/>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B51"/>
    <w:rsid w:val="00453E11"/>
    <w:rsid w:val="00453E33"/>
    <w:rsid w:val="00454015"/>
    <w:rsid w:val="00454330"/>
    <w:rsid w:val="00454349"/>
    <w:rsid w:val="0045438B"/>
    <w:rsid w:val="0045446D"/>
    <w:rsid w:val="004546D5"/>
    <w:rsid w:val="004546EB"/>
    <w:rsid w:val="0045475C"/>
    <w:rsid w:val="00454780"/>
    <w:rsid w:val="004548F0"/>
    <w:rsid w:val="00454B10"/>
    <w:rsid w:val="00454DA3"/>
    <w:rsid w:val="00455273"/>
    <w:rsid w:val="004553A0"/>
    <w:rsid w:val="004553BC"/>
    <w:rsid w:val="00455458"/>
    <w:rsid w:val="004558D7"/>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A65"/>
    <w:rsid w:val="00460B89"/>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96"/>
    <w:rsid w:val="004641E8"/>
    <w:rsid w:val="0046420E"/>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9E3"/>
    <w:rsid w:val="00472C48"/>
    <w:rsid w:val="00472EB7"/>
    <w:rsid w:val="004730D6"/>
    <w:rsid w:val="004731E5"/>
    <w:rsid w:val="004734A2"/>
    <w:rsid w:val="0047351A"/>
    <w:rsid w:val="004736AF"/>
    <w:rsid w:val="00473B52"/>
    <w:rsid w:val="00473BCA"/>
    <w:rsid w:val="00473E75"/>
    <w:rsid w:val="00473F03"/>
    <w:rsid w:val="00473F20"/>
    <w:rsid w:val="00473F99"/>
    <w:rsid w:val="00474059"/>
    <w:rsid w:val="00474153"/>
    <w:rsid w:val="004741B0"/>
    <w:rsid w:val="004741ED"/>
    <w:rsid w:val="00474489"/>
    <w:rsid w:val="00474494"/>
    <w:rsid w:val="004747C0"/>
    <w:rsid w:val="004748F5"/>
    <w:rsid w:val="00474901"/>
    <w:rsid w:val="00474D4D"/>
    <w:rsid w:val="00474DB4"/>
    <w:rsid w:val="00474E3E"/>
    <w:rsid w:val="00474F7A"/>
    <w:rsid w:val="00475106"/>
    <w:rsid w:val="004753CE"/>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9A6"/>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43F"/>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2A"/>
    <w:rsid w:val="0049075F"/>
    <w:rsid w:val="00490846"/>
    <w:rsid w:val="00490AEE"/>
    <w:rsid w:val="00490CE2"/>
    <w:rsid w:val="00490F7C"/>
    <w:rsid w:val="004910E9"/>
    <w:rsid w:val="004911DA"/>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EB4"/>
    <w:rsid w:val="00493F7B"/>
    <w:rsid w:val="004940F6"/>
    <w:rsid w:val="004941FC"/>
    <w:rsid w:val="00494240"/>
    <w:rsid w:val="004942E4"/>
    <w:rsid w:val="00494333"/>
    <w:rsid w:val="00494904"/>
    <w:rsid w:val="004949B4"/>
    <w:rsid w:val="00494C2E"/>
    <w:rsid w:val="00494EF5"/>
    <w:rsid w:val="00495188"/>
    <w:rsid w:val="0049534C"/>
    <w:rsid w:val="004958F0"/>
    <w:rsid w:val="004958F4"/>
    <w:rsid w:val="00495930"/>
    <w:rsid w:val="00495A40"/>
    <w:rsid w:val="00495A52"/>
    <w:rsid w:val="00495B6C"/>
    <w:rsid w:val="00495DC4"/>
    <w:rsid w:val="00495FA6"/>
    <w:rsid w:val="0049656B"/>
    <w:rsid w:val="0049674B"/>
    <w:rsid w:val="00496C69"/>
    <w:rsid w:val="00496D74"/>
    <w:rsid w:val="00496E65"/>
    <w:rsid w:val="0049700D"/>
    <w:rsid w:val="004972F2"/>
    <w:rsid w:val="00497318"/>
    <w:rsid w:val="004976CB"/>
    <w:rsid w:val="00497773"/>
    <w:rsid w:val="004978B6"/>
    <w:rsid w:val="004978C4"/>
    <w:rsid w:val="00497942"/>
    <w:rsid w:val="004979A5"/>
    <w:rsid w:val="00497AF8"/>
    <w:rsid w:val="00497D3E"/>
    <w:rsid w:val="004A039F"/>
    <w:rsid w:val="004A053C"/>
    <w:rsid w:val="004A06C1"/>
    <w:rsid w:val="004A0B5A"/>
    <w:rsid w:val="004A0B66"/>
    <w:rsid w:val="004A1240"/>
    <w:rsid w:val="004A1346"/>
    <w:rsid w:val="004A137D"/>
    <w:rsid w:val="004A1636"/>
    <w:rsid w:val="004A1B27"/>
    <w:rsid w:val="004A1C93"/>
    <w:rsid w:val="004A1F90"/>
    <w:rsid w:val="004A24C2"/>
    <w:rsid w:val="004A273A"/>
    <w:rsid w:val="004A2810"/>
    <w:rsid w:val="004A2945"/>
    <w:rsid w:val="004A29CB"/>
    <w:rsid w:val="004A2C49"/>
    <w:rsid w:val="004A30E8"/>
    <w:rsid w:val="004A3132"/>
    <w:rsid w:val="004A35D1"/>
    <w:rsid w:val="004A3719"/>
    <w:rsid w:val="004A3941"/>
    <w:rsid w:val="004A3B7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161"/>
    <w:rsid w:val="004A53B7"/>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3F"/>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D80"/>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1C4"/>
    <w:rsid w:val="004C0490"/>
    <w:rsid w:val="004C0721"/>
    <w:rsid w:val="004C0E43"/>
    <w:rsid w:val="004C100B"/>
    <w:rsid w:val="004C130F"/>
    <w:rsid w:val="004C1409"/>
    <w:rsid w:val="004C147D"/>
    <w:rsid w:val="004C153A"/>
    <w:rsid w:val="004C1627"/>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35"/>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2E8"/>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0A2"/>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B60"/>
    <w:rsid w:val="004D6FC1"/>
    <w:rsid w:val="004D720B"/>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C83"/>
    <w:rsid w:val="004E2DF0"/>
    <w:rsid w:val="004E2EAE"/>
    <w:rsid w:val="004E31D9"/>
    <w:rsid w:val="004E33EE"/>
    <w:rsid w:val="004E3470"/>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98B"/>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C9"/>
    <w:rsid w:val="00500B45"/>
    <w:rsid w:val="00500DA9"/>
    <w:rsid w:val="00500FA8"/>
    <w:rsid w:val="005013E9"/>
    <w:rsid w:val="00501649"/>
    <w:rsid w:val="00501682"/>
    <w:rsid w:val="005016C9"/>
    <w:rsid w:val="005017FC"/>
    <w:rsid w:val="00501942"/>
    <w:rsid w:val="00501BD4"/>
    <w:rsid w:val="00501E75"/>
    <w:rsid w:val="005022D4"/>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1FA"/>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0E3"/>
    <w:rsid w:val="0051312A"/>
    <w:rsid w:val="005135BD"/>
    <w:rsid w:val="005135E5"/>
    <w:rsid w:val="005135FB"/>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4A9"/>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7AC"/>
    <w:rsid w:val="00520A8B"/>
    <w:rsid w:val="00520FFF"/>
    <w:rsid w:val="00521016"/>
    <w:rsid w:val="005210E0"/>
    <w:rsid w:val="0052125C"/>
    <w:rsid w:val="005215D4"/>
    <w:rsid w:val="00521663"/>
    <w:rsid w:val="005217E8"/>
    <w:rsid w:val="00521851"/>
    <w:rsid w:val="0052192E"/>
    <w:rsid w:val="005221AA"/>
    <w:rsid w:val="005224FF"/>
    <w:rsid w:val="005226C2"/>
    <w:rsid w:val="0052276E"/>
    <w:rsid w:val="005227C6"/>
    <w:rsid w:val="00522C96"/>
    <w:rsid w:val="00522E95"/>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E65"/>
    <w:rsid w:val="005250AC"/>
    <w:rsid w:val="005251CE"/>
    <w:rsid w:val="005251EB"/>
    <w:rsid w:val="005253DB"/>
    <w:rsid w:val="005259A9"/>
    <w:rsid w:val="00525C6E"/>
    <w:rsid w:val="00525D60"/>
    <w:rsid w:val="005262A1"/>
    <w:rsid w:val="005264CD"/>
    <w:rsid w:val="005266ED"/>
    <w:rsid w:val="005267C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9C0"/>
    <w:rsid w:val="00531A60"/>
    <w:rsid w:val="00531AA2"/>
    <w:rsid w:val="00531CAC"/>
    <w:rsid w:val="00531D5E"/>
    <w:rsid w:val="00532033"/>
    <w:rsid w:val="005320B8"/>
    <w:rsid w:val="00532370"/>
    <w:rsid w:val="00532399"/>
    <w:rsid w:val="00532654"/>
    <w:rsid w:val="005326F2"/>
    <w:rsid w:val="005327D2"/>
    <w:rsid w:val="005327E8"/>
    <w:rsid w:val="00532824"/>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327"/>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E88"/>
    <w:rsid w:val="00543213"/>
    <w:rsid w:val="005432E9"/>
    <w:rsid w:val="005433E9"/>
    <w:rsid w:val="005434EE"/>
    <w:rsid w:val="00543983"/>
    <w:rsid w:val="00543AC9"/>
    <w:rsid w:val="00543AE6"/>
    <w:rsid w:val="00543B25"/>
    <w:rsid w:val="00543BCD"/>
    <w:rsid w:val="00543DE6"/>
    <w:rsid w:val="00543F80"/>
    <w:rsid w:val="0054402D"/>
    <w:rsid w:val="00544202"/>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25"/>
    <w:rsid w:val="00556A67"/>
    <w:rsid w:val="00556E9E"/>
    <w:rsid w:val="00557648"/>
    <w:rsid w:val="005577C4"/>
    <w:rsid w:val="00557962"/>
    <w:rsid w:val="00557D30"/>
    <w:rsid w:val="00560344"/>
    <w:rsid w:val="005603D9"/>
    <w:rsid w:val="00560420"/>
    <w:rsid w:val="0056044E"/>
    <w:rsid w:val="0056055F"/>
    <w:rsid w:val="005607CA"/>
    <w:rsid w:val="00560890"/>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DEC"/>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AD"/>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15"/>
    <w:rsid w:val="00577375"/>
    <w:rsid w:val="0057777F"/>
    <w:rsid w:val="005779CF"/>
    <w:rsid w:val="00577BEE"/>
    <w:rsid w:val="00577DDD"/>
    <w:rsid w:val="00577F3D"/>
    <w:rsid w:val="00577FA5"/>
    <w:rsid w:val="00580073"/>
    <w:rsid w:val="00580669"/>
    <w:rsid w:val="005806BE"/>
    <w:rsid w:val="00580B68"/>
    <w:rsid w:val="00580D5A"/>
    <w:rsid w:val="00580F2F"/>
    <w:rsid w:val="00581066"/>
    <w:rsid w:val="005811FF"/>
    <w:rsid w:val="00581413"/>
    <w:rsid w:val="00581442"/>
    <w:rsid w:val="00581498"/>
    <w:rsid w:val="0058159F"/>
    <w:rsid w:val="00581656"/>
    <w:rsid w:val="005818E6"/>
    <w:rsid w:val="00581D8F"/>
    <w:rsid w:val="00581E63"/>
    <w:rsid w:val="00581F26"/>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45C"/>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0CB"/>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5DE3"/>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50"/>
    <w:rsid w:val="005A4EB2"/>
    <w:rsid w:val="005A4FD3"/>
    <w:rsid w:val="005A523A"/>
    <w:rsid w:val="005A532E"/>
    <w:rsid w:val="005A536D"/>
    <w:rsid w:val="005A53AD"/>
    <w:rsid w:val="005A5532"/>
    <w:rsid w:val="005A5855"/>
    <w:rsid w:val="005A594D"/>
    <w:rsid w:val="005A5953"/>
    <w:rsid w:val="005A5B16"/>
    <w:rsid w:val="005A5B79"/>
    <w:rsid w:val="005A5FA2"/>
    <w:rsid w:val="005A6109"/>
    <w:rsid w:val="005A624A"/>
    <w:rsid w:val="005A6302"/>
    <w:rsid w:val="005A639A"/>
    <w:rsid w:val="005A63DA"/>
    <w:rsid w:val="005A6824"/>
    <w:rsid w:val="005A6AD0"/>
    <w:rsid w:val="005A6BCF"/>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208"/>
    <w:rsid w:val="005B4888"/>
    <w:rsid w:val="005B49B4"/>
    <w:rsid w:val="005B4D05"/>
    <w:rsid w:val="005B57CD"/>
    <w:rsid w:val="005B58F8"/>
    <w:rsid w:val="005B5F99"/>
    <w:rsid w:val="005B5FF2"/>
    <w:rsid w:val="005B603E"/>
    <w:rsid w:val="005B60C4"/>
    <w:rsid w:val="005B60D3"/>
    <w:rsid w:val="005B65A2"/>
    <w:rsid w:val="005B66D6"/>
    <w:rsid w:val="005B670A"/>
    <w:rsid w:val="005B6903"/>
    <w:rsid w:val="005B69B6"/>
    <w:rsid w:val="005B6A72"/>
    <w:rsid w:val="005B6A92"/>
    <w:rsid w:val="005B6B20"/>
    <w:rsid w:val="005B6BD4"/>
    <w:rsid w:val="005B6C58"/>
    <w:rsid w:val="005B6DDD"/>
    <w:rsid w:val="005B6E54"/>
    <w:rsid w:val="005B7074"/>
    <w:rsid w:val="005B71B7"/>
    <w:rsid w:val="005B7328"/>
    <w:rsid w:val="005B752E"/>
    <w:rsid w:val="005B7605"/>
    <w:rsid w:val="005B7A43"/>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EF3"/>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02C"/>
    <w:rsid w:val="005C710E"/>
    <w:rsid w:val="005C7296"/>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31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34B"/>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DF"/>
    <w:rsid w:val="005D6848"/>
    <w:rsid w:val="005D68CE"/>
    <w:rsid w:val="005D6B1F"/>
    <w:rsid w:val="005D6B9A"/>
    <w:rsid w:val="005D6BF0"/>
    <w:rsid w:val="005D6D9E"/>
    <w:rsid w:val="005D6E76"/>
    <w:rsid w:val="005D6EF2"/>
    <w:rsid w:val="005D6F75"/>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836"/>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5B"/>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73"/>
    <w:rsid w:val="005F5ED6"/>
    <w:rsid w:val="005F5FE6"/>
    <w:rsid w:val="005F645C"/>
    <w:rsid w:val="005F64D4"/>
    <w:rsid w:val="005F699D"/>
    <w:rsid w:val="005F6C2C"/>
    <w:rsid w:val="005F6EFA"/>
    <w:rsid w:val="005F7011"/>
    <w:rsid w:val="005F70C0"/>
    <w:rsid w:val="005F70F0"/>
    <w:rsid w:val="005F71A9"/>
    <w:rsid w:val="005F72F4"/>
    <w:rsid w:val="005F741B"/>
    <w:rsid w:val="005F74FA"/>
    <w:rsid w:val="005F7602"/>
    <w:rsid w:val="005F7682"/>
    <w:rsid w:val="005F7C31"/>
    <w:rsid w:val="005F7C6A"/>
    <w:rsid w:val="005F7CBF"/>
    <w:rsid w:val="005F7E87"/>
    <w:rsid w:val="005F7E9E"/>
    <w:rsid w:val="005F7ED5"/>
    <w:rsid w:val="00600076"/>
    <w:rsid w:val="00600132"/>
    <w:rsid w:val="006002C0"/>
    <w:rsid w:val="00600305"/>
    <w:rsid w:val="006003E3"/>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DB"/>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BDA"/>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9F2"/>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3F29"/>
    <w:rsid w:val="006140D2"/>
    <w:rsid w:val="0061413F"/>
    <w:rsid w:val="00614486"/>
    <w:rsid w:val="0061460D"/>
    <w:rsid w:val="00614664"/>
    <w:rsid w:val="0061466C"/>
    <w:rsid w:val="0061495C"/>
    <w:rsid w:val="00614BB6"/>
    <w:rsid w:val="00614C1A"/>
    <w:rsid w:val="00614C57"/>
    <w:rsid w:val="00615B17"/>
    <w:rsid w:val="00615E7C"/>
    <w:rsid w:val="00615FA2"/>
    <w:rsid w:val="00616057"/>
    <w:rsid w:val="006162A7"/>
    <w:rsid w:val="0061636D"/>
    <w:rsid w:val="006168DF"/>
    <w:rsid w:val="0061698F"/>
    <w:rsid w:val="00616A4C"/>
    <w:rsid w:val="006174C4"/>
    <w:rsid w:val="00617613"/>
    <w:rsid w:val="00617B36"/>
    <w:rsid w:val="00617DD2"/>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B86"/>
    <w:rsid w:val="00623E9D"/>
    <w:rsid w:val="00624010"/>
    <w:rsid w:val="00624298"/>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1EA"/>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CB"/>
    <w:rsid w:val="00630865"/>
    <w:rsid w:val="006309C3"/>
    <w:rsid w:val="00630A66"/>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60"/>
    <w:rsid w:val="00632FB8"/>
    <w:rsid w:val="006330FD"/>
    <w:rsid w:val="00633302"/>
    <w:rsid w:val="0063330C"/>
    <w:rsid w:val="006333DF"/>
    <w:rsid w:val="0063347B"/>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68"/>
    <w:rsid w:val="00637955"/>
    <w:rsid w:val="00637A0E"/>
    <w:rsid w:val="00637B2E"/>
    <w:rsid w:val="00637D07"/>
    <w:rsid w:val="00640185"/>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06"/>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5BC"/>
    <w:rsid w:val="0064573F"/>
    <w:rsid w:val="00645AE4"/>
    <w:rsid w:val="006460BE"/>
    <w:rsid w:val="006463DB"/>
    <w:rsid w:val="006464DA"/>
    <w:rsid w:val="006465F8"/>
    <w:rsid w:val="0064695D"/>
    <w:rsid w:val="00646A70"/>
    <w:rsid w:val="00646ACD"/>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918"/>
    <w:rsid w:val="00651A20"/>
    <w:rsid w:val="00651A5C"/>
    <w:rsid w:val="00651D5F"/>
    <w:rsid w:val="00651D6E"/>
    <w:rsid w:val="00651E7E"/>
    <w:rsid w:val="00651EAE"/>
    <w:rsid w:val="00652258"/>
    <w:rsid w:val="006523E8"/>
    <w:rsid w:val="006525C5"/>
    <w:rsid w:val="006527C8"/>
    <w:rsid w:val="006528E9"/>
    <w:rsid w:val="00652BB4"/>
    <w:rsid w:val="00652FC4"/>
    <w:rsid w:val="00653144"/>
    <w:rsid w:val="0065319F"/>
    <w:rsid w:val="00653437"/>
    <w:rsid w:val="006534F4"/>
    <w:rsid w:val="006536C4"/>
    <w:rsid w:val="0065371E"/>
    <w:rsid w:val="00653901"/>
    <w:rsid w:val="00653BC7"/>
    <w:rsid w:val="00653C98"/>
    <w:rsid w:val="00653D89"/>
    <w:rsid w:val="00654077"/>
    <w:rsid w:val="006540F9"/>
    <w:rsid w:val="0065420C"/>
    <w:rsid w:val="006545F9"/>
    <w:rsid w:val="00654732"/>
    <w:rsid w:val="006548E9"/>
    <w:rsid w:val="00654916"/>
    <w:rsid w:val="00654BFE"/>
    <w:rsid w:val="00654F6E"/>
    <w:rsid w:val="00655003"/>
    <w:rsid w:val="00655022"/>
    <w:rsid w:val="00655198"/>
    <w:rsid w:val="0065577D"/>
    <w:rsid w:val="006559E7"/>
    <w:rsid w:val="00655F67"/>
    <w:rsid w:val="00656011"/>
    <w:rsid w:val="006563B4"/>
    <w:rsid w:val="006566F9"/>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0F"/>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DFF"/>
    <w:rsid w:val="00663FA2"/>
    <w:rsid w:val="00663FAD"/>
    <w:rsid w:val="0066401C"/>
    <w:rsid w:val="00664192"/>
    <w:rsid w:val="006642CA"/>
    <w:rsid w:val="006644F2"/>
    <w:rsid w:val="00664553"/>
    <w:rsid w:val="006645FE"/>
    <w:rsid w:val="0066462C"/>
    <w:rsid w:val="00664CA5"/>
    <w:rsid w:val="00665170"/>
    <w:rsid w:val="006654E8"/>
    <w:rsid w:val="00665803"/>
    <w:rsid w:val="006659C6"/>
    <w:rsid w:val="00665A65"/>
    <w:rsid w:val="00665B53"/>
    <w:rsid w:val="00665C03"/>
    <w:rsid w:val="00665C2A"/>
    <w:rsid w:val="00666097"/>
    <w:rsid w:val="0066624C"/>
    <w:rsid w:val="00666355"/>
    <w:rsid w:val="00666528"/>
    <w:rsid w:val="0066659E"/>
    <w:rsid w:val="00666AAF"/>
    <w:rsid w:val="00666BFE"/>
    <w:rsid w:val="00666C37"/>
    <w:rsid w:val="00666E44"/>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BC0"/>
    <w:rsid w:val="00671C19"/>
    <w:rsid w:val="00671CB1"/>
    <w:rsid w:val="006722AE"/>
    <w:rsid w:val="006723AC"/>
    <w:rsid w:val="006724BA"/>
    <w:rsid w:val="006725C5"/>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B0B"/>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121"/>
    <w:rsid w:val="00683238"/>
    <w:rsid w:val="00683471"/>
    <w:rsid w:val="006834FA"/>
    <w:rsid w:val="006835A5"/>
    <w:rsid w:val="0068374C"/>
    <w:rsid w:val="006839F5"/>
    <w:rsid w:val="00683C9D"/>
    <w:rsid w:val="00684355"/>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22"/>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40F"/>
    <w:rsid w:val="00697517"/>
    <w:rsid w:val="0069769A"/>
    <w:rsid w:val="006977F0"/>
    <w:rsid w:val="006979DB"/>
    <w:rsid w:val="00697E29"/>
    <w:rsid w:val="00697F7C"/>
    <w:rsid w:val="006A007C"/>
    <w:rsid w:val="006A0090"/>
    <w:rsid w:val="006A0112"/>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63F"/>
    <w:rsid w:val="006A2721"/>
    <w:rsid w:val="006A292C"/>
    <w:rsid w:val="006A2975"/>
    <w:rsid w:val="006A2E46"/>
    <w:rsid w:val="006A31E7"/>
    <w:rsid w:val="006A36D1"/>
    <w:rsid w:val="006A3AB6"/>
    <w:rsid w:val="006A3AF3"/>
    <w:rsid w:val="006A3E5A"/>
    <w:rsid w:val="006A401F"/>
    <w:rsid w:val="006A40CC"/>
    <w:rsid w:val="006A4128"/>
    <w:rsid w:val="006A4185"/>
    <w:rsid w:val="006A421B"/>
    <w:rsid w:val="006A440E"/>
    <w:rsid w:val="006A4510"/>
    <w:rsid w:val="006A4732"/>
    <w:rsid w:val="006A492C"/>
    <w:rsid w:val="006A4ECD"/>
    <w:rsid w:val="006A50D4"/>
    <w:rsid w:val="006A50FD"/>
    <w:rsid w:val="006A560E"/>
    <w:rsid w:val="006A56A0"/>
    <w:rsid w:val="006A56AF"/>
    <w:rsid w:val="006A572F"/>
    <w:rsid w:val="006A59DB"/>
    <w:rsid w:val="006A619C"/>
    <w:rsid w:val="006A62BD"/>
    <w:rsid w:val="006A638B"/>
    <w:rsid w:val="006A66D1"/>
    <w:rsid w:val="006A6958"/>
    <w:rsid w:val="006A6973"/>
    <w:rsid w:val="006A697A"/>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212"/>
    <w:rsid w:val="006B36B9"/>
    <w:rsid w:val="006B37B0"/>
    <w:rsid w:val="006B37C1"/>
    <w:rsid w:val="006B3809"/>
    <w:rsid w:val="006B398D"/>
    <w:rsid w:val="006B3B6C"/>
    <w:rsid w:val="006B3D55"/>
    <w:rsid w:val="006B3F75"/>
    <w:rsid w:val="006B4499"/>
    <w:rsid w:val="006B48A6"/>
    <w:rsid w:val="006B49A8"/>
    <w:rsid w:val="006B4CAE"/>
    <w:rsid w:val="006B4E36"/>
    <w:rsid w:val="006B4E67"/>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14F"/>
    <w:rsid w:val="006C32F8"/>
    <w:rsid w:val="006C335A"/>
    <w:rsid w:val="006C363F"/>
    <w:rsid w:val="006C3ACC"/>
    <w:rsid w:val="006C3D37"/>
    <w:rsid w:val="006C3ED5"/>
    <w:rsid w:val="006C42C2"/>
    <w:rsid w:val="006C4360"/>
    <w:rsid w:val="006C44AB"/>
    <w:rsid w:val="006C44F0"/>
    <w:rsid w:val="006C453E"/>
    <w:rsid w:val="006C4872"/>
    <w:rsid w:val="006C4980"/>
    <w:rsid w:val="006C4C23"/>
    <w:rsid w:val="006C4E9A"/>
    <w:rsid w:val="006C512C"/>
    <w:rsid w:val="006C52A4"/>
    <w:rsid w:val="006C55E2"/>
    <w:rsid w:val="006C5614"/>
    <w:rsid w:val="006C57C2"/>
    <w:rsid w:val="006C57DE"/>
    <w:rsid w:val="006C58E0"/>
    <w:rsid w:val="006C58ED"/>
    <w:rsid w:val="006C5C56"/>
    <w:rsid w:val="006C5E1A"/>
    <w:rsid w:val="006C632A"/>
    <w:rsid w:val="006C6376"/>
    <w:rsid w:val="006C670C"/>
    <w:rsid w:val="006C67F9"/>
    <w:rsid w:val="006C6A18"/>
    <w:rsid w:val="006C6B97"/>
    <w:rsid w:val="006C6C08"/>
    <w:rsid w:val="006C6C46"/>
    <w:rsid w:val="006C6CFA"/>
    <w:rsid w:val="006C6DB8"/>
    <w:rsid w:val="006C70C7"/>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5B3"/>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59B"/>
    <w:rsid w:val="006D684F"/>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B5"/>
    <w:rsid w:val="006E1957"/>
    <w:rsid w:val="006E1B9A"/>
    <w:rsid w:val="006E1F38"/>
    <w:rsid w:val="006E202F"/>
    <w:rsid w:val="006E209F"/>
    <w:rsid w:val="006E2266"/>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85A"/>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11A"/>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4FD2"/>
    <w:rsid w:val="006F5283"/>
    <w:rsid w:val="006F542F"/>
    <w:rsid w:val="006F55DB"/>
    <w:rsid w:val="006F5728"/>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198"/>
    <w:rsid w:val="007012A3"/>
    <w:rsid w:val="007012FE"/>
    <w:rsid w:val="007013AD"/>
    <w:rsid w:val="00701655"/>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39"/>
    <w:rsid w:val="00710DF6"/>
    <w:rsid w:val="00710E55"/>
    <w:rsid w:val="00711167"/>
    <w:rsid w:val="0071118E"/>
    <w:rsid w:val="007112A9"/>
    <w:rsid w:val="0071144C"/>
    <w:rsid w:val="00711558"/>
    <w:rsid w:val="0071164F"/>
    <w:rsid w:val="007117E0"/>
    <w:rsid w:val="0071185C"/>
    <w:rsid w:val="00711DE3"/>
    <w:rsid w:val="00711FEF"/>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572"/>
    <w:rsid w:val="00717662"/>
    <w:rsid w:val="00717B1A"/>
    <w:rsid w:val="00717B54"/>
    <w:rsid w:val="00717C56"/>
    <w:rsid w:val="00717FD4"/>
    <w:rsid w:val="00720033"/>
    <w:rsid w:val="0072003A"/>
    <w:rsid w:val="00720075"/>
    <w:rsid w:val="0072008E"/>
    <w:rsid w:val="007200B6"/>
    <w:rsid w:val="007203CC"/>
    <w:rsid w:val="0072048E"/>
    <w:rsid w:val="00720651"/>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BAF"/>
    <w:rsid w:val="00733CA9"/>
    <w:rsid w:val="00733E95"/>
    <w:rsid w:val="00733F91"/>
    <w:rsid w:val="00734062"/>
    <w:rsid w:val="00734121"/>
    <w:rsid w:val="0073414A"/>
    <w:rsid w:val="007343BA"/>
    <w:rsid w:val="007345D0"/>
    <w:rsid w:val="0073465A"/>
    <w:rsid w:val="00734B38"/>
    <w:rsid w:val="00734B51"/>
    <w:rsid w:val="00734CDA"/>
    <w:rsid w:val="00734F24"/>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55"/>
    <w:rsid w:val="0074088B"/>
    <w:rsid w:val="00740A2B"/>
    <w:rsid w:val="00740A8B"/>
    <w:rsid w:val="00740F28"/>
    <w:rsid w:val="00741013"/>
    <w:rsid w:val="00741712"/>
    <w:rsid w:val="007419EE"/>
    <w:rsid w:val="00741A5E"/>
    <w:rsid w:val="00741CCC"/>
    <w:rsid w:val="00742141"/>
    <w:rsid w:val="0074221D"/>
    <w:rsid w:val="0074224C"/>
    <w:rsid w:val="00742252"/>
    <w:rsid w:val="0074263F"/>
    <w:rsid w:val="007426B7"/>
    <w:rsid w:val="007426C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AA2"/>
    <w:rsid w:val="00745BE5"/>
    <w:rsid w:val="00745D3B"/>
    <w:rsid w:val="00745D9E"/>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9A"/>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49F"/>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6C6"/>
    <w:rsid w:val="00760816"/>
    <w:rsid w:val="007608C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7A"/>
    <w:rsid w:val="00763999"/>
    <w:rsid w:val="00763A7E"/>
    <w:rsid w:val="00764095"/>
    <w:rsid w:val="00764200"/>
    <w:rsid w:val="00764235"/>
    <w:rsid w:val="00764241"/>
    <w:rsid w:val="007643DD"/>
    <w:rsid w:val="007648C5"/>
    <w:rsid w:val="00764A8E"/>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2A1"/>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6BF"/>
    <w:rsid w:val="007728B1"/>
    <w:rsid w:val="007729F5"/>
    <w:rsid w:val="00772A24"/>
    <w:rsid w:val="00772A52"/>
    <w:rsid w:val="00772F8D"/>
    <w:rsid w:val="007730B5"/>
    <w:rsid w:val="0077324F"/>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01E"/>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A9"/>
    <w:rsid w:val="0077684E"/>
    <w:rsid w:val="00776A7F"/>
    <w:rsid w:val="00776EC9"/>
    <w:rsid w:val="00776F56"/>
    <w:rsid w:val="0077709D"/>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EE2"/>
    <w:rsid w:val="00782F60"/>
    <w:rsid w:val="00782FD8"/>
    <w:rsid w:val="00783091"/>
    <w:rsid w:val="007831A8"/>
    <w:rsid w:val="00783302"/>
    <w:rsid w:val="0078339C"/>
    <w:rsid w:val="00783429"/>
    <w:rsid w:val="00783ACD"/>
    <w:rsid w:val="00783BC4"/>
    <w:rsid w:val="00783BD9"/>
    <w:rsid w:val="00783D2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CA5"/>
    <w:rsid w:val="00787E5B"/>
    <w:rsid w:val="00787EC9"/>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DBB"/>
    <w:rsid w:val="00794010"/>
    <w:rsid w:val="0079446D"/>
    <w:rsid w:val="00794785"/>
    <w:rsid w:val="007948BF"/>
    <w:rsid w:val="00794928"/>
    <w:rsid w:val="00794A1C"/>
    <w:rsid w:val="00794AB9"/>
    <w:rsid w:val="00794B55"/>
    <w:rsid w:val="00794CC0"/>
    <w:rsid w:val="00794E05"/>
    <w:rsid w:val="00794EE4"/>
    <w:rsid w:val="00795104"/>
    <w:rsid w:val="0079554B"/>
    <w:rsid w:val="007955F7"/>
    <w:rsid w:val="0079571B"/>
    <w:rsid w:val="00795781"/>
    <w:rsid w:val="007957DE"/>
    <w:rsid w:val="007958CE"/>
    <w:rsid w:val="00795905"/>
    <w:rsid w:val="007959D6"/>
    <w:rsid w:val="007959D9"/>
    <w:rsid w:val="00795EE5"/>
    <w:rsid w:val="00795F87"/>
    <w:rsid w:val="007961C9"/>
    <w:rsid w:val="00796337"/>
    <w:rsid w:val="007964B2"/>
    <w:rsid w:val="007964DB"/>
    <w:rsid w:val="007967B9"/>
    <w:rsid w:val="007967D0"/>
    <w:rsid w:val="00796858"/>
    <w:rsid w:val="00796AB3"/>
    <w:rsid w:val="00796B09"/>
    <w:rsid w:val="00796BEB"/>
    <w:rsid w:val="00796E3D"/>
    <w:rsid w:val="00797269"/>
    <w:rsid w:val="0079766C"/>
    <w:rsid w:val="007976C5"/>
    <w:rsid w:val="00797773"/>
    <w:rsid w:val="007978E1"/>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BB1"/>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4FD"/>
    <w:rsid w:val="007B0564"/>
    <w:rsid w:val="007B05F1"/>
    <w:rsid w:val="007B07F9"/>
    <w:rsid w:val="007B081C"/>
    <w:rsid w:val="007B1053"/>
    <w:rsid w:val="007B1284"/>
    <w:rsid w:val="007B14CF"/>
    <w:rsid w:val="007B1B00"/>
    <w:rsid w:val="007B1F40"/>
    <w:rsid w:val="007B20E8"/>
    <w:rsid w:val="007B2795"/>
    <w:rsid w:val="007B28C6"/>
    <w:rsid w:val="007B29A5"/>
    <w:rsid w:val="007B2BE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7CC"/>
    <w:rsid w:val="007C6835"/>
    <w:rsid w:val="007C688F"/>
    <w:rsid w:val="007C7402"/>
    <w:rsid w:val="007C7907"/>
    <w:rsid w:val="007C796E"/>
    <w:rsid w:val="007C7B60"/>
    <w:rsid w:val="007C7CD2"/>
    <w:rsid w:val="007C7CE3"/>
    <w:rsid w:val="007C7D88"/>
    <w:rsid w:val="007C7E38"/>
    <w:rsid w:val="007C7E6D"/>
    <w:rsid w:val="007C7E94"/>
    <w:rsid w:val="007C7F32"/>
    <w:rsid w:val="007D02F6"/>
    <w:rsid w:val="007D06D8"/>
    <w:rsid w:val="007D08BF"/>
    <w:rsid w:val="007D0955"/>
    <w:rsid w:val="007D0EAF"/>
    <w:rsid w:val="007D0F65"/>
    <w:rsid w:val="007D0F9D"/>
    <w:rsid w:val="007D1532"/>
    <w:rsid w:val="007D18E0"/>
    <w:rsid w:val="007D1947"/>
    <w:rsid w:val="007D1A2C"/>
    <w:rsid w:val="007D1CD8"/>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4F"/>
    <w:rsid w:val="007D3D62"/>
    <w:rsid w:val="007D4083"/>
    <w:rsid w:val="007D4245"/>
    <w:rsid w:val="007D4293"/>
    <w:rsid w:val="007D480B"/>
    <w:rsid w:val="007D4867"/>
    <w:rsid w:val="007D48A9"/>
    <w:rsid w:val="007D492B"/>
    <w:rsid w:val="007D4983"/>
    <w:rsid w:val="007D4AD8"/>
    <w:rsid w:val="007D4B5C"/>
    <w:rsid w:val="007D4FF0"/>
    <w:rsid w:val="007D5206"/>
    <w:rsid w:val="007D5212"/>
    <w:rsid w:val="007D52F2"/>
    <w:rsid w:val="007D55D6"/>
    <w:rsid w:val="007D5742"/>
    <w:rsid w:val="007D5888"/>
    <w:rsid w:val="007D59E9"/>
    <w:rsid w:val="007D6076"/>
    <w:rsid w:val="007D61CD"/>
    <w:rsid w:val="007D67D4"/>
    <w:rsid w:val="007D67D5"/>
    <w:rsid w:val="007D6A25"/>
    <w:rsid w:val="007D6A84"/>
    <w:rsid w:val="007D6ADF"/>
    <w:rsid w:val="007D6EB6"/>
    <w:rsid w:val="007D7001"/>
    <w:rsid w:val="007D76B6"/>
    <w:rsid w:val="007D7717"/>
    <w:rsid w:val="007D7A89"/>
    <w:rsid w:val="007D7A8A"/>
    <w:rsid w:val="007D7B16"/>
    <w:rsid w:val="007D7C51"/>
    <w:rsid w:val="007D7D39"/>
    <w:rsid w:val="007D7EEB"/>
    <w:rsid w:val="007E0381"/>
    <w:rsid w:val="007E0411"/>
    <w:rsid w:val="007E048F"/>
    <w:rsid w:val="007E0603"/>
    <w:rsid w:val="007E0645"/>
    <w:rsid w:val="007E08A1"/>
    <w:rsid w:val="007E0939"/>
    <w:rsid w:val="007E0E0B"/>
    <w:rsid w:val="007E0E50"/>
    <w:rsid w:val="007E138A"/>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1F5"/>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EEB"/>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32B"/>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B4"/>
    <w:rsid w:val="007F33C2"/>
    <w:rsid w:val="007F34BD"/>
    <w:rsid w:val="007F3759"/>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7F7674"/>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3F00"/>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B15"/>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1F55"/>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905"/>
    <w:rsid w:val="00814A73"/>
    <w:rsid w:val="00814C38"/>
    <w:rsid w:val="00815213"/>
    <w:rsid w:val="008152B7"/>
    <w:rsid w:val="008154CD"/>
    <w:rsid w:val="008154D9"/>
    <w:rsid w:val="008154E9"/>
    <w:rsid w:val="008155CA"/>
    <w:rsid w:val="0081562A"/>
    <w:rsid w:val="0081565D"/>
    <w:rsid w:val="00815C5E"/>
    <w:rsid w:val="00815DFC"/>
    <w:rsid w:val="00816086"/>
    <w:rsid w:val="00816367"/>
    <w:rsid w:val="008164D1"/>
    <w:rsid w:val="0081651B"/>
    <w:rsid w:val="00816528"/>
    <w:rsid w:val="00816541"/>
    <w:rsid w:val="0081683B"/>
    <w:rsid w:val="00816A26"/>
    <w:rsid w:val="00816BFB"/>
    <w:rsid w:val="00816C22"/>
    <w:rsid w:val="00816E17"/>
    <w:rsid w:val="00816F9B"/>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744"/>
    <w:rsid w:val="00832890"/>
    <w:rsid w:val="0083290A"/>
    <w:rsid w:val="00832F7A"/>
    <w:rsid w:val="008334A0"/>
    <w:rsid w:val="008337A3"/>
    <w:rsid w:val="0083395D"/>
    <w:rsid w:val="00834EE2"/>
    <w:rsid w:val="00834F3A"/>
    <w:rsid w:val="0083530C"/>
    <w:rsid w:val="00835420"/>
    <w:rsid w:val="00835645"/>
    <w:rsid w:val="0083566F"/>
    <w:rsid w:val="00835753"/>
    <w:rsid w:val="00835A5F"/>
    <w:rsid w:val="00835B7E"/>
    <w:rsid w:val="00835B8F"/>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45A"/>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06F"/>
    <w:rsid w:val="00846136"/>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5E6"/>
    <w:rsid w:val="008527C5"/>
    <w:rsid w:val="00852842"/>
    <w:rsid w:val="0085291D"/>
    <w:rsid w:val="00852EA6"/>
    <w:rsid w:val="00852F47"/>
    <w:rsid w:val="0085329A"/>
    <w:rsid w:val="00853515"/>
    <w:rsid w:val="008536A0"/>
    <w:rsid w:val="0085385B"/>
    <w:rsid w:val="008538C5"/>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7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27E"/>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1FA"/>
    <w:rsid w:val="00866591"/>
    <w:rsid w:val="008665B6"/>
    <w:rsid w:val="00866736"/>
    <w:rsid w:val="008668DC"/>
    <w:rsid w:val="008669AD"/>
    <w:rsid w:val="00866B7A"/>
    <w:rsid w:val="00866BFD"/>
    <w:rsid w:val="00866DC7"/>
    <w:rsid w:val="008674D3"/>
    <w:rsid w:val="008674EF"/>
    <w:rsid w:val="00867712"/>
    <w:rsid w:val="00867D59"/>
    <w:rsid w:val="00867D83"/>
    <w:rsid w:val="00867E81"/>
    <w:rsid w:val="00870274"/>
    <w:rsid w:val="0087029B"/>
    <w:rsid w:val="008703F6"/>
    <w:rsid w:val="00870639"/>
    <w:rsid w:val="008707D3"/>
    <w:rsid w:val="00870A44"/>
    <w:rsid w:val="00870A5B"/>
    <w:rsid w:val="00870AAE"/>
    <w:rsid w:val="00870C9E"/>
    <w:rsid w:val="00870DD2"/>
    <w:rsid w:val="0087125E"/>
    <w:rsid w:val="00871464"/>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6BB"/>
    <w:rsid w:val="0087393E"/>
    <w:rsid w:val="00873AF2"/>
    <w:rsid w:val="00873B8E"/>
    <w:rsid w:val="00873E87"/>
    <w:rsid w:val="00874044"/>
    <w:rsid w:val="0087444B"/>
    <w:rsid w:val="008745D8"/>
    <w:rsid w:val="00874CC2"/>
    <w:rsid w:val="00874E0E"/>
    <w:rsid w:val="00874F7B"/>
    <w:rsid w:val="00875025"/>
    <w:rsid w:val="008753BC"/>
    <w:rsid w:val="00875AA7"/>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27"/>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53B"/>
    <w:rsid w:val="00890728"/>
    <w:rsid w:val="00890780"/>
    <w:rsid w:val="00890812"/>
    <w:rsid w:val="00890A87"/>
    <w:rsid w:val="00890D99"/>
    <w:rsid w:val="00890FAB"/>
    <w:rsid w:val="0089125B"/>
    <w:rsid w:val="008912F8"/>
    <w:rsid w:val="0089130C"/>
    <w:rsid w:val="00891748"/>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2D"/>
    <w:rsid w:val="008A069D"/>
    <w:rsid w:val="008A0767"/>
    <w:rsid w:val="008A0B3C"/>
    <w:rsid w:val="008A0F40"/>
    <w:rsid w:val="008A1898"/>
    <w:rsid w:val="008A198E"/>
    <w:rsid w:val="008A1BAB"/>
    <w:rsid w:val="008A1E23"/>
    <w:rsid w:val="008A237E"/>
    <w:rsid w:val="008A2407"/>
    <w:rsid w:val="008A242B"/>
    <w:rsid w:val="008A25B5"/>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46"/>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8FF"/>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44B"/>
    <w:rsid w:val="008B350D"/>
    <w:rsid w:val="008B3586"/>
    <w:rsid w:val="008B37AC"/>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CE3"/>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DA"/>
    <w:rsid w:val="008C20AA"/>
    <w:rsid w:val="008C226E"/>
    <w:rsid w:val="008C228E"/>
    <w:rsid w:val="008C2431"/>
    <w:rsid w:val="008C245A"/>
    <w:rsid w:val="008C25BB"/>
    <w:rsid w:val="008C2847"/>
    <w:rsid w:val="008C29A0"/>
    <w:rsid w:val="008C2C38"/>
    <w:rsid w:val="008C2D87"/>
    <w:rsid w:val="008C2E0B"/>
    <w:rsid w:val="008C30E5"/>
    <w:rsid w:val="008C31C7"/>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5F"/>
    <w:rsid w:val="008D216F"/>
    <w:rsid w:val="008D242A"/>
    <w:rsid w:val="008D2845"/>
    <w:rsid w:val="008D2CC8"/>
    <w:rsid w:val="008D2E4C"/>
    <w:rsid w:val="008D2F10"/>
    <w:rsid w:val="008D33F2"/>
    <w:rsid w:val="008D3421"/>
    <w:rsid w:val="008D365B"/>
    <w:rsid w:val="008D373D"/>
    <w:rsid w:val="008D3761"/>
    <w:rsid w:val="008D37EB"/>
    <w:rsid w:val="008D3907"/>
    <w:rsid w:val="008D394D"/>
    <w:rsid w:val="008D3E2A"/>
    <w:rsid w:val="008D3F16"/>
    <w:rsid w:val="008D4060"/>
    <w:rsid w:val="008D41A9"/>
    <w:rsid w:val="008D41EF"/>
    <w:rsid w:val="008D431C"/>
    <w:rsid w:val="008D434C"/>
    <w:rsid w:val="008D45B9"/>
    <w:rsid w:val="008D4972"/>
    <w:rsid w:val="008D4C14"/>
    <w:rsid w:val="008D4C2C"/>
    <w:rsid w:val="008D4CE4"/>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C99"/>
    <w:rsid w:val="008D6D26"/>
    <w:rsid w:val="008D6F8B"/>
    <w:rsid w:val="008D6FAF"/>
    <w:rsid w:val="008D70BC"/>
    <w:rsid w:val="008D7301"/>
    <w:rsid w:val="008D74A9"/>
    <w:rsid w:val="008D7582"/>
    <w:rsid w:val="008D7609"/>
    <w:rsid w:val="008D7A32"/>
    <w:rsid w:val="008D7B06"/>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7C8"/>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2BF"/>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2F8"/>
    <w:rsid w:val="008F334F"/>
    <w:rsid w:val="008F3A24"/>
    <w:rsid w:val="008F3CB2"/>
    <w:rsid w:val="008F3DCB"/>
    <w:rsid w:val="008F40F9"/>
    <w:rsid w:val="008F41D4"/>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335"/>
    <w:rsid w:val="008F750F"/>
    <w:rsid w:val="008F7770"/>
    <w:rsid w:val="008F7837"/>
    <w:rsid w:val="008F7A2F"/>
    <w:rsid w:val="008F7DFD"/>
    <w:rsid w:val="008F7E2C"/>
    <w:rsid w:val="008F7E8E"/>
    <w:rsid w:val="008F7F10"/>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7D"/>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22E"/>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C4B"/>
    <w:rsid w:val="00906D3B"/>
    <w:rsid w:val="00906E61"/>
    <w:rsid w:val="00907066"/>
    <w:rsid w:val="0090717F"/>
    <w:rsid w:val="009075C0"/>
    <w:rsid w:val="00907B53"/>
    <w:rsid w:val="00907D56"/>
    <w:rsid w:val="00907DC8"/>
    <w:rsid w:val="00910070"/>
    <w:rsid w:val="00910091"/>
    <w:rsid w:val="0091013C"/>
    <w:rsid w:val="00910647"/>
    <w:rsid w:val="00910723"/>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51F"/>
    <w:rsid w:val="00915A8D"/>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2AC"/>
    <w:rsid w:val="00921443"/>
    <w:rsid w:val="0092145D"/>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E6"/>
    <w:rsid w:val="009228FA"/>
    <w:rsid w:val="00922A06"/>
    <w:rsid w:val="00922AA6"/>
    <w:rsid w:val="00922BE5"/>
    <w:rsid w:val="00922C9F"/>
    <w:rsid w:val="00923034"/>
    <w:rsid w:val="009231DA"/>
    <w:rsid w:val="00923234"/>
    <w:rsid w:val="009234BF"/>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2B9"/>
    <w:rsid w:val="00925307"/>
    <w:rsid w:val="0092536F"/>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E16"/>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70"/>
    <w:rsid w:val="00942A0D"/>
    <w:rsid w:val="00942BC9"/>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5B9"/>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42"/>
    <w:rsid w:val="009533F0"/>
    <w:rsid w:val="0095370F"/>
    <w:rsid w:val="00953740"/>
    <w:rsid w:val="009538E8"/>
    <w:rsid w:val="00953904"/>
    <w:rsid w:val="00953A28"/>
    <w:rsid w:val="00953C20"/>
    <w:rsid w:val="00953EB0"/>
    <w:rsid w:val="00954128"/>
    <w:rsid w:val="00954189"/>
    <w:rsid w:val="009547A7"/>
    <w:rsid w:val="00954DB9"/>
    <w:rsid w:val="00954F12"/>
    <w:rsid w:val="0095502C"/>
    <w:rsid w:val="00955C13"/>
    <w:rsid w:val="00955DA2"/>
    <w:rsid w:val="00956060"/>
    <w:rsid w:val="009561D9"/>
    <w:rsid w:val="0095632F"/>
    <w:rsid w:val="0095634D"/>
    <w:rsid w:val="00956636"/>
    <w:rsid w:val="00956DAB"/>
    <w:rsid w:val="00957141"/>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26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CD8"/>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23"/>
    <w:rsid w:val="00970C01"/>
    <w:rsid w:val="00970E59"/>
    <w:rsid w:val="009710CD"/>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5EE"/>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691"/>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C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121"/>
    <w:rsid w:val="0098229E"/>
    <w:rsid w:val="00982649"/>
    <w:rsid w:val="00982748"/>
    <w:rsid w:val="009828C1"/>
    <w:rsid w:val="00982AB7"/>
    <w:rsid w:val="00982C2F"/>
    <w:rsid w:val="00982E88"/>
    <w:rsid w:val="009832EA"/>
    <w:rsid w:val="009836AB"/>
    <w:rsid w:val="009836F3"/>
    <w:rsid w:val="009839ED"/>
    <w:rsid w:val="00983DF4"/>
    <w:rsid w:val="009840B2"/>
    <w:rsid w:val="009841EB"/>
    <w:rsid w:val="0098446D"/>
    <w:rsid w:val="00984B72"/>
    <w:rsid w:val="00984D78"/>
    <w:rsid w:val="00984DB4"/>
    <w:rsid w:val="0098565A"/>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43"/>
    <w:rsid w:val="00990E71"/>
    <w:rsid w:val="00990E8F"/>
    <w:rsid w:val="00990F4F"/>
    <w:rsid w:val="00990F66"/>
    <w:rsid w:val="00990FCD"/>
    <w:rsid w:val="0099113C"/>
    <w:rsid w:val="009912FE"/>
    <w:rsid w:val="00991658"/>
    <w:rsid w:val="00991789"/>
    <w:rsid w:val="009917E4"/>
    <w:rsid w:val="00991E1D"/>
    <w:rsid w:val="00991FB8"/>
    <w:rsid w:val="009920BF"/>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86"/>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446"/>
    <w:rsid w:val="009A0512"/>
    <w:rsid w:val="009A0D3B"/>
    <w:rsid w:val="009A0F97"/>
    <w:rsid w:val="009A133D"/>
    <w:rsid w:val="009A139E"/>
    <w:rsid w:val="009A151C"/>
    <w:rsid w:val="009A1919"/>
    <w:rsid w:val="009A1ADC"/>
    <w:rsid w:val="009A1BF5"/>
    <w:rsid w:val="009A1E5C"/>
    <w:rsid w:val="009A1F26"/>
    <w:rsid w:val="009A2147"/>
    <w:rsid w:val="009A23A3"/>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014"/>
    <w:rsid w:val="009A510D"/>
    <w:rsid w:val="009A5244"/>
    <w:rsid w:val="009A534F"/>
    <w:rsid w:val="009A5429"/>
    <w:rsid w:val="009A5677"/>
    <w:rsid w:val="009A585D"/>
    <w:rsid w:val="009A59E9"/>
    <w:rsid w:val="009A5D2A"/>
    <w:rsid w:val="009A5E2B"/>
    <w:rsid w:val="009A62D2"/>
    <w:rsid w:val="009A64C7"/>
    <w:rsid w:val="009A6737"/>
    <w:rsid w:val="009A6B12"/>
    <w:rsid w:val="009A6E3E"/>
    <w:rsid w:val="009A715B"/>
    <w:rsid w:val="009A720E"/>
    <w:rsid w:val="009A72D1"/>
    <w:rsid w:val="009A73D5"/>
    <w:rsid w:val="009A76CA"/>
    <w:rsid w:val="009A7727"/>
    <w:rsid w:val="009A778D"/>
    <w:rsid w:val="009A78B4"/>
    <w:rsid w:val="009A7D7B"/>
    <w:rsid w:val="009A7E5E"/>
    <w:rsid w:val="009B0014"/>
    <w:rsid w:val="009B0059"/>
    <w:rsid w:val="009B017F"/>
    <w:rsid w:val="009B03C2"/>
    <w:rsid w:val="009B0A64"/>
    <w:rsid w:val="009B0AD7"/>
    <w:rsid w:val="009B0BC3"/>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AD"/>
    <w:rsid w:val="009C004B"/>
    <w:rsid w:val="009C02F4"/>
    <w:rsid w:val="009C0529"/>
    <w:rsid w:val="009C08FE"/>
    <w:rsid w:val="009C0B37"/>
    <w:rsid w:val="009C0E08"/>
    <w:rsid w:val="009C113D"/>
    <w:rsid w:val="009C11C0"/>
    <w:rsid w:val="009C15F0"/>
    <w:rsid w:val="009C16A5"/>
    <w:rsid w:val="009C1993"/>
    <w:rsid w:val="009C199B"/>
    <w:rsid w:val="009C1D73"/>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92B"/>
    <w:rsid w:val="009C6BAC"/>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7EA"/>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2EA7"/>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4BD0"/>
    <w:rsid w:val="009E505E"/>
    <w:rsid w:val="009E51F0"/>
    <w:rsid w:val="009E53B0"/>
    <w:rsid w:val="009E5427"/>
    <w:rsid w:val="009E54C2"/>
    <w:rsid w:val="009E55B5"/>
    <w:rsid w:val="009E55C6"/>
    <w:rsid w:val="009E5615"/>
    <w:rsid w:val="009E568E"/>
    <w:rsid w:val="009E56FE"/>
    <w:rsid w:val="009E5C9C"/>
    <w:rsid w:val="009E5E80"/>
    <w:rsid w:val="009E5E96"/>
    <w:rsid w:val="009E5EDD"/>
    <w:rsid w:val="009E6204"/>
    <w:rsid w:val="009E634C"/>
    <w:rsid w:val="009E63CD"/>
    <w:rsid w:val="009E6783"/>
    <w:rsid w:val="009E688E"/>
    <w:rsid w:val="009E6983"/>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2BC"/>
    <w:rsid w:val="009F33DC"/>
    <w:rsid w:val="009F3920"/>
    <w:rsid w:val="009F3948"/>
    <w:rsid w:val="009F3A1F"/>
    <w:rsid w:val="009F3B15"/>
    <w:rsid w:val="009F3F7A"/>
    <w:rsid w:val="009F3FE7"/>
    <w:rsid w:val="009F4049"/>
    <w:rsid w:val="009F423F"/>
    <w:rsid w:val="009F4244"/>
    <w:rsid w:val="009F4260"/>
    <w:rsid w:val="009F4304"/>
    <w:rsid w:val="009F44B2"/>
    <w:rsid w:val="009F494F"/>
    <w:rsid w:val="009F4A1C"/>
    <w:rsid w:val="009F4A52"/>
    <w:rsid w:val="009F4ED4"/>
    <w:rsid w:val="009F4F96"/>
    <w:rsid w:val="009F503C"/>
    <w:rsid w:val="009F50B1"/>
    <w:rsid w:val="009F5151"/>
    <w:rsid w:val="009F515D"/>
    <w:rsid w:val="009F51C0"/>
    <w:rsid w:val="009F5335"/>
    <w:rsid w:val="009F5469"/>
    <w:rsid w:val="009F587E"/>
    <w:rsid w:val="009F58AE"/>
    <w:rsid w:val="009F60B3"/>
    <w:rsid w:val="009F6157"/>
    <w:rsid w:val="009F619E"/>
    <w:rsid w:val="009F62E7"/>
    <w:rsid w:val="009F6825"/>
    <w:rsid w:val="009F6847"/>
    <w:rsid w:val="009F6B7C"/>
    <w:rsid w:val="009F6DF8"/>
    <w:rsid w:val="009F6E76"/>
    <w:rsid w:val="009F7088"/>
    <w:rsid w:val="009F727D"/>
    <w:rsid w:val="009F736A"/>
    <w:rsid w:val="009F7866"/>
    <w:rsid w:val="009F7902"/>
    <w:rsid w:val="00A00029"/>
    <w:rsid w:val="00A000E8"/>
    <w:rsid w:val="00A003AB"/>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4E4"/>
    <w:rsid w:val="00A035AA"/>
    <w:rsid w:val="00A03C77"/>
    <w:rsid w:val="00A03D06"/>
    <w:rsid w:val="00A042A2"/>
    <w:rsid w:val="00A0438C"/>
    <w:rsid w:val="00A04A3E"/>
    <w:rsid w:val="00A04C50"/>
    <w:rsid w:val="00A0511E"/>
    <w:rsid w:val="00A052ED"/>
    <w:rsid w:val="00A05371"/>
    <w:rsid w:val="00A054C9"/>
    <w:rsid w:val="00A05AC6"/>
    <w:rsid w:val="00A05B04"/>
    <w:rsid w:val="00A060B4"/>
    <w:rsid w:val="00A060EB"/>
    <w:rsid w:val="00A0636B"/>
    <w:rsid w:val="00A06CF7"/>
    <w:rsid w:val="00A06D47"/>
    <w:rsid w:val="00A06E6F"/>
    <w:rsid w:val="00A070DD"/>
    <w:rsid w:val="00A07365"/>
    <w:rsid w:val="00A07514"/>
    <w:rsid w:val="00A07558"/>
    <w:rsid w:val="00A078AB"/>
    <w:rsid w:val="00A1005C"/>
    <w:rsid w:val="00A102D1"/>
    <w:rsid w:val="00A1031F"/>
    <w:rsid w:val="00A1037F"/>
    <w:rsid w:val="00A108F7"/>
    <w:rsid w:val="00A10914"/>
    <w:rsid w:val="00A10A9E"/>
    <w:rsid w:val="00A10CD3"/>
    <w:rsid w:val="00A10D24"/>
    <w:rsid w:val="00A10DA0"/>
    <w:rsid w:val="00A10F73"/>
    <w:rsid w:val="00A113F3"/>
    <w:rsid w:val="00A115BF"/>
    <w:rsid w:val="00A11863"/>
    <w:rsid w:val="00A118FA"/>
    <w:rsid w:val="00A11A14"/>
    <w:rsid w:val="00A11A26"/>
    <w:rsid w:val="00A11A61"/>
    <w:rsid w:val="00A11AD2"/>
    <w:rsid w:val="00A11B95"/>
    <w:rsid w:val="00A11C1E"/>
    <w:rsid w:val="00A11F12"/>
    <w:rsid w:val="00A11FD6"/>
    <w:rsid w:val="00A123DD"/>
    <w:rsid w:val="00A12425"/>
    <w:rsid w:val="00A12641"/>
    <w:rsid w:val="00A126A9"/>
    <w:rsid w:val="00A1279B"/>
    <w:rsid w:val="00A12815"/>
    <w:rsid w:val="00A128F8"/>
    <w:rsid w:val="00A12AB9"/>
    <w:rsid w:val="00A12C35"/>
    <w:rsid w:val="00A12F49"/>
    <w:rsid w:val="00A12FA4"/>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1"/>
    <w:rsid w:val="00A15F56"/>
    <w:rsid w:val="00A15FD3"/>
    <w:rsid w:val="00A16AFB"/>
    <w:rsid w:val="00A16B6B"/>
    <w:rsid w:val="00A16BD2"/>
    <w:rsid w:val="00A170A8"/>
    <w:rsid w:val="00A17926"/>
    <w:rsid w:val="00A17D36"/>
    <w:rsid w:val="00A17D8D"/>
    <w:rsid w:val="00A17D96"/>
    <w:rsid w:val="00A17EB7"/>
    <w:rsid w:val="00A17FEF"/>
    <w:rsid w:val="00A2035D"/>
    <w:rsid w:val="00A20457"/>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0E0"/>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D05"/>
    <w:rsid w:val="00A26EDD"/>
    <w:rsid w:val="00A270AB"/>
    <w:rsid w:val="00A2723B"/>
    <w:rsid w:val="00A273B8"/>
    <w:rsid w:val="00A276F1"/>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13F"/>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0E4"/>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176"/>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37F9F"/>
    <w:rsid w:val="00A40110"/>
    <w:rsid w:val="00A40405"/>
    <w:rsid w:val="00A40430"/>
    <w:rsid w:val="00A404D5"/>
    <w:rsid w:val="00A40558"/>
    <w:rsid w:val="00A407F9"/>
    <w:rsid w:val="00A409B7"/>
    <w:rsid w:val="00A40AED"/>
    <w:rsid w:val="00A40B5C"/>
    <w:rsid w:val="00A40BE8"/>
    <w:rsid w:val="00A40C65"/>
    <w:rsid w:val="00A40DFC"/>
    <w:rsid w:val="00A41273"/>
    <w:rsid w:val="00A415E6"/>
    <w:rsid w:val="00A41676"/>
    <w:rsid w:val="00A41AB4"/>
    <w:rsid w:val="00A41D6D"/>
    <w:rsid w:val="00A41EFA"/>
    <w:rsid w:val="00A4237E"/>
    <w:rsid w:val="00A4243C"/>
    <w:rsid w:val="00A42485"/>
    <w:rsid w:val="00A42623"/>
    <w:rsid w:val="00A429E7"/>
    <w:rsid w:val="00A42A55"/>
    <w:rsid w:val="00A42D4C"/>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575"/>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D41"/>
    <w:rsid w:val="00A52EEF"/>
    <w:rsid w:val="00A52F72"/>
    <w:rsid w:val="00A53061"/>
    <w:rsid w:val="00A530F1"/>
    <w:rsid w:val="00A530FD"/>
    <w:rsid w:val="00A53276"/>
    <w:rsid w:val="00A5356F"/>
    <w:rsid w:val="00A53B53"/>
    <w:rsid w:val="00A53D3C"/>
    <w:rsid w:val="00A53EC6"/>
    <w:rsid w:val="00A54038"/>
    <w:rsid w:val="00A54414"/>
    <w:rsid w:val="00A545D5"/>
    <w:rsid w:val="00A546C5"/>
    <w:rsid w:val="00A54B2F"/>
    <w:rsid w:val="00A54C74"/>
    <w:rsid w:val="00A54D26"/>
    <w:rsid w:val="00A54D4F"/>
    <w:rsid w:val="00A54E86"/>
    <w:rsid w:val="00A54EE1"/>
    <w:rsid w:val="00A54F48"/>
    <w:rsid w:val="00A551E5"/>
    <w:rsid w:val="00A555C5"/>
    <w:rsid w:val="00A55B14"/>
    <w:rsid w:val="00A55DD1"/>
    <w:rsid w:val="00A55F56"/>
    <w:rsid w:val="00A55FEF"/>
    <w:rsid w:val="00A56309"/>
    <w:rsid w:val="00A5662D"/>
    <w:rsid w:val="00A566A4"/>
    <w:rsid w:val="00A56A6B"/>
    <w:rsid w:val="00A56CDE"/>
    <w:rsid w:val="00A56DA5"/>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94E"/>
    <w:rsid w:val="00A62ACB"/>
    <w:rsid w:val="00A633A4"/>
    <w:rsid w:val="00A6374D"/>
    <w:rsid w:val="00A637DE"/>
    <w:rsid w:val="00A638C5"/>
    <w:rsid w:val="00A638FA"/>
    <w:rsid w:val="00A63900"/>
    <w:rsid w:val="00A63A44"/>
    <w:rsid w:val="00A63B68"/>
    <w:rsid w:val="00A63CEF"/>
    <w:rsid w:val="00A64055"/>
    <w:rsid w:val="00A640A0"/>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07"/>
    <w:rsid w:val="00A67120"/>
    <w:rsid w:val="00A6739E"/>
    <w:rsid w:val="00A676A8"/>
    <w:rsid w:val="00A67883"/>
    <w:rsid w:val="00A67886"/>
    <w:rsid w:val="00A678A4"/>
    <w:rsid w:val="00A67C35"/>
    <w:rsid w:val="00A70290"/>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9D0"/>
    <w:rsid w:val="00A72B08"/>
    <w:rsid w:val="00A72CAD"/>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389"/>
    <w:rsid w:val="00A76464"/>
    <w:rsid w:val="00A76517"/>
    <w:rsid w:val="00A7660C"/>
    <w:rsid w:val="00A7663F"/>
    <w:rsid w:val="00A7683C"/>
    <w:rsid w:val="00A76A95"/>
    <w:rsid w:val="00A76C12"/>
    <w:rsid w:val="00A76C51"/>
    <w:rsid w:val="00A76EF3"/>
    <w:rsid w:val="00A77035"/>
    <w:rsid w:val="00A77136"/>
    <w:rsid w:val="00A77267"/>
    <w:rsid w:val="00A773C6"/>
    <w:rsid w:val="00A775FD"/>
    <w:rsid w:val="00A77784"/>
    <w:rsid w:val="00A77807"/>
    <w:rsid w:val="00A77993"/>
    <w:rsid w:val="00A77A4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6D"/>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21A"/>
    <w:rsid w:val="00A8434F"/>
    <w:rsid w:val="00A844EF"/>
    <w:rsid w:val="00A84596"/>
    <w:rsid w:val="00A847B7"/>
    <w:rsid w:val="00A84BC7"/>
    <w:rsid w:val="00A84E95"/>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2E0"/>
    <w:rsid w:val="00A8630B"/>
    <w:rsid w:val="00A866B8"/>
    <w:rsid w:val="00A8680E"/>
    <w:rsid w:val="00A8689B"/>
    <w:rsid w:val="00A86D27"/>
    <w:rsid w:val="00A86E37"/>
    <w:rsid w:val="00A86E9D"/>
    <w:rsid w:val="00A87072"/>
    <w:rsid w:val="00A87211"/>
    <w:rsid w:val="00A873B0"/>
    <w:rsid w:val="00A87469"/>
    <w:rsid w:val="00A874FE"/>
    <w:rsid w:val="00A87533"/>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806"/>
    <w:rsid w:val="00A92DAC"/>
    <w:rsid w:val="00A92DF9"/>
    <w:rsid w:val="00A92EF0"/>
    <w:rsid w:val="00A93101"/>
    <w:rsid w:val="00A9338F"/>
    <w:rsid w:val="00A935BD"/>
    <w:rsid w:val="00A93D0E"/>
    <w:rsid w:val="00A93F0B"/>
    <w:rsid w:val="00A93F4F"/>
    <w:rsid w:val="00A940DF"/>
    <w:rsid w:val="00A9421F"/>
    <w:rsid w:val="00A94354"/>
    <w:rsid w:val="00A946D6"/>
    <w:rsid w:val="00A94843"/>
    <w:rsid w:val="00A94BD7"/>
    <w:rsid w:val="00A94DED"/>
    <w:rsid w:val="00A94EA5"/>
    <w:rsid w:val="00A94F39"/>
    <w:rsid w:val="00A950FC"/>
    <w:rsid w:val="00A95198"/>
    <w:rsid w:val="00A95962"/>
    <w:rsid w:val="00A95C7A"/>
    <w:rsid w:val="00A95CA5"/>
    <w:rsid w:val="00A95E7D"/>
    <w:rsid w:val="00A961B5"/>
    <w:rsid w:val="00A96464"/>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D3D"/>
    <w:rsid w:val="00A97E78"/>
    <w:rsid w:val="00A97FF2"/>
    <w:rsid w:val="00AA003E"/>
    <w:rsid w:val="00AA007C"/>
    <w:rsid w:val="00AA00EC"/>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45"/>
    <w:rsid w:val="00AA3263"/>
    <w:rsid w:val="00AA3367"/>
    <w:rsid w:val="00AA36C0"/>
    <w:rsid w:val="00AA3863"/>
    <w:rsid w:val="00AA3896"/>
    <w:rsid w:val="00AA3909"/>
    <w:rsid w:val="00AA3C09"/>
    <w:rsid w:val="00AA3C9A"/>
    <w:rsid w:val="00AA3F07"/>
    <w:rsid w:val="00AA4003"/>
    <w:rsid w:val="00AA41EA"/>
    <w:rsid w:val="00AA44AC"/>
    <w:rsid w:val="00AA44DF"/>
    <w:rsid w:val="00AA47D6"/>
    <w:rsid w:val="00AA480C"/>
    <w:rsid w:val="00AA4D54"/>
    <w:rsid w:val="00AA4E39"/>
    <w:rsid w:val="00AA54CD"/>
    <w:rsid w:val="00AA5555"/>
    <w:rsid w:val="00AA5760"/>
    <w:rsid w:val="00AA5B08"/>
    <w:rsid w:val="00AA5C8A"/>
    <w:rsid w:val="00AA5CD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AA3"/>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96"/>
    <w:rsid w:val="00AB595D"/>
    <w:rsid w:val="00AB5A1A"/>
    <w:rsid w:val="00AB5ADA"/>
    <w:rsid w:val="00AB5B29"/>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DC"/>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1E"/>
    <w:rsid w:val="00AC182D"/>
    <w:rsid w:val="00AC1871"/>
    <w:rsid w:val="00AC18CE"/>
    <w:rsid w:val="00AC1B00"/>
    <w:rsid w:val="00AC1B93"/>
    <w:rsid w:val="00AC20E6"/>
    <w:rsid w:val="00AC210F"/>
    <w:rsid w:val="00AC23F5"/>
    <w:rsid w:val="00AC2CC1"/>
    <w:rsid w:val="00AC2D3F"/>
    <w:rsid w:val="00AC2DD6"/>
    <w:rsid w:val="00AC2E89"/>
    <w:rsid w:val="00AC2F2D"/>
    <w:rsid w:val="00AC31D1"/>
    <w:rsid w:val="00AC335A"/>
    <w:rsid w:val="00AC33F1"/>
    <w:rsid w:val="00AC35B1"/>
    <w:rsid w:val="00AC3717"/>
    <w:rsid w:val="00AC39D0"/>
    <w:rsid w:val="00AC3A68"/>
    <w:rsid w:val="00AC3C6E"/>
    <w:rsid w:val="00AC3FBF"/>
    <w:rsid w:val="00AC4C08"/>
    <w:rsid w:val="00AC511C"/>
    <w:rsid w:val="00AC5357"/>
    <w:rsid w:val="00AC566A"/>
    <w:rsid w:val="00AC5DDE"/>
    <w:rsid w:val="00AC5F08"/>
    <w:rsid w:val="00AC614A"/>
    <w:rsid w:val="00AC625F"/>
    <w:rsid w:val="00AC62F8"/>
    <w:rsid w:val="00AC64A3"/>
    <w:rsid w:val="00AC6668"/>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2E2"/>
    <w:rsid w:val="00AD235D"/>
    <w:rsid w:val="00AD24BC"/>
    <w:rsid w:val="00AD2668"/>
    <w:rsid w:val="00AD293E"/>
    <w:rsid w:val="00AD29ED"/>
    <w:rsid w:val="00AD2D4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5A4"/>
    <w:rsid w:val="00AD678D"/>
    <w:rsid w:val="00AD67CF"/>
    <w:rsid w:val="00AD6970"/>
    <w:rsid w:val="00AD6BDF"/>
    <w:rsid w:val="00AD70DA"/>
    <w:rsid w:val="00AD73C9"/>
    <w:rsid w:val="00AD75BF"/>
    <w:rsid w:val="00AD764F"/>
    <w:rsid w:val="00AD76E3"/>
    <w:rsid w:val="00AD77CA"/>
    <w:rsid w:val="00AD78E8"/>
    <w:rsid w:val="00AD79A7"/>
    <w:rsid w:val="00AD7A28"/>
    <w:rsid w:val="00AD7CE7"/>
    <w:rsid w:val="00AD7F1E"/>
    <w:rsid w:val="00AD7F21"/>
    <w:rsid w:val="00AD7F73"/>
    <w:rsid w:val="00AE0298"/>
    <w:rsid w:val="00AE038C"/>
    <w:rsid w:val="00AE047F"/>
    <w:rsid w:val="00AE075D"/>
    <w:rsid w:val="00AE08B3"/>
    <w:rsid w:val="00AE0A6D"/>
    <w:rsid w:val="00AE0B6E"/>
    <w:rsid w:val="00AE0C70"/>
    <w:rsid w:val="00AE0D0A"/>
    <w:rsid w:val="00AE0F81"/>
    <w:rsid w:val="00AE1330"/>
    <w:rsid w:val="00AE15DB"/>
    <w:rsid w:val="00AE1634"/>
    <w:rsid w:val="00AE16FE"/>
    <w:rsid w:val="00AE1733"/>
    <w:rsid w:val="00AE17FC"/>
    <w:rsid w:val="00AE1A0B"/>
    <w:rsid w:val="00AE1AFB"/>
    <w:rsid w:val="00AE1FE4"/>
    <w:rsid w:val="00AE235F"/>
    <w:rsid w:val="00AE262B"/>
    <w:rsid w:val="00AE27F4"/>
    <w:rsid w:val="00AE27F9"/>
    <w:rsid w:val="00AE2C2B"/>
    <w:rsid w:val="00AE2DD3"/>
    <w:rsid w:val="00AE3058"/>
    <w:rsid w:val="00AE3310"/>
    <w:rsid w:val="00AE354F"/>
    <w:rsid w:val="00AE37A1"/>
    <w:rsid w:val="00AE3956"/>
    <w:rsid w:val="00AE3A4F"/>
    <w:rsid w:val="00AE3D5E"/>
    <w:rsid w:val="00AE3D85"/>
    <w:rsid w:val="00AE41EF"/>
    <w:rsid w:val="00AE4703"/>
    <w:rsid w:val="00AE4BF3"/>
    <w:rsid w:val="00AE4F79"/>
    <w:rsid w:val="00AE516D"/>
    <w:rsid w:val="00AE517E"/>
    <w:rsid w:val="00AE5246"/>
    <w:rsid w:val="00AE5292"/>
    <w:rsid w:val="00AE52B4"/>
    <w:rsid w:val="00AE56A2"/>
    <w:rsid w:val="00AE56C7"/>
    <w:rsid w:val="00AE58C5"/>
    <w:rsid w:val="00AE5993"/>
    <w:rsid w:val="00AE5B55"/>
    <w:rsid w:val="00AE5BF8"/>
    <w:rsid w:val="00AE5F51"/>
    <w:rsid w:val="00AE5F73"/>
    <w:rsid w:val="00AE600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5B"/>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B8"/>
    <w:rsid w:val="00AF37FA"/>
    <w:rsid w:val="00AF38BE"/>
    <w:rsid w:val="00AF3928"/>
    <w:rsid w:val="00AF3B06"/>
    <w:rsid w:val="00AF3D18"/>
    <w:rsid w:val="00AF40A0"/>
    <w:rsid w:val="00AF44F8"/>
    <w:rsid w:val="00AF4514"/>
    <w:rsid w:val="00AF46C4"/>
    <w:rsid w:val="00AF46C7"/>
    <w:rsid w:val="00AF4717"/>
    <w:rsid w:val="00AF4956"/>
    <w:rsid w:val="00AF53A4"/>
    <w:rsid w:val="00AF578C"/>
    <w:rsid w:val="00AF5798"/>
    <w:rsid w:val="00AF5959"/>
    <w:rsid w:val="00AF5C7C"/>
    <w:rsid w:val="00AF5CC9"/>
    <w:rsid w:val="00AF5EC5"/>
    <w:rsid w:val="00AF66DE"/>
    <w:rsid w:val="00AF6A8A"/>
    <w:rsid w:val="00AF6B26"/>
    <w:rsid w:val="00AF6BDB"/>
    <w:rsid w:val="00AF6CD4"/>
    <w:rsid w:val="00AF6DB3"/>
    <w:rsid w:val="00AF6DD6"/>
    <w:rsid w:val="00AF6F80"/>
    <w:rsid w:val="00AF70CB"/>
    <w:rsid w:val="00AF7535"/>
    <w:rsid w:val="00AF799C"/>
    <w:rsid w:val="00AF7E45"/>
    <w:rsid w:val="00B00000"/>
    <w:rsid w:val="00B00B19"/>
    <w:rsid w:val="00B00D80"/>
    <w:rsid w:val="00B00F03"/>
    <w:rsid w:val="00B012CC"/>
    <w:rsid w:val="00B0177D"/>
    <w:rsid w:val="00B01887"/>
    <w:rsid w:val="00B01E07"/>
    <w:rsid w:val="00B0237B"/>
    <w:rsid w:val="00B02777"/>
    <w:rsid w:val="00B02BFB"/>
    <w:rsid w:val="00B02D6F"/>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CEB"/>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756"/>
    <w:rsid w:val="00B07799"/>
    <w:rsid w:val="00B07D77"/>
    <w:rsid w:val="00B1041B"/>
    <w:rsid w:val="00B10616"/>
    <w:rsid w:val="00B10A61"/>
    <w:rsid w:val="00B10D15"/>
    <w:rsid w:val="00B110A1"/>
    <w:rsid w:val="00B111CE"/>
    <w:rsid w:val="00B11204"/>
    <w:rsid w:val="00B112A0"/>
    <w:rsid w:val="00B11476"/>
    <w:rsid w:val="00B114BC"/>
    <w:rsid w:val="00B1153A"/>
    <w:rsid w:val="00B1169E"/>
    <w:rsid w:val="00B119E6"/>
    <w:rsid w:val="00B11A60"/>
    <w:rsid w:val="00B11A88"/>
    <w:rsid w:val="00B11CB2"/>
    <w:rsid w:val="00B11DB8"/>
    <w:rsid w:val="00B11EB7"/>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829"/>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81"/>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78C"/>
    <w:rsid w:val="00B2087F"/>
    <w:rsid w:val="00B20B60"/>
    <w:rsid w:val="00B20D55"/>
    <w:rsid w:val="00B21494"/>
    <w:rsid w:val="00B21D08"/>
    <w:rsid w:val="00B21D2C"/>
    <w:rsid w:val="00B22005"/>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A91"/>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4DD"/>
    <w:rsid w:val="00B27586"/>
    <w:rsid w:val="00B279A8"/>
    <w:rsid w:val="00B27C91"/>
    <w:rsid w:val="00B27E12"/>
    <w:rsid w:val="00B30180"/>
    <w:rsid w:val="00B30383"/>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CF7"/>
    <w:rsid w:val="00B35FBF"/>
    <w:rsid w:val="00B36604"/>
    <w:rsid w:val="00B36817"/>
    <w:rsid w:val="00B36A04"/>
    <w:rsid w:val="00B36D32"/>
    <w:rsid w:val="00B37270"/>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0FD4"/>
    <w:rsid w:val="00B412AB"/>
    <w:rsid w:val="00B413F0"/>
    <w:rsid w:val="00B416B0"/>
    <w:rsid w:val="00B41960"/>
    <w:rsid w:val="00B4198D"/>
    <w:rsid w:val="00B41992"/>
    <w:rsid w:val="00B41A10"/>
    <w:rsid w:val="00B41B42"/>
    <w:rsid w:val="00B41B4D"/>
    <w:rsid w:val="00B41B56"/>
    <w:rsid w:val="00B41D4E"/>
    <w:rsid w:val="00B420CA"/>
    <w:rsid w:val="00B42163"/>
    <w:rsid w:val="00B42231"/>
    <w:rsid w:val="00B42562"/>
    <w:rsid w:val="00B4264F"/>
    <w:rsid w:val="00B42975"/>
    <w:rsid w:val="00B42ADD"/>
    <w:rsid w:val="00B4319D"/>
    <w:rsid w:val="00B43E75"/>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CBD"/>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1C7"/>
    <w:rsid w:val="00B55433"/>
    <w:rsid w:val="00B55551"/>
    <w:rsid w:val="00B55894"/>
    <w:rsid w:val="00B558F6"/>
    <w:rsid w:val="00B55B8F"/>
    <w:rsid w:val="00B55D61"/>
    <w:rsid w:val="00B55F8D"/>
    <w:rsid w:val="00B56297"/>
    <w:rsid w:val="00B5651D"/>
    <w:rsid w:val="00B56796"/>
    <w:rsid w:val="00B5681C"/>
    <w:rsid w:val="00B56A4A"/>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8B"/>
    <w:rsid w:val="00B61EEC"/>
    <w:rsid w:val="00B62057"/>
    <w:rsid w:val="00B620EB"/>
    <w:rsid w:val="00B62742"/>
    <w:rsid w:val="00B6277A"/>
    <w:rsid w:val="00B62A1E"/>
    <w:rsid w:val="00B62A55"/>
    <w:rsid w:val="00B62B23"/>
    <w:rsid w:val="00B62C60"/>
    <w:rsid w:val="00B62DF4"/>
    <w:rsid w:val="00B62DFA"/>
    <w:rsid w:val="00B632AA"/>
    <w:rsid w:val="00B6337B"/>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36"/>
    <w:rsid w:val="00B6687A"/>
    <w:rsid w:val="00B66C15"/>
    <w:rsid w:val="00B66F68"/>
    <w:rsid w:val="00B67187"/>
    <w:rsid w:val="00B6733A"/>
    <w:rsid w:val="00B6766B"/>
    <w:rsid w:val="00B67681"/>
    <w:rsid w:val="00B67741"/>
    <w:rsid w:val="00B6789A"/>
    <w:rsid w:val="00B67D3D"/>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3AC"/>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A7A"/>
    <w:rsid w:val="00B74F28"/>
    <w:rsid w:val="00B751F2"/>
    <w:rsid w:val="00B75329"/>
    <w:rsid w:val="00B7537D"/>
    <w:rsid w:val="00B75580"/>
    <w:rsid w:val="00B759FC"/>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9E2"/>
    <w:rsid w:val="00B77ABE"/>
    <w:rsid w:val="00B77B91"/>
    <w:rsid w:val="00B77F3D"/>
    <w:rsid w:val="00B8005D"/>
    <w:rsid w:val="00B80091"/>
    <w:rsid w:val="00B800B1"/>
    <w:rsid w:val="00B805D2"/>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13F"/>
    <w:rsid w:val="00B8224B"/>
    <w:rsid w:val="00B8252D"/>
    <w:rsid w:val="00B8275D"/>
    <w:rsid w:val="00B82765"/>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3AF"/>
    <w:rsid w:val="00B844A4"/>
    <w:rsid w:val="00B844AA"/>
    <w:rsid w:val="00B8453F"/>
    <w:rsid w:val="00B845D5"/>
    <w:rsid w:val="00B845F9"/>
    <w:rsid w:val="00B84609"/>
    <w:rsid w:val="00B84936"/>
    <w:rsid w:val="00B84CBA"/>
    <w:rsid w:val="00B85140"/>
    <w:rsid w:val="00B851AC"/>
    <w:rsid w:val="00B851D1"/>
    <w:rsid w:val="00B85228"/>
    <w:rsid w:val="00B85ABC"/>
    <w:rsid w:val="00B85E49"/>
    <w:rsid w:val="00B8616B"/>
    <w:rsid w:val="00B863F0"/>
    <w:rsid w:val="00B864C4"/>
    <w:rsid w:val="00B8659E"/>
    <w:rsid w:val="00B865D1"/>
    <w:rsid w:val="00B866B2"/>
    <w:rsid w:val="00B866CA"/>
    <w:rsid w:val="00B8670B"/>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6BD"/>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04B"/>
    <w:rsid w:val="00B920B1"/>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A63"/>
    <w:rsid w:val="00B93B72"/>
    <w:rsid w:val="00B93F6C"/>
    <w:rsid w:val="00B94007"/>
    <w:rsid w:val="00B944E2"/>
    <w:rsid w:val="00B945FA"/>
    <w:rsid w:val="00B948DA"/>
    <w:rsid w:val="00B94CD2"/>
    <w:rsid w:val="00B95249"/>
    <w:rsid w:val="00B95341"/>
    <w:rsid w:val="00B9536A"/>
    <w:rsid w:val="00B953FA"/>
    <w:rsid w:val="00B95AB0"/>
    <w:rsid w:val="00B95C70"/>
    <w:rsid w:val="00B95DBF"/>
    <w:rsid w:val="00B95E24"/>
    <w:rsid w:val="00B96224"/>
    <w:rsid w:val="00B9626C"/>
    <w:rsid w:val="00B962F3"/>
    <w:rsid w:val="00B96355"/>
    <w:rsid w:val="00B96418"/>
    <w:rsid w:val="00B9649D"/>
    <w:rsid w:val="00B96C70"/>
    <w:rsid w:val="00B96D4F"/>
    <w:rsid w:val="00B96D54"/>
    <w:rsid w:val="00B96ED9"/>
    <w:rsid w:val="00B97104"/>
    <w:rsid w:val="00B97153"/>
    <w:rsid w:val="00B977B6"/>
    <w:rsid w:val="00B97934"/>
    <w:rsid w:val="00B97A1F"/>
    <w:rsid w:val="00B97A26"/>
    <w:rsid w:val="00B97A7A"/>
    <w:rsid w:val="00B97D6A"/>
    <w:rsid w:val="00B97D76"/>
    <w:rsid w:val="00BA0190"/>
    <w:rsid w:val="00BA01F4"/>
    <w:rsid w:val="00BA0325"/>
    <w:rsid w:val="00BA03BD"/>
    <w:rsid w:val="00BA04CC"/>
    <w:rsid w:val="00BA0564"/>
    <w:rsid w:val="00BA070E"/>
    <w:rsid w:val="00BA083E"/>
    <w:rsid w:val="00BA0873"/>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60"/>
    <w:rsid w:val="00BA23F6"/>
    <w:rsid w:val="00BA242D"/>
    <w:rsid w:val="00BA246A"/>
    <w:rsid w:val="00BA27FC"/>
    <w:rsid w:val="00BA2A1E"/>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224"/>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1D9"/>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06E"/>
    <w:rsid w:val="00BB7114"/>
    <w:rsid w:val="00BB748D"/>
    <w:rsid w:val="00BB7652"/>
    <w:rsid w:val="00BB7EEF"/>
    <w:rsid w:val="00BB7F93"/>
    <w:rsid w:val="00BC0005"/>
    <w:rsid w:val="00BC001B"/>
    <w:rsid w:val="00BC02EA"/>
    <w:rsid w:val="00BC0561"/>
    <w:rsid w:val="00BC0766"/>
    <w:rsid w:val="00BC082A"/>
    <w:rsid w:val="00BC083C"/>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0E"/>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21C"/>
    <w:rsid w:val="00BC7343"/>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62"/>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780"/>
    <w:rsid w:val="00BD2926"/>
    <w:rsid w:val="00BD299E"/>
    <w:rsid w:val="00BD2A5C"/>
    <w:rsid w:val="00BD2AE5"/>
    <w:rsid w:val="00BD2C5F"/>
    <w:rsid w:val="00BD2D35"/>
    <w:rsid w:val="00BD2E77"/>
    <w:rsid w:val="00BD30CC"/>
    <w:rsid w:val="00BD32B6"/>
    <w:rsid w:val="00BD33F7"/>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6EE6"/>
    <w:rsid w:val="00BD7023"/>
    <w:rsid w:val="00BD720C"/>
    <w:rsid w:val="00BD7317"/>
    <w:rsid w:val="00BD732A"/>
    <w:rsid w:val="00BD7536"/>
    <w:rsid w:val="00BD7F8E"/>
    <w:rsid w:val="00BE02B3"/>
    <w:rsid w:val="00BE050B"/>
    <w:rsid w:val="00BE0590"/>
    <w:rsid w:val="00BE05D4"/>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A75"/>
    <w:rsid w:val="00BF1BD7"/>
    <w:rsid w:val="00BF1CA3"/>
    <w:rsid w:val="00BF1D73"/>
    <w:rsid w:val="00BF225C"/>
    <w:rsid w:val="00BF26BE"/>
    <w:rsid w:val="00BF26C3"/>
    <w:rsid w:val="00BF2803"/>
    <w:rsid w:val="00BF2D63"/>
    <w:rsid w:val="00BF2E3C"/>
    <w:rsid w:val="00BF33AD"/>
    <w:rsid w:val="00BF34E7"/>
    <w:rsid w:val="00BF3777"/>
    <w:rsid w:val="00BF3914"/>
    <w:rsid w:val="00BF3A01"/>
    <w:rsid w:val="00BF3BF6"/>
    <w:rsid w:val="00BF3EC6"/>
    <w:rsid w:val="00BF48F4"/>
    <w:rsid w:val="00BF4AC8"/>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55"/>
    <w:rsid w:val="00C0079C"/>
    <w:rsid w:val="00C0083C"/>
    <w:rsid w:val="00C009F0"/>
    <w:rsid w:val="00C010A8"/>
    <w:rsid w:val="00C0141D"/>
    <w:rsid w:val="00C014DE"/>
    <w:rsid w:val="00C0152B"/>
    <w:rsid w:val="00C0164A"/>
    <w:rsid w:val="00C017BF"/>
    <w:rsid w:val="00C019CB"/>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66"/>
    <w:rsid w:val="00C02DE3"/>
    <w:rsid w:val="00C02ECB"/>
    <w:rsid w:val="00C02FE1"/>
    <w:rsid w:val="00C03012"/>
    <w:rsid w:val="00C033E5"/>
    <w:rsid w:val="00C036E8"/>
    <w:rsid w:val="00C0371A"/>
    <w:rsid w:val="00C0373D"/>
    <w:rsid w:val="00C03DA6"/>
    <w:rsid w:val="00C03EA6"/>
    <w:rsid w:val="00C043A9"/>
    <w:rsid w:val="00C0450D"/>
    <w:rsid w:val="00C0457A"/>
    <w:rsid w:val="00C04615"/>
    <w:rsid w:val="00C0469C"/>
    <w:rsid w:val="00C04834"/>
    <w:rsid w:val="00C049E2"/>
    <w:rsid w:val="00C04B79"/>
    <w:rsid w:val="00C04C3D"/>
    <w:rsid w:val="00C04C83"/>
    <w:rsid w:val="00C04CF5"/>
    <w:rsid w:val="00C04CFA"/>
    <w:rsid w:val="00C04E20"/>
    <w:rsid w:val="00C04E95"/>
    <w:rsid w:val="00C051D9"/>
    <w:rsid w:val="00C0525D"/>
    <w:rsid w:val="00C0558B"/>
    <w:rsid w:val="00C05613"/>
    <w:rsid w:val="00C056E0"/>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4BB"/>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2D4"/>
    <w:rsid w:val="00C203DF"/>
    <w:rsid w:val="00C206A9"/>
    <w:rsid w:val="00C20794"/>
    <w:rsid w:val="00C2081E"/>
    <w:rsid w:val="00C20864"/>
    <w:rsid w:val="00C20C68"/>
    <w:rsid w:val="00C20D4D"/>
    <w:rsid w:val="00C2107D"/>
    <w:rsid w:val="00C2123D"/>
    <w:rsid w:val="00C2156B"/>
    <w:rsid w:val="00C21875"/>
    <w:rsid w:val="00C219E8"/>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DD6"/>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1E6A"/>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4EBE"/>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8E3"/>
    <w:rsid w:val="00C37D11"/>
    <w:rsid w:val="00C37D38"/>
    <w:rsid w:val="00C37FED"/>
    <w:rsid w:val="00C40492"/>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45A"/>
    <w:rsid w:val="00C43ADE"/>
    <w:rsid w:val="00C445BE"/>
    <w:rsid w:val="00C44609"/>
    <w:rsid w:val="00C44C6E"/>
    <w:rsid w:val="00C45349"/>
    <w:rsid w:val="00C4535B"/>
    <w:rsid w:val="00C45685"/>
    <w:rsid w:val="00C45914"/>
    <w:rsid w:val="00C459BA"/>
    <w:rsid w:val="00C45A3D"/>
    <w:rsid w:val="00C45A88"/>
    <w:rsid w:val="00C45C64"/>
    <w:rsid w:val="00C45C88"/>
    <w:rsid w:val="00C45F13"/>
    <w:rsid w:val="00C45FDB"/>
    <w:rsid w:val="00C46284"/>
    <w:rsid w:val="00C462A6"/>
    <w:rsid w:val="00C4632B"/>
    <w:rsid w:val="00C4658C"/>
    <w:rsid w:val="00C46644"/>
    <w:rsid w:val="00C468B8"/>
    <w:rsid w:val="00C46D4F"/>
    <w:rsid w:val="00C470B9"/>
    <w:rsid w:val="00C47118"/>
    <w:rsid w:val="00C473FF"/>
    <w:rsid w:val="00C47432"/>
    <w:rsid w:val="00C4764A"/>
    <w:rsid w:val="00C47885"/>
    <w:rsid w:val="00C47A6F"/>
    <w:rsid w:val="00C47D42"/>
    <w:rsid w:val="00C47D7C"/>
    <w:rsid w:val="00C47F39"/>
    <w:rsid w:val="00C50321"/>
    <w:rsid w:val="00C510DD"/>
    <w:rsid w:val="00C511E3"/>
    <w:rsid w:val="00C517F3"/>
    <w:rsid w:val="00C51CD5"/>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1E0"/>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77"/>
    <w:rsid w:val="00C61CEA"/>
    <w:rsid w:val="00C61F29"/>
    <w:rsid w:val="00C61FD1"/>
    <w:rsid w:val="00C62015"/>
    <w:rsid w:val="00C62710"/>
    <w:rsid w:val="00C629CD"/>
    <w:rsid w:val="00C62C6C"/>
    <w:rsid w:val="00C631C9"/>
    <w:rsid w:val="00C63336"/>
    <w:rsid w:val="00C63370"/>
    <w:rsid w:val="00C636BA"/>
    <w:rsid w:val="00C638E0"/>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2A6"/>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570"/>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85B"/>
    <w:rsid w:val="00C80A18"/>
    <w:rsid w:val="00C80A98"/>
    <w:rsid w:val="00C80DE5"/>
    <w:rsid w:val="00C80E86"/>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D8C"/>
    <w:rsid w:val="00C94EC8"/>
    <w:rsid w:val="00C94F2B"/>
    <w:rsid w:val="00C95115"/>
    <w:rsid w:val="00C95522"/>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905"/>
    <w:rsid w:val="00CA1FE9"/>
    <w:rsid w:val="00CA22DA"/>
    <w:rsid w:val="00CA267C"/>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0D62"/>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7F"/>
    <w:rsid w:val="00CB69AA"/>
    <w:rsid w:val="00CB6A8E"/>
    <w:rsid w:val="00CB6B3A"/>
    <w:rsid w:val="00CB6FBF"/>
    <w:rsid w:val="00CB6FEF"/>
    <w:rsid w:val="00CB71D2"/>
    <w:rsid w:val="00CB738A"/>
    <w:rsid w:val="00CB758D"/>
    <w:rsid w:val="00CB7A89"/>
    <w:rsid w:val="00CB7D8F"/>
    <w:rsid w:val="00CB7E6B"/>
    <w:rsid w:val="00CC002D"/>
    <w:rsid w:val="00CC03A6"/>
    <w:rsid w:val="00CC0565"/>
    <w:rsid w:val="00CC07C1"/>
    <w:rsid w:val="00CC07C7"/>
    <w:rsid w:val="00CC07CB"/>
    <w:rsid w:val="00CC0908"/>
    <w:rsid w:val="00CC0D49"/>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862"/>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2E"/>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51"/>
    <w:rsid w:val="00CD3A83"/>
    <w:rsid w:val="00CD3AAD"/>
    <w:rsid w:val="00CD3BD5"/>
    <w:rsid w:val="00CD3D33"/>
    <w:rsid w:val="00CD42DE"/>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551"/>
    <w:rsid w:val="00CD6A76"/>
    <w:rsid w:val="00CD6D39"/>
    <w:rsid w:val="00CD6EAC"/>
    <w:rsid w:val="00CD6F01"/>
    <w:rsid w:val="00CD73DB"/>
    <w:rsid w:val="00CD7575"/>
    <w:rsid w:val="00CD767C"/>
    <w:rsid w:val="00CD7EA4"/>
    <w:rsid w:val="00CD7F16"/>
    <w:rsid w:val="00CE0296"/>
    <w:rsid w:val="00CE0318"/>
    <w:rsid w:val="00CE03FE"/>
    <w:rsid w:val="00CE099E"/>
    <w:rsid w:val="00CE0B02"/>
    <w:rsid w:val="00CE0DED"/>
    <w:rsid w:val="00CE0FA8"/>
    <w:rsid w:val="00CE1767"/>
    <w:rsid w:val="00CE196F"/>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5DC"/>
    <w:rsid w:val="00CE36FE"/>
    <w:rsid w:val="00CE37A0"/>
    <w:rsid w:val="00CE38FD"/>
    <w:rsid w:val="00CE3BA8"/>
    <w:rsid w:val="00CE40C0"/>
    <w:rsid w:val="00CE4281"/>
    <w:rsid w:val="00CE4747"/>
    <w:rsid w:val="00CE4793"/>
    <w:rsid w:val="00CE4A80"/>
    <w:rsid w:val="00CE4B35"/>
    <w:rsid w:val="00CE4BCB"/>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666"/>
    <w:rsid w:val="00CE6D34"/>
    <w:rsid w:val="00CE7012"/>
    <w:rsid w:val="00CE7120"/>
    <w:rsid w:val="00CE71C9"/>
    <w:rsid w:val="00CE7314"/>
    <w:rsid w:val="00CE73F2"/>
    <w:rsid w:val="00CE75A1"/>
    <w:rsid w:val="00CE75F1"/>
    <w:rsid w:val="00CE7770"/>
    <w:rsid w:val="00CE7776"/>
    <w:rsid w:val="00CE7853"/>
    <w:rsid w:val="00CE7A7D"/>
    <w:rsid w:val="00CE7B20"/>
    <w:rsid w:val="00CF020F"/>
    <w:rsid w:val="00CF0422"/>
    <w:rsid w:val="00CF088D"/>
    <w:rsid w:val="00CF0B97"/>
    <w:rsid w:val="00CF130A"/>
    <w:rsid w:val="00CF13AF"/>
    <w:rsid w:val="00CF1441"/>
    <w:rsid w:val="00CF1442"/>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87"/>
    <w:rsid w:val="00CF53CD"/>
    <w:rsid w:val="00CF55E0"/>
    <w:rsid w:val="00CF56F9"/>
    <w:rsid w:val="00CF5739"/>
    <w:rsid w:val="00CF5772"/>
    <w:rsid w:val="00CF59FB"/>
    <w:rsid w:val="00CF5EEA"/>
    <w:rsid w:val="00CF60CE"/>
    <w:rsid w:val="00CF635E"/>
    <w:rsid w:val="00CF63C0"/>
    <w:rsid w:val="00CF660A"/>
    <w:rsid w:val="00CF669A"/>
    <w:rsid w:val="00CF66A1"/>
    <w:rsid w:val="00CF70CE"/>
    <w:rsid w:val="00CF7137"/>
    <w:rsid w:val="00CF73DB"/>
    <w:rsid w:val="00CF74E3"/>
    <w:rsid w:val="00CF76C2"/>
    <w:rsid w:val="00CF7AFF"/>
    <w:rsid w:val="00CF7CDC"/>
    <w:rsid w:val="00CF7E65"/>
    <w:rsid w:val="00D0041B"/>
    <w:rsid w:val="00D00C21"/>
    <w:rsid w:val="00D00FD7"/>
    <w:rsid w:val="00D012CB"/>
    <w:rsid w:val="00D0137F"/>
    <w:rsid w:val="00D01726"/>
    <w:rsid w:val="00D01B3A"/>
    <w:rsid w:val="00D01BA6"/>
    <w:rsid w:val="00D01BC3"/>
    <w:rsid w:val="00D02470"/>
    <w:rsid w:val="00D0249C"/>
    <w:rsid w:val="00D024E0"/>
    <w:rsid w:val="00D0252E"/>
    <w:rsid w:val="00D026AB"/>
    <w:rsid w:val="00D027E7"/>
    <w:rsid w:val="00D02865"/>
    <w:rsid w:val="00D02E63"/>
    <w:rsid w:val="00D02E8D"/>
    <w:rsid w:val="00D02FBF"/>
    <w:rsid w:val="00D030AB"/>
    <w:rsid w:val="00D03384"/>
    <w:rsid w:val="00D036AA"/>
    <w:rsid w:val="00D03C34"/>
    <w:rsid w:val="00D03E4B"/>
    <w:rsid w:val="00D03F84"/>
    <w:rsid w:val="00D044A7"/>
    <w:rsid w:val="00D048C2"/>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01E"/>
    <w:rsid w:val="00D1217D"/>
    <w:rsid w:val="00D1223A"/>
    <w:rsid w:val="00D1226C"/>
    <w:rsid w:val="00D123EE"/>
    <w:rsid w:val="00D12403"/>
    <w:rsid w:val="00D1250A"/>
    <w:rsid w:val="00D125E1"/>
    <w:rsid w:val="00D1262D"/>
    <w:rsid w:val="00D1276C"/>
    <w:rsid w:val="00D127D3"/>
    <w:rsid w:val="00D12999"/>
    <w:rsid w:val="00D12C17"/>
    <w:rsid w:val="00D12D74"/>
    <w:rsid w:val="00D12F2B"/>
    <w:rsid w:val="00D12FB8"/>
    <w:rsid w:val="00D12FFF"/>
    <w:rsid w:val="00D1331E"/>
    <w:rsid w:val="00D1340B"/>
    <w:rsid w:val="00D1349E"/>
    <w:rsid w:val="00D134A3"/>
    <w:rsid w:val="00D13852"/>
    <w:rsid w:val="00D13863"/>
    <w:rsid w:val="00D13BD5"/>
    <w:rsid w:val="00D13CEE"/>
    <w:rsid w:val="00D13CF3"/>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16"/>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D78"/>
    <w:rsid w:val="00D24DE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0E7"/>
    <w:rsid w:val="00D3130C"/>
    <w:rsid w:val="00D3136C"/>
    <w:rsid w:val="00D3153D"/>
    <w:rsid w:val="00D316E5"/>
    <w:rsid w:val="00D31834"/>
    <w:rsid w:val="00D31A9A"/>
    <w:rsid w:val="00D31B26"/>
    <w:rsid w:val="00D31BE0"/>
    <w:rsid w:val="00D32202"/>
    <w:rsid w:val="00D323F7"/>
    <w:rsid w:val="00D32609"/>
    <w:rsid w:val="00D326A9"/>
    <w:rsid w:val="00D326E7"/>
    <w:rsid w:val="00D327EB"/>
    <w:rsid w:val="00D328D7"/>
    <w:rsid w:val="00D3316C"/>
    <w:rsid w:val="00D332B5"/>
    <w:rsid w:val="00D33541"/>
    <w:rsid w:val="00D33841"/>
    <w:rsid w:val="00D33962"/>
    <w:rsid w:val="00D339C0"/>
    <w:rsid w:val="00D33A04"/>
    <w:rsid w:val="00D33C96"/>
    <w:rsid w:val="00D341CB"/>
    <w:rsid w:val="00D342A1"/>
    <w:rsid w:val="00D3431B"/>
    <w:rsid w:val="00D34E94"/>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67"/>
    <w:rsid w:val="00D413F9"/>
    <w:rsid w:val="00D4168F"/>
    <w:rsid w:val="00D41691"/>
    <w:rsid w:val="00D418E0"/>
    <w:rsid w:val="00D419E2"/>
    <w:rsid w:val="00D419F8"/>
    <w:rsid w:val="00D41B77"/>
    <w:rsid w:val="00D41DC9"/>
    <w:rsid w:val="00D41F0D"/>
    <w:rsid w:val="00D4205D"/>
    <w:rsid w:val="00D42289"/>
    <w:rsid w:val="00D4252D"/>
    <w:rsid w:val="00D42685"/>
    <w:rsid w:val="00D42902"/>
    <w:rsid w:val="00D4299C"/>
    <w:rsid w:val="00D42A22"/>
    <w:rsid w:val="00D42AE4"/>
    <w:rsid w:val="00D42B1F"/>
    <w:rsid w:val="00D42FC8"/>
    <w:rsid w:val="00D4327C"/>
    <w:rsid w:val="00D4342E"/>
    <w:rsid w:val="00D434C1"/>
    <w:rsid w:val="00D4355D"/>
    <w:rsid w:val="00D436D6"/>
    <w:rsid w:val="00D43838"/>
    <w:rsid w:val="00D43839"/>
    <w:rsid w:val="00D43BF1"/>
    <w:rsid w:val="00D43E54"/>
    <w:rsid w:val="00D44042"/>
    <w:rsid w:val="00D4422A"/>
    <w:rsid w:val="00D442EF"/>
    <w:rsid w:val="00D444EA"/>
    <w:rsid w:val="00D445FA"/>
    <w:rsid w:val="00D44D18"/>
    <w:rsid w:val="00D4510A"/>
    <w:rsid w:val="00D4514A"/>
    <w:rsid w:val="00D4528E"/>
    <w:rsid w:val="00D45333"/>
    <w:rsid w:val="00D454C9"/>
    <w:rsid w:val="00D45567"/>
    <w:rsid w:val="00D45949"/>
    <w:rsid w:val="00D45979"/>
    <w:rsid w:val="00D45A6D"/>
    <w:rsid w:val="00D45A7A"/>
    <w:rsid w:val="00D45A89"/>
    <w:rsid w:val="00D45AED"/>
    <w:rsid w:val="00D45BFA"/>
    <w:rsid w:val="00D45EC8"/>
    <w:rsid w:val="00D464F3"/>
    <w:rsid w:val="00D4661C"/>
    <w:rsid w:val="00D466C6"/>
    <w:rsid w:val="00D46875"/>
    <w:rsid w:val="00D46AF0"/>
    <w:rsid w:val="00D46C89"/>
    <w:rsid w:val="00D46FAF"/>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5BC"/>
    <w:rsid w:val="00D53605"/>
    <w:rsid w:val="00D536B9"/>
    <w:rsid w:val="00D53823"/>
    <w:rsid w:val="00D5393A"/>
    <w:rsid w:val="00D53D08"/>
    <w:rsid w:val="00D53E7F"/>
    <w:rsid w:val="00D53F02"/>
    <w:rsid w:val="00D54169"/>
    <w:rsid w:val="00D54291"/>
    <w:rsid w:val="00D542CD"/>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02"/>
    <w:rsid w:val="00D55EC2"/>
    <w:rsid w:val="00D5607E"/>
    <w:rsid w:val="00D56104"/>
    <w:rsid w:val="00D562E4"/>
    <w:rsid w:val="00D5632D"/>
    <w:rsid w:val="00D56668"/>
    <w:rsid w:val="00D56BBC"/>
    <w:rsid w:val="00D56DC8"/>
    <w:rsid w:val="00D571C2"/>
    <w:rsid w:val="00D5731B"/>
    <w:rsid w:val="00D5731F"/>
    <w:rsid w:val="00D57766"/>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288"/>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1D0F"/>
    <w:rsid w:val="00D61DC0"/>
    <w:rsid w:val="00D622A7"/>
    <w:rsid w:val="00D623C7"/>
    <w:rsid w:val="00D6266A"/>
    <w:rsid w:val="00D62689"/>
    <w:rsid w:val="00D627DA"/>
    <w:rsid w:val="00D6287C"/>
    <w:rsid w:val="00D629F4"/>
    <w:rsid w:val="00D62B65"/>
    <w:rsid w:val="00D62BF2"/>
    <w:rsid w:val="00D62E02"/>
    <w:rsid w:val="00D63089"/>
    <w:rsid w:val="00D631D4"/>
    <w:rsid w:val="00D6331E"/>
    <w:rsid w:val="00D63324"/>
    <w:rsid w:val="00D63329"/>
    <w:rsid w:val="00D637E1"/>
    <w:rsid w:val="00D6381C"/>
    <w:rsid w:val="00D63902"/>
    <w:rsid w:val="00D63925"/>
    <w:rsid w:val="00D63C09"/>
    <w:rsid w:val="00D63C7D"/>
    <w:rsid w:val="00D63DB7"/>
    <w:rsid w:val="00D63E0D"/>
    <w:rsid w:val="00D63E54"/>
    <w:rsid w:val="00D6403E"/>
    <w:rsid w:val="00D64142"/>
    <w:rsid w:val="00D645EC"/>
    <w:rsid w:val="00D646A9"/>
    <w:rsid w:val="00D646F4"/>
    <w:rsid w:val="00D647B8"/>
    <w:rsid w:val="00D648B8"/>
    <w:rsid w:val="00D651FC"/>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10"/>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30"/>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31"/>
    <w:rsid w:val="00D7724A"/>
    <w:rsid w:val="00D7764C"/>
    <w:rsid w:val="00D776DA"/>
    <w:rsid w:val="00D77781"/>
    <w:rsid w:val="00D777CF"/>
    <w:rsid w:val="00D77D28"/>
    <w:rsid w:val="00D77EF6"/>
    <w:rsid w:val="00D801B7"/>
    <w:rsid w:val="00D80432"/>
    <w:rsid w:val="00D8056F"/>
    <w:rsid w:val="00D80697"/>
    <w:rsid w:val="00D806E3"/>
    <w:rsid w:val="00D806E4"/>
    <w:rsid w:val="00D807BB"/>
    <w:rsid w:val="00D8081D"/>
    <w:rsid w:val="00D80B51"/>
    <w:rsid w:val="00D80C62"/>
    <w:rsid w:val="00D80C86"/>
    <w:rsid w:val="00D80D5E"/>
    <w:rsid w:val="00D80E22"/>
    <w:rsid w:val="00D81231"/>
    <w:rsid w:val="00D8183C"/>
    <w:rsid w:val="00D818A4"/>
    <w:rsid w:val="00D8242C"/>
    <w:rsid w:val="00D82699"/>
    <w:rsid w:val="00D827F2"/>
    <w:rsid w:val="00D828A6"/>
    <w:rsid w:val="00D832B9"/>
    <w:rsid w:val="00D83398"/>
    <w:rsid w:val="00D83410"/>
    <w:rsid w:val="00D8348E"/>
    <w:rsid w:val="00D83660"/>
    <w:rsid w:val="00D836EF"/>
    <w:rsid w:val="00D8389F"/>
    <w:rsid w:val="00D8398B"/>
    <w:rsid w:val="00D839EE"/>
    <w:rsid w:val="00D83C86"/>
    <w:rsid w:val="00D841A8"/>
    <w:rsid w:val="00D8469F"/>
    <w:rsid w:val="00D846E7"/>
    <w:rsid w:val="00D8485A"/>
    <w:rsid w:val="00D84AB7"/>
    <w:rsid w:val="00D84CF0"/>
    <w:rsid w:val="00D84D6A"/>
    <w:rsid w:val="00D84DD6"/>
    <w:rsid w:val="00D852EC"/>
    <w:rsid w:val="00D8533B"/>
    <w:rsid w:val="00D855CF"/>
    <w:rsid w:val="00D85942"/>
    <w:rsid w:val="00D85CB6"/>
    <w:rsid w:val="00D8615E"/>
    <w:rsid w:val="00D86240"/>
    <w:rsid w:val="00D8627B"/>
    <w:rsid w:val="00D8653D"/>
    <w:rsid w:val="00D86588"/>
    <w:rsid w:val="00D86907"/>
    <w:rsid w:val="00D86A8A"/>
    <w:rsid w:val="00D86D62"/>
    <w:rsid w:val="00D86EC6"/>
    <w:rsid w:val="00D86FFA"/>
    <w:rsid w:val="00D8707E"/>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0B3"/>
    <w:rsid w:val="00D92426"/>
    <w:rsid w:val="00D9298C"/>
    <w:rsid w:val="00D92A04"/>
    <w:rsid w:val="00D92A91"/>
    <w:rsid w:val="00D92B12"/>
    <w:rsid w:val="00D92BEF"/>
    <w:rsid w:val="00D92CCF"/>
    <w:rsid w:val="00D92F56"/>
    <w:rsid w:val="00D931E2"/>
    <w:rsid w:val="00D93719"/>
    <w:rsid w:val="00D939FD"/>
    <w:rsid w:val="00D93A3A"/>
    <w:rsid w:val="00D93B11"/>
    <w:rsid w:val="00D93B55"/>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791"/>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4CF"/>
    <w:rsid w:val="00D97766"/>
    <w:rsid w:val="00D97AF3"/>
    <w:rsid w:val="00D97C0A"/>
    <w:rsid w:val="00D97DAA"/>
    <w:rsid w:val="00D97EB4"/>
    <w:rsid w:val="00DA0078"/>
    <w:rsid w:val="00DA018D"/>
    <w:rsid w:val="00DA0259"/>
    <w:rsid w:val="00DA02D1"/>
    <w:rsid w:val="00DA10E1"/>
    <w:rsid w:val="00DA12B1"/>
    <w:rsid w:val="00DA1766"/>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BD7"/>
    <w:rsid w:val="00DA5D0E"/>
    <w:rsid w:val="00DA5D33"/>
    <w:rsid w:val="00DA5E8D"/>
    <w:rsid w:val="00DA6059"/>
    <w:rsid w:val="00DA629D"/>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3D"/>
    <w:rsid w:val="00DB0D8F"/>
    <w:rsid w:val="00DB1192"/>
    <w:rsid w:val="00DB12C2"/>
    <w:rsid w:val="00DB13ED"/>
    <w:rsid w:val="00DB13F3"/>
    <w:rsid w:val="00DB1666"/>
    <w:rsid w:val="00DB1B8E"/>
    <w:rsid w:val="00DB1C7C"/>
    <w:rsid w:val="00DB1CF7"/>
    <w:rsid w:val="00DB1CF8"/>
    <w:rsid w:val="00DB1D67"/>
    <w:rsid w:val="00DB1F48"/>
    <w:rsid w:val="00DB21EB"/>
    <w:rsid w:val="00DB2247"/>
    <w:rsid w:val="00DB243C"/>
    <w:rsid w:val="00DB25EC"/>
    <w:rsid w:val="00DB2686"/>
    <w:rsid w:val="00DB341E"/>
    <w:rsid w:val="00DB34E0"/>
    <w:rsid w:val="00DB3623"/>
    <w:rsid w:val="00DB399C"/>
    <w:rsid w:val="00DB3A37"/>
    <w:rsid w:val="00DB3C3F"/>
    <w:rsid w:val="00DB41C2"/>
    <w:rsid w:val="00DB4261"/>
    <w:rsid w:val="00DB472B"/>
    <w:rsid w:val="00DB492D"/>
    <w:rsid w:val="00DB4A09"/>
    <w:rsid w:val="00DB4A66"/>
    <w:rsid w:val="00DB4B98"/>
    <w:rsid w:val="00DB4C24"/>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160"/>
    <w:rsid w:val="00DC3261"/>
    <w:rsid w:val="00DC3536"/>
    <w:rsid w:val="00DC38A7"/>
    <w:rsid w:val="00DC3A71"/>
    <w:rsid w:val="00DC3AE7"/>
    <w:rsid w:val="00DC3D51"/>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0D"/>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D28"/>
    <w:rsid w:val="00DD2E3D"/>
    <w:rsid w:val="00DD2F9A"/>
    <w:rsid w:val="00DD3334"/>
    <w:rsid w:val="00DD3605"/>
    <w:rsid w:val="00DD36AA"/>
    <w:rsid w:val="00DD37A4"/>
    <w:rsid w:val="00DD37C0"/>
    <w:rsid w:val="00DD39AA"/>
    <w:rsid w:val="00DD3BB9"/>
    <w:rsid w:val="00DD40A6"/>
    <w:rsid w:val="00DD40C0"/>
    <w:rsid w:val="00DD4321"/>
    <w:rsid w:val="00DD4406"/>
    <w:rsid w:val="00DD449F"/>
    <w:rsid w:val="00DD44EF"/>
    <w:rsid w:val="00DD4532"/>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12B"/>
    <w:rsid w:val="00DE1692"/>
    <w:rsid w:val="00DE18AE"/>
    <w:rsid w:val="00DE1C22"/>
    <w:rsid w:val="00DE1CDC"/>
    <w:rsid w:val="00DE23FF"/>
    <w:rsid w:val="00DE249D"/>
    <w:rsid w:val="00DE2804"/>
    <w:rsid w:val="00DE2AC1"/>
    <w:rsid w:val="00DE2CEF"/>
    <w:rsid w:val="00DE2D73"/>
    <w:rsid w:val="00DE2F65"/>
    <w:rsid w:val="00DE31EA"/>
    <w:rsid w:val="00DE3265"/>
    <w:rsid w:val="00DE36D4"/>
    <w:rsid w:val="00DE38E4"/>
    <w:rsid w:val="00DE3A0B"/>
    <w:rsid w:val="00DE3F06"/>
    <w:rsid w:val="00DE4186"/>
    <w:rsid w:val="00DE4720"/>
    <w:rsid w:val="00DE48A4"/>
    <w:rsid w:val="00DE4B9F"/>
    <w:rsid w:val="00DE4C0C"/>
    <w:rsid w:val="00DE4EA3"/>
    <w:rsid w:val="00DE502D"/>
    <w:rsid w:val="00DE5388"/>
    <w:rsid w:val="00DE55FC"/>
    <w:rsid w:val="00DE57C4"/>
    <w:rsid w:val="00DE5B92"/>
    <w:rsid w:val="00DE5EAC"/>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3F4"/>
    <w:rsid w:val="00DF05C8"/>
    <w:rsid w:val="00DF0768"/>
    <w:rsid w:val="00DF0B5C"/>
    <w:rsid w:val="00DF0C29"/>
    <w:rsid w:val="00DF0C96"/>
    <w:rsid w:val="00DF0CCA"/>
    <w:rsid w:val="00DF0FD9"/>
    <w:rsid w:val="00DF15B0"/>
    <w:rsid w:val="00DF1795"/>
    <w:rsid w:val="00DF1A59"/>
    <w:rsid w:val="00DF1AED"/>
    <w:rsid w:val="00DF1CEE"/>
    <w:rsid w:val="00DF1DE8"/>
    <w:rsid w:val="00DF1EBE"/>
    <w:rsid w:val="00DF1FA6"/>
    <w:rsid w:val="00DF20F4"/>
    <w:rsid w:val="00DF21FA"/>
    <w:rsid w:val="00DF22CC"/>
    <w:rsid w:val="00DF23A5"/>
    <w:rsid w:val="00DF24EA"/>
    <w:rsid w:val="00DF2602"/>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58E"/>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03"/>
    <w:rsid w:val="00E0016F"/>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69"/>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77A"/>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B1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57A"/>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0FD"/>
    <w:rsid w:val="00E211FB"/>
    <w:rsid w:val="00E21467"/>
    <w:rsid w:val="00E2162E"/>
    <w:rsid w:val="00E21910"/>
    <w:rsid w:val="00E219AB"/>
    <w:rsid w:val="00E21BB5"/>
    <w:rsid w:val="00E21D2F"/>
    <w:rsid w:val="00E21DA1"/>
    <w:rsid w:val="00E222A0"/>
    <w:rsid w:val="00E222FD"/>
    <w:rsid w:val="00E225C4"/>
    <w:rsid w:val="00E22624"/>
    <w:rsid w:val="00E22FEC"/>
    <w:rsid w:val="00E2326C"/>
    <w:rsid w:val="00E233C7"/>
    <w:rsid w:val="00E23424"/>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AAD"/>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227"/>
    <w:rsid w:val="00E323B2"/>
    <w:rsid w:val="00E326A7"/>
    <w:rsid w:val="00E3275F"/>
    <w:rsid w:val="00E3279C"/>
    <w:rsid w:val="00E327F0"/>
    <w:rsid w:val="00E32B0C"/>
    <w:rsid w:val="00E32BBD"/>
    <w:rsid w:val="00E32C82"/>
    <w:rsid w:val="00E32EC7"/>
    <w:rsid w:val="00E33065"/>
    <w:rsid w:val="00E330D5"/>
    <w:rsid w:val="00E33237"/>
    <w:rsid w:val="00E333F7"/>
    <w:rsid w:val="00E33405"/>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60"/>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00"/>
    <w:rsid w:val="00E41B4A"/>
    <w:rsid w:val="00E41BF4"/>
    <w:rsid w:val="00E42457"/>
    <w:rsid w:val="00E424EE"/>
    <w:rsid w:val="00E42523"/>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40D"/>
    <w:rsid w:val="00E44540"/>
    <w:rsid w:val="00E447EA"/>
    <w:rsid w:val="00E44869"/>
    <w:rsid w:val="00E448D9"/>
    <w:rsid w:val="00E44986"/>
    <w:rsid w:val="00E449A7"/>
    <w:rsid w:val="00E44A19"/>
    <w:rsid w:val="00E44BB5"/>
    <w:rsid w:val="00E44E46"/>
    <w:rsid w:val="00E44F01"/>
    <w:rsid w:val="00E45189"/>
    <w:rsid w:val="00E453DF"/>
    <w:rsid w:val="00E45505"/>
    <w:rsid w:val="00E455BA"/>
    <w:rsid w:val="00E45678"/>
    <w:rsid w:val="00E4567D"/>
    <w:rsid w:val="00E4568E"/>
    <w:rsid w:val="00E458D8"/>
    <w:rsid w:val="00E45C9E"/>
    <w:rsid w:val="00E46075"/>
    <w:rsid w:val="00E4608C"/>
    <w:rsid w:val="00E464F0"/>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B67"/>
    <w:rsid w:val="00E47BAC"/>
    <w:rsid w:val="00E47C75"/>
    <w:rsid w:val="00E47C90"/>
    <w:rsid w:val="00E47D82"/>
    <w:rsid w:val="00E47FB4"/>
    <w:rsid w:val="00E500B7"/>
    <w:rsid w:val="00E50193"/>
    <w:rsid w:val="00E50376"/>
    <w:rsid w:val="00E50450"/>
    <w:rsid w:val="00E504B2"/>
    <w:rsid w:val="00E50554"/>
    <w:rsid w:val="00E506A1"/>
    <w:rsid w:val="00E50709"/>
    <w:rsid w:val="00E5076B"/>
    <w:rsid w:val="00E507C5"/>
    <w:rsid w:val="00E507CF"/>
    <w:rsid w:val="00E50BE6"/>
    <w:rsid w:val="00E50D06"/>
    <w:rsid w:val="00E50EBF"/>
    <w:rsid w:val="00E51329"/>
    <w:rsid w:val="00E51351"/>
    <w:rsid w:val="00E513C9"/>
    <w:rsid w:val="00E515B5"/>
    <w:rsid w:val="00E51875"/>
    <w:rsid w:val="00E519CC"/>
    <w:rsid w:val="00E51BA9"/>
    <w:rsid w:val="00E51E56"/>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199"/>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068"/>
    <w:rsid w:val="00E562E2"/>
    <w:rsid w:val="00E5659C"/>
    <w:rsid w:val="00E568D0"/>
    <w:rsid w:val="00E56965"/>
    <w:rsid w:val="00E56C80"/>
    <w:rsid w:val="00E56D16"/>
    <w:rsid w:val="00E57172"/>
    <w:rsid w:val="00E5730B"/>
    <w:rsid w:val="00E5774E"/>
    <w:rsid w:val="00E57779"/>
    <w:rsid w:val="00E57914"/>
    <w:rsid w:val="00E579CB"/>
    <w:rsid w:val="00E57A50"/>
    <w:rsid w:val="00E57B75"/>
    <w:rsid w:val="00E57CEE"/>
    <w:rsid w:val="00E57D8C"/>
    <w:rsid w:val="00E57E19"/>
    <w:rsid w:val="00E57EEC"/>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5AB"/>
    <w:rsid w:val="00E64634"/>
    <w:rsid w:val="00E64916"/>
    <w:rsid w:val="00E64A4A"/>
    <w:rsid w:val="00E64D54"/>
    <w:rsid w:val="00E64FEE"/>
    <w:rsid w:val="00E65220"/>
    <w:rsid w:val="00E6537E"/>
    <w:rsid w:val="00E65702"/>
    <w:rsid w:val="00E65ACA"/>
    <w:rsid w:val="00E65E3D"/>
    <w:rsid w:val="00E65EF6"/>
    <w:rsid w:val="00E65EFA"/>
    <w:rsid w:val="00E65EFE"/>
    <w:rsid w:val="00E65FFE"/>
    <w:rsid w:val="00E66293"/>
    <w:rsid w:val="00E66479"/>
    <w:rsid w:val="00E667E3"/>
    <w:rsid w:val="00E669C1"/>
    <w:rsid w:val="00E66E5F"/>
    <w:rsid w:val="00E670A6"/>
    <w:rsid w:val="00E671D5"/>
    <w:rsid w:val="00E673CC"/>
    <w:rsid w:val="00E674AE"/>
    <w:rsid w:val="00E67716"/>
    <w:rsid w:val="00E67749"/>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EAB"/>
    <w:rsid w:val="00E71F09"/>
    <w:rsid w:val="00E72209"/>
    <w:rsid w:val="00E728FE"/>
    <w:rsid w:val="00E72E73"/>
    <w:rsid w:val="00E72F88"/>
    <w:rsid w:val="00E7334E"/>
    <w:rsid w:val="00E73637"/>
    <w:rsid w:val="00E7366C"/>
    <w:rsid w:val="00E738C6"/>
    <w:rsid w:val="00E739D4"/>
    <w:rsid w:val="00E73A47"/>
    <w:rsid w:val="00E73B3D"/>
    <w:rsid w:val="00E73BA1"/>
    <w:rsid w:val="00E73C20"/>
    <w:rsid w:val="00E73EC9"/>
    <w:rsid w:val="00E740BE"/>
    <w:rsid w:val="00E741AD"/>
    <w:rsid w:val="00E74287"/>
    <w:rsid w:val="00E74362"/>
    <w:rsid w:val="00E743DB"/>
    <w:rsid w:val="00E744A0"/>
    <w:rsid w:val="00E74679"/>
    <w:rsid w:val="00E74B7C"/>
    <w:rsid w:val="00E74DB2"/>
    <w:rsid w:val="00E74DCD"/>
    <w:rsid w:val="00E74F94"/>
    <w:rsid w:val="00E7514D"/>
    <w:rsid w:val="00E751CF"/>
    <w:rsid w:val="00E7529B"/>
    <w:rsid w:val="00E75387"/>
    <w:rsid w:val="00E754BC"/>
    <w:rsid w:val="00E75872"/>
    <w:rsid w:val="00E7596F"/>
    <w:rsid w:val="00E75ADC"/>
    <w:rsid w:val="00E75D06"/>
    <w:rsid w:val="00E75D9B"/>
    <w:rsid w:val="00E75EF2"/>
    <w:rsid w:val="00E7608A"/>
    <w:rsid w:val="00E7667C"/>
    <w:rsid w:val="00E769E0"/>
    <w:rsid w:val="00E76A29"/>
    <w:rsid w:val="00E76B00"/>
    <w:rsid w:val="00E77248"/>
    <w:rsid w:val="00E773FA"/>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BFD"/>
    <w:rsid w:val="00E81DD5"/>
    <w:rsid w:val="00E81EAC"/>
    <w:rsid w:val="00E821B9"/>
    <w:rsid w:val="00E821CA"/>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057"/>
    <w:rsid w:val="00E86246"/>
    <w:rsid w:val="00E86506"/>
    <w:rsid w:val="00E867C7"/>
    <w:rsid w:val="00E86B25"/>
    <w:rsid w:val="00E86C3F"/>
    <w:rsid w:val="00E86DF7"/>
    <w:rsid w:val="00E86E81"/>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441"/>
    <w:rsid w:val="00E916C3"/>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188"/>
    <w:rsid w:val="00EA429C"/>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5C3"/>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862"/>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A00"/>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2BF"/>
    <w:rsid w:val="00EC1494"/>
    <w:rsid w:val="00EC1551"/>
    <w:rsid w:val="00EC1572"/>
    <w:rsid w:val="00EC158A"/>
    <w:rsid w:val="00EC1743"/>
    <w:rsid w:val="00EC17D1"/>
    <w:rsid w:val="00EC1993"/>
    <w:rsid w:val="00EC19AE"/>
    <w:rsid w:val="00EC2123"/>
    <w:rsid w:val="00EC2364"/>
    <w:rsid w:val="00EC25F1"/>
    <w:rsid w:val="00EC266E"/>
    <w:rsid w:val="00EC29CF"/>
    <w:rsid w:val="00EC2AD3"/>
    <w:rsid w:val="00EC2C48"/>
    <w:rsid w:val="00EC306F"/>
    <w:rsid w:val="00EC3331"/>
    <w:rsid w:val="00EC334A"/>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0FC"/>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24"/>
    <w:rsid w:val="00EE124F"/>
    <w:rsid w:val="00EE1498"/>
    <w:rsid w:val="00EE18CA"/>
    <w:rsid w:val="00EE1AB9"/>
    <w:rsid w:val="00EE1D80"/>
    <w:rsid w:val="00EE1E3E"/>
    <w:rsid w:val="00EE2251"/>
    <w:rsid w:val="00EE2314"/>
    <w:rsid w:val="00EE2410"/>
    <w:rsid w:val="00EE244C"/>
    <w:rsid w:val="00EE244E"/>
    <w:rsid w:val="00EE25AA"/>
    <w:rsid w:val="00EE25CE"/>
    <w:rsid w:val="00EE2991"/>
    <w:rsid w:val="00EE2A50"/>
    <w:rsid w:val="00EE2D64"/>
    <w:rsid w:val="00EE2F25"/>
    <w:rsid w:val="00EE303B"/>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099"/>
    <w:rsid w:val="00EE6104"/>
    <w:rsid w:val="00EE625B"/>
    <w:rsid w:val="00EE6500"/>
    <w:rsid w:val="00EE6984"/>
    <w:rsid w:val="00EE69A4"/>
    <w:rsid w:val="00EE6AEC"/>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0F58"/>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81E"/>
    <w:rsid w:val="00EF4A02"/>
    <w:rsid w:val="00EF4CD2"/>
    <w:rsid w:val="00EF4E7D"/>
    <w:rsid w:val="00EF4FE3"/>
    <w:rsid w:val="00EF5016"/>
    <w:rsid w:val="00EF51F9"/>
    <w:rsid w:val="00EF5581"/>
    <w:rsid w:val="00EF565C"/>
    <w:rsid w:val="00EF58B7"/>
    <w:rsid w:val="00EF5AD7"/>
    <w:rsid w:val="00EF5BE3"/>
    <w:rsid w:val="00EF5C38"/>
    <w:rsid w:val="00EF61A4"/>
    <w:rsid w:val="00EF63E3"/>
    <w:rsid w:val="00EF6455"/>
    <w:rsid w:val="00EF67EB"/>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DFE"/>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C43"/>
    <w:rsid w:val="00F06DA4"/>
    <w:rsid w:val="00F07D4F"/>
    <w:rsid w:val="00F07DC2"/>
    <w:rsid w:val="00F07F24"/>
    <w:rsid w:val="00F07F33"/>
    <w:rsid w:val="00F10609"/>
    <w:rsid w:val="00F10634"/>
    <w:rsid w:val="00F1090C"/>
    <w:rsid w:val="00F10AE7"/>
    <w:rsid w:val="00F1100F"/>
    <w:rsid w:val="00F11146"/>
    <w:rsid w:val="00F11220"/>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30"/>
    <w:rsid w:val="00F13765"/>
    <w:rsid w:val="00F13806"/>
    <w:rsid w:val="00F139DC"/>
    <w:rsid w:val="00F13E1C"/>
    <w:rsid w:val="00F14006"/>
    <w:rsid w:val="00F1400E"/>
    <w:rsid w:val="00F140AD"/>
    <w:rsid w:val="00F1429C"/>
    <w:rsid w:val="00F142D6"/>
    <w:rsid w:val="00F147E6"/>
    <w:rsid w:val="00F14B2E"/>
    <w:rsid w:val="00F14B4F"/>
    <w:rsid w:val="00F14FEB"/>
    <w:rsid w:val="00F150BC"/>
    <w:rsid w:val="00F151EF"/>
    <w:rsid w:val="00F152ED"/>
    <w:rsid w:val="00F15316"/>
    <w:rsid w:val="00F1533D"/>
    <w:rsid w:val="00F154A2"/>
    <w:rsid w:val="00F1558F"/>
    <w:rsid w:val="00F1573F"/>
    <w:rsid w:val="00F15786"/>
    <w:rsid w:val="00F15861"/>
    <w:rsid w:val="00F15B02"/>
    <w:rsid w:val="00F15C51"/>
    <w:rsid w:val="00F15C99"/>
    <w:rsid w:val="00F15D64"/>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773"/>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C2"/>
    <w:rsid w:val="00F22A1B"/>
    <w:rsid w:val="00F22A43"/>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DB"/>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2E6"/>
    <w:rsid w:val="00F307F2"/>
    <w:rsid w:val="00F308EE"/>
    <w:rsid w:val="00F30BC5"/>
    <w:rsid w:val="00F30BEF"/>
    <w:rsid w:val="00F30C70"/>
    <w:rsid w:val="00F30FF1"/>
    <w:rsid w:val="00F310B4"/>
    <w:rsid w:val="00F310C9"/>
    <w:rsid w:val="00F31185"/>
    <w:rsid w:val="00F3124C"/>
    <w:rsid w:val="00F31511"/>
    <w:rsid w:val="00F317F5"/>
    <w:rsid w:val="00F31B00"/>
    <w:rsid w:val="00F31B12"/>
    <w:rsid w:val="00F31BA5"/>
    <w:rsid w:val="00F31CE6"/>
    <w:rsid w:val="00F31EE4"/>
    <w:rsid w:val="00F3215B"/>
    <w:rsid w:val="00F32644"/>
    <w:rsid w:val="00F32981"/>
    <w:rsid w:val="00F32993"/>
    <w:rsid w:val="00F32A9F"/>
    <w:rsid w:val="00F32D78"/>
    <w:rsid w:val="00F3322C"/>
    <w:rsid w:val="00F332A7"/>
    <w:rsid w:val="00F33455"/>
    <w:rsid w:val="00F3347C"/>
    <w:rsid w:val="00F334B5"/>
    <w:rsid w:val="00F33659"/>
    <w:rsid w:val="00F33822"/>
    <w:rsid w:val="00F33C9E"/>
    <w:rsid w:val="00F3425B"/>
    <w:rsid w:val="00F346FE"/>
    <w:rsid w:val="00F3474F"/>
    <w:rsid w:val="00F34A4B"/>
    <w:rsid w:val="00F34BD2"/>
    <w:rsid w:val="00F34C8C"/>
    <w:rsid w:val="00F34CBB"/>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5A"/>
    <w:rsid w:val="00F372F6"/>
    <w:rsid w:val="00F373F7"/>
    <w:rsid w:val="00F37425"/>
    <w:rsid w:val="00F3742D"/>
    <w:rsid w:val="00F374C7"/>
    <w:rsid w:val="00F37ABA"/>
    <w:rsid w:val="00F37C40"/>
    <w:rsid w:val="00F37CA7"/>
    <w:rsid w:val="00F37CB0"/>
    <w:rsid w:val="00F37D4B"/>
    <w:rsid w:val="00F37E74"/>
    <w:rsid w:val="00F37F81"/>
    <w:rsid w:val="00F37FF9"/>
    <w:rsid w:val="00F4016F"/>
    <w:rsid w:val="00F402AB"/>
    <w:rsid w:val="00F405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9E4"/>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21B"/>
    <w:rsid w:val="00F633F1"/>
    <w:rsid w:val="00F6349F"/>
    <w:rsid w:val="00F635F9"/>
    <w:rsid w:val="00F6369D"/>
    <w:rsid w:val="00F637EE"/>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ABD"/>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A52"/>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CDF"/>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F6E"/>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94"/>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0C7"/>
    <w:rsid w:val="00F9410B"/>
    <w:rsid w:val="00F94147"/>
    <w:rsid w:val="00F94214"/>
    <w:rsid w:val="00F94329"/>
    <w:rsid w:val="00F943B5"/>
    <w:rsid w:val="00F94563"/>
    <w:rsid w:val="00F9484F"/>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8FF"/>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5E60"/>
    <w:rsid w:val="00FB6021"/>
    <w:rsid w:val="00FB61C4"/>
    <w:rsid w:val="00FB637D"/>
    <w:rsid w:val="00FB65B1"/>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37"/>
    <w:rsid w:val="00FC196A"/>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76"/>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808"/>
    <w:rsid w:val="00FD0941"/>
    <w:rsid w:val="00FD0983"/>
    <w:rsid w:val="00FD0C03"/>
    <w:rsid w:val="00FD0C96"/>
    <w:rsid w:val="00FD0E27"/>
    <w:rsid w:val="00FD0E2F"/>
    <w:rsid w:val="00FD0EF6"/>
    <w:rsid w:val="00FD1024"/>
    <w:rsid w:val="00FD1104"/>
    <w:rsid w:val="00FD1300"/>
    <w:rsid w:val="00FD1458"/>
    <w:rsid w:val="00FD157C"/>
    <w:rsid w:val="00FD179D"/>
    <w:rsid w:val="00FD1945"/>
    <w:rsid w:val="00FD1A4A"/>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11"/>
    <w:rsid w:val="00FD56D4"/>
    <w:rsid w:val="00FD5982"/>
    <w:rsid w:val="00FD59F8"/>
    <w:rsid w:val="00FD5B63"/>
    <w:rsid w:val="00FD5B91"/>
    <w:rsid w:val="00FD5BD3"/>
    <w:rsid w:val="00FD5D9B"/>
    <w:rsid w:val="00FD6143"/>
    <w:rsid w:val="00FD649F"/>
    <w:rsid w:val="00FD660F"/>
    <w:rsid w:val="00FD6649"/>
    <w:rsid w:val="00FD699B"/>
    <w:rsid w:val="00FD6A48"/>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3DB"/>
    <w:rsid w:val="00FE26C1"/>
    <w:rsid w:val="00FE2842"/>
    <w:rsid w:val="00FE295B"/>
    <w:rsid w:val="00FE2F7A"/>
    <w:rsid w:val="00FE30B6"/>
    <w:rsid w:val="00FE3A9C"/>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31"/>
    <w:rsid w:val="00FE5980"/>
    <w:rsid w:val="00FE5C69"/>
    <w:rsid w:val="00FE609C"/>
    <w:rsid w:val="00FE6230"/>
    <w:rsid w:val="00FE6468"/>
    <w:rsid w:val="00FE6646"/>
    <w:rsid w:val="00FE669B"/>
    <w:rsid w:val="00FE6DDE"/>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2C2E"/>
    <w:rsid w:val="00FF313B"/>
    <w:rsid w:val="00FF31A1"/>
    <w:rsid w:val="00FF34C8"/>
    <w:rsid w:val="00FF36BD"/>
    <w:rsid w:val="00FF381C"/>
    <w:rsid w:val="00FF3A8F"/>
    <w:rsid w:val="00FF3B13"/>
    <w:rsid w:val="00FF3B76"/>
    <w:rsid w:val="00FF3CCA"/>
    <w:rsid w:val="00FF3F58"/>
    <w:rsid w:val="00FF4083"/>
    <w:rsid w:val="00FF41EC"/>
    <w:rsid w:val="00FF43EE"/>
    <w:rsid w:val="00FF48E6"/>
    <w:rsid w:val="00FF4ACE"/>
    <w:rsid w:val="00FF4B29"/>
    <w:rsid w:val="00FF4B4F"/>
    <w:rsid w:val="00FF4C57"/>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772"/>
    <w:rsid w:val="00FF7989"/>
    <w:rsid w:val="00FF7D03"/>
    <w:rsid w:val="00FF7FB4"/>
    <w:rsid w:val="0B660C1A"/>
    <w:rsid w:val="17F93E0B"/>
    <w:rsid w:val="1C455CA5"/>
    <w:rsid w:val="1D2C69D2"/>
    <w:rsid w:val="239E00B4"/>
    <w:rsid w:val="251E74A4"/>
    <w:rsid w:val="270C609D"/>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734D4DDD"/>
    <w:rsid w:val="742C5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2"/>
    <w:qFormat/>
    <w:uiPriority w:val="0"/>
    <w:pPr>
      <w:keepNext/>
      <w:keepLines/>
      <w:adjustRightInd w:val="0"/>
      <w:spacing w:before="280" w:after="290" w:line="376" w:lineRule="atLeast"/>
      <w:textAlignment w:val="baseline"/>
      <w:outlineLvl w:val="3"/>
    </w:pPr>
    <w:rPr>
      <w:b/>
      <w:kern w:val="0"/>
      <w:sz w:val="24"/>
      <w:szCs w:val="20"/>
    </w:rPr>
  </w:style>
  <w:style w:type="paragraph" w:styleId="7">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4"/>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8"/>
    <w:qFormat/>
    <w:uiPriority w:val="0"/>
    <w:pPr>
      <w:shd w:val="clear" w:color="auto" w:fill="000080"/>
    </w:pPr>
  </w:style>
  <w:style w:type="paragraph" w:styleId="15">
    <w:name w:val="annotation text"/>
    <w:basedOn w:val="1"/>
    <w:link w:val="184"/>
    <w:qFormat/>
    <w:uiPriority w:val="99"/>
    <w:pPr>
      <w:jc w:val="left"/>
    </w:pPr>
  </w:style>
  <w:style w:type="paragraph" w:styleId="16">
    <w:name w:val="Body Text 3"/>
    <w:basedOn w:val="1"/>
    <w:link w:val="239"/>
    <w:qFormat/>
    <w:uiPriority w:val="0"/>
    <w:pPr>
      <w:spacing w:after="120"/>
    </w:pPr>
    <w:rPr>
      <w:sz w:val="16"/>
      <w:szCs w:val="16"/>
    </w:rPr>
  </w:style>
  <w:style w:type="paragraph" w:styleId="17">
    <w:name w:val="Body Text"/>
    <w:basedOn w:val="1"/>
    <w:link w:val="240"/>
    <w:qFormat/>
    <w:uiPriority w:val="0"/>
    <w:pPr>
      <w:tabs>
        <w:tab w:val="left" w:pos="567"/>
      </w:tabs>
      <w:spacing w:before="120" w:line="22" w:lineRule="atLeast"/>
    </w:pPr>
    <w:rPr>
      <w:rFonts w:ascii="宋体" w:hAnsi="宋体"/>
      <w:sz w:val="24"/>
    </w:rPr>
  </w:style>
  <w:style w:type="paragraph" w:styleId="18">
    <w:name w:val="Body Text Indent"/>
    <w:basedOn w:val="1"/>
    <w:link w:val="69"/>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4"/>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41"/>
    <w:qFormat/>
    <w:uiPriority w:val="0"/>
    <w:pPr>
      <w:ind w:left="100" w:leftChars="2500"/>
    </w:pPr>
    <w:rPr>
      <w:rFonts w:ascii="仿宋_GB2312" w:hAnsi="宋体" w:eastAsia="仿宋_GB2312"/>
      <w:color w:val="000000"/>
      <w:sz w:val="24"/>
    </w:rPr>
  </w:style>
  <w:style w:type="paragraph" w:styleId="26">
    <w:name w:val="Body Text Indent 2"/>
    <w:basedOn w:val="1"/>
    <w:link w:val="242"/>
    <w:qFormat/>
    <w:uiPriority w:val="0"/>
    <w:pPr>
      <w:ind w:firstLine="480" w:firstLineChars="200"/>
    </w:pPr>
    <w:rPr>
      <w:rFonts w:ascii="仿宋_GB2312" w:eastAsia="仿宋_GB2312"/>
      <w:sz w:val="24"/>
    </w:rPr>
  </w:style>
  <w:style w:type="paragraph" w:styleId="27">
    <w:name w:val="endnote text"/>
    <w:basedOn w:val="1"/>
    <w:link w:val="255"/>
    <w:qFormat/>
    <w:uiPriority w:val="0"/>
    <w:pPr>
      <w:snapToGrid w:val="0"/>
      <w:jc w:val="left"/>
    </w:pPr>
  </w:style>
  <w:style w:type="paragraph" w:styleId="28">
    <w:name w:val="Balloon Text"/>
    <w:basedOn w:val="1"/>
    <w:link w:val="243"/>
    <w:qFormat/>
    <w:uiPriority w:val="0"/>
    <w:rPr>
      <w:sz w:val="18"/>
      <w:szCs w:val="18"/>
    </w:rPr>
  </w:style>
  <w:style w:type="paragraph" w:styleId="29">
    <w:name w:val="footer"/>
    <w:basedOn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90"/>
    <w:qFormat/>
    <w:uiPriority w:val="0"/>
    <w:pPr>
      <w:jc w:val="center"/>
      <w:outlineLvl w:val="0"/>
    </w:pPr>
    <w:rPr>
      <w:b/>
      <w:sz w:val="32"/>
      <w:szCs w:val="20"/>
    </w:rPr>
  </w:style>
  <w:style w:type="paragraph" w:styleId="41">
    <w:name w:val="annotation subject"/>
    <w:basedOn w:val="15"/>
    <w:next w:val="15"/>
    <w:link w:val="246"/>
    <w:qFormat/>
    <w:uiPriority w:val="0"/>
    <w:rPr>
      <w:b/>
      <w:bCs/>
    </w:rPr>
  </w:style>
  <w:style w:type="paragraph" w:styleId="42">
    <w:name w:val="Body Text First Indent"/>
    <w:basedOn w:val="17"/>
    <w:link w:val="253"/>
    <w:qFormat/>
    <w:uiPriority w:val="99"/>
    <w:pPr>
      <w:ind w:firstLine="420" w:firstLineChars="100"/>
    </w:pPr>
    <w:rPr>
      <w:szCs w:val="22"/>
    </w:rPr>
  </w:style>
  <w:style w:type="paragraph" w:styleId="43">
    <w:name w:val="Body Text First Indent 2"/>
    <w:basedOn w:val="18"/>
    <w:link w:val="247"/>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endnote reference"/>
    <w:basedOn w:val="47"/>
    <w:qFormat/>
    <w:uiPriority w:val="0"/>
    <w:rPr>
      <w:vertAlign w:val="superscript"/>
    </w:rPr>
  </w:style>
  <w:style w:type="character" w:styleId="50">
    <w:name w:val="page number"/>
    <w:basedOn w:val="47"/>
    <w:qFormat/>
    <w:uiPriority w:val="99"/>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标题 2 Char1"/>
    <w:link w:val="3"/>
    <w:qFormat/>
    <w:uiPriority w:val="0"/>
    <w:rPr>
      <w:rFonts w:ascii="Arial" w:hAnsi="Arial" w:eastAsia="黑体"/>
      <w:b/>
      <w:sz w:val="30"/>
      <w:lang w:val="en-US" w:eastAsia="zh-CN" w:bidi="ar-SA"/>
    </w:rPr>
  </w:style>
  <w:style w:type="character" w:customStyle="1" w:styleId="57">
    <w:name w:val="标题 3 Char1"/>
    <w:link w:val="5"/>
    <w:qFormat/>
    <w:uiPriority w:val="0"/>
    <w:rPr>
      <w:rFonts w:ascii="宋体" w:eastAsia="宋体"/>
      <w:b/>
      <w:sz w:val="24"/>
      <w:u w:val="single"/>
      <w:lang w:val="en-US" w:eastAsia="zh-CN" w:bidi="ar-SA"/>
    </w:rPr>
  </w:style>
  <w:style w:type="character" w:customStyle="1" w:styleId="58">
    <w:name w:val="c21"/>
    <w:qFormat/>
    <w:uiPriority w:val="0"/>
    <w:rPr>
      <w:rFonts w:hint="default" w:ascii="ˎ̥" w:hAnsi="ˎ̥"/>
      <w:color w:val="000000"/>
      <w:sz w:val="20"/>
      <w:szCs w:val="20"/>
      <w:u w:val="none"/>
    </w:rPr>
  </w:style>
  <w:style w:type="character" w:customStyle="1" w:styleId="59">
    <w:name w:val="title4"/>
    <w:qFormat/>
    <w:uiPriority w:val="0"/>
    <w:rPr>
      <w:b/>
      <w:bCs/>
      <w:color w:val="1D87B3"/>
      <w:sz w:val="15"/>
      <w:szCs w:val="15"/>
    </w:rPr>
  </w:style>
  <w:style w:type="character" w:customStyle="1" w:styleId="60">
    <w:name w:val="标题 2 Char Char"/>
    <w:qFormat/>
    <w:uiPriority w:val="0"/>
    <w:rPr>
      <w:rFonts w:ascii="Arial" w:hAnsi="Arial" w:eastAsia="黑体"/>
      <w:b/>
      <w:bCs/>
      <w:kern w:val="2"/>
      <w:sz w:val="32"/>
      <w:szCs w:val="32"/>
      <w:lang w:val="en-US" w:eastAsia="zh-CN" w:bidi="ar-SA"/>
    </w:rPr>
  </w:style>
  <w:style w:type="character" w:customStyle="1" w:styleId="61">
    <w:name w:val="black1"/>
    <w:qFormat/>
    <w:uiPriority w:val="0"/>
    <w:rPr>
      <w:color w:val="000000"/>
    </w:rPr>
  </w:style>
  <w:style w:type="character" w:customStyle="1" w:styleId="62">
    <w:name w:val="street-address"/>
    <w:basedOn w:val="47"/>
    <w:qFormat/>
    <w:uiPriority w:val="0"/>
  </w:style>
  <w:style w:type="character" w:customStyle="1" w:styleId="63">
    <w:name w:val="locality"/>
    <w:basedOn w:val="47"/>
    <w:qFormat/>
    <w:uiPriority w:val="0"/>
  </w:style>
  <w:style w:type="character" w:customStyle="1" w:styleId="64">
    <w:name w:val="正文缩进 Char1"/>
    <w:link w:val="4"/>
    <w:qFormat/>
    <w:uiPriority w:val="0"/>
    <w:rPr>
      <w:rFonts w:ascii="宋体" w:eastAsia="宋体"/>
      <w:kern w:val="2"/>
      <w:sz w:val="24"/>
      <w:szCs w:val="24"/>
      <w:lang w:val="en-US" w:eastAsia="zh-CN" w:bidi="ar-SA"/>
    </w:rPr>
  </w:style>
  <w:style w:type="character" w:customStyle="1" w:styleId="65">
    <w:name w:val="正文文本缩进 Char1"/>
    <w:link w:val="66"/>
    <w:qFormat/>
    <w:uiPriority w:val="0"/>
    <w:rPr>
      <w:rFonts w:ascii="宋体" w:hAnsi="宋体" w:eastAsia="宋体"/>
      <w:sz w:val="24"/>
      <w:szCs w:val="24"/>
      <w:lang w:bidi="ar-SA"/>
    </w:rPr>
  </w:style>
  <w:style w:type="paragraph" w:customStyle="1" w:styleId="66">
    <w:name w:val="正文文本缩进1"/>
    <w:basedOn w:val="1"/>
    <w:link w:val="65"/>
    <w:qFormat/>
    <w:uiPriority w:val="0"/>
    <w:pPr>
      <w:spacing w:line="480" w:lineRule="exact"/>
      <w:ind w:firstLine="480" w:firstLineChars="200"/>
    </w:pPr>
    <w:rPr>
      <w:rFonts w:ascii="宋体" w:hAnsi="宋体"/>
      <w:kern w:val="0"/>
      <w:sz w:val="24"/>
    </w:rPr>
  </w:style>
  <w:style w:type="character" w:customStyle="1" w:styleId="67">
    <w:name w:val="Char Char11"/>
    <w:qFormat/>
    <w:uiPriority w:val="0"/>
    <w:rPr>
      <w:rFonts w:ascii="宋体" w:eastAsia="宋体"/>
      <w:b/>
      <w:sz w:val="24"/>
      <w:u w:val="single"/>
      <w:lang w:val="en-US" w:eastAsia="zh-CN" w:bidi="ar-SA"/>
    </w:rPr>
  </w:style>
  <w:style w:type="character" w:customStyle="1" w:styleId="68">
    <w:name w:val="txt"/>
    <w:basedOn w:val="47"/>
    <w:qFormat/>
    <w:uiPriority w:val="0"/>
  </w:style>
  <w:style w:type="character" w:customStyle="1" w:styleId="69">
    <w:name w:val="正文文本缩进 Char2"/>
    <w:link w:val="18"/>
    <w:qFormat/>
    <w:uiPriority w:val="0"/>
    <w:rPr>
      <w:rFonts w:eastAsia="宋体"/>
      <w:kern w:val="2"/>
      <w:sz w:val="24"/>
      <w:szCs w:val="24"/>
      <w:lang w:val="en-US" w:eastAsia="zh-CN" w:bidi="ar-SA"/>
    </w:rPr>
  </w:style>
  <w:style w:type="character" w:customStyle="1" w:styleId="70">
    <w:name w:val="正文缩进 Char Char"/>
    <w:link w:val="71"/>
    <w:qFormat/>
    <w:uiPriority w:val="0"/>
    <w:rPr>
      <w:rFonts w:ascii="宋体" w:eastAsia="宋体"/>
      <w:snapToGrid w:val="0"/>
      <w:color w:val="000000"/>
      <w:kern w:val="28"/>
      <w:sz w:val="28"/>
      <w:lang w:bidi="ar-SA"/>
    </w:rPr>
  </w:style>
  <w:style w:type="paragraph" w:customStyle="1" w:styleId="71">
    <w:name w:val="正文缩进1"/>
    <w:basedOn w:val="1"/>
    <w:link w:val="7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2">
    <w:name w:val="普通文字1 Char1"/>
    <w:qFormat/>
    <w:uiPriority w:val="0"/>
    <w:rPr>
      <w:rFonts w:ascii="宋体" w:hAnsi="Courier New" w:eastAsia="宋体"/>
      <w:kern w:val="2"/>
      <w:sz w:val="21"/>
      <w:lang w:val="en-US" w:eastAsia="zh-CN" w:bidi="ar-SA"/>
    </w:rPr>
  </w:style>
  <w:style w:type="character" w:customStyle="1" w:styleId="73">
    <w:name w:val="chanpin1"/>
    <w:qFormat/>
    <w:uiPriority w:val="0"/>
    <w:rPr>
      <w:rFonts w:hint="default" w:ascii="ˎ̥" w:hAnsi="ˎ̥"/>
      <w:color w:val="000000"/>
      <w:sz w:val="20"/>
      <w:szCs w:val="20"/>
      <w:u w:val="none"/>
    </w:rPr>
  </w:style>
  <w:style w:type="character" w:customStyle="1" w:styleId="74">
    <w:name w:val="列出段落 Char1"/>
    <w:link w:val="75"/>
    <w:qFormat/>
    <w:uiPriority w:val="34"/>
    <w:rPr>
      <w:rFonts w:ascii="Calibri" w:hAnsi="Calibri" w:eastAsia="宋体"/>
      <w:kern w:val="2"/>
      <w:sz w:val="21"/>
      <w:szCs w:val="22"/>
      <w:lang w:val="en-US" w:eastAsia="zh-CN" w:bidi="ar-SA"/>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Char1"/>
    <w:link w:val="30"/>
    <w:qFormat/>
    <w:uiPriority w:val="0"/>
    <w:rPr>
      <w:rFonts w:eastAsia="宋体"/>
      <w:kern w:val="2"/>
      <w:sz w:val="18"/>
      <w:szCs w:val="18"/>
      <w:lang w:val="en-US" w:eastAsia="zh-CN" w:bidi="ar-SA"/>
    </w:rPr>
  </w:style>
  <w:style w:type="character" w:customStyle="1" w:styleId="79">
    <w:name w:val="chanpin拷贝"/>
    <w:basedOn w:val="47"/>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Pr>
      <w:tabs>
        <w:tab w:val="left" w:pos="360"/>
        <w:tab w:val="left" w:pos="840"/>
      </w:tabs>
      <w:ind w:left="0" w:hanging="840"/>
      <w:outlineLvl w:val="1"/>
    </w:pPr>
  </w:style>
  <w:style w:type="paragraph" w:customStyle="1" w:styleId="84">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numId w:val="2"/>
      </w:numPr>
    </w:pPr>
  </w:style>
  <w:style w:type="paragraph" w:customStyle="1" w:styleId="9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1"/>
    <w:basedOn w:val="14"/>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1"/>
      </w:numPr>
      <w:ind w:left="0" w:hanging="840"/>
      <w:outlineLvl w:val="3"/>
    </w:pPr>
  </w:style>
  <w:style w:type="paragraph" w:customStyle="1" w:styleId="12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5"/>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39"/>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Char1"/>
    <w:link w:val="29"/>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rPr>
  </w:style>
  <w:style w:type="paragraph" w:customStyle="1" w:styleId="177">
    <w:name w:val="1"/>
    <w:link w:val="176"/>
    <w:qFormat/>
    <w:uiPriority w:val="0"/>
    <w:rPr>
      <w:rFonts w:ascii="Times New Roman" w:hAnsi="Times New Roman" w:eastAsia="宋体" w:cs="Times New Roman"/>
      <w:kern w:val="2"/>
      <w:sz w:val="21"/>
      <w:szCs w:val="24"/>
      <w:lang w:val="en-US"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Char1"/>
    <w:link w:val="15"/>
    <w:qFormat/>
    <w:uiPriority w:val="99"/>
    <w:rPr>
      <w:kern w:val="2"/>
      <w:sz w:val="21"/>
      <w:szCs w:val="24"/>
    </w:rPr>
  </w:style>
  <w:style w:type="paragraph" w:customStyle="1" w:styleId="185">
    <w:name w:val="标题1-附件"/>
    <w:basedOn w:val="2"/>
    <w:qFormat/>
    <w:uiPriority w:val="0"/>
    <w:pPr>
      <w:jc w:val="left"/>
    </w:pPr>
    <w:rPr>
      <w:sz w:val="24"/>
      <w:szCs w:val="24"/>
    </w:rPr>
  </w:style>
  <w:style w:type="paragraph" w:customStyle="1" w:styleId="186">
    <w:name w:val="正文小标题"/>
    <w:basedOn w:val="1"/>
    <w:next w:val="4"/>
    <w:link w:val="187"/>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4"/>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Char1"/>
    <w:link w:val="40"/>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Char2"/>
    <w:basedOn w:val="47"/>
    <w:link w:val="23"/>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223">
    <w:name w:val="Revision"/>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99"/>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Char"/>
    <w:basedOn w:val="47"/>
    <w:link w:val="2"/>
    <w:qFormat/>
    <w:uiPriority w:val="0"/>
    <w:rPr>
      <w:rFonts w:ascii="宋体"/>
      <w:b/>
      <w:kern w:val="44"/>
      <w:sz w:val="32"/>
    </w:rPr>
  </w:style>
  <w:style w:type="character" w:customStyle="1" w:styleId="232">
    <w:name w:val="标题 4 Char"/>
    <w:basedOn w:val="47"/>
    <w:link w:val="6"/>
    <w:qFormat/>
    <w:uiPriority w:val="0"/>
    <w:rPr>
      <w:b/>
      <w:sz w:val="24"/>
    </w:rPr>
  </w:style>
  <w:style w:type="character" w:customStyle="1" w:styleId="233">
    <w:name w:val="标题 5 Char"/>
    <w:basedOn w:val="47"/>
    <w:link w:val="7"/>
    <w:qFormat/>
    <w:uiPriority w:val="0"/>
    <w:rPr>
      <w:b/>
      <w:sz w:val="28"/>
    </w:rPr>
  </w:style>
  <w:style w:type="character" w:customStyle="1" w:styleId="234">
    <w:name w:val="标题 6 Char"/>
    <w:basedOn w:val="47"/>
    <w:link w:val="8"/>
    <w:qFormat/>
    <w:uiPriority w:val="0"/>
    <w:rPr>
      <w:rFonts w:ascii="Arial" w:hAnsi="Arial" w:eastAsia="黑体"/>
      <w:b/>
      <w:sz w:val="24"/>
    </w:rPr>
  </w:style>
  <w:style w:type="character" w:customStyle="1" w:styleId="235">
    <w:name w:val="标题 7 Char"/>
    <w:basedOn w:val="47"/>
    <w:link w:val="9"/>
    <w:qFormat/>
    <w:uiPriority w:val="0"/>
    <w:rPr>
      <w:b/>
      <w:sz w:val="24"/>
    </w:rPr>
  </w:style>
  <w:style w:type="character" w:customStyle="1" w:styleId="236">
    <w:name w:val="标题 8 Char"/>
    <w:basedOn w:val="47"/>
    <w:link w:val="10"/>
    <w:qFormat/>
    <w:uiPriority w:val="0"/>
    <w:rPr>
      <w:rFonts w:ascii="Arial" w:hAnsi="Arial" w:eastAsia="黑体"/>
      <w:sz w:val="24"/>
    </w:rPr>
  </w:style>
  <w:style w:type="character" w:customStyle="1" w:styleId="237">
    <w:name w:val="标题 9 Char"/>
    <w:basedOn w:val="47"/>
    <w:link w:val="11"/>
    <w:qFormat/>
    <w:uiPriority w:val="0"/>
    <w:rPr>
      <w:rFonts w:ascii="Arial" w:hAnsi="Arial" w:eastAsia="黑体"/>
      <w:sz w:val="21"/>
    </w:rPr>
  </w:style>
  <w:style w:type="character" w:customStyle="1" w:styleId="238">
    <w:name w:val="文档结构图 Char"/>
    <w:basedOn w:val="47"/>
    <w:link w:val="14"/>
    <w:qFormat/>
    <w:uiPriority w:val="0"/>
    <w:rPr>
      <w:kern w:val="2"/>
      <w:sz w:val="21"/>
      <w:szCs w:val="24"/>
      <w:shd w:val="clear" w:color="auto" w:fill="000080"/>
    </w:rPr>
  </w:style>
  <w:style w:type="character" w:customStyle="1" w:styleId="239">
    <w:name w:val="正文文本 3 Char"/>
    <w:basedOn w:val="47"/>
    <w:link w:val="16"/>
    <w:qFormat/>
    <w:uiPriority w:val="0"/>
    <w:rPr>
      <w:kern w:val="2"/>
      <w:sz w:val="16"/>
      <w:szCs w:val="16"/>
    </w:rPr>
  </w:style>
  <w:style w:type="character" w:customStyle="1" w:styleId="240">
    <w:name w:val="正文文本 Char"/>
    <w:basedOn w:val="47"/>
    <w:link w:val="17"/>
    <w:qFormat/>
    <w:uiPriority w:val="0"/>
    <w:rPr>
      <w:rFonts w:ascii="宋体" w:hAnsi="宋体"/>
      <w:kern w:val="2"/>
      <w:sz w:val="24"/>
      <w:szCs w:val="24"/>
    </w:rPr>
  </w:style>
  <w:style w:type="character" w:customStyle="1" w:styleId="241">
    <w:name w:val="日期 Char"/>
    <w:basedOn w:val="47"/>
    <w:link w:val="25"/>
    <w:qFormat/>
    <w:uiPriority w:val="0"/>
    <w:rPr>
      <w:rFonts w:ascii="仿宋_GB2312" w:hAnsi="宋体" w:eastAsia="仿宋_GB2312"/>
      <w:color w:val="000000"/>
      <w:kern w:val="2"/>
      <w:sz w:val="24"/>
      <w:szCs w:val="24"/>
    </w:rPr>
  </w:style>
  <w:style w:type="character" w:customStyle="1" w:styleId="242">
    <w:name w:val="正文文本缩进 2 Char"/>
    <w:basedOn w:val="47"/>
    <w:link w:val="26"/>
    <w:qFormat/>
    <w:uiPriority w:val="0"/>
    <w:rPr>
      <w:rFonts w:ascii="仿宋_GB2312" w:eastAsia="仿宋_GB2312"/>
      <w:kern w:val="2"/>
      <w:sz w:val="24"/>
      <w:szCs w:val="24"/>
    </w:rPr>
  </w:style>
  <w:style w:type="character" w:customStyle="1" w:styleId="243">
    <w:name w:val="批注框文本 Char"/>
    <w:basedOn w:val="47"/>
    <w:link w:val="28"/>
    <w:qFormat/>
    <w:uiPriority w:val="0"/>
    <w:rPr>
      <w:kern w:val="2"/>
      <w:sz w:val="18"/>
      <w:szCs w:val="18"/>
    </w:rPr>
  </w:style>
  <w:style w:type="character" w:customStyle="1" w:styleId="244">
    <w:name w:val="正文文本缩进 3 Char"/>
    <w:basedOn w:val="47"/>
    <w:link w:val="34"/>
    <w:qFormat/>
    <w:uiPriority w:val="0"/>
    <w:rPr>
      <w:rFonts w:ascii="宋体"/>
      <w:sz w:val="24"/>
    </w:rPr>
  </w:style>
  <w:style w:type="character" w:customStyle="1" w:styleId="245">
    <w:name w:val="HTML 预设格式 Char"/>
    <w:basedOn w:val="47"/>
    <w:link w:val="37"/>
    <w:qFormat/>
    <w:uiPriority w:val="0"/>
    <w:rPr>
      <w:rFonts w:ascii="宋体" w:hAnsi="宋体" w:cs="宋体"/>
      <w:sz w:val="24"/>
      <w:szCs w:val="24"/>
    </w:rPr>
  </w:style>
  <w:style w:type="character" w:customStyle="1" w:styleId="246">
    <w:name w:val="批注主题 Char"/>
    <w:basedOn w:val="196"/>
    <w:link w:val="41"/>
    <w:qFormat/>
    <w:uiPriority w:val="0"/>
    <w:rPr>
      <w:rFonts w:ascii="Times New Roman" w:hAnsi="Times New Roman" w:eastAsia="宋体" w:cs="Times New Roman"/>
      <w:b/>
      <w:bCs/>
      <w:kern w:val="2"/>
      <w:sz w:val="21"/>
      <w:szCs w:val="24"/>
      <w:lang w:val="en-US" w:eastAsia="zh-CN" w:bidi="ar-SA"/>
    </w:rPr>
  </w:style>
  <w:style w:type="character" w:customStyle="1" w:styleId="247">
    <w:name w:val="正文首行缩进 2 Char"/>
    <w:basedOn w:val="69"/>
    <w:link w:val="43"/>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3">
    <w:name w:val="正文首行缩进 Char"/>
    <w:basedOn w:val="240"/>
    <w:link w:val="42"/>
    <w:qFormat/>
    <w:uiPriority w:val="99"/>
    <w:rPr>
      <w:rFonts w:ascii="宋体" w:hAnsi="宋体"/>
      <w:kern w:val="2"/>
      <w:sz w:val="24"/>
      <w:szCs w:val="22"/>
    </w:rPr>
  </w:style>
  <w:style w:type="paragraph" w:customStyle="1" w:styleId="254">
    <w:name w:val="修订1"/>
    <w:qFormat/>
    <w:uiPriority w:val="0"/>
    <w:rPr>
      <w:rFonts w:ascii="Times New Roman" w:hAnsi="Times New Roman" w:eastAsia="宋体" w:cs="Times New Roman"/>
      <w:kern w:val="2"/>
      <w:sz w:val="21"/>
      <w:szCs w:val="24"/>
      <w:lang w:val="en-US" w:eastAsia="zh-CN" w:bidi="ar-SA"/>
    </w:rPr>
  </w:style>
  <w:style w:type="character" w:customStyle="1" w:styleId="255">
    <w:name w:val="尾注文本 Char"/>
    <w:basedOn w:val="47"/>
    <w:link w:val="27"/>
    <w:qFormat/>
    <w:uiPriority w:val="0"/>
    <w:rPr>
      <w:kern w:val="2"/>
      <w:sz w:val="21"/>
      <w:szCs w:val="24"/>
    </w:rPr>
  </w:style>
  <w:style w:type="paragraph" w:customStyle="1" w:styleId="256">
    <w:name w:val="Table Text"/>
    <w:basedOn w:val="1"/>
    <w:semiHidden/>
    <w:qFormat/>
    <w:uiPriority w:val="0"/>
    <w:rPr>
      <w:rFonts w:ascii="黑体" w:hAnsi="黑体" w:eastAsia="黑体" w:cs="黑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E789-DB3C-483D-ACE4-340CA77D8C4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10221</Words>
  <Characters>58266</Characters>
  <Lines>485</Lines>
  <Paragraphs>136</Paragraphs>
  <TotalTime>108</TotalTime>
  <ScaleCrop>false</ScaleCrop>
  <LinksUpToDate>false</LinksUpToDate>
  <CharactersWithSpaces>68351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2025-07-03T03:26:00Z</dcterms:created>
  <dc:creator>Yin Hao</dc:creator>
  <cp:lastModifiedBy>Administrator</cp:lastModifiedBy>
  <cp:lastPrinted>2025-07-03T09:21:00Z</cp:lastPrinted>
  <dcterms:modified xsi:type="dcterms:W3CDTF">2025-07-04T02:19:05Z</dcterms:modified>
  <dc:title>政府采购示范文本（2023）</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B196972313054D4789BB25DBD05B5736</vt:lpwstr>
  </property>
</Properties>
</file>