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8DE60">
      <w:pPr>
        <w:spacing w:line="360" w:lineRule="auto"/>
        <w:jc w:val="center"/>
        <w:outlineLvl w:val="0"/>
        <w:rPr>
          <w:rFonts w:ascii="Times New Roman" w:hAnsi="Times New Roman" w:eastAsia="宋体" w:cs="Times New Roman"/>
          <w:b/>
          <w:sz w:val="36"/>
          <w:szCs w:val="36"/>
        </w:rPr>
      </w:pPr>
      <w:bookmarkStart w:id="0" w:name="_Toc145957721"/>
      <w:r>
        <w:rPr>
          <w:rFonts w:ascii="Times New Roman" w:hAnsi="Times New Roman" w:eastAsia="宋体" w:cs="Times New Roman"/>
          <w:b/>
          <w:sz w:val="36"/>
          <w:szCs w:val="36"/>
        </w:rPr>
        <w:t xml:space="preserve">第四章   </w:t>
      </w:r>
      <w:bookmarkStart w:id="1" w:name="_Hlt164229061"/>
      <w:bookmarkEnd w:id="1"/>
      <w:bookmarkStart w:id="2" w:name="_Hlk189815982"/>
      <w:r>
        <w:rPr>
          <w:rFonts w:ascii="Times New Roman" w:hAnsi="Times New Roman" w:eastAsia="宋体" w:cs="Times New Roman"/>
          <w:b/>
          <w:sz w:val="36"/>
          <w:szCs w:val="36"/>
        </w:rPr>
        <w:t>评标程序、评标方法和评标标准</w:t>
      </w:r>
      <w:bookmarkEnd w:id="0"/>
      <w:bookmarkEnd w:id="2"/>
    </w:p>
    <w:p w14:paraId="60849B19">
      <w:pPr>
        <w:tabs>
          <w:tab w:val="left" w:pos="360"/>
          <w:tab w:val="left" w:pos="900"/>
        </w:tabs>
        <w:snapToGrid w:val="0"/>
        <w:spacing w:line="360" w:lineRule="auto"/>
        <w:jc w:val="center"/>
        <w:outlineLvl w:val="1"/>
        <w:rPr>
          <w:rFonts w:ascii="Times New Roman" w:hAnsi="Times New Roman" w:eastAsia="宋体" w:cs="Times New Roman"/>
          <w:b/>
        </w:rPr>
      </w:pPr>
      <w:r>
        <w:rPr>
          <w:rFonts w:ascii="Times New Roman" w:hAnsi="Times New Roman" w:eastAsia="宋体" w:cs="Times New Roman"/>
          <w:b/>
          <w:sz w:val="24"/>
        </w:rPr>
        <w:t>二、评标标准</w:t>
      </w:r>
    </w:p>
    <w:tbl>
      <w:tblPr>
        <w:tblStyle w:val="4"/>
        <w:tblW w:w="52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1473"/>
        <w:gridCol w:w="948"/>
        <w:gridCol w:w="6361"/>
      </w:tblGrid>
      <w:tr w14:paraId="1270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vAlign w:val="center"/>
          </w:tcPr>
          <w:p w14:paraId="5A3F05F7">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785" w:type="pct"/>
            <w:vAlign w:val="center"/>
          </w:tcPr>
          <w:p w14:paraId="3ED4C68C">
            <w:pPr>
              <w:jc w:val="center"/>
              <w:rPr>
                <w:rFonts w:ascii="Times New Roman" w:hAnsi="Times New Roman" w:eastAsia="宋体" w:cs="Times New Roman"/>
                <w:szCs w:val="21"/>
              </w:rPr>
            </w:pPr>
            <w:r>
              <w:rPr>
                <w:rFonts w:ascii="Times New Roman" w:hAnsi="Times New Roman" w:eastAsia="宋体" w:cs="Times New Roman"/>
                <w:szCs w:val="21"/>
              </w:rPr>
              <w:t>评审因素</w:t>
            </w:r>
          </w:p>
        </w:tc>
        <w:tc>
          <w:tcPr>
            <w:tcW w:w="505" w:type="pct"/>
            <w:vAlign w:val="center"/>
          </w:tcPr>
          <w:p w14:paraId="03D1BF55">
            <w:pPr>
              <w:jc w:val="center"/>
              <w:rPr>
                <w:rFonts w:ascii="Times New Roman" w:hAnsi="Times New Roman" w:eastAsia="宋体" w:cs="Times New Roman"/>
                <w:szCs w:val="21"/>
              </w:rPr>
            </w:pPr>
            <w:r>
              <w:rPr>
                <w:rFonts w:ascii="Times New Roman" w:hAnsi="Times New Roman" w:eastAsia="宋体" w:cs="Times New Roman"/>
                <w:szCs w:val="21"/>
              </w:rPr>
              <w:t>分值</w:t>
            </w:r>
          </w:p>
        </w:tc>
        <w:tc>
          <w:tcPr>
            <w:tcW w:w="3390" w:type="pct"/>
            <w:vAlign w:val="center"/>
          </w:tcPr>
          <w:p w14:paraId="20A5C485">
            <w:pPr>
              <w:jc w:val="center"/>
              <w:rPr>
                <w:rFonts w:ascii="Times New Roman" w:hAnsi="Times New Roman" w:eastAsia="宋体" w:cs="Times New Roman"/>
                <w:szCs w:val="21"/>
              </w:rPr>
            </w:pPr>
            <w:r>
              <w:rPr>
                <w:rFonts w:ascii="Times New Roman" w:hAnsi="Times New Roman" w:eastAsia="宋体" w:cs="Times New Roman"/>
                <w:szCs w:val="21"/>
              </w:rPr>
              <w:t>评分标准说明</w:t>
            </w:r>
          </w:p>
        </w:tc>
      </w:tr>
      <w:tr w14:paraId="546A5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vAlign w:val="center"/>
          </w:tcPr>
          <w:p w14:paraId="1280C7FA">
            <w:pPr>
              <w:pStyle w:val="9"/>
              <w:numPr>
                <w:ilvl w:val="0"/>
                <w:numId w:val="1"/>
              </w:numPr>
              <w:ind w:left="0" w:firstLine="0" w:firstLineChars="0"/>
              <w:jc w:val="center"/>
              <w:rPr>
                <w:rFonts w:ascii="Times New Roman" w:hAnsi="Times New Roman"/>
                <w:szCs w:val="21"/>
              </w:rPr>
            </w:pPr>
          </w:p>
        </w:tc>
        <w:tc>
          <w:tcPr>
            <w:tcW w:w="785" w:type="pct"/>
            <w:vAlign w:val="center"/>
          </w:tcPr>
          <w:p w14:paraId="71846C3A">
            <w:pPr>
              <w:jc w:val="center"/>
              <w:rPr>
                <w:rFonts w:ascii="Times New Roman" w:hAnsi="Times New Roman" w:eastAsia="宋体" w:cs="Times New Roman"/>
                <w:szCs w:val="21"/>
              </w:rPr>
            </w:pPr>
            <w:r>
              <w:rPr>
                <w:rFonts w:ascii="Times New Roman" w:hAnsi="Times New Roman" w:eastAsia="宋体" w:cs="Times New Roman"/>
                <w:szCs w:val="21"/>
              </w:rPr>
              <w:t>项目业绩</w:t>
            </w:r>
          </w:p>
        </w:tc>
        <w:tc>
          <w:tcPr>
            <w:tcW w:w="505" w:type="pct"/>
            <w:vAlign w:val="center"/>
          </w:tcPr>
          <w:p w14:paraId="0038E5EF">
            <w:pPr>
              <w:jc w:val="center"/>
              <w:rPr>
                <w:rFonts w:ascii="Times New Roman" w:hAnsi="Times New Roman" w:eastAsia="宋体" w:cs="Times New Roman"/>
                <w:szCs w:val="21"/>
              </w:rPr>
            </w:pPr>
            <w:r>
              <w:rPr>
                <w:rFonts w:ascii="Times New Roman" w:hAnsi="Times New Roman" w:eastAsia="宋体" w:cs="Times New Roman"/>
                <w:bCs/>
                <w:szCs w:val="21"/>
              </w:rPr>
              <w:t>10</w:t>
            </w:r>
          </w:p>
        </w:tc>
        <w:tc>
          <w:tcPr>
            <w:tcW w:w="3390" w:type="pct"/>
            <w:vAlign w:val="center"/>
          </w:tcPr>
          <w:p w14:paraId="21D9B4DA">
            <w:pPr>
              <w:rPr>
                <w:rFonts w:ascii="Times New Roman" w:hAnsi="Times New Roman" w:eastAsia="宋体" w:cs="Times New Roman"/>
                <w:szCs w:val="21"/>
              </w:rPr>
            </w:pPr>
            <w:r>
              <w:rPr>
                <w:rFonts w:ascii="Times New Roman" w:hAnsi="Times New Roman" w:eastAsia="宋体" w:cs="Times New Roman"/>
                <w:szCs w:val="21"/>
              </w:rPr>
              <w:t>提供自2021年1月1日至今的同类项目业绩。每提供一个同类项目业绩得2分，最多得分10分。</w:t>
            </w:r>
          </w:p>
          <w:p w14:paraId="37FBDD6C">
            <w:pPr>
              <w:rPr>
                <w:rFonts w:ascii="Times New Roman" w:hAnsi="Times New Roman" w:eastAsia="宋体" w:cs="Times New Roman"/>
                <w:szCs w:val="21"/>
              </w:rPr>
            </w:pPr>
            <w:r>
              <w:rPr>
                <w:rFonts w:ascii="Times New Roman" w:hAnsi="Times New Roman" w:eastAsia="宋体" w:cs="Times New Roman"/>
                <w:color w:val="000000"/>
                <w:szCs w:val="21"/>
              </w:rPr>
              <w:t>注：投标人在提供业绩证明时必须提供证明其真实性的合同复印件（必须包括合同首页、含有项目名称的页面以及签章页），认定时间以合同签订时间为准。不满足上述要求的业绩不予认可。</w:t>
            </w:r>
          </w:p>
        </w:tc>
      </w:tr>
      <w:tr w14:paraId="5592F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vAlign w:val="center"/>
          </w:tcPr>
          <w:p w14:paraId="0DE6F40F">
            <w:pPr>
              <w:pStyle w:val="9"/>
              <w:numPr>
                <w:ilvl w:val="0"/>
                <w:numId w:val="1"/>
              </w:numPr>
              <w:ind w:left="0" w:firstLine="0" w:firstLineChars="0"/>
              <w:jc w:val="center"/>
              <w:rPr>
                <w:rFonts w:ascii="Times New Roman" w:hAnsi="Times New Roman"/>
                <w:szCs w:val="21"/>
              </w:rPr>
            </w:pPr>
          </w:p>
        </w:tc>
        <w:tc>
          <w:tcPr>
            <w:tcW w:w="785" w:type="pct"/>
            <w:vAlign w:val="center"/>
          </w:tcPr>
          <w:p w14:paraId="702DAC5A">
            <w:pPr>
              <w:jc w:val="center"/>
              <w:rPr>
                <w:rFonts w:ascii="Times New Roman" w:hAnsi="Times New Roman" w:eastAsia="宋体" w:cs="Times New Roman"/>
                <w:szCs w:val="21"/>
              </w:rPr>
            </w:pPr>
            <w:r>
              <w:rPr>
                <w:rFonts w:ascii="Times New Roman" w:hAnsi="Times New Roman" w:eastAsia="宋体" w:cs="Times New Roman"/>
                <w:szCs w:val="21"/>
              </w:rPr>
              <w:t>合同条款响应</w:t>
            </w:r>
          </w:p>
        </w:tc>
        <w:tc>
          <w:tcPr>
            <w:tcW w:w="505" w:type="pct"/>
            <w:vAlign w:val="center"/>
          </w:tcPr>
          <w:p w14:paraId="2339EEC9">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3390" w:type="pct"/>
            <w:vAlign w:val="center"/>
          </w:tcPr>
          <w:p w14:paraId="008A52B1">
            <w:pPr>
              <w:rPr>
                <w:rFonts w:ascii="Times New Roman" w:hAnsi="Times New Roman" w:eastAsia="宋体" w:cs="Times New Roman"/>
                <w:szCs w:val="21"/>
              </w:rPr>
            </w:pPr>
            <w:r>
              <w:rPr>
                <w:rFonts w:ascii="Times New Roman" w:hAnsi="Times New Roman" w:eastAsia="宋体" w:cs="Times New Roman"/>
                <w:szCs w:val="21"/>
              </w:rPr>
              <w:t>满足对招标文件中合同条款及履约周期的响应，完全响应，得1分；否则不得分。</w:t>
            </w:r>
          </w:p>
        </w:tc>
      </w:tr>
      <w:tr w14:paraId="4F901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vAlign w:val="center"/>
          </w:tcPr>
          <w:p w14:paraId="01167CB9">
            <w:pPr>
              <w:pStyle w:val="9"/>
              <w:numPr>
                <w:ilvl w:val="0"/>
                <w:numId w:val="1"/>
              </w:numPr>
              <w:ind w:left="0" w:firstLine="0" w:firstLineChars="0"/>
              <w:jc w:val="center"/>
              <w:rPr>
                <w:rFonts w:ascii="Times New Roman" w:hAnsi="Times New Roman"/>
                <w:szCs w:val="21"/>
              </w:rPr>
            </w:pPr>
            <w:bookmarkStart w:id="3" w:name="_Hlk207863997"/>
          </w:p>
        </w:tc>
        <w:tc>
          <w:tcPr>
            <w:tcW w:w="785" w:type="pct"/>
            <w:vAlign w:val="center"/>
          </w:tcPr>
          <w:p w14:paraId="56BB851F">
            <w:pPr>
              <w:jc w:val="center"/>
              <w:rPr>
                <w:rFonts w:ascii="Times New Roman" w:hAnsi="Times New Roman" w:eastAsia="宋体" w:cs="Times New Roman"/>
                <w:szCs w:val="21"/>
              </w:rPr>
            </w:pPr>
            <w:r>
              <w:rPr>
                <w:rFonts w:ascii="Times New Roman" w:hAnsi="Times New Roman" w:eastAsia="宋体" w:cs="Times New Roman"/>
                <w:szCs w:val="21"/>
              </w:rPr>
              <w:t>重点难点问题分析及解决方案</w:t>
            </w:r>
          </w:p>
        </w:tc>
        <w:tc>
          <w:tcPr>
            <w:tcW w:w="505" w:type="pct"/>
            <w:vAlign w:val="center"/>
          </w:tcPr>
          <w:p w14:paraId="72EECDC7">
            <w:pPr>
              <w:jc w:val="center"/>
              <w:rPr>
                <w:rFonts w:ascii="Times New Roman" w:hAnsi="Times New Roman" w:eastAsia="宋体" w:cs="Times New Roman"/>
                <w:szCs w:val="21"/>
              </w:rPr>
            </w:pPr>
            <w:r>
              <w:rPr>
                <w:rFonts w:ascii="Times New Roman" w:hAnsi="Times New Roman" w:eastAsia="宋体" w:cs="Times New Roman"/>
                <w:szCs w:val="21"/>
              </w:rPr>
              <w:t>8</w:t>
            </w:r>
          </w:p>
        </w:tc>
        <w:tc>
          <w:tcPr>
            <w:tcW w:w="3390" w:type="pct"/>
            <w:vAlign w:val="center"/>
          </w:tcPr>
          <w:p w14:paraId="4E593697">
            <w:pPr>
              <w:rPr>
                <w:rFonts w:ascii="Times New Roman" w:hAnsi="Times New Roman" w:eastAsia="宋体" w:cs="Times New Roman"/>
                <w:szCs w:val="21"/>
              </w:rPr>
            </w:pPr>
            <w:r>
              <w:rPr>
                <w:rFonts w:ascii="Times New Roman" w:hAnsi="Times New Roman" w:eastAsia="宋体" w:cs="Times New Roman"/>
                <w:szCs w:val="21"/>
              </w:rPr>
              <w:t>提供了内容完整、详实可行，有针对性的工作方案，可行性强，得8分；提供的工作方案，虽结合需求进行了分析，但内容有待完善，得6分；仅提供了常规通用的工作方案得4分；提供的方案简单、有所欠缺的，得2分。其他情况不得分。</w:t>
            </w:r>
          </w:p>
        </w:tc>
      </w:tr>
      <w:bookmarkEnd w:id="3"/>
      <w:tr w14:paraId="2940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vAlign w:val="center"/>
          </w:tcPr>
          <w:p w14:paraId="66B12F17">
            <w:pPr>
              <w:pStyle w:val="9"/>
              <w:numPr>
                <w:ilvl w:val="0"/>
                <w:numId w:val="1"/>
              </w:numPr>
              <w:ind w:left="0" w:firstLine="0" w:firstLineChars="0"/>
              <w:jc w:val="center"/>
              <w:rPr>
                <w:rFonts w:ascii="Times New Roman" w:hAnsi="Times New Roman"/>
                <w:szCs w:val="21"/>
              </w:rPr>
            </w:pPr>
            <w:bookmarkStart w:id="4" w:name="_Hlk127910459"/>
            <w:bookmarkStart w:id="5" w:name="_Hlk129291769"/>
            <w:bookmarkStart w:id="6" w:name="_Hlk129188485"/>
          </w:p>
        </w:tc>
        <w:tc>
          <w:tcPr>
            <w:tcW w:w="785" w:type="pct"/>
            <w:vAlign w:val="center"/>
          </w:tcPr>
          <w:p w14:paraId="36688482">
            <w:pPr>
              <w:jc w:val="center"/>
              <w:rPr>
                <w:rFonts w:ascii="Times New Roman" w:hAnsi="Times New Roman" w:eastAsia="宋体" w:cs="Times New Roman"/>
                <w:szCs w:val="21"/>
              </w:rPr>
            </w:pPr>
            <w:r>
              <w:rPr>
                <w:rFonts w:ascii="Times New Roman" w:hAnsi="Times New Roman" w:eastAsia="宋体" w:cs="Times New Roman"/>
                <w:szCs w:val="21"/>
              </w:rPr>
              <w:t>辅助监管与服务工作组织方案</w:t>
            </w:r>
          </w:p>
        </w:tc>
        <w:tc>
          <w:tcPr>
            <w:tcW w:w="505" w:type="pct"/>
            <w:vAlign w:val="center"/>
          </w:tcPr>
          <w:p w14:paraId="62B0526E">
            <w:pPr>
              <w:jc w:val="center"/>
              <w:rPr>
                <w:rFonts w:ascii="Times New Roman" w:hAnsi="Times New Roman" w:eastAsia="宋体" w:cs="Times New Roman"/>
                <w:szCs w:val="21"/>
              </w:rPr>
            </w:pPr>
            <w:r>
              <w:rPr>
                <w:rFonts w:ascii="Times New Roman" w:hAnsi="Times New Roman" w:eastAsia="宋体" w:cs="Times New Roman"/>
                <w:szCs w:val="21"/>
              </w:rPr>
              <w:t>8</w:t>
            </w:r>
          </w:p>
        </w:tc>
        <w:tc>
          <w:tcPr>
            <w:tcW w:w="3390" w:type="pct"/>
            <w:vAlign w:val="center"/>
          </w:tcPr>
          <w:p w14:paraId="215732AF">
            <w:pPr>
              <w:rPr>
                <w:rFonts w:ascii="Times New Roman" w:hAnsi="Times New Roman" w:eastAsia="宋体" w:cs="Times New Roman"/>
                <w:szCs w:val="21"/>
              </w:rPr>
            </w:pPr>
            <w:r>
              <w:rPr>
                <w:rFonts w:ascii="Times New Roman" w:hAnsi="Times New Roman" w:eastAsia="宋体" w:cs="Times New Roman"/>
                <w:szCs w:val="21"/>
              </w:rPr>
              <w:t>提供了内容完整、详实可行，有针对性的工作方案，可行性强，得8分；提供的工作方案，虽结合需求进行了分析，但内容有待完善，得6分；仅提供了常规通用的工作方案得4分；提供的方案简单、有所欠缺的，得2分。其他情况不得分。</w:t>
            </w:r>
          </w:p>
        </w:tc>
      </w:tr>
      <w:bookmarkEnd w:id="4"/>
      <w:bookmarkEnd w:id="5"/>
      <w:bookmarkEnd w:id="6"/>
      <w:tr w14:paraId="4119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vAlign w:val="center"/>
          </w:tcPr>
          <w:p w14:paraId="1DFA1A48">
            <w:pPr>
              <w:pStyle w:val="9"/>
              <w:numPr>
                <w:ilvl w:val="0"/>
                <w:numId w:val="1"/>
              </w:numPr>
              <w:ind w:left="0" w:firstLine="0" w:firstLineChars="0"/>
              <w:jc w:val="center"/>
              <w:rPr>
                <w:rFonts w:ascii="Times New Roman" w:hAnsi="Times New Roman"/>
                <w:szCs w:val="21"/>
              </w:rPr>
            </w:pPr>
          </w:p>
        </w:tc>
        <w:tc>
          <w:tcPr>
            <w:tcW w:w="785" w:type="pct"/>
            <w:vAlign w:val="center"/>
          </w:tcPr>
          <w:p w14:paraId="1ECEF5B4">
            <w:pPr>
              <w:jc w:val="center"/>
              <w:rPr>
                <w:rFonts w:ascii="Times New Roman" w:hAnsi="Times New Roman" w:eastAsia="宋体" w:cs="Times New Roman"/>
                <w:szCs w:val="21"/>
              </w:rPr>
            </w:pPr>
            <w:r>
              <w:rPr>
                <w:rFonts w:ascii="Times New Roman" w:hAnsi="Times New Roman" w:eastAsia="宋体" w:cs="Times New Roman"/>
                <w:szCs w:val="21"/>
              </w:rPr>
              <w:t>企业帮扶实施工作组织方案</w:t>
            </w:r>
          </w:p>
        </w:tc>
        <w:tc>
          <w:tcPr>
            <w:tcW w:w="505" w:type="pct"/>
            <w:vAlign w:val="center"/>
          </w:tcPr>
          <w:p w14:paraId="04B4C10D">
            <w:pPr>
              <w:jc w:val="center"/>
              <w:rPr>
                <w:rFonts w:ascii="Times New Roman" w:hAnsi="Times New Roman" w:eastAsia="宋体" w:cs="Times New Roman"/>
                <w:szCs w:val="21"/>
              </w:rPr>
            </w:pPr>
            <w:r>
              <w:rPr>
                <w:rFonts w:ascii="Times New Roman" w:hAnsi="Times New Roman" w:eastAsia="宋体" w:cs="Times New Roman"/>
                <w:szCs w:val="21"/>
              </w:rPr>
              <w:t>8</w:t>
            </w:r>
          </w:p>
        </w:tc>
        <w:tc>
          <w:tcPr>
            <w:tcW w:w="3390" w:type="pct"/>
            <w:vAlign w:val="center"/>
          </w:tcPr>
          <w:p w14:paraId="255ECE37">
            <w:pPr>
              <w:rPr>
                <w:rFonts w:ascii="Times New Roman" w:hAnsi="Times New Roman" w:eastAsia="宋体" w:cs="Times New Roman"/>
                <w:bCs/>
                <w:szCs w:val="21"/>
              </w:rPr>
            </w:pPr>
            <w:r>
              <w:rPr>
                <w:rFonts w:ascii="Times New Roman" w:hAnsi="Times New Roman" w:eastAsia="宋体" w:cs="Times New Roman"/>
                <w:szCs w:val="21"/>
              </w:rPr>
              <w:t>提供了内容完整、详实可行，有针对性的工作方案，可行性强，得8分；提供的工作方案，虽结合需求进行了分析，但内容有待完善，得6分；仅提供了常规通用的工作方案得4分；提供的方案简单、有所欠缺的，得2分。其他情况不得分。</w:t>
            </w:r>
          </w:p>
        </w:tc>
      </w:tr>
      <w:tr w14:paraId="0B16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vAlign w:val="center"/>
          </w:tcPr>
          <w:p w14:paraId="17D444D9">
            <w:pPr>
              <w:pStyle w:val="9"/>
              <w:numPr>
                <w:ilvl w:val="0"/>
                <w:numId w:val="1"/>
              </w:numPr>
              <w:ind w:left="0" w:firstLine="0" w:firstLineChars="0"/>
              <w:jc w:val="center"/>
              <w:rPr>
                <w:rFonts w:ascii="Times New Roman" w:hAnsi="Times New Roman"/>
                <w:szCs w:val="21"/>
              </w:rPr>
            </w:pPr>
          </w:p>
        </w:tc>
        <w:tc>
          <w:tcPr>
            <w:tcW w:w="785" w:type="pct"/>
            <w:vAlign w:val="center"/>
          </w:tcPr>
          <w:p w14:paraId="4561F167">
            <w:pPr>
              <w:jc w:val="center"/>
              <w:rPr>
                <w:rFonts w:ascii="Times New Roman" w:hAnsi="Times New Roman" w:eastAsia="宋体" w:cs="Times New Roman"/>
                <w:szCs w:val="21"/>
              </w:rPr>
            </w:pPr>
            <w:r>
              <w:rPr>
                <w:rFonts w:ascii="Times New Roman" w:hAnsi="Times New Roman" w:eastAsia="宋体" w:cs="Times New Roman"/>
                <w:szCs w:val="21"/>
              </w:rPr>
              <w:t>安全监管辅助工作组织方案</w:t>
            </w:r>
          </w:p>
        </w:tc>
        <w:tc>
          <w:tcPr>
            <w:tcW w:w="505" w:type="pct"/>
            <w:vAlign w:val="center"/>
          </w:tcPr>
          <w:p w14:paraId="5976DB93">
            <w:pPr>
              <w:jc w:val="center"/>
              <w:rPr>
                <w:rFonts w:ascii="Times New Roman" w:hAnsi="Times New Roman" w:eastAsia="宋体" w:cs="Times New Roman"/>
                <w:szCs w:val="21"/>
              </w:rPr>
            </w:pPr>
            <w:r>
              <w:rPr>
                <w:rFonts w:ascii="Times New Roman" w:hAnsi="Times New Roman" w:eastAsia="宋体" w:cs="Times New Roman"/>
                <w:szCs w:val="21"/>
              </w:rPr>
              <w:t>8</w:t>
            </w:r>
          </w:p>
        </w:tc>
        <w:tc>
          <w:tcPr>
            <w:tcW w:w="3390" w:type="pct"/>
            <w:vAlign w:val="center"/>
          </w:tcPr>
          <w:p w14:paraId="3FD28A77">
            <w:pPr>
              <w:rPr>
                <w:rFonts w:ascii="Times New Roman" w:hAnsi="Times New Roman" w:eastAsia="宋体" w:cs="Times New Roman"/>
                <w:szCs w:val="21"/>
              </w:rPr>
            </w:pPr>
            <w:r>
              <w:rPr>
                <w:rFonts w:ascii="Times New Roman" w:hAnsi="Times New Roman" w:eastAsia="宋体" w:cs="Times New Roman"/>
                <w:szCs w:val="21"/>
              </w:rPr>
              <w:t>提供了内容完整、详实可行，有针对性的工作方案，可行性强，得8分；提供的工作方案，虽结合需求进行了分析，但内容有待完善，得6分；仅提供了常规通用的工作方案得4分；提供的方案简单、有所欠缺的，得2分。其他情况不得分。</w:t>
            </w:r>
          </w:p>
        </w:tc>
      </w:tr>
      <w:tr w14:paraId="61271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vAlign w:val="center"/>
          </w:tcPr>
          <w:p w14:paraId="0773394A">
            <w:pPr>
              <w:pStyle w:val="9"/>
              <w:numPr>
                <w:ilvl w:val="0"/>
                <w:numId w:val="1"/>
              </w:numPr>
              <w:ind w:left="0" w:firstLine="0" w:firstLineChars="0"/>
              <w:jc w:val="center"/>
              <w:rPr>
                <w:rFonts w:ascii="Times New Roman" w:hAnsi="Times New Roman"/>
                <w:szCs w:val="21"/>
              </w:rPr>
            </w:pPr>
          </w:p>
        </w:tc>
        <w:tc>
          <w:tcPr>
            <w:tcW w:w="785" w:type="pct"/>
            <w:vAlign w:val="center"/>
          </w:tcPr>
          <w:p w14:paraId="6A6983C7">
            <w:pPr>
              <w:jc w:val="center"/>
              <w:rPr>
                <w:rFonts w:ascii="Times New Roman" w:hAnsi="Times New Roman" w:eastAsia="宋体" w:cs="Times New Roman"/>
                <w:szCs w:val="21"/>
              </w:rPr>
            </w:pPr>
            <w:r>
              <w:rPr>
                <w:rFonts w:ascii="Times New Roman" w:hAnsi="Times New Roman" w:eastAsia="宋体" w:cs="Times New Roman"/>
                <w:szCs w:val="21"/>
              </w:rPr>
              <w:t>动态监管台账管理机制完善工作组织方案</w:t>
            </w:r>
          </w:p>
        </w:tc>
        <w:tc>
          <w:tcPr>
            <w:tcW w:w="505" w:type="pct"/>
            <w:vAlign w:val="center"/>
          </w:tcPr>
          <w:p w14:paraId="6CF15676">
            <w:pPr>
              <w:jc w:val="center"/>
              <w:rPr>
                <w:rFonts w:ascii="Times New Roman" w:hAnsi="Times New Roman" w:eastAsia="宋体" w:cs="Times New Roman"/>
                <w:szCs w:val="21"/>
              </w:rPr>
            </w:pPr>
            <w:r>
              <w:rPr>
                <w:rFonts w:ascii="Times New Roman" w:hAnsi="Times New Roman" w:eastAsia="宋体" w:cs="Times New Roman"/>
                <w:szCs w:val="21"/>
              </w:rPr>
              <w:t>8</w:t>
            </w:r>
          </w:p>
        </w:tc>
        <w:tc>
          <w:tcPr>
            <w:tcW w:w="3390" w:type="pct"/>
            <w:vAlign w:val="center"/>
          </w:tcPr>
          <w:p w14:paraId="018EDFA9">
            <w:pPr>
              <w:rPr>
                <w:rFonts w:ascii="Times New Roman" w:hAnsi="Times New Roman" w:eastAsia="宋体" w:cs="Times New Roman"/>
                <w:szCs w:val="21"/>
              </w:rPr>
            </w:pPr>
            <w:r>
              <w:rPr>
                <w:rFonts w:ascii="Times New Roman" w:hAnsi="Times New Roman" w:eastAsia="宋体" w:cs="Times New Roman"/>
                <w:szCs w:val="21"/>
              </w:rPr>
              <w:t>提供了内容完整、详实可行，有针对性的工作方案，可行性强，得8分；提供的工作方案，虽结合需求进行了分析，但内容有待完善，得6分；仅提供了常规通用的工作方案得4分；提供的方案简单、有所欠缺的，得2分。其他情况不得分。</w:t>
            </w:r>
          </w:p>
        </w:tc>
      </w:tr>
      <w:tr w14:paraId="5EDD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vAlign w:val="center"/>
          </w:tcPr>
          <w:p w14:paraId="3344EF95">
            <w:pPr>
              <w:pStyle w:val="9"/>
              <w:numPr>
                <w:ilvl w:val="0"/>
                <w:numId w:val="1"/>
              </w:numPr>
              <w:ind w:left="0" w:firstLine="0" w:firstLineChars="0"/>
              <w:jc w:val="center"/>
              <w:rPr>
                <w:rFonts w:ascii="Times New Roman" w:hAnsi="Times New Roman"/>
                <w:szCs w:val="21"/>
              </w:rPr>
            </w:pPr>
          </w:p>
        </w:tc>
        <w:tc>
          <w:tcPr>
            <w:tcW w:w="785" w:type="pct"/>
            <w:vAlign w:val="center"/>
          </w:tcPr>
          <w:p w14:paraId="76A7E41E">
            <w:pPr>
              <w:jc w:val="center"/>
              <w:rPr>
                <w:rFonts w:ascii="Times New Roman" w:hAnsi="Times New Roman" w:eastAsia="宋体" w:cs="Times New Roman"/>
                <w:szCs w:val="21"/>
              </w:rPr>
            </w:pPr>
            <w:r>
              <w:rPr>
                <w:rFonts w:ascii="Times New Roman" w:hAnsi="Times New Roman" w:eastAsia="宋体" w:cs="Times New Roman"/>
                <w:szCs w:val="21"/>
              </w:rPr>
              <w:t>监督平台中备案材料相关配合工作组织方案</w:t>
            </w:r>
          </w:p>
        </w:tc>
        <w:tc>
          <w:tcPr>
            <w:tcW w:w="505" w:type="pct"/>
            <w:vAlign w:val="center"/>
          </w:tcPr>
          <w:p w14:paraId="21E74D8F">
            <w:pPr>
              <w:jc w:val="center"/>
              <w:rPr>
                <w:rFonts w:ascii="Times New Roman" w:hAnsi="Times New Roman" w:eastAsia="宋体" w:cs="Times New Roman"/>
                <w:szCs w:val="21"/>
              </w:rPr>
            </w:pPr>
            <w:r>
              <w:rPr>
                <w:rFonts w:ascii="Times New Roman" w:hAnsi="Times New Roman" w:eastAsia="宋体" w:cs="Times New Roman"/>
                <w:szCs w:val="21"/>
              </w:rPr>
              <w:t>8</w:t>
            </w:r>
          </w:p>
        </w:tc>
        <w:tc>
          <w:tcPr>
            <w:tcW w:w="3390" w:type="pct"/>
            <w:vAlign w:val="center"/>
          </w:tcPr>
          <w:p w14:paraId="419727C3">
            <w:pPr>
              <w:rPr>
                <w:rFonts w:ascii="Times New Roman" w:hAnsi="Times New Roman" w:eastAsia="宋体" w:cs="Times New Roman"/>
                <w:szCs w:val="21"/>
              </w:rPr>
            </w:pPr>
            <w:r>
              <w:rPr>
                <w:rFonts w:ascii="Times New Roman" w:hAnsi="Times New Roman" w:eastAsia="宋体" w:cs="Times New Roman"/>
                <w:szCs w:val="21"/>
              </w:rPr>
              <w:t>提供了内容完整、详实可行，有针对性的工作方案，可行性强，得8分；提供的工作方案，虽结合需求进行了分析，但内容有待完善，得6分；仅提供了常规通用的工作方案得4分；提供的方案简单、有所欠缺的，得2分。其他情况不得分。</w:t>
            </w:r>
          </w:p>
        </w:tc>
      </w:tr>
      <w:tr w14:paraId="041B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vAlign w:val="center"/>
          </w:tcPr>
          <w:p w14:paraId="694365FE">
            <w:pPr>
              <w:pStyle w:val="9"/>
              <w:numPr>
                <w:ilvl w:val="0"/>
                <w:numId w:val="1"/>
              </w:numPr>
              <w:ind w:left="0" w:firstLine="0" w:firstLineChars="0"/>
              <w:jc w:val="center"/>
              <w:rPr>
                <w:rFonts w:ascii="Times New Roman" w:hAnsi="Times New Roman"/>
                <w:szCs w:val="21"/>
              </w:rPr>
            </w:pPr>
          </w:p>
        </w:tc>
        <w:tc>
          <w:tcPr>
            <w:tcW w:w="785" w:type="pct"/>
            <w:vAlign w:val="center"/>
          </w:tcPr>
          <w:p w14:paraId="59ACABD2">
            <w:pPr>
              <w:jc w:val="center"/>
              <w:rPr>
                <w:rFonts w:ascii="Times New Roman" w:hAnsi="Times New Roman" w:eastAsia="宋体" w:cs="Times New Roman"/>
                <w:szCs w:val="21"/>
              </w:rPr>
            </w:pPr>
            <w:r>
              <w:rPr>
                <w:rFonts w:ascii="Times New Roman" w:hAnsi="Times New Roman" w:eastAsia="宋体" w:cs="Times New Roman"/>
                <w:szCs w:val="21"/>
              </w:rPr>
              <w:t>后勤保障相关工作组织方案</w:t>
            </w:r>
          </w:p>
        </w:tc>
        <w:tc>
          <w:tcPr>
            <w:tcW w:w="505" w:type="pct"/>
            <w:vAlign w:val="center"/>
          </w:tcPr>
          <w:p w14:paraId="50487C5E">
            <w:pPr>
              <w:jc w:val="center"/>
              <w:rPr>
                <w:rFonts w:ascii="Times New Roman" w:hAnsi="Times New Roman" w:eastAsia="宋体" w:cs="Times New Roman"/>
                <w:szCs w:val="21"/>
              </w:rPr>
            </w:pPr>
            <w:r>
              <w:rPr>
                <w:rFonts w:ascii="Times New Roman" w:hAnsi="Times New Roman" w:eastAsia="宋体" w:cs="Times New Roman"/>
                <w:szCs w:val="21"/>
              </w:rPr>
              <w:t>8</w:t>
            </w:r>
          </w:p>
        </w:tc>
        <w:tc>
          <w:tcPr>
            <w:tcW w:w="3390" w:type="pct"/>
            <w:vAlign w:val="center"/>
          </w:tcPr>
          <w:p w14:paraId="07D7FD44">
            <w:pPr>
              <w:rPr>
                <w:rFonts w:ascii="Times New Roman" w:hAnsi="Times New Roman" w:eastAsia="宋体" w:cs="Times New Roman"/>
                <w:szCs w:val="21"/>
              </w:rPr>
            </w:pPr>
            <w:r>
              <w:rPr>
                <w:rFonts w:ascii="Times New Roman" w:hAnsi="Times New Roman" w:eastAsia="宋体" w:cs="Times New Roman"/>
                <w:szCs w:val="21"/>
              </w:rPr>
              <w:t>提供了内容完整、详实可行，有针对性的工作方案，可行性强，得8分；提供的工作方案，虽结合需求进行了分析，但内容有待完善，得6分；仅提供了常规通用的工作方案得4分；提供的方案简单、有所欠缺的，得2分。其他情况不得分。</w:t>
            </w:r>
          </w:p>
        </w:tc>
      </w:tr>
      <w:tr w14:paraId="1F79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vAlign w:val="center"/>
          </w:tcPr>
          <w:p w14:paraId="38E337A9">
            <w:pPr>
              <w:pStyle w:val="9"/>
              <w:numPr>
                <w:ilvl w:val="0"/>
                <w:numId w:val="1"/>
              </w:numPr>
              <w:ind w:left="0" w:firstLine="0" w:firstLineChars="0"/>
              <w:jc w:val="center"/>
              <w:rPr>
                <w:rFonts w:ascii="Times New Roman" w:hAnsi="Times New Roman"/>
                <w:szCs w:val="21"/>
              </w:rPr>
            </w:pPr>
          </w:p>
        </w:tc>
        <w:tc>
          <w:tcPr>
            <w:tcW w:w="785" w:type="pct"/>
            <w:vAlign w:val="center"/>
          </w:tcPr>
          <w:p w14:paraId="7FDB22FC">
            <w:pPr>
              <w:jc w:val="center"/>
              <w:rPr>
                <w:rFonts w:ascii="Times New Roman" w:hAnsi="Times New Roman" w:eastAsia="宋体" w:cs="Times New Roman"/>
                <w:szCs w:val="21"/>
              </w:rPr>
            </w:pPr>
            <w:r>
              <w:rPr>
                <w:rFonts w:ascii="Times New Roman" w:hAnsi="Times New Roman" w:eastAsia="宋体" w:cs="Times New Roman"/>
                <w:szCs w:val="21"/>
              </w:rPr>
              <w:t>质量保证解决方案</w:t>
            </w:r>
          </w:p>
        </w:tc>
        <w:tc>
          <w:tcPr>
            <w:tcW w:w="505" w:type="pct"/>
            <w:vAlign w:val="center"/>
          </w:tcPr>
          <w:p w14:paraId="14DA2086">
            <w:pPr>
              <w:widowControl/>
              <w:jc w:val="center"/>
              <w:rPr>
                <w:rFonts w:ascii="Times New Roman" w:hAnsi="Times New Roman" w:eastAsia="宋体" w:cs="Times New Roman"/>
                <w:szCs w:val="21"/>
              </w:rPr>
            </w:pPr>
            <w:r>
              <w:rPr>
                <w:rFonts w:ascii="Times New Roman" w:hAnsi="Times New Roman" w:eastAsia="宋体" w:cs="Times New Roman"/>
                <w:szCs w:val="21"/>
              </w:rPr>
              <w:t>6</w:t>
            </w:r>
          </w:p>
        </w:tc>
        <w:tc>
          <w:tcPr>
            <w:tcW w:w="3390" w:type="pct"/>
            <w:vAlign w:val="center"/>
          </w:tcPr>
          <w:p w14:paraId="0F1E7BA4">
            <w:pPr>
              <w:widowControl/>
              <w:rPr>
                <w:rFonts w:ascii="Times New Roman" w:hAnsi="Times New Roman" w:eastAsia="宋体" w:cs="Times New Roman"/>
                <w:szCs w:val="21"/>
              </w:rPr>
            </w:pPr>
            <w:r>
              <w:rPr>
                <w:rFonts w:ascii="Times New Roman" w:hAnsi="Times New Roman" w:eastAsia="宋体" w:cs="Times New Roman"/>
                <w:szCs w:val="21"/>
              </w:rPr>
              <w:t>提供了内容完整、详实可行，有针对性的工作方案，可行性强，得6分；提供的工作方案，虽结合需求进行了分析，但内容有待完善，得4分；仅提供了常规通用的工作方案得2分；提供的方案简单、有所欠缺的，得1分。其他情况不得分。</w:t>
            </w:r>
          </w:p>
        </w:tc>
      </w:tr>
      <w:tr w14:paraId="5849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vAlign w:val="center"/>
          </w:tcPr>
          <w:p w14:paraId="24F567DB">
            <w:pPr>
              <w:pStyle w:val="9"/>
              <w:numPr>
                <w:ilvl w:val="0"/>
                <w:numId w:val="1"/>
              </w:numPr>
              <w:ind w:left="0" w:firstLine="0" w:firstLineChars="0"/>
              <w:jc w:val="center"/>
              <w:rPr>
                <w:rFonts w:ascii="Times New Roman" w:hAnsi="Times New Roman"/>
                <w:szCs w:val="21"/>
              </w:rPr>
            </w:pPr>
          </w:p>
        </w:tc>
        <w:tc>
          <w:tcPr>
            <w:tcW w:w="785" w:type="pct"/>
            <w:vAlign w:val="center"/>
          </w:tcPr>
          <w:p w14:paraId="759DF919">
            <w:pPr>
              <w:jc w:val="center"/>
              <w:rPr>
                <w:rFonts w:ascii="Times New Roman" w:hAnsi="Times New Roman" w:eastAsia="宋体" w:cs="Times New Roman"/>
                <w:szCs w:val="21"/>
              </w:rPr>
            </w:pPr>
            <w:r>
              <w:rPr>
                <w:rFonts w:ascii="Times New Roman" w:hAnsi="Times New Roman" w:eastAsia="宋体" w:cs="Times New Roman"/>
                <w:szCs w:val="21"/>
              </w:rPr>
              <w:t>安全保障组织方案</w:t>
            </w:r>
          </w:p>
        </w:tc>
        <w:tc>
          <w:tcPr>
            <w:tcW w:w="505" w:type="pct"/>
            <w:vAlign w:val="center"/>
          </w:tcPr>
          <w:p w14:paraId="486A2B4B">
            <w:pPr>
              <w:widowControl/>
              <w:jc w:val="center"/>
              <w:rPr>
                <w:rFonts w:ascii="Times New Roman" w:hAnsi="Times New Roman" w:eastAsia="宋体" w:cs="Times New Roman"/>
                <w:szCs w:val="21"/>
              </w:rPr>
            </w:pPr>
            <w:r>
              <w:rPr>
                <w:rFonts w:ascii="Times New Roman" w:hAnsi="Times New Roman" w:eastAsia="宋体" w:cs="Times New Roman"/>
                <w:szCs w:val="21"/>
              </w:rPr>
              <w:t>4</w:t>
            </w:r>
          </w:p>
        </w:tc>
        <w:tc>
          <w:tcPr>
            <w:tcW w:w="3390" w:type="pct"/>
            <w:vAlign w:val="center"/>
          </w:tcPr>
          <w:p w14:paraId="2C0BB5C9">
            <w:pPr>
              <w:widowControl/>
              <w:rPr>
                <w:rFonts w:ascii="Times New Roman" w:hAnsi="Times New Roman" w:eastAsia="宋体" w:cs="Times New Roman"/>
                <w:szCs w:val="21"/>
              </w:rPr>
            </w:pPr>
            <w:r>
              <w:rPr>
                <w:rFonts w:ascii="Times New Roman" w:hAnsi="Times New Roman" w:eastAsia="宋体" w:cs="Times New Roman"/>
                <w:szCs w:val="21"/>
              </w:rPr>
              <w:t>提供了内容完整、详实可行，有针对性的工作方案，可行性强，得4分；提供的工作方案，虽结合需求进行了分析，但内容有待完善，得3分；仅提供了常规通用的工作方案得2分；提供的方案简单、有所欠缺的，得1分。其他情况不得分。</w:t>
            </w:r>
          </w:p>
        </w:tc>
      </w:tr>
      <w:tr w14:paraId="3204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vAlign w:val="center"/>
          </w:tcPr>
          <w:p w14:paraId="1FC51A96">
            <w:pPr>
              <w:pStyle w:val="9"/>
              <w:numPr>
                <w:ilvl w:val="0"/>
                <w:numId w:val="1"/>
              </w:numPr>
              <w:ind w:left="0" w:firstLine="0" w:firstLineChars="0"/>
              <w:jc w:val="center"/>
              <w:rPr>
                <w:rFonts w:ascii="Times New Roman" w:hAnsi="Times New Roman"/>
                <w:szCs w:val="21"/>
              </w:rPr>
            </w:pPr>
          </w:p>
        </w:tc>
        <w:tc>
          <w:tcPr>
            <w:tcW w:w="785" w:type="pct"/>
            <w:vAlign w:val="center"/>
          </w:tcPr>
          <w:p w14:paraId="6799B937">
            <w:pPr>
              <w:jc w:val="center"/>
              <w:rPr>
                <w:rFonts w:ascii="Times New Roman" w:hAnsi="Times New Roman" w:eastAsia="宋体" w:cs="Times New Roman"/>
                <w:szCs w:val="21"/>
              </w:rPr>
            </w:pPr>
            <w:r>
              <w:rPr>
                <w:rFonts w:ascii="Times New Roman" w:hAnsi="Times New Roman" w:eastAsia="宋体" w:cs="Times New Roman"/>
                <w:szCs w:val="21"/>
              </w:rPr>
              <w:t>应急服务解决方案</w:t>
            </w:r>
          </w:p>
        </w:tc>
        <w:tc>
          <w:tcPr>
            <w:tcW w:w="505" w:type="pct"/>
            <w:vAlign w:val="center"/>
          </w:tcPr>
          <w:p w14:paraId="0F637330">
            <w:pPr>
              <w:widowControl/>
              <w:jc w:val="center"/>
              <w:rPr>
                <w:rFonts w:ascii="Times New Roman" w:hAnsi="Times New Roman" w:eastAsia="宋体" w:cs="Times New Roman"/>
                <w:szCs w:val="21"/>
              </w:rPr>
            </w:pPr>
            <w:r>
              <w:rPr>
                <w:rFonts w:ascii="Times New Roman" w:hAnsi="Times New Roman" w:eastAsia="宋体" w:cs="Times New Roman"/>
                <w:szCs w:val="21"/>
              </w:rPr>
              <w:t>4</w:t>
            </w:r>
          </w:p>
        </w:tc>
        <w:tc>
          <w:tcPr>
            <w:tcW w:w="3390" w:type="pct"/>
            <w:vAlign w:val="center"/>
          </w:tcPr>
          <w:p w14:paraId="7546A3BE">
            <w:pPr>
              <w:widowControl/>
              <w:rPr>
                <w:rFonts w:ascii="Times New Roman" w:hAnsi="Times New Roman" w:eastAsia="宋体" w:cs="Times New Roman"/>
                <w:szCs w:val="21"/>
              </w:rPr>
            </w:pPr>
            <w:r>
              <w:rPr>
                <w:rFonts w:ascii="Times New Roman" w:hAnsi="Times New Roman" w:eastAsia="宋体" w:cs="Times New Roman"/>
                <w:szCs w:val="21"/>
              </w:rPr>
              <w:t>提供了内容完整、详实可行，有针对性的工作方案，可行性强，得4分；提供的工作方案，虽结合需求进行了分析，但内容有待完善，得3分；仅提供了常规通用的工作方案得2分；提供的方案简单、有所欠缺的，得1分。其他情况不得分。</w:t>
            </w:r>
          </w:p>
        </w:tc>
      </w:tr>
      <w:tr w14:paraId="0983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vMerge w:val="restart"/>
            <w:vAlign w:val="center"/>
          </w:tcPr>
          <w:p w14:paraId="78D83397">
            <w:pPr>
              <w:pStyle w:val="9"/>
              <w:numPr>
                <w:ilvl w:val="0"/>
                <w:numId w:val="1"/>
              </w:numPr>
              <w:ind w:left="0" w:firstLine="0" w:firstLineChars="0"/>
              <w:jc w:val="center"/>
              <w:rPr>
                <w:rFonts w:ascii="Times New Roman" w:hAnsi="Times New Roman"/>
                <w:szCs w:val="21"/>
              </w:rPr>
            </w:pPr>
          </w:p>
        </w:tc>
        <w:tc>
          <w:tcPr>
            <w:tcW w:w="785" w:type="pct"/>
            <w:vMerge w:val="restart"/>
            <w:vAlign w:val="center"/>
          </w:tcPr>
          <w:p w14:paraId="194020F1">
            <w:pPr>
              <w:jc w:val="center"/>
              <w:rPr>
                <w:rFonts w:ascii="Times New Roman" w:hAnsi="Times New Roman" w:eastAsia="宋体" w:cs="Times New Roman"/>
                <w:szCs w:val="21"/>
              </w:rPr>
            </w:pPr>
            <w:r>
              <w:rPr>
                <w:rFonts w:ascii="Times New Roman" w:hAnsi="Times New Roman" w:eastAsia="宋体" w:cs="Times New Roman"/>
                <w:szCs w:val="21"/>
              </w:rPr>
              <w:t>服务团队</w:t>
            </w:r>
          </w:p>
        </w:tc>
        <w:tc>
          <w:tcPr>
            <w:tcW w:w="505" w:type="pct"/>
            <w:vAlign w:val="center"/>
          </w:tcPr>
          <w:p w14:paraId="4C3C8568">
            <w:pPr>
              <w:widowControl/>
              <w:jc w:val="center"/>
              <w:rPr>
                <w:rFonts w:ascii="Times New Roman" w:hAnsi="Times New Roman" w:eastAsia="宋体" w:cs="Times New Roman"/>
                <w:szCs w:val="21"/>
              </w:rPr>
            </w:pPr>
            <w:r>
              <w:rPr>
                <w:rFonts w:ascii="Times New Roman" w:hAnsi="Times New Roman" w:eastAsia="宋体" w:cs="Times New Roman"/>
                <w:szCs w:val="21"/>
              </w:rPr>
              <w:t>2</w:t>
            </w:r>
          </w:p>
        </w:tc>
        <w:tc>
          <w:tcPr>
            <w:tcW w:w="3390" w:type="pct"/>
            <w:vAlign w:val="center"/>
          </w:tcPr>
          <w:p w14:paraId="48D6C80A">
            <w:pPr>
              <w:widowControl/>
              <w:rPr>
                <w:rFonts w:ascii="Times New Roman" w:hAnsi="Times New Roman" w:eastAsia="宋体" w:cs="Times New Roman"/>
                <w:szCs w:val="21"/>
              </w:rPr>
            </w:pPr>
            <w:r>
              <w:rPr>
                <w:rFonts w:ascii="Times New Roman" w:hAnsi="Times New Roman" w:eastAsia="宋体" w:cs="Times New Roman"/>
                <w:szCs w:val="21"/>
              </w:rPr>
              <w:t>项目负责人从事交通运输相关管理工作10年以上，得2分；否则，得0分。</w:t>
            </w:r>
          </w:p>
          <w:p w14:paraId="72C4F8A1">
            <w:pPr>
              <w:widowControl/>
              <w:rPr>
                <w:rFonts w:ascii="Times New Roman" w:hAnsi="Times New Roman" w:eastAsia="宋体" w:cs="Times New Roman"/>
                <w:szCs w:val="21"/>
              </w:rPr>
            </w:pPr>
            <w:r>
              <w:rPr>
                <w:rFonts w:ascii="Times New Roman" w:hAnsi="Times New Roman" w:eastAsia="宋体" w:cs="Times New Roman"/>
                <w:szCs w:val="21"/>
              </w:rPr>
              <w:t>注：需提供简历表作为证明材料，否则不予认可。</w:t>
            </w:r>
          </w:p>
        </w:tc>
      </w:tr>
      <w:tr w14:paraId="13D3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vMerge w:val="continue"/>
            <w:vAlign w:val="center"/>
          </w:tcPr>
          <w:p w14:paraId="066B3AC9">
            <w:pPr>
              <w:pStyle w:val="9"/>
              <w:numPr>
                <w:ilvl w:val="0"/>
                <w:numId w:val="1"/>
              </w:numPr>
              <w:ind w:left="0" w:firstLine="0" w:firstLineChars="0"/>
              <w:jc w:val="center"/>
              <w:rPr>
                <w:rFonts w:ascii="Times New Roman" w:hAnsi="Times New Roman"/>
                <w:szCs w:val="21"/>
              </w:rPr>
            </w:pPr>
          </w:p>
        </w:tc>
        <w:tc>
          <w:tcPr>
            <w:tcW w:w="785" w:type="pct"/>
            <w:vMerge w:val="continue"/>
            <w:vAlign w:val="center"/>
          </w:tcPr>
          <w:p w14:paraId="5ABAD309">
            <w:pPr>
              <w:jc w:val="center"/>
              <w:rPr>
                <w:rFonts w:ascii="Times New Roman" w:hAnsi="Times New Roman" w:eastAsia="宋体" w:cs="Times New Roman"/>
                <w:szCs w:val="21"/>
              </w:rPr>
            </w:pPr>
          </w:p>
        </w:tc>
        <w:tc>
          <w:tcPr>
            <w:tcW w:w="505" w:type="pct"/>
            <w:vAlign w:val="center"/>
          </w:tcPr>
          <w:p w14:paraId="4C3EEBF1">
            <w:pPr>
              <w:widowControl/>
              <w:jc w:val="center"/>
              <w:rPr>
                <w:rFonts w:ascii="Times New Roman" w:hAnsi="Times New Roman" w:eastAsia="宋体" w:cs="Times New Roman"/>
                <w:szCs w:val="21"/>
              </w:rPr>
            </w:pPr>
            <w:r>
              <w:rPr>
                <w:rFonts w:ascii="Times New Roman" w:hAnsi="Times New Roman" w:eastAsia="宋体" w:cs="Times New Roman"/>
                <w:szCs w:val="21"/>
              </w:rPr>
              <w:t>2</w:t>
            </w:r>
          </w:p>
        </w:tc>
        <w:tc>
          <w:tcPr>
            <w:tcW w:w="3390" w:type="pct"/>
            <w:vAlign w:val="center"/>
          </w:tcPr>
          <w:p w14:paraId="24EE5711">
            <w:pPr>
              <w:widowControl/>
              <w:rPr>
                <w:rFonts w:ascii="Times New Roman" w:hAnsi="Times New Roman" w:eastAsia="宋体" w:cs="Times New Roman"/>
                <w:szCs w:val="21"/>
              </w:rPr>
            </w:pPr>
            <w:r>
              <w:rPr>
                <w:rFonts w:ascii="Times New Roman" w:hAnsi="Times New Roman" w:eastAsia="宋体" w:cs="Times New Roman"/>
                <w:szCs w:val="21"/>
              </w:rPr>
              <w:t>技术负责人从事交通运输相关管理工作5年以上，得2分；否则，得0分。</w:t>
            </w:r>
          </w:p>
          <w:p w14:paraId="668EEAD6">
            <w:pPr>
              <w:widowControl/>
              <w:rPr>
                <w:rFonts w:ascii="Times New Roman" w:hAnsi="Times New Roman" w:eastAsia="宋体" w:cs="Times New Roman"/>
                <w:szCs w:val="21"/>
              </w:rPr>
            </w:pPr>
            <w:r>
              <w:rPr>
                <w:rFonts w:ascii="Times New Roman" w:hAnsi="Times New Roman" w:eastAsia="宋体" w:cs="Times New Roman"/>
                <w:szCs w:val="21"/>
              </w:rPr>
              <w:t>注：需提供简历表作为证明材料，否则不予认可。</w:t>
            </w:r>
          </w:p>
        </w:tc>
      </w:tr>
      <w:tr w14:paraId="40DB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vMerge w:val="continue"/>
            <w:vAlign w:val="center"/>
          </w:tcPr>
          <w:p w14:paraId="446DDD61">
            <w:pPr>
              <w:pStyle w:val="9"/>
              <w:numPr>
                <w:ilvl w:val="0"/>
                <w:numId w:val="1"/>
              </w:numPr>
              <w:ind w:left="0" w:firstLine="0" w:firstLineChars="0"/>
              <w:jc w:val="center"/>
              <w:rPr>
                <w:rFonts w:ascii="Times New Roman" w:hAnsi="Times New Roman"/>
                <w:szCs w:val="21"/>
              </w:rPr>
            </w:pPr>
          </w:p>
        </w:tc>
        <w:tc>
          <w:tcPr>
            <w:tcW w:w="785" w:type="pct"/>
            <w:vMerge w:val="continue"/>
            <w:vAlign w:val="center"/>
          </w:tcPr>
          <w:p w14:paraId="45D2A4A9">
            <w:pPr>
              <w:jc w:val="center"/>
              <w:rPr>
                <w:rFonts w:ascii="Times New Roman" w:hAnsi="Times New Roman" w:eastAsia="宋体" w:cs="Times New Roman"/>
                <w:szCs w:val="21"/>
              </w:rPr>
            </w:pPr>
          </w:p>
        </w:tc>
        <w:tc>
          <w:tcPr>
            <w:tcW w:w="505" w:type="pct"/>
            <w:vAlign w:val="center"/>
          </w:tcPr>
          <w:p w14:paraId="3D03B9BE">
            <w:pPr>
              <w:widowControl/>
              <w:jc w:val="center"/>
              <w:rPr>
                <w:rFonts w:ascii="Times New Roman" w:hAnsi="Times New Roman" w:eastAsia="宋体" w:cs="Times New Roman"/>
                <w:szCs w:val="21"/>
              </w:rPr>
            </w:pPr>
            <w:r>
              <w:rPr>
                <w:rFonts w:ascii="Times New Roman" w:hAnsi="Times New Roman" w:eastAsia="宋体" w:cs="Times New Roman"/>
                <w:szCs w:val="21"/>
              </w:rPr>
              <w:t>5</w:t>
            </w:r>
          </w:p>
        </w:tc>
        <w:tc>
          <w:tcPr>
            <w:tcW w:w="3390" w:type="pct"/>
            <w:vAlign w:val="center"/>
          </w:tcPr>
          <w:p w14:paraId="2A080948">
            <w:pPr>
              <w:widowControl/>
              <w:rPr>
                <w:rFonts w:ascii="Times New Roman" w:hAnsi="Times New Roman" w:eastAsia="宋体" w:cs="Times New Roman"/>
                <w:szCs w:val="21"/>
              </w:rPr>
            </w:pPr>
            <w:r>
              <w:rPr>
                <w:rFonts w:ascii="Times New Roman" w:hAnsi="Times New Roman" w:eastAsia="宋体" w:cs="Times New Roman"/>
                <w:szCs w:val="21"/>
              </w:rPr>
              <w:t>投标人承诺按照采购人服务要求，提供团队配置合理、分工明确、岗位职责清晰、人员数量满足服务要求的服务团队。</w:t>
            </w:r>
          </w:p>
          <w:p w14:paraId="1906A64C">
            <w:pPr>
              <w:widowControl/>
              <w:rPr>
                <w:rFonts w:ascii="Times New Roman" w:hAnsi="Times New Roman" w:eastAsia="宋体" w:cs="Times New Roman"/>
                <w:szCs w:val="21"/>
              </w:rPr>
            </w:pPr>
            <w:r>
              <w:rPr>
                <w:rFonts w:ascii="Times New Roman" w:hAnsi="Times New Roman" w:eastAsia="宋体" w:cs="Times New Roman"/>
                <w:szCs w:val="21"/>
              </w:rPr>
              <w:t>提供的承诺函符合采购文件要求的，得5分；不满足或未提供，得0分。</w:t>
            </w:r>
          </w:p>
          <w:p w14:paraId="47B333EB">
            <w:pPr>
              <w:widowControl/>
              <w:rPr>
                <w:rFonts w:ascii="Times New Roman" w:hAnsi="Times New Roman" w:eastAsia="宋体" w:cs="Times New Roman"/>
                <w:szCs w:val="21"/>
              </w:rPr>
            </w:pPr>
            <w:r>
              <w:rPr>
                <w:rFonts w:ascii="Times New Roman" w:hAnsi="Times New Roman" w:eastAsia="宋体" w:cs="Times New Roman"/>
                <w:szCs w:val="21"/>
              </w:rPr>
              <w:t>注：投标人提供承诺函，并加盖投标人公章，否则不予认可。</w:t>
            </w:r>
          </w:p>
        </w:tc>
      </w:tr>
      <w:tr w14:paraId="4867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vAlign w:val="center"/>
          </w:tcPr>
          <w:p w14:paraId="41D013C8">
            <w:pPr>
              <w:pStyle w:val="9"/>
              <w:numPr>
                <w:ilvl w:val="0"/>
                <w:numId w:val="1"/>
              </w:numPr>
              <w:ind w:left="0" w:firstLine="0" w:firstLineChars="0"/>
              <w:jc w:val="center"/>
              <w:rPr>
                <w:rFonts w:ascii="Times New Roman" w:hAnsi="Times New Roman"/>
                <w:szCs w:val="21"/>
              </w:rPr>
            </w:pPr>
          </w:p>
        </w:tc>
        <w:tc>
          <w:tcPr>
            <w:tcW w:w="785" w:type="pct"/>
            <w:vAlign w:val="center"/>
          </w:tcPr>
          <w:p w14:paraId="6693C6E8">
            <w:pPr>
              <w:jc w:val="center"/>
              <w:rPr>
                <w:rFonts w:ascii="Times New Roman" w:hAnsi="Times New Roman" w:eastAsia="宋体" w:cs="Times New Roman"/>
                <w:bCs/>
                <w:szCs w:val="21"/>
              </w:rPr>
            </w:pPr>
            <w:r>
              <w:rPr>
                <w:rFonts w:ascii="Times New Roman" w:hAnsi="Times New Roman" w:eastAsia="宋体" w:cs="Times New Roman"/>
                <w:bCs/>
                <w:szCs w:val="21"/>
              </w:rPr>
              <w:t>价格评审</w:t>
            </w:r>
          </w:p>
        </w:tc>
        <w:tc>
          <w:tcPr>
            <w:tcW w:w="505" w:type="pct"/>
            <w:vAlign w:val="center"/>
          </w:tcPr>
          <w:p w14:paraId="4E4297A9">
            <w:pPr>
              <w:jc w:val="center"/>
              <w:rPr>
                <w:rFonts w:ascii="Times New Roman" w:hAnsi="Times New Roman" w:eastAsia="宋体" w:cs="Times New Roman"/>
                <w:kern w:val="0"/>
                <w:szCs w:val="21"/>
              </w:rPr>
            </w:pPr>
            <w:r>
              <w:rPr>
                <w:rFonts w:ascii="Times New Roman" w:hAnsi="Times New Roman" w:eastAsia="宋体" w:cs="Times New Roman"/>
                <w:szCs w:val="21"/>
              </w:rPr>
              <w:t>10</w:t>
            </w:r>
          </w:p>
        </w:tc>
        <w:tc>
          <w:tcPr>
            <w:tcW w:w="3390" w:type="pct"/>
            <w:vAlign w:val="center"/>
          </w:tcPr>
          <w:p w14:paraId="6BC0FF04">
            <w:pPr>
              <w:rPr>
                <w:rFonts w:ascii="Times New Roman" w:hAnsi="Times New Roman" w:eastAsia="宋体" w:cs="Times New Roman"/>
                <w:szCs w:val="21"/>
              </w:rPr>
            </w:pPr>
            <w:r>
              <w:rPr>
                <w:rFonts w:ascii="Times New Roman" w:hAnsi="Times New Roman" w:eastAsia="宋体" w:cs="Times New Roman"/>
                <w:szCs w:val="21"/>
              </w:rPr>
              <w:t>满足招标文件要求且投标价格最低的投标报价为评标基准价，其价格分为满分。其他投标人的价格分统一按照下列公式计算：投标报价得分＝（评标基准价/投标报价）×分值。</w:t>
            </w:r>
          </w:p>
          <w:p w14:paraId="66042760">
            <w:pPr>
              <w:rPr>
                <w:rFonts w:ascii="Times New Roman" w:hAnsi="Times New Roman" w:eastAsia="宋体" w:cs="Times New Roman"/>
                <w:kern w:val="0"/>
                <w:szCs w:val="21"/>
              </w:rPr>
            </w:pPr>
            <w:r>
              <w:rPr>
                <w:rFonts w:ascii="Times New Roman" w:hAnsi="Times New Roman" w:eastAsia="宋体" w:cs="Times New Roman"/>
                <w:szCs w:val="21"/>
              </w:rPr>
              <w:t>注：此处投标报价指经过报价修正，及因落实政府采购政策进行价格调整后的报价，详见第四章《评标程序、评标方法和评标标准》2.4及2.5。</w:t>
            </w:r>
          </w:p>
        </w:tc>
      </w:tr>
      <w:tr w14:paraId="03321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5" w:type="pct"/>
            <w:gridSpan w:val="2"/>
            <w:vAlign w:val="center"/>
          </w:tcPr>
          <w:p w14:paraId="432D9BB4">
            <w:pPr>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505" w:type="pct"/>
            <w:vAlign w:val="center"/>
          </w:tcPr>
          <w:p w14:paraId="47BB1B30">
            <w:pPr>
              <w:jc w:val="center"/>
              <w:rPr>
                <w:rFonts w:ascii="Times New Roman" w:hAnsi="Times New Roman" w:eastAsia="宋体" w:cs="Times New Roman"/>
                <w:szCs w:val="21"/>
              </w:rPr>
            </w:pPr>
            <w:r>
              <w:rPr>
                <w:rFonts w:ascii="Times New Roman" w:hAnsi="Times New Roman" w:eastAsia="宋体" w:cs="Times New Roman"/>
                <w:szCs w:val="21"/>
              </w:rPr>
              <w:t>100</w:t>
            </w:r>
          </w:p>
        </w:tc>
        <w:tc>
          <w:tcPr>
            <w:tcW w:w="3390" w:type="pct"/>
            <w:vAlign w:val="center"/>
          </w:tcPr>
          <w:p w14:paraId="700ECF42">
            <w:pPr>
              <w:jc w:val="center"/>
              <w:rPr>
                <w:rFonts w:ascii="Times New Roman" w:hAnsi="Times New Roman" w:eastAsia="宋体" w:cs="Times New Roman"/>
                <w:szCs w:val="21"/>
              </w:rPr>
            </w:pPr>
          </w:p>
        </w:tc>
      </w:tr>
    </w:tbl>
    <w:p w14:paraId="342E8BC5">
      <w:pPr>
        <w:widowControl/>
        <w:jc w:val="left"/>
        <w:rPr>
          <w:rFonts w:ascii="Times New Roman" w:hAnsi="Times New Roman" w:eastAsia="宋体" w:cs="Times New Roman"/>
          <w:b/>
          <w:sz w:val="36"/>
          <w:szCs w:val="36"/>
        </w:rPr>
      </w:pPr>
    </w:p>
    <w:p w14:paraId="78B4C90D">
      <w:pPr>
        <w:spacing w:line="360" w:lineRule="auto"/>
        <w:jc w:val="center"/>
        <w:outlineLvl w:val="0"/>
        <w:rPr>
          <w:rFonts w:ascii="Times New Roman" w:hAnsi="Times New Roman" w:eastAsia="宋体" w:cs="Times New Roman"/>
          <w:b/>
          <w:sz w:val="36"/>
          <w:szCs w:val="36"/>
        </w:rPr>
      </w:pPr>
      <w:r>
        <w:rPr>
          <w:rFonts w:ascii="Times New Roman" w:hAnsi="Times New Roman" w:eastAsia="宋体" w:cs="Times New Roman"/>
          <w:b/>
          <w:sz w:val="36"/>
          <w:szCs w:val="36"/>
        </w:rPr>
        <w:br w:type="page"/>
      </w:r>
      <w:bookmarkStart w:id="7" w:name="_Toc145957722"/>
      <w:r>
        <w:rPr>
          <w:rFonts w:ascii="Times New Roman" w:hAnsi="Times New Roman" w:eastAsia="宋体" w:cs="Times New Roman"/>
          <w:b/>
          <w:sz w:val="36"/>
          <w:szCs w:val="36"/>
        </w:rPr>
        <w:t>第五章   采购需求</w:t>
      </w:r>
      <w:bookmarkEnd w:id="7"/>
    </w:p>
    <w:p w14:paraId="4A91E950">
      <w:pPr>
        <w:pStyle w:val="9"/>
        <w:numPr>
          <w:ilvl w:val="0"/>
          <w:numId w:val="2"/>
        </w:numPr>
        <w:spacing w:line="360" w:lineRule="auto"/>
        <w:ind w:firstLineChars="0"/>
        <w:rPr>
          <w:rFonts w:ascii="Times New Roman" w:hAnsi="Times New Roman"/>
          <w:b/>
          <w:sz w:val="24"/>
          <w:szCs w:val="24"/>
        </w:rPr>
      </w:pPr>
      <w:r>
        <w:rPr>
          <w:rFonts w:ascii="Times New Roman" w:hAnsi="Times New Roman"/>
          <w:b/>
          <w:sz w:val="24"/>
          <w:szCs w:val="24"/>
        </w:rPr>
        <w:t>采购标的</w:t>
      </w:r>
    </w:p>
    <w:p w14:paraId="5AB089FD">
      <w:pPr>
        <w:spacing w:line="360" w:lineRule="auto"/>
        <w:rPr>
          <w:rFonts w:ascii="Times New Roman" w:hAnsi="Times New Roman" w:eastAsia="宋体" w:cs="Times New Roman"/>
          <w:b/>
          <w:bCs/>
          <w:color w:val="000000"/>
          <w:sz w:val="24"/>
        </w:rPr>
      </w:pPr>
      <w:r>
        <w:rPr>
          <w:rFonts w:ascii="Times New Roman" w:hAnsi="Times New Roman" w:eastAsia="宋体" w:cs="Times New Roman"/>
          <w:b/>
          <w:bCs/>
          <w:color w:val="000000"/>
          <w:sz w:val="24"/>
        </w:rPr>
        <w:t>1. 采购标的</w:t>
      </w:r>
    </w:p>
    <w:p w14:paraId="41AA8647">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货运等行业第三方监管服务，1项服务</w:t>
      </w:r>
    </w:p>
    <w:p w14:paraId="45EE23B1">
      <w:pPr>
        <w:spacing w:line="360" w:lineRule="auto"/>
        <w:ind w:firstLine="482"/>
        <w:rPr>
          <w:rFonts w:ascii="Times New Roman" w:hAnsi="Times New Roman" w:eastAsia="宋体" w:cs="Times New Roman"/>
          <w:b/>
          <w:color w:val="000000"/>
          <w:sz w:val="24"/>
        </w:rPr>
      </w:pPr>
    </w:p>
    <w:p w14:paraId="5BDC053B">
      <w:pPr>
        <w:pStyle w:val="9"/>
        <w:numPr>
          <w:ilvl w:val="0"/>
          <w:numId w:val="2"/>
        </w:numPr>
        <w:spacing w:line="360" w:lineRule="auto"/>
        <w:ind w:firstLineChars="0"/>
        <w:rPr>
          <w:rFonts w:ascii="Times New Roman" w:hAnsi="Times New Roman"/>
          <w:b/>
          <w:color w:val="000000"/>
          <w:sz w:val="24"/>
          <w:szCs w:val="24"/>
        </w:rPr>
      </w:pPr>
      <w:r>
        <w:rPr>
          <w:rFonts w:ascii="Times New Roman" w:hAnsi="Times New Roman"/>
          <w:b/>
          <w:color w:val="000000"/>
          <w:sz w:val="24"/>
          <w:szCs w:val="24"/>
        </w:rPr>
        <w:t>商务要求</w:t>
      </w:r>
    </w:p>
    <w:p w14:paraId="22C190A9">
      <w:pPr>
        <w:spacing w:line="360" w:lineRule="auto"/>
        <w:rPr>
          <w:rFonts w:ascii="Times New Roman" w:hAnsi="Times New Roman" w:eastAsia="宋体" w:cs="Times New Roman"/>
          <w:b/>
          <w:sz w:val="24"/>
        </w:rPr>
      </w:pPr>
      <w:r>
        <w:rPr>
          <w:rFonts w:ascii="Times New Roman" w:hAnsi="Times New Roman" w:eastAsia="宋体" w:cs="Times New Roman"/>
          <w:b/>
          <w:sz w:val="24"/>
        </w:rPr>
        <w:t>1. 实施的时间和地点</w:t>
      </w:r>
    </w:p>
    <w:p w14:paraId="76D77045">
      <w:pPr>
        <w:spacing w:line="360" w:lineRule="auto"/>
        <w:ind w:firstLine="480" w:firstLineChars="200"/>
        <w:rPr>
          <w:rFonts w:ascii="Times New Roman" w:hAnsi="Times New Roman" w:eastAsia="宋体" w:cs="Times New Roman"/>
          <w:bCs/>
          <w:sz w:val="24"/>
        </w:rPr>
      </w:pPr>
      <w:r>
        <w:rPr>
          <w:rFonts w:ascii="Times New Roman" w:hAnsi="Times New Roman" w:eastAsia="宋体" w:cs="Times New Roman"/>
          <w:bCs/>
          <w:sz w:val="24"/>
        </w:rPr>
        <w:t>实施时间：详见第一章合同履行期限相关规定。</w:t>
      </w:r>
    </w:p>
    <w:p w14:paraId="41FAEED8">
      <w:pPr>
        <w:spacing w:line="360" w:lineRule="auto"/>
        <w:ind w:firstLine="480" w:firstLineChars="200"/>
        <w:rPr>
          <w:rFonts w:ascii="Times New Roman" w:hAnsi="Times New Roman" w:eastAsia="宋体" w:cs="Times New Roman"/>
          <w:bCs/>
          <w:sz w:val="24"/>
        </w:rPr>
      </w:pPr>
      <w:r>
        <w:rPr>
          <w:rFonts w:ascii="Times New Roman" w:hAnsi="Times New Roman" w:eastAsia="宋体" w:cs="Times New Roman"/>
          <w:bCs/>
          <w:sz w:val="24"/>
        </w:rPr>
        <w:t>实施地点：采购人指定地点。</w:t>
      </w:r>
    </w:p>
    <w:p w14:paraId="52A99DF9">
      <w:pPr>
        <w:spacing w:line="360" w:lineRule="auto"/>
        <w:rPr>
          <w:rFonts w:ascii="Times New Roman" w:hAnsi="Times New Roman" w:eastAsia="宋体" w:cs="Times New Roman"/>
          <w:b/>
          <w:sz w:val="24"/>
        </w:rPr>
      </w:pPr>
    </w:p>
    <w:p w14:paraId="501E3A90">
      <w:pPr>
        <w:spacing w:line="360" w:lineRule="auto"/>
        <w:rPr>
          <w:rFonts w:ascii="Times New Roman" w:hAnsi="Times New Roman" w:eastAsia="宋体" w:cs="Times New Roman"/>
          <w:b/>
          <w:sz w:val="24"/>
        </w:rPr>
      </w:pPr>
      <w:r>
        <w:rPr>
          <w:rFonts w:ascii="Times New Roman" w:hAnsi="Times New Roman" w:eastAsia="宋体" w:cs="Times New Roman"/>
          <w:b/>
          <w:sz w:val="24"/>
        </w:rPr>
        <w:t>2. 付款条件（进度和方式）</w:t>
      </w:r>
    </w:p>
    <w:p w14:paraId="32B98FBD">
      <w:pPr>
        <w:spacing w:line="360" w:lineRule="auto"/>
        <w:ind w:firstLine="480" w:firstLineChars="200"/>
        <w:rPr>
          <w:rFonts w:ascii="Times New Roman" w:hAnsi="Times New Roman" w:eastAsia="宋体" w:cs="Times New Roman"/>
          <w:bCs/>
          <w:sz w:val="24"/>
        </w:rPr>
      </w:pPr>
      <w:r>
        <w:rPr>
          <w:rFonts w:ascii="Times New Roman" w:hAnsi="Times New Roman" w:eastAsia="宋体" w:cs="Times New Roman"/>
          <w:bCs/>
          <w:sz w:val="24"/>
        </w:rPr>
        <w:t>详见合同相关规定。</w:t>
      </w:r>
    </w:p>
    <w:p w14:paraId="13CC0EF1">
      <w:pPr>
        <w:spacing w:line="360" w:lineRule="auto"/>
        <w:rPr>
          <w:rFonts w:ascii="Times New Roman" w:hAnsi="Times New Roman" w:eastAsia="宋体" w:cs="Times New Roman"/>
          <w:b/>
          <w:color w:val="FF0000"/>
          <w:sz w:val="24"/>
        </w:rPr>
      </w:pPr>
    </w:p>
    <w:p w14:paraId="1665FFC1">
      <w:pPr>
        <w:pStyle w:val="9"/>
        <w:numPr>
          <w:ilvl w:val="0"/>
          <w:numId w:val="2"/>
        </w:numPr>
        <w:spacing w:line="360" w:lineRule="auto"/>
        <w:ind w:firstLineChars="0"/>
        <w:rPr>
          <w:rFonts w:ascii="Times New Roman" w:hAnsi="Times New Roman"/>
          <w:b/>
          <w:sz w:val="24"/>
          <w:szCs w:val="24"/>
        </w:rPr>
      </w:pPr>
      <w:r>
        <w:rPr>
          <w:rFonts w:ascii="Times New Roman" w:hAnsi="Times New Roman"/>
          <w:b/>
          <w:sz w:val="24"/>
          <w:szCs w:val="24"/>
        </w:rPr>
        <w:t>技术要求</w:t>
      </w:r>
    </w:p>
    <w:p w14:paraId="62115E89">
      <w:pPr>
        <w:spacing w:line="360" w:lineRule="auto"/>
        <w:rPr>
          <w:rFonts w:ascii="Times New Roman" w:hAnsi="Times New Roman" w:eastAsia="宋体" w:cs="Times New Roman"/>
          <w:b/>
          <w:color w:val="000000"/>
          <w:sz w:val="24"/>
        </w:rPr>
      </w:pPr>
      <w:r>
        <w:rPr>
          <w:rFonts w:ascii="Times New Roman" w:hAnsi="Times New Roman" w:eastAsia="宋体" w:cs="Times New Roman"/>
          <w:b/>
          <w:color w:val="000000"/>
          <w:sz w:val="24"/>
        </w:rPr>
        <w:t>1. 基本要求</w:t>
      </w:r>
    </w:p>
    <w:p w14:paraId="4F649C4A">
      <w:pPr>
        <w:spacing w:line="360" w:lineRule="auto"/>
        <w:rPr>
          <w:rFonts w:ascii="Times New Roman" w:hAnsi="Times New Roman" w:eastAsia="宋体" w:cs="Times New Roman"/>
          <w:sz w:val="24"/>
        </w:rPr>
      </w:pPr>
      <w:r>
        <w:rPr>
          <w:rFonts w:ascii="Times New Roman" w:hAnsi="Times New Roman" w:eastAsia="宋体" w:cs="Times New Roman"/>
          <w:sz w:val="24"/>
        </w:rPr>
        <w:t xml:space="preserve">1.1 </w:t>
      </w:r>
      <w:r>
        <w:rPr>
          <w:rFonts w:ascii="Times New Roman" w:hAnsi="Times New Roman" w:eastAsia="宋体" w:cs="Times New Roman"/>
          <w:color w:val="000000"/>
          <w:sz w:val="24"/>
        </w:rPr>
        <w:t>采购标的需实现的功能或者目标</w:t>
      </w:r>
    </w:p>
    <w:p w14:paraId="61CC99A6">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根据北京市交通运输行业工作要点，通过专业力量组建帮扶指导队伍，加强对经开区交通运输行业管理，帮扶辖区交通运输企业进行相关行业内日常安全生产工作，辅助城市运行局做好相关政策宣讲、教育培训等行业工作，同时辅助做好其他工作。规范企业生产经营行为，督促企业提升运营与服务质量，推动交通运输政策宣导，为经开区交通运输安全、智慧、稳定及高质量发展提供助力。</w:t>
      </w:r>
    </w:p>
    <w:p w14:paraId="012F5C2F">
      <w:pPr>
        <w:spacing w:line="360" w:lineRule="auto"/>
        <w:ind w:firstLine="480" w:firstLineChars="200"/>
        <w:rPr>
          <w:rFonts w:ascii="Times New Roman" w:hAnsi="Times New Roman" w:eastAsia="宋体" w:cs="Times New Roman"/>
          <w:sz w:val="24"/>
        </w:rPr>
      </w:pPr>
    </w:p>
    <w:p w14:paraId="10F0399D">
      <w:pPr>
        <w:spacing w:line="360" w:lineRule="auto"/>
        <w:rPr>
          <w:rFonts w:ascii="Times New Roman" w:hAnsi="Times New Roman" w:eastAsia="宋体" w:cs="Times New Roman"/>
          <w:sz w:val="24"/>
        </w:rPr>
      </w:pPr>
      <w:r>
        <w:rPr>
          <w:rFonts w:ascii="Times New Roman" w:hAnsi="Times New Roman" w:eastAsia="宋体" w:cs="Times New Roman"/>
          <w:sz w:val="24"/>
        </w:rPr>
        <w:t>1.2 需执行的国家相关标准、行业标准、地方标准或者其他标准、规范</w:t>
      </w:r>
    </w:p>
    <w:p w14:paraId="6ADEFAE6">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按照国家相关法律、法规、标准与导则执行，如有更新以最新国家或行业标准执行。</w:t>
      </w:r>
    </w:p>
    <w:p w14:paraId="074C3E1C">
      <w:pPr>
        <w:spacing w:line="360" w:lineRule="auto"/>
        <w:rPr>
          <w:rFonts w:ascii="Times New Roman" w:hAnsi="Times New Roman" w:eastAsia="宋体" w:cs="Times New Roman"/>
          <w:sz w:val="24"/>
        </w:rPr>
      </w:pPr>
    </w:p>
    <w:p w14:paraId="12F76D4D">
      <w:pPr>
        <w:spacing w:line="360" w:lineRule="auto"/>
        <w:rPr>
          <w:rFonts w:ascii="Times New Roman" w:hAnsi="Times New Roman" w:eastAsia="宋体" w:cs="Times New Roman"/>
          <w:b/>
          <w:sz w:val="24"/>
        </w:rPr>
      </w:pPr>
      <w:r>
        <w:rPr>
          <w:rFonts w:ascii="Times New Roman" w:hAnsi="Times New Roman" w:eastAsia="宋体" w:cs="Times New Roman"/>
          <w:b/>
          <w:sz w:val="24"/>
        </w:rPr>
        <w:t>2. 服务内容及要求</w:t>
      </w:r>
    </w:p>
    <w:p w14:paraId="3928CE22">
      <w:pPr>
        <w:widowControl/>
        <w:spacing w:line="360" w:lineRule="auto"/>
        <w:contextualSpacing/>
        <w:rPr>
          <w:rFonts w:ascii="Times New Roman" w:hAnsi="Times New Roman" w:eastAsia="宋体" w:cs="Times New Roman"/>
          <w:color w:val="000000"/>
          <w:sz w:val="24"/>
        </w:rPr>
      </w:pPr>
      <w:r>
        <w:rPr>
          <w:rFonts w:ascii="Times New Roman" w:hAnsi="Times New Roman" w:eastAsia="宋体" w:cs="Times New Roman"/>
          <w:color w:val="000000"/>
          <w:sz w:val="24"/>
        </w:rPr>
        <w:t>2.1采购标的需满足的性能、材料、结构、外观、质量、安全、技术规格、物理特性等要求</w:t>
      </w:r>
    </w:p>
    <w:p w14:paraId="52407107">
      <w:pPr>
        <w:widowControl/>
        <w:spacing w:line="360" w:lineRule="auto"/>
        <w:contextualSpacing/>
        <w:rPr>
          <w:rFonts w:ascii="Times New Roman" w:hAnsi="Times New Roman" w:eastAsia="宋体" w:cs="Times New Roman"/>
          <w:color w:val="000000"/>
          <w:sz w:val="24"/>
        </w:rPr>
      </w:pPr>
      <w:r>
        <w:rPr>
          <w:rFonts w:ascii="Times New Roman" w:hAnsi="Times New Roman" w:eastAsia="宋体" w:cs="Times New Roman"/>
          <w:color w:val="000000"/>
          <w:sz w:val="24"/>
        </w:rPr>
        <w:t>2.1.1工作重点</w:t>
      </w:r>
    </w:p>
    <w:p w14:paraId="0D3CF75B">
      <w:pPr>
        <w:spacing w:line="360" w:lineRule="auto"/>
        <w:rPr>
          <w:rFonts w:ascii="Times New Roman" w:hAnsi="Times New Roman" w:eastAsia="宋体" w:cs="Times New Roman"/>
          <w:sz w:val="24"/>
        </w:rPr>
      </w:pPr>
      <w:r>
        <w:rPr>
          <w:rFonts w:ascii="Times New Roman" w:hAnsi="Times New Roman" w:eastAsia="宋体" w:cs="Times New Roman"/>
          <w:sz w:val="24"/>
        </w:rPr>
        <w:t>（1）辅助城市运行局对经开区管辖范围内347余家货运企业、汽车租赁企业、机动车维修企业、旅游客运企业、公交站场、共享单车企业、停车场、网约车企业、有轨电车T1线等交通企业进行安全生产帮扶指导工作，做好相关政策宣讲、教育培训工作，帮扶企业规范生产经营行为，开展经开区交通行业第三方辅助监管与服务。</w:t>
      </w:r>
    </w:p>
    <w:p w14:paraId="76EA216B">
      <w:pPr>
        <w:spacing w:line="360" w:lineRule="auto"/>
        <w:rPr>
          <w:rFonts w:ascii="Times New Roman" w:hAnsi="Times New Roman" w:eastAsia="宋体" w:cs="Times New Roman"/>
          <w:sz w:val="24"/>
        </w:rPr>
      </w:pPr>
      <w:r>
        <w:rPr>
          <w:rFonts w:ascii="Times New Roman" w:hAnsi="Times New Roman" w:eastAsia="宋体" w:cs="Times New Roman"/>
          <w:sz w:val="24"/>
        </w:rPr>
        <w:t>（2）成立帮扶指导小组，制定详细的企业帮扶实施方案。根据企业需要，提供必要的技术支持和咨询服务。帮扶辖区内交通运输企业提升企业运营效率、优化管理流程、帮扶企业完善各项规章管理制度、确保安全生产制度的落实，从而帮助企业解决实际困难。</w:t>
      </w:r>
    </w:p>
    <w:p w14:paraId="0F10EB07">
      <w:pPr>
        <w:spacing w:line="360" w:lineRule="auto"/>
        <w:rPr>
          <w:rFonts w:ascii="Times New Roman" w:hAnsi="Times New Roman" w:eastAsia="宋体" w:cs="Times New Roman"/>
          <w:sz w:val="24"/>
        </w:rPr>
      </w:pPr>
      <w:r>
        <w:rPr>
          <w:rFonts w:ascii="Times New Roman" w:hAnsi="Times New Roman" w:eastAsia="宋体" w:cs="Times New Roman"/>
          <w:sz w:val="24"/>
        </w:rPr>
        <w:t>（3）认真对照交通运输行业相关法律法规、北京市交通委员会相关文件要求及标准，制定相关工作细则，通过“政策宣讲、教育培训”等辅助模式，认真辅助城市运行局履行安全监管职责。</w:t>
      </w:r>
    </w:p>
    <w:p w14:paraId="1715276A">
      <w:pPr>
        <w:spacing w:line="360" w:lineRule="auto"/>
        <w:rPr>
          <w:rFonts w:ascii="Times New Roman" w:hAnsi="Times New Roman" w:eastAsia="宋体" w:cs="Times New Roman"/>
          <w:sz w:val="24"/>
        </w:rPr>
      </w:pPr>
      <w:r>
        <w:rPr>
          <w:rFonts w:ascii="Times New Roman" w:hAnsi="Times New Roman" w:eastAsia="宋体" w:cs="Times New Roman"/>
          <w:sz w:val="24"/>
        </w:rPr>
        <w:t>（4）协助城市运行局持续完善经开区交通运输企业动态监管台账管理机制，规范各交通运营单位的经营服务行为。</w:t>
      </w:r>
    </w:p>
    <w:p w14:paraId="2195C602">
      <w:pPr>
        <w:spacing w:line="360" w:lineRule="auto"/>
        <w:rPr>
          <w:rFonts w:ascii="Times New Roman" w:hAnsi="Times New Roman" w:eastAsia="宋体" w:cs="Times New Roman"/>
          <w:sz w:val="24"/>
        </w:rPr>
      </w:pPr>
      <w:r>
        <w:rPr>
          <w:rFonts w:ascii="Times New Roman" w:hAnsi="Times New Roman" w:eastAsia="宋体" w:cs="Times New Roman"/>
          <w:sz w:val="24"/>
        </w:rPr>
        <w:t>（5）协助城市运行局对辖区内道路货物运输企业、汽车租赁企业、货运代理、外省货运经营者驻京企业、客运班线、货运车辆年审、GPS卫星定位系统监督平台的备案材料核查、上传、地铁桥下空间移交、治理等工作。</w:t>
      </w:r>
    </w:p>
    <w:p w14:paraId="09D9EC8F">
      <w:pPr>
        <w:spacing w:line="360" w:lineRule="auto"/>
        <w:rPr>
          <w:rFonts w:ascii="Times New Roman" w:hAnsi="Times New Roman" w:eastAsia="宋体" w:cs="Times New Roman"/>
          <w:sz w:val="24"/>
        </w:rPr>
      </w:pPr>
      <w:r>
        <w:rPr>
          <w:rFonts w:ascii="Times New Roman" w:hAnsi="Times New Roman" w:eastAsia="宋体" w:cs="Times New Roman"/>
          <w:sz w:val="24"/>
        </w:rPr>
        <w:t>（6）协助城市运行局运用城市大脑等智能化手段,使各项业务逐步形成有数据统计，有信息备份，有追溯机制的智能化管理运营模式。</w:t>
      </w:r>
    </w:p>
    <w:p w14:paraId="0854D569">
      <w:pPr>
        <w:spacing w:line="360" w:lineRule="auto"/>
        <w:rPr>
          <w:rFonts w:ascii="Times New Roman" w:hAnsi="Times New Roman" w:eastAsia="宋体" w:cs="Times New Roman"/>
          <w:sz w:val="24"/>
        </w:rPr>
      </w:pPr>
      <w:r>
        <w:rPr>
          <w:rFonts w:ascii="Times New Roman" w:hAnsi="Times New Roman" w:eastAsia="宋体" w:cs="Times New Roman"/>
          <w:sz w:val="24"/>
        </w:rPr>
        <w:t>（7）协助城市运行局做好交通运输行业相关业务的12345、12328等投诉现场处理及回复工作，以及其他后勤保障工作。</w:t>
      </w:r>
    </w:p>
    <w:p w14:paraId="398BDE1C">
      <w:pPr>
        <w:spacing w:line="360" w:lineRule="auto"/>
        <w:rPr>
          <w:rFonts w:ascii="Times New Roman" w:hAnsi="Times New Roman" w:eastAsia="宋体" w:cs="Times New Roman"/>
          <w:sz w:val="24"/>
        </w:rPr>
      </w:pPr>
      <w:r>
        <w:rPr>
          <w:rFonts w:ascii="Times New Roman" w:hAnsi="Times New Roman" w:eastAsia="宋体" w:cs="Times New Roman"/>
          <w:sz w:val="24"/>
        </w:rPr>
        <w:t>（8）建立健全业务运营和团队管理机制，强化人员专业能力与责任意识，高质高效完成目标职责；建立数据分析团队，在保障各项业务正常推进同时收集汇总关键信息并进行分析，做到数据互通可查，为风险排查与预警、接诉即办及经开区交通行业规划发展决策提供数据支撑。</w:t>
      </w:r>
    </w:p>
    <w:p w14:paraId="45D49E28">
      <w:pPr>
        <w:spacing w:line="360" w:lineRule="auto"/>
        <w:rPr>
          <w:rFonts w:ascii="Times New Roman" w:hAnsi="Times New Roman" w:eastAsia="宋体" w:cs="Times New Roman"/>
          <w:sz w:val="24"/>
        </w:rPr>
      </w:pPr>
      <w:r>
        <w:rPr>
          <w:rFonts w:ascii="Times New Roman" w:hAnsi="Times New Roman" w:eastAsia="宋体" w:cs="Times New Roman"/>
          <w:sz w:val="24"/>
        </w:rPr>
        <w:t>2.1.2相关工作内容</w:t>
      </w:r>
    </w:p>
    <w:p w14:paraId="08C43109">
      <w:pPr>
        <w:spacing w:line="360" w:lineRule="auto"/>
        <w:rPr>
          <w:rFonts w:ascii="Times New Roman" w:hAnsi="Times New Roman" w:eastAsia="宋体" w:cs="Times New Roman"/>
          <w:sz w:val="24"/>
        </w:rPr>
      </w:pPr>
      <w:r>
        <w:rPr>
          <w:rFonts w:ascii="Times New Roman" w:hAnsi="Times New Roman" w:eastAsia="宋体" w:cs="Times New Roman"/>
          <w:sz w:val="24"/>
        </w:rPr>
        <w:t>（1）货物（含危险品）运输行业</w:t>
      </w:r>
    </w:p>
    <w:p w14:paraId="6999EB34">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1）交通运输领域日常（含周六日、节假日）安全业务指导。</w:t>
      </w:r>
    </w:p>
    <w:p w14:paraId="50E107ED">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2）交通运输领域“汛期”专项指导。</w:t>
      </w:r>
    </w:p>
    <w:p w14:paraId="63F9E75C">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3）交通运输领域“燃气、有限空间、消防”专项指导。</w:t>
      </w:r>
    </w:p>
    <w:p w14:paraId="052DB394">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4）交通运输领域专家帮扶指导专项。</w:t>
      </w:r>
    </w:p>
    <w:p w14:paraId="454EF19B">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5）交通运输领域风险源辨识评定。</w:t>
      </w:r>
    </w:p>
    <w:p w14:paraId="0097B409">
      <w:pPr>
        <w:spacing w:line="360" w:lineRule="auto"/>
        <w:rPr>
          <w:rFonts w:ascii="Times New Roman" w:hAnsi="Times New Roman" w:eastAsia="宋体" w:cs="Times New Roman"/>
          <w:sz w:val="24"/>
        </w:rPr>
      </w:pPr>
      <w:r>
        <w:rPr>
          <w:rFonts w:ascii="Times New Roman" w:hAnsi="Times New Roman" w:eastAsia="宋体" w:cs="Times New Roman"/>
          <w:sz w:val="24"/>
        </w:rPr>
        <w:t>（2）机动车维修行业</w:t>
      </w:r>
    </w:p>
    <w:p w14:paraId="56E25FE3">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1）交通运输领域日常（含周六日、节假日）安全业务指导。</w:t>
      </w:r>
    </w:p>
    <w:p w14:paraId="45855E28">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2）交通运输领域机动车维修企业电器设备隐患排查及消防安全专项指导。</w:t>
      </w:r>
    </w:p>
    <w:p w14:paraId="287A0FE8">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3）交通运输领域焊接切割等动火作业专项指导。</w:t>
      </w:r>
    </w:p>
    <w:p w14:paraId="6DC0F5EB">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4）交通运输领域专家帮扶指导专项。</w:t>
      </w:r>
    </w:p>
    <w:p w14:paraId="1EA732E2">
      <w:pPr>
        <w:spacing w:line="360" w:lineRule="auto"/>
        <w:rPr>
          <w:rFonts w:ascii="Times New Roman" w:hAnsi="Times New Roman" w:eastAsia="宋体" w:cs="Times New Roman"/>
          <w:sz w:val="24"/>
        </w:rPr>
      </w:pPr>
      <w:r>
        <w:rPr>
          <w:rFonts w:ascii="Times New Roman" w:hAnsi="Times New Roman" w:eastAsia="宋体" w:cs="Times New Roman"/>
          <w:sz w:val="24"/>
        </w:rPr>
        <w:t>（3）客运、租赁行业</w:t>
      </w:r>
    </w:p>
    <w:p w14:paraId="0F57BAFB">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1）交通运输领域日常（含周六日、节假日）安全业务指导。</w:t>
      </w:r>
    </w:p>
    <w:p w14:paraId="33ACEF79">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2）交通运输领域夏季防汛专项指导。</w:t>
      </w:r>
    </w:p>
    <w:p w14:paraId="0C6BC8F5">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3）交通运输领域汽车租赁行业风险隐患排查整治专项指导。</w:t>
      </w:r>
    </w:p>
    <w:p w14:paraId="1E0903DF">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4）交通运输领域地面公交行业暑期高温天气应对专项指导。</w:t>
      </w:r>
    </w:p>
    <w:p w14:paraId="5AE64393">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5）交通运输领域专家帮扶指导专项。</w:t>
      </w:r>
    </w:p>
    <w:p w14:paraId="4EBB35C5">
      <w:pPr>
        <w:spacing w:line="360" w:lineRule="auto"/>
        <w:rPr>
          <w:rFonts w:ascii="Times New Roman" w:hAnsi="Times New Roman" w:eastAsia="宋体" w:cs="Times New Roman"/>
          <w:sz w:val="24"/>
        </w:rPr>
      </w:pPr>
      <w:r>
        <w:rPr>
          <w:rFonts w:ascii="Times New Roman" w:hAnsi="Times New Roman" w:eastAsia="宋体" w:cs="Times New Roman"/>
          <w:sz w:val="24"/>
        </w:rPr>
        <w:t>（4）静态交通行业</w:t>
      </w:r>
    </w:p>
    <w:p w14:paraId="7F0A9876">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1）交通运输领域共享单车行业同济南路早、晚高峰运维人员到岗情况巡查。</w:t>
      </w:r>
    </w:p>
    <w:p w14:paraId="5487D529">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2）摸排废弃电动自行车专项行动。</w:t>
      </w:r>
    </w:p>
    <w:p w14:paraId="7A096E1E">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3）经开区机械式停车设备巡查专项指导。</w:t>
      </w:r>
    </w:p>
    <w:p w14:paraId="56D26823">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4）轨道站点非机动车秩序治理工作。</w:t>
      </w:r>
    </w:p>
    <w:p w14:paraId="60F1EEA4">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5）交通运输领域地下空间专项巡查。</w:t>
      </w:r>
    </w:p>
    <w:p w14:paraId="3C5CE0F2">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6）非机动车秩序专项巡查。</w:t>
      </w:r>
    </w:p>
    <w:p w14:paraId="522E75CF">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7）交通运输领域重大节日活动期间保障巡查工作。</w:t>
      </w:r>
    </w:p>
    <w:p w14:paraId="5B6A747E">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8）交通运输领域日常（含周六日、节假日）安全业务指导。</w:t>
      </w:r>
    </w:p>
    <w:p w14:paraId="1E03EE00">
      <w:pPr>
        <w:spacing w:line="360" w:lineRule="auto"/>
        <w:rPr>
          <w:rFonts w:ascii="Times New Roman" w:hAnsi="Times New Roman" w:eastAsia="宋体" w:cs="Times New Roman"/>
          <w:sz w:val="24"/>
        </w:rPr>
      </w:pPr>
      <w:r>
        <w:rPr>
          <w:rFonts w:ascii="Times New Roman" w:hAnsi="Times New Roman" w:eastAsia="宋体" w:cs="Times New Roman"/>
          <w:sz w:val="24"/>
        </w:rPr>
        <w:t>（5）全交通运输行业</w:t>
      </w:r>
    </w:p>
    <w:p w14:paraId="17CE42E1">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1）交通运输领域全年度综合应急演练。</w:t>
      </w:r>
    </w:p>
    <w:p w14:paraId="5EE87326">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2）交通运输领域各季度专项应急演练。</w:t>
      </w:r>
    </w:p>
    <w:p w14:paraId="1696689A">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3）交通运输领域专项政策宣讲、教育培训。</w:t>
      </w:r>
    </w:p>
    <w:p w14:paraId="23378FB9">
      <w:pPr>
        <w:spacing w:line="360" w:lineRule="auto"/>
        <w:rPr>
          <w:rFonts w:ascii="Times New Roman" w:hAnsi="Times New Roman" w:eastAsia="宋体" w:cs="Times New Roman"/>
          <w:sz w:val="24"/>
        </w:rPr>
      </w:pPr>
      <w:r>
        <w:rPr>
          <w:rFonts w:ascii="Times New Roman" w:hAnsi="Times New Roman" w:eastAsia="宋体" w:cs="Times New Roman"/>
          <w:sz w:val="24"/>
        </w:rPr>
        <w:t>（6）投标人需遵循充分保障原则，应组建行业专家团队指导相关工作，行业专家应具备相关专业工科类（中、高级职称）或道路运输专业（中级）注册安全工程师资格或交通部颁发的交通运输企业安全生产标准化建设评审员资格，以保障按时完成各类项目任务。项目负责人从事交通运输相关管理工作10年以上，技术负责人从事交通运输相关管理工作5年以上，并按照采购人服务要求，提供团队配置合理、分工明确、岗位职责清晰、人员数量满足服务要求的服务团队。</w:t>
      </w:r>
    </w:p>
    <w:p w14:paraId="25917364">
      <w:pPr>
        <w:spacing w:line="360" w:lineRule="auto"/>
        <w:rPr>
          <w:rFonts w:ascii="Times New Roman" w:hAnsi="Times New Roman" w:eastAsia="宋体" w:cs="Times New Roman"/>
          <w:sz w:val="24"/>
        </w:rPr>
      </w:pPr>
      <w:r>
        <w:rPr>
          <w:rFonts w:ascii="Times New Roman" w:hAnsi="Times New Roman" w:eastAsia="宋体" w:cs="Times New Roman"/>
          <w:sz w:val="24"/>
        </w:rPr>
        <w:t>（7）投标人需具有满足本项目的办公条件，满足本项目服务过程中所需的交通工具。</w:t>
      </w:r>
    </w:p>
    <w:p w14:paraId="61D107F4">
      <w:pPr>
        <w:spacing w:line="360" w:lineRule="auto"/>
        <w:rPr>
          <w:rFonts w:ascii="Times New Roman" w:hAnsi="Times New Roman" w:eastAsia="宋体" w:cs="Times New Roman"/>
          <w:sz w:val="24"/>
        </w:rPr>
      </w:pPr>
      <w:r>
        <w:rPr>
          <w:rFonts w:ascii="Times New Roman" w:hAnsi="Times New Roman" w:eastAsia="宋体" w:cs="Times New Roman"/>
          <w:sz w:val="24"/>
        </w:rPr>
        <w:t>（8）投标人承诺接受本项目服务过程中采购人的监督及扣分，具体内容详见《附件：扣分细则》。</w:t>
      </w:r>
    </w:p>
    <w:p w14:paraId="19683759">
      <w:pPr>
        <w:widowControl/>
        <w:spacing w:line="360" w:lineRule="auto"/>
        <w:contextualSpacing/>
        <w:rPr>
          <w:rFonts w:ascii="Times New Roman" w:hAnsi="Times New Roman" w:eastAsia="宋体" w:cs="Times New Roman"/>
          <w:color w:val="000000"/>
          <w:sz w:val="24"/>
        </w:rPr>
      </w:pPr>
    </w:p>
    <w:p w14:paraId="32162B2C">
      <w:pPr>
        <w:widowControl/>
        <w:spacing w:line="360" w:lineRule="auto"/>
        <w:contextualSpacing/>
        <w:rPr>
          <w:rFonts w:ascii="Times New Roman" w:hAnsi="Times New Roman" w:eastAsia="宋体" w:cs="Times New Roman"/>
          <w:color w:val="000000"/>
          <w:sz w:val="24"/>
        </w:rPr>
      </w:pPr>
      <w:r>
        <w:rPr>
          <w:rFonts w:ascii="Times New Roman" w:hAnsi="Times New Roman" w:eastAsia="宋体" w:cs="Times New Roman"/>
          <w:color w:val="000000"/>
          <w:sz w:val="24"/>
        </w:rPr>
        <w:t>2.2 采购标的需满足的服务标准、期限、效率等要求</w:t>
      </w:r>
    </w:p>
    <w:p w14:paraId="1782F45A">
      <w:pPr>
        <w:widowControl/>
        <w:spacing w:line="360" w:lineRule="auto"/>
        <w:ind w:firstLine="480" w:firstLineChars="200"/>
        <w:contextualSpacing/>
        <w:rPr>
          <w:rFonts w:ascii="Times New Roman" w:hAnsi="Times New Roman" w:eastAsia="宋体" w:cs="Times New Roman"/>
          <w:color w:val="000000"/>
          <w:sz w:val="24"/>
        </w:rPr>
      </w:pPr>
      <w:r>
        <w:rPr>
          <w:rFonts w:ascii="Times New Roman" w:hAnsi="Times New Roman" w:eastAsia="宋体" w:cs="Times New Roman"/>
          <w:color w:val="000000"/>
          <w:sz w:val="24"/>
        </w:rPr>
        <w:t>服务标准：详见本章第三部分1.2“需执行的国家相关标准、行业标准、地方标准或者其他标准、规范”具体要求。</w:t>
      </w:r>
    </w:p>
    <w:p w14:paraId="15E4F179">
      <w:pPr>
        <w:widowControl/>
        <w:spacing w:line="360" w:lineRule="auto"/>
        <w:ind w:firstLine="480" w:firstLineChars="200"/>
        <w:contextualSpacing/>
        <w:rPr>
          <w:rFonts w:ascii="Times New Roman" w:hAnsi="Times New Roman" w:eastAsia="宋体" w:cs="Times New Roman"/>
          <w:color w:val="000000"/>
          <w:sz w:val="24"/>
        </w:rPr>
      </w:pPr>
      <w:r>
        <w:rPr>
          <w:rFonts w:ascii="Times New Roman" w:hAnsi="Times New Roman" w:eastAsia="宋体" w:cs="Times New Roman"/>
          <w:color w:val="000000"/>
          <w:sz w:val="24"/>
        </w:rPr>
        <w:t>服务期限：详见本章第二部分具体要求。</w:t>
      </w:r>
    </w:p>
    <w:p w14:paraId="0B105B18">
      <w:pPr>
        <w:widowControl/>
        <w:spacing w:line="360" w:lineRule="auto"/>
        <w:contextualSpacing/>
        <w:rPr>
          <w:rFonts w:ascii="Times New Roman" w:hAnsi="Times New Roman" w:eastAsia="宋体" w:cs="Times New Roman"/>
          <w:color w:val="000000"/>
          <w:sz w:val="24"/>
        </w:rPr>
      </w:pPr>
    </w:p>
    <w:p w14:paraId="0D835AAC">
      <w:pPr>
        <w:widowControl/>
        <w:spacing w:line="360" w:lineRule="auto"/>
        <w:contextualSpacing/>
        <w:rPr>
          <w:rFonts w:ascii="Times New Roman" w:hAnsi="Times New Roman" w:eastAsia="宋体" w:cs="Times New Roman"/>
          <w:sz w:val="24"/>
        </w:rPr>
      </w:pPr>
      <w:r>
        <w:rPr>
          <w:rFonts w:ascii="Times New Roman" w:hAnsi="Times New Roman" w:eastAsia="宋体" w:cs="Times New Roman"/>
          <w:color w:val="000000"/>
          <w:sz w:val="24"/>
        </w:rPr>
        <w:t xml:space="preserve">2.3 </w:t>
      </w:r>
      <w:r>
        <w:rPr>
          <w:rFonts w:ascii="Times New Roman" w:hAnsi="Times New Roman" w:eastAsia="宋体" w:cs="Times New Roman"/>
          <w:sz w:val="24"/>
        </w:rPr>
        <w:t>为落实政府采购政策需满足的要求</w:t>
      </w:r>
    </w:p>
    <w:p w14:paraId="033A3FBF">
      <w:pPr>
        <w:spacing w:line="360" w:lineRule="auto"/>
        <w:rPr>
          <w:rFonts w:ascii="Times New Roman" w:hAnsi="Times New Roman" w:eastAsia="宋体" w:cs="Times New Roman"/>
          <w:bCs/>
          <w:sz w:val="24"/>
        </w:rPr>
      </w:pPr>
      <w:r>
        <w:rPr>
          <w:rFonts w:ascii="Times New Roman" w:hAnsi="Times New Roman" w:eastAsia="宋体" w:cs="Times New Roman"/>
          <w:sz w:val="24"/>
        </w:rPr>
        <w:t>（一）本项目需要落实的政府采购政策：节约能源、保护环境、促进中小企业及监狱企业发展、促进残疾人就业、</w:t>
      </w:r>
      <w:r>
        <w:rPr>
          <w:rFonts w:ascii="Times New Roman" w:hAnsi="Times New Roman" w:eastAsia="宋体" w:cs="Times New Roman"/>
          <w:bCs/>
          <w:sz w:val="24"/>
        </w:rPr>
        <w:t>支持乡村产业振兴等。</w:t>
      </w:r>
    </w:p>
    <w:p w14:paraId="6CAC2BE5">
      <w:pPr>
        <w:spacing w:line="360" w:lineRule="auto"/>
        <w:rPr>
          <w:rFonts w:ascii="Times New Roman" w:hAnsi="Times New Roman" w:eastAsia="宋体" w:cs="Times New Roman"/>
          <w:bCs/>
          <w:sz w:val="24"/>
        </w:rPr>
      </w:pPr>
      <w:r>
        <w:rPr>
          <w:rFonts w:ascii="Times New Roman" w:hAnsi="Times New Roman" w:eastAsia="宋体" w:cs="Times New Roman"/>
          <w:bCs/>
          <w:sz w:val="24"/>
        </w:rPr>
        <w:t>（二）具体要求</w:t>
      </w:r>
    </w:p>
    <w:p w14:paraId="241CE229">
      <w:pPr>
        <w:spacing w:line="360" w:lineRule="auto"/>
        <w:rPr>
          <w:rFonts w:ascii="Times New Roman" w:hAnsi="Times New Roman" w:eastAsia="宋体" w:cs="Times New Roman"/>
          <w:sz w:val="24"/>
        </w:rPr>
      </w:pPr>
      <w:r>
        <w:rPr>
          <w:rFonts w:ascii="Times New Roman" w:hAnsi="Times New Roman" w:eastAsia="宋体" w:cs="Times New Roman"/>
          <w:sz w:val="24"/>
        </w:rPr>
        <w:t>（1）促进中小企业及监狱企业发展、促进残疾人就业</w:t>
      </w:r>
    </w:p>
    <w:p w14:paraId="031D13F1">
      <w:pPr>
        <w:spacing w:line="360" w:lineRule="auto"/>
        <w:ind w:firstLine="480" w:firstLineChars="200"/>
        <w:rPr>
          <w:rFonts w:ascii="Times New Roman" w:hAnsi="Times New Roman" w:eastAsia="宋体" w:cs="Times New Roman"/>
          <w:bCs/>
          <w:sz w:val="24"/>
        </w:rPr>
      </w:pPr>
      <w:r>
        <w:rPr>
          <w:rFonts w:ascii="Times New Roman" w:hAnsi="Times New Roman" w:eastAsia="宋体" w:cs="Times New Roman"/>
          <w:bCs/>
          <w:sz w:val="24"/>
        </w:rPr>
        <w:t>根据《中华人民共和国中小企业促进法》、《政府采购促进中小企业发展管理办法》（财库〔2020〕46号）、《关于印发中小企业划型标准规定的通知》（工信部联企业〔2011〕300 号）、《国务院关于进一步促进中小企业发展的若干意见》等关于中小企业的相关规定，本项目执行中小企业相关政策。符合政策规定的监狱企业和残疾人福利性单位视同小型、微型企业，享受预留份额、评审中价格扣除等政府采购促进中小企业发展的政府采购政策。</w:t>
      </w:r>
    </w:p>
    <w:p w14:paraId="0D92BE40">
      <w:pPr>
        <w:snapToGrid w:val="0"/>
        <w:spacing w:line="360" w:lineRule="auto"/>
        <w:rPr>
          <w:rFonts w:ascii="Times New Roman" w:hAnsi="Times New Roman" w:eastAsia="宋体" w:cs="Times New Roman"/>
          <w:sz w:val="24"/>
        </w:rPr>
      </w:pPr>
      <w:r>
        <w:rPr>
          <w:rFonts w:ascii="Cambria Math" w:hAnsi="Cambria Math" w:eastAsia="宋体" w:cs="Cambria Math"/>
          <w:sz w:val="24"/>
        </w:rPr>
        <w:t>①</w:t>
      </w:r>
      <w:r>
        <w:rPr>
          <w:rFonts w:ascii="Times New Roman" w:hAnsi="Times New Roman" w:eastAsia="宋体" w:cs="Times New Roman"/>
          <w:sz w:val="24"/>
        </w:rPr>
        <w:t>本项目是否专门面向中小企业预留采购份额，见第一章《投标邀请》。</w:t>
      </w:r>
    </w:p>
    <w:p w14:paraId="51994B7B">
      <w:pPr>
        <w:snapToGrid w:val="0"/>
        <w:spacing w:line="360" w:lineRule="auto"/>
        <w:rPr>
          <w:rFonts w:ascii="Times New Roman" w:hAnsi="Times New Roman" w:eastAsia="宋体" w:cs="Times New Roman"/>
          <w:sz w:val="24"/>
        </w:rPr>
      </w:pPr>
      <w:r>
        <w:rPr>
          <w:rFonts w:ascii="Cambria Math" w:hAnsi="Cambria Math" w:eastAsia="宋体" w:cs="Cambria Math"/>
          <w:sz w:val="24"/>
        </w:rPr>
        <w:t>②</w:t>
      </w:r>
      <w:r>
        <w:rPr>
          <w:rFonts w:ascii="Times New Roman" w:hAnsi="Times New Roman" w:eastAsia="宋体" w:cs="Times New Roman"/>
          <w:sz w:val="24"/>
        </w:rPr>
        <w:t>采购标的对应的中小企业划分标准所属行业，见第二章《投标人须知》。</w:t>
      </w:r>
    </w:p>
    <w:p w14:paraId="00F1A14D">
      <w:pPr>
        <w:snapToGrid w:val="0"/>
        <w:spacing w:line="360" w:lineRule="auto"/>
        <w:rPr>
          <w:rFonts w:ascii="Times New Roman" w:hAnsi="Times New Roman" w:eastAsia="宋体" w:cs="Times New Roman"/>
          <w:sz w:val="24"/>
        </w:rPr>
      </w:pPr>
      <w:r>
        <w:rPr>
          <w:rFonts w:ascii="Cambria Math" w:hAnsi="Cambria Math" w:eastAsia="宋体" w:cs="Cambria Math"/>
          <w:sz w:val="24"/>
        </w:rPr>
        <w:t>③</w:t>
      </w:r>
      <w:r>
        <w:rPr>
          <w:rFonts w:ascii="Times New Roman" w:hAnsi="Times New Roman" w:eastAsia="宋体" w:cs="Times New Roman"/>
          <w:sz w:val="24"/>
        </w:rPr>
        <w:t>小微企业价格评审优惠的政策调整，见第四章《评标程序、评标方法和评标标准》。</w:t>
      </w:r>
    </w:p>
    <w:p w14:paraId="50C5C4DD">
      <w:pPr>
        <w:spacing w:line="360" w:lineRule="auto"/>
        <w:rPr>
          <w:rFonts w:ascii="Times New Roman" w:hAnsi="Times New Roman" w:eastAsia="宋体" w:cs="Times New Roman"/>
          <w:sz w:val="24"/>
        </w:rPr>
      </w:pPr>
    </w:p>
    <w:p w14:paraId="4E1E2D79">
      <w:pPr>
        <w:widowControl/>
        <w:spacing w:line="360" w:lineRule="auto"/>
        <w:contextualSpacing/>
        <w:rPr>
          <w:rFonts w:ascii="Times New Roman" w:hAnsi="Times New Roman" w:eastAsia="宋体" w:cs="Times New Roman"/>
          <w:color w:val="000000"/>
          <w:sz w:val="24"/>
        </w:rPr>
      </w:pPr>
      <w:r>
        <w:rPr>
          <w:rFonts w:ascii="Times New Roman" w:hAnsi="Times New Roman" w:eastAsia="宋体" w:cs="Times New Roman"/>
          <w:color w:val="000000"/>
          <w:sz w:val="24"/>
        </w:rPr>
        <w:t>2.4 采购标的的其他技术、服务等要求</w:t>
      </w:r>
    </w:p>
    <w:p w14:paraId="60D41613">
      <w:pPr>
        <w:widowControl/>
        <w:spacing w:line="360" w:lineRule="auto"/>
        <w:ind w:firstLine="480" w:firstLineChars="200"/>
        <w:contextualSpacing/>
        <w:rPr>
          <w:rFonts w:ascii="Times New Roman" w:hAnsi="Times New Roman" w:eastAsia="宋体" w:cs="Times New Roman"/>
          <w:color w:val="000000"/>
          <w:sz w:val="24"/>
        </w:rPr>
      </w:pPr>
      <w:r>
        <w:rPr>
          <w:rFonts w:ascii="Times New Roman" w:hAnsi="Times New Roman" w:eastAsia="宋体" w:cs="Times New Roman"/>
          <w:color w:val="000000"/>
          <w:sz w:val="24"/>
        </w:rPr>
        <w:t>无</w:t>
      </w:r>
    </w:p>
    <w:p w14:paraId="435FC74B">
      <w:pPr>
        <w:widowControl/>
        <w:spacing w:line="360" w:lineRule="auto"/>
        <w:contextualSpacing/>
        <w:rPr>
          <w:rFonts w:ascii="Times New Roman" w:hAnsi="Times New Roman" w:eastAsia="宋体" w:cs="Times New Roman"/>
          <w:color w:val="000000"/>
          <w:sz w:val="24"/>
        </w:rPr>
      </w:pPr>
    </w:p>
    <w:p w14:paraId="4C6D73C5">
      <w:pPr>
        <w:widowControl/>
        <w:spacing w:line="360" w:lineRule="auto"/>
        <w:contextualSpacing/>
        <w:rPr>
          <w:rFonts w:ascii="Times New Roman" w:hAnsi="Times New Roman" w:eastAsia="宋体" w:cs="Times New Roman"/>
          <w:color w:val="000000"/>
          <w:sz w:val="24"/>
        </w:rPr>
      </w:pPr>
      <w:r>
        <w:rPr>
          <w:rFonts w:ascii="Times New Roman" w:hAnsi="Times New Roman" w:eastAsia="宋体" w:cs="Times New Roman"/>
          <w:color w:val="000000"/>
          <w:sz w:val="24"/>
        </w:rPr>
        <w:t xml:space="preserve">2.5 </w:t>
      </w:r>
      <w:r>
        <w:rPr>
          <w:rFonts w:ascii="Times New Roman" w:hAnsi="Times New Roman" w:eastAsia="宋体" w:cs="Times New Roman"/>
          <w:sz w:val="24"/>
        </w:rPr>
        <w:t>需由供应商提供设计方案、解决方案或者组织方案的采购项目，应当说明采购标的的功能、应用场景、目标等基本要求</w:t>
      </w:r>
    </w:p>
    <w:p w14:paraId="1DFF1925">
      <w:pPr>
        <w:numPr>
          <w:ilvl w:val="0"/>
          <w:numId w:val="3"/>
        </w:numPr>
        <w:adjustRightInd w:val="0"/>
        <w:snapToGrid w:val="0"/>
        <w:spacing w:line="360" w:lineRule="auto"/>
        <w:jc w:val="left"/>
        <w:textAlignment w:val="baseline"/>
        <w:rPr>
          <w:rFonts w:ascii="Times New Roman" w:hAnsi="Times New Roman" w:eastAsia="宋体" w:cs="Times New Roman"/>
          <w:sz w:val="24"/>
        </w:rPr>
      </w:pPr>
      <w:r>
        <w:rPr>
          <w:rFonts w:ascii="Times New Roman" w:hAnsi="Times New Roman" w:eastAsia="宋体" w:cs="Times New Roman"/>
          <w:sz w:val="24"/>
        </w:rPr>
        <w:t>辅助监管与服务工作组织方案；企业帮扶实施工作组织方案；安全监管辅助工作组织方案；动态监管台账管理机制完善工作组织方案；监督平台中备案材料相关配合工作组织方案；后勤保障相关工作组织方案</w:t>
      </w:r>
    </w:p>
    <w:p w14:paraId="5E746C58">
      <w:pPr>
        <w:snapToGrid w:val="0"/>
        <w:spacing w:line="360" w:lineRule="auto"/>
        <w:rPr>
          <w:rFonts w:ascii="Times New Roman" w:hAnsi="Times New Roman" w:eastAsia="宋体" w:cs="Times New Roman"/>
          <w:sz w:val="24"/>
        </w:rPr>
      </w:pPr>
      <w:r>
        <w:rPr>
          <w:rFonts w:ascii="Times New Roman" w:hAnsi="Times New Roman" w:eastAsia="宋体" w:cs="Times New Roman"/>
          <w:sz w:val="24"/>
        </w:rPr>
        <w:t>功能、应用场景、目标：</w:t>
      </w:r>
      <w:r>
        <w:rPr>
          <w:rFonts w:ascii="Times New Roman" w:hAnsi="Times New Roman" w:eastAsia="宋体" w:cs="Times New Roman"/>
          <w:sz w:val="24"/>
          <w:u w:val="single"/>
        </w:rPr>
        <w:t>详见本章第三部分具体要求。</w:t>
      </w:r>
    </w:p>
    <w:p w14:paraId="336D45E2">
      <w:pPr>
        <w:numPr>
          <w:ilvl w:val="0"/>
          <w:numId w:val="3"/>
        </w:numPr>
        <w:adjustRightInd w:val="0"/>
        <w:snapToGrid w:val="0"/>
        <w:spacing w:line="360" w:lineRule="auto"/>
        <w:jc w:val="left"/>
        <w:textAlignment w:val="baseline"/>
        <w:rPr>
          <w:rFonts w:ascii="Times New Roman" w:hAnsi="Times New Roman" w:eastAsia="宋体" w:cs="Times New Roman"/>
          <w:sz w:val="24"/>
        </w:rPr>
      </w:pPr>
      <w:r>
        <w:rPr>
          <w:rFonts w:ascii="Times New Roman" w:hAnsi="Times New Roman" w:eastAsia="宋体" w:cs="Times New Roman"/>
          <w:sz w:val="24"/>
        </w:rPr>
        <w:t>重点难点问题分析及解决方案</w:t>
      </w:r>
    </w:p>
    <w:p w14:paraId="021EC7BF">
      <w:pPr>
        <w:adjustRightInd w:val="0"/>
        <w:snapToGrid w:val="0"/>
        <w:spacing w:line="360" w:lineRule="auto"/>
        <w:jc w:val="left"/>
        <w:textAlignment w:val="baseline"/>
        <w:rPr>
          <w:rFonts w:ascii="Times New Roman" w:hAnsi="Times New Roman" w:eastAsia="宋体" w:cs="Times New Roman"/>
          <w:sz w:val="24"/>
        </w:rPr>
      </w:pPr>
      <w:r>
        <w:rPr>
          <w:rFonts w:ascii="Times New Roman" w:hAnsi="Times New Roman" w:eastAsia="宋体" w:cs="Times New Roman"/>
          <w:sz w:val="24"/>
        </w:rPr>
        <w:t>功能、应用场景、目标：供应商应针对本项目实际情况结合过往经验分析并指出项目实施过程中潜在的困难点、风险点，并能够给出妥善的解决方案。</w:t>
      </w:r>
    </w:p>
    <w:p w14:paraId="71E1994A">
      <w:pPr>
        <w:numPr>
          <w:ilvl w:val="0"/>
          <w:numId w:val="3"/>
        </w:numPr>
        <w:adjustRightInd w:val="0"/>
        <w:snapToGrid w:val="0"/>
        <w:spacing w:line="360" w:lineRule="auto"/>
        <w:jc w:val="left"/>
        <w:textAlignment w:val="baseline"/>
        <w:rPr>
          <w:rFonts w:ascii="Times New Roman" w:hAnsi="Times New Roman" w:eastAsia="宋体" w:cs="Times New Roman"/>
          <w:sz w:val="24"/>
        </w:rPr>
      </w:pPr>
      <w:r>
        <w:rPr>
          <w:rFonts w:ascii="Times New Roman" w:hAnsi="Times New Roman" w:eastAsia="宋体" w:cs="Times New Roman"/>
          <w:sz w:val="24"/>
        </w:rPr>
        <w:t>应急服务解决方案</w:t>
      </w:r>
    </w:p>
    <w:p w14:paraId="76C2A0D8">
      <w:pPr>
        <w:snapToGrid w:val="0"/>
        <w:spacing w:line="360" w:lineRule="auto"/>
        <w:rPr>
          <w:rFonts w:ascii="Times New Roman" w:hAnsi="Times New Roman" w:eastAsia="宋体" w:cs="Times New Roman"/>
          <w:sz w:val="24"/>
        </w:rPr>
      </w:pPr>
      <w:r>
        <w:rPr>
          <w:rFonts w:ascii="Times New Roman" w:hAnsi="Times New Roman" w:eastAsia="宋体" w:cs="Times New Roman"/>
          <w:sz w:val="24"/>
        </w:rPr>
        <w:t>功能、应用场景、目标：供应商能够针对各类紧急、突发情况提供解决方案，妥善处理各种应急情况。</w:t>
      </w:r>
    </w:p>
    <w:p w14:paraId="23A18411">
      <w:pPr>
        <w:numPr>
          <w:ilvl w:val="0"/>
          <w:numId w:val="3"/>
        </w:numPr>
        <w:adjustRightInd w:val="0"/>
        <w:snapToGrid w:val="0"/>
        <w:spacing w:line="360" w:lineRule="auto"/>
        <w:jc w:val="left"/>
        <w:textAlignment w:val="baseline"/>
        <w:rPr>
          <w:rFonts w:ascii="Times New Roman" w:hAnsi="Times New Roman" w:eastAsia="宋体" w:cs="Times New Roman"/>
          <w:sz w:val="24"/>
        </w:rPr>
      </w:pPr>
      <w:r>
        <w:rPr>
          <w:rFonts w:ascii="Times New Roman" w:hAnsi="Times New Roman" w:eastAsia="宋体" w:cs="Times New Roman"/>
          <w:sz w:val="24"/>
        </w:rPr>
        <w:t>质量保证解决方案</w:t>
      </w:r>
    </w:p>
    <w:p w14:paraId="065454EC">
      <w:pPr>
        <w:snapToGrid w:val="0"/>
        <w:spacing w:line="360" w:lineRule="auto"/>
        <w:rPr>
          <w:rFonts w:ascii="Times New Roman" w:hAnsi="Times New Roman" w:eastAsia="宋体" w:cs="Times New Roman"/>
          <w:sz w:val="24"/>
        </w:rPr>
      </w:pPr>
      <w:r>
        <w:rPr>
          <w:rFonts w:ascii="Times New Roman" w:hAnsi="Times New Roman" w:eastAsia="宋体" w:cs="Times New Roman"/>
          <w:sz w:val="24"/>
        </w:rPr>
        <w:t>功能、应用场景、目标：供应商应制定合理可行的质量保证解决方案，通过制度、辅助措施等手段，确保各项服务能保质保量完成。</w:t>
      </w:r>
    </w:p>
    <w:p w14:paraId="6C4AA5EB">
      <w:pPr>
        <w:numPr>
          <w:ilvl w:val="0"/>
          <w:numId w:val="3"/>
        </w:numPr>
        <w:adjustRightInd w:val="0"/>
        <w:snapToGrid w:val="0"/>
        <w:spacing w:line="360" w:lineRule="auto"/>
        <w:jc w:val="left"/>
        <w:textAlignment w:val="baseline"/>
        <w:rPr>
          <w:rFonts w:ascii="Times New Roman" w:hAnsi="Times New Roman" w:eastAsia="宋体" w:cs="Times New Roman"/>
          <w:sz w:val="24"/>
        </w:rPr>
      </w:pPr>
      <w:r>
        <w:rPr>
          <w:rFonts w:ascii="Times New Roman" w:hAnsi="Times New Roman" w:eastAsia="宋体" w:cs="Times New Roman"/>
          <w:sz w:val="24"/>
        </w:rPr>
        <w:t>安全保障组织方案</w:t>
      </w:r>
    </w:p>
    <w:p w14:paraId="06CC0D74">
      <w:pPr>
        <w:snapToGrid w:val="0"/>
        <w:spacing w:line="360" w:lineRule="auto"/>
        <w:rPr>
          <w:rFonts w:ascii="Times New Roman" w:hAnsi="Times New Roman" w:eastAsia="宋体" w:cs="Times New Roman"/>
          <w:sz w:val="24"/>
        </w:rPr>
      </w:pPr>
      <w:r>
        <w:rPr>
          <w:rFonts w:ascii="Times New Roman" w:hAnsi="Times New Roman" w:eastAsia="宋体" w:cs="Times New Roman"/>
          <w:sz w:val="24"/>
        </w:rPr>
        <w:t>功能、应用场景、目标：供应商应制定科学合理的安全保障组织方案，按照国家有关要求及本项目实际情况，在确保作业服务人员安全的前提下，保证项目工作质量及实施进度。</w:t>
      </w:r>
    </w:p>
    <w:p w14:paraId="5D2CCFF7">
      <w:pPr>
        <w:widowControl/>
        <w:spacing w:line="360" w:lineRule="auto"/>
        <w:ind w:firstLine="482"/>
        <w:contextualSpacing/>
        <w:rPr>
          <w:rFonts w:ascii="Times New Roman" w:hAnsi="Times New Roman" w:eastAsia="宋体" w:cs="Times New Roman"/>
          <w:b/>
          <w:sz w:val="24"/>
        </w:rPr>
      </w:pPr>
    </w:p>
    <w:p w14:paraId="1B3312BF">
      <w:pPr>
        <w:spacing w:line="360" w:lineRule="auto"/>
        <w:rPr>
          <w:rFonts w:ascii="Times New Roman" w:hAnsi="Times New Roman" w:eastAsia="宋体" w:cs="Times New Roman"/>
          <w:b/>
          <w:sz w:val="24"/>
        </w:rPr>
      </w:pPr>
      <w:r>
        <w:rPr>
          <w:rFonts w:ascii="Times New Roman" w:hAnsi="Times New Roman" w:eastAsia="宋体" w:cs="Times New Roman"/>
          <w:b/>
          <w:sz w:val="24"/>
        </w:rPr>
        <w:t>3. 履约验收方案</w:t>
      </w:r>
    </w:p>
    <w:p w14:paraId="1162DEF7">
      <w:pPr>
        <w:pStyle w:val="9"/>
        <w:adjustRightInd w:val="0"/>
        <w:spacing w:line="360" w:lineRule="auto"/>
        <w:ind w:firstLine="480"/>
        <w:jc w:val="left"/>
        <w:rPr>
          <w:rFonts w:ascii="Times New Roman" w:hAnsi="Times New Roman"/>
          <w:sz w:val="24"/>
          <w:szCs w:val="24"/>
        </w:rPr>
      </w:pPr>
      <w:r>
        <w:rPr>
          <w:rFonts w:ascii="Times New Roman" w:hAnsi="Times New Roman"/>
          <w:sz w:val="24"/>
          <w:szCs w:val="24"/>
        </w:rPr>
        <w:t>详见合同相关规定。</w:t>
      </w:r>
    </w:p>
    <w:p w14:paraId="19105857">
      <w:pPr>
        <w:widowControl/>
        <w:jc w:val="left"/>
        <w:rPr>
          <w:rFonts w:ascii="Times New Roman" w:hAnsi="Times New Roman" w:eastAsia="宋体" w:cs="Times New Roman"/>
          <w:b/>
          <w:i/>
          <w:color w:val="4874CB" w:themeColor="accent1"/>
          <w:sz w:val="24"/>
          <w14:textFill>
            <w14:solidFill>
              <w14:schemeClr w14:val="accent1"/>
            </w14:solidFill>
          </w14:textFill>
        </w:rPr>
      </w:pPr>
      <w:r>
        <w:rPr>
          <w:rFonts w:ascii="Times New Roman" w:hAnsi="Times New Roman" w:eastAsia="宋体" w:cs="Times New Roman"/>
          <w:b/>
          <w:i/>
          <w:color w:val="4874CB" w:themeColor="accent1"/>
          <w:sz w:val="24"/>
          <w14:textFill>
            <w14:solidFill>
              <w14:schemeClr w14:val="accent1"/>
            </w14:solidFill>
          </w14:textFill>
        </w:rPr>
        <w:br w:type="page"/>
      </w:r>
    </w:p>
    <w:p w14:paraId="2319B456">
      <w:pPr>
        <w:keepNext/>
        <w:keepLines/>
        <w:autoSpaceDE w:val="0"/>
        <w:autoSpaceDN w:val="0"/>
        <w:adjustRightInd w:val="0"/>
        <w:spacing w:line="560" w:lineRule="exact"/>
        <w:jc w:val="center"/>
        <w:outlineLvl w:val="0"/>
        <w:rPr>
          <w:rFonts w:ascii="Times New Roman" w:hAnsi="Times New Roman" w:eastAsia="宋体" w:cs="Times New Roman"/>
          <w:b/>
          <w:kern w:val="44"/>
          <w:sz w:val="32"/>
          <w:szCs w:val="32"/>
        </w:rPr>
      </w:pPr>
      <w:r>
        <w:rPr>
          <w:rFonts w:ascii="Times New Roman" w:hAnsi="Times New Roman" w:eastAsia="宋体" w:cs="Times New Roman"/>
          <w:b/>
          <w:kern w:val="44"/>
          <w:sz w:val="32"/>
          <w:szCs w:val="32"/>
        </w:rPr>
        <w:t>附件：扣分细则</w:t>
      </w:r>
    </w:p>
    <w:p w14:paraId="2C27F998">
      <w:pPr>
        <w:widowControl/>
        <w:snapToGrid w:val="0"/>
        <w:spacing w:line="560" w:lineRule="exact"/>
        <w:ind w:firstLine="640" w:firstLineChars="200"/>
        <w:jc w:val="left"/>
        <w:rPr>
          <w:rFonts w:ascii="Times New Roman" w:hAnsi="Times New Roman" w:eastAsia="宋体" w:cs="Times New Roman"/>
          <w:kern w:val="0"/>
          <w:sz w:val="32"/>
          <w:szCs w:val="32"/>
        </w:rPr>
      </w:pPr>
      <w:r>
        <w:rPr>
          <w:rFonts w:ascii="Times New Roman" w:hAnsi="Times New Roman" w:eastAsia="宋体" w:cs="Times New Roman"/>
          <w:kern w:val="0"/>
          <w:sz w:val="32"/>
          <w:szCs w:val="32"/>
        </w:rPr>
        <w:t xml:space="preserve"> </w:t>
      </w:r>
    </w:p>
    <w:p w14:paraId="149F1875">
      <w:pPr>
        <w:pStyle w:val="9"/>
        <w:adjustRightInd w:val="0"/>
        <w:spacing w:line="360" w:lineRule="auto"/>
        <w:ind w:firstLine="480"/>
        <w:jc w:val="left"/>
        <w:rPr>
          <w:rFonts w:ascii="Times New Roman" w:hAnsi="Times New Roman"/>
          <w:sz w:val="24"/>
          <w:szCs w:val="24"/>
        </w:rPr>
      </w:pPr>
      <w:r>
        <w:rPr>
          <w:rFonts w:ascii="Times New Roman" w:hAnsi="Times New Roman"/>
          <w:sz w:val="24"/>
          <w:szCs w:val="24"/>
        </w:rPr>
        <w:t>一、采购人对供应商的工作可随时进行监督，发现问题后采购人有权向供应商下发整改通知，并可进行扣分。</w:t>
      </w:r>
    </w:p>
    <w:p w14:paraId="367A0AFC">
      <w:pPr>
        <w:pStyle w:val="9"/>
        <w:adjustRightInd w:val="0"/>
        <w:spacing w:line="360" w:lineRule="auto"/>
        <w:ind w:firstLine="480"/>
        <w:jc w:val="left"/>
        <w:rPr>
          <w:rFonts w:ascii="Times New Roman" w:hAnsi="Times New Roman"/>
          <w:sz w:val="24"/>
          <w:szCs w:val="24"/>
        </w:rPr>
      </w:pPr>
      <w:r>
        <w:rPr>
          <w:rFonts w:ascii="Times New Roman" w:hAnsi="Times New Roman"/>
          <w:sz w:val="24"/>
          <w:szCs w:val="24"/>
        </w:rPr>
        <w:t>二、供应商每被扣除1分即从合同总价中扣除人民币1000元，合同到期付款时，采购人按累计所扣分数扣除相应款项金额。</w:t>
      </w:r>
    </w:p>
    <w:p w14:paraId="03042E28">
      <w:pPr>
        <w:pStyle w:val="9"/>
        <w:adjustRightInd w:val="0"/>
        <w:spacing w:line="360" w:lineRule="auto"/>
        <w:ind w:firstLine="480"/>
        <w:jc w:val="left"/>
        <w:rPr>
          <w:rFonts w:ascii="Times New Roman" w:hAnsi="Times New Roman"/>
          <w:sz w:val="24"/>
          <w:szCs w:val="24"/>
        </w:rPr>
      </w:pPr>
      <w:r>
        <w:rPr>
          <w:rFonts w:ascii="Times New Roman" w:hAnsi="Times New Roman"/>
          <w:sz w:val="24"/>
          <w:szCs w:val="24"/>
        </w:rPr>
        <w:t>三、扣分细则：</w:t>
      </w:r>
    </w:p>
    <w:p w14:paraId="526B6861">
      <w:pPr>
        <w:pStyle w:val="9"/>
        <w:adjustRightInd w:val="0"/>
        <w:spacing w:line="360" w:lineRule="auto"/>
        <w:ind w:firstLine="480"/>
        <w:jc w:val="left"/>
        <w:rPr>
          <w:rFonts w:ascii="Times New Roman" w:hAnsi="Times New Roman"/>
          <w:sz w:val="24"/>
          <w:szCs w:val="24"/>
        </w:rPr>
      </w:pPr>
      <w:r>
        <w:rPr>
          <w:rFonts w:ascii="Times New Roman" w:hAnsi="Times New Roman"/>
          <w:sz w:val="24"/>
          <w:szCs w:val="24"/>
        </w:rPr>
        <w:t>1.供应商辅助工作不符合合同规定或规范要求的质量标准的，每发生一次扣1分，若有属于本合同辅助内容而供应商未进行的情况每发生一次扣3分。</w:t>
      </w:r>
    </w:p>
    <w:p w14:paraId="7D9045C0">
      <w:pPr>
        <w:pStyle w:val="9"/>
        <w:adjustRightInd w:val="0"/>
        <w:spacing w:line="360" w:lineRule="auto"/>
        <w:ind w:firstLine="480"/>
        <w:jc w:val="left"/>
        <w:rPr>
          <w:rFonts w:ascii="Times New Roman" w:hAnsi="Times New Roman"/>
          <w:sz w:val="24"/>
          <w:szCs w:val="24"/>
        </w:rPr>
      </w:pPr>
      <w:r>
        <w:rPr>
          <w:rFonts w:ascii="Times New Roman" w:hAnsi="Times New Roman"/>
          <w:sz w:val="24"/>
          <w:szCs w:val="24"/>
        </w:rPr>
        <w:t>2.对采购人提出的整改要求未予按期解决每发生一次扣3分，若按期解决但未能达到采购人要求每发生一次扣1分。</w:t>
      </w:r>
    </w:p>
    <w:p w14:paraId="22D0D8E7">
      <w:pPr>
        <w:pStyle w:val="9"/>
        <w:adjustRightInd w:val="0"/>
        <w:spacing w:line="360" w:lineRule="auto"/>
        <w:ind w:firstLine="480"/>
        <w:jc w:val="left"/>
        <w:rPr>
          <w:rFonts w:ascii="Times New Roman" w:hAnsi="Times New Roman"/>
          <w:sz w:val="24"/>
          <w:szCs w:val="24"/>
        </w:rPr>
      </w:pPr>
      <w:r>
        <w:rPr>
          <w:rFonts w:ascii="Times New Roman" w:hAnsi="Times New Roman"/>
          <w:sz w:val="24"/>
          <w:szCs w:val="24"/>
        </w:rPr>
        <w:t>3.通过投诉热线（12345热线、政风行风热线等）、领导批示及媒体报道等途径收到群众投诉，经核实问题确实存在且对北京经济技术开发区形象造成不良影响的，每发生一次投诉扣3分，未按要求及时整改的加扣3分；同一位置累计投诉3次的，加扣3分，以此类推。</w:t>
      </w:r>
    </w:p>
    <w:p w14:paraId="411DDD06">
      <w:pPr>
        <w:pStyle w:val="9"/>
        <w:adjustRightInd w:val="0"/>
        <w:spacing w:line="360" w:lineRule="auto"/>
        <w:ind w:firstLine="480"/>
        <w:jc w:val="left"/>
        <w:rPr>
          <w:rFonts w:ascii="Times New Roman" w:hAnsi="Times New Roman"/>
          <w:sz w:val="24"/>
          <w:szCs w:val="24"/>
        </w:rPr>
      </w:pPr>
      <w:r>
        <w:rPr>
          <w:rFonts w:ascii="Times New Roman" w:hAnsi="Times New Roman"/>
          <w:sz w:val="24"/>
          <w:szCs w:val="24"/>
        </w:rPr>
        <w:t>4.节假日无人值班，每发生一次扣1分，若出现突发事件扣3分。</w:t>
      </w:r>
    </w:p>
    <w:p w14:paraId="31B5177B">
      <w:pPr>
        <w:pStyle w:val="9"/>
        <w:adjustRightInd w:val="0"/>
        <w:spacing w:line="360" w:lineRule="auto"/>
        <w:ind w:firstLine="480"/>
        <w:jc w:val="left"/>
        <w:rPr>
          <w:rFonts w:ascii="Times New Roman" w:hAnsi="Times New Roman"/>
          <w:sz w:val="24"/>
          <w:szCs w:val="24"/>
        </w:rPr>
      </w:pPr>
      <w:r>
        <w:rPr>
          <w:rFonts w:ascii="Times New Roman" w:hAnsi="Times New Roman"/>
          <w:sz w:val="24"/>
          <w:szCs w:val="24"/>
        </w:rPr>
        <w:t>5.未按本合同规定时间和内容上交报表，每发生一次扣1分。</w:t>
      </w:r>
    </w:p>
    <w:p w14:paraId="0B529D88">
      <w:pPr>
        <w:pStyle w:val="9"/>
        <w:adjustRightInd w:val="0"/>
        <w:spacing w:line="360" w:lineRule="auto"/>
        <w:ind w:firstLine="480"/>
        <w:jc w:val="left"/>
        <w:rPr>
          <w:rFonts w:ascii="Times New Roman" w:hAnsi="Times New Roman"/>
          <w:sz w:val="24"/>
          <w:szCs w:val="24"/>
        </w:rPr>
      </w:pPr>
      <w:r>
        <w:rPr>
          <w:rFonts w:ascii="Times New Roman" w:hAnsi="Times New Roman"/>
          <w:sz w:val="24"/>
          <w:szCs w:val="24"/>
        </w:rPr>
        <w:t>6.帮扶指导单位管理不善，出现混乱，每发生一次扣3分。</w:t>
      </w:r>
    </w:p>
    <w:p w14:paraId="7B7227B2">
      <w:pPr>
        <w:pStyle w:val="9"/>
        <w:adjustRightInd w:val="0"/>
        <w:spacing w:line="360" w:lineRule="auto"/>
        <w:ind w:firstLine="480"/>
        <w:jc w:val="left"/>
        <w:rPr>
          <w:rFonts w:ascii="Times New Roman" w:hAnsi="Times New Roman"/>
          <w:sz w:val="24"/>
          <w:szCs w:val="24"/>
        </w:rPr>
      </w:pPr>
      <w:r>
        <w:rPr>
          <w:rFonts w:ascii="Times New Roman" w:hAnsi="Times New Roman"/>
          <w:sz w:val="24"/>
          <w:szCs w:val="24"/>
        </w:rPr>
        <w:t>7.供应商所提供的24小时内随时联系的电话不能接通每发生一次扣1分。</w:t>
      </w:r>
    </w:p>
    <w:p w14:paraId="6569C7D4">
      <w:pPr>
        <w:pStyle w:val="9"/>
        <w:adjustRightInd w:val="0"/>
        <w:spacing w:line="360" w:lineRule="auto"/>
        <w:ind w:firstLine="480"/>
        <w:jc w:val="left"/>
        <w:rPr>
          <w:rFonts w:ascii="Times New Roman" w:hAnsi="Times New Roman"/>
          <w:sz w:val="24"/>
          <w:szCs w:val="24"/>
        </w:rPr>
      </w:pPr>
      <w:r>
        <w:rPr>
          <w:rFonts w:ascii="Times New Roman" w:hAnsi="Times New Roman"/>
          <w:sz w:val="24"/>
          <w:szCs w:val="24"/>
        </w:rPr>
        <w:t>8.供应商应到岗人员未及时到岗，每发生一次扣3分。</w:t>
      </w:r>
    </w:p>
    <w:p w14:paraId="4186BB19">
      <w:pPr>
        <w:widowControl/>
        <w:jc w:val="left"/>
        <w:rPr>
          <w:rFonts w:ascii="Times New Roman" w:hAnsi="Times New Roman" w:eastAsia="宋体" w:cs="Times New Roman"/>
        </w:rPr>
      </w:pPr>
      <w:r>
        <w:rPr>
          <w:rFonts w:ascii="Times New Roman" w:hAnsi="Times New Roman" w:eastAsia="宋体" w:cs="Times New Roman"/>
        </w:rPr>
        <w:br w:type="page"/>
      </w:r>
    </w:p>
    <w:p w14:paraId="458E4D5A">
      <w:pPr>
        <w:adjustRightInd w:val="0"/>
        <w:spacing w:line="360" w:lineRule="auto"/>
        <w:jc w:val="left"/>
        <w:rPr>
          <w:rFonts w:ascii="Times New Roman" w:hAnsi="Times New Roman" w:eastAsia="宋体" w:cs="Times New Roman"/>
          <w:sz w:val="24"/>
        </w:rPr>
      </w:pPr>
    </w:p>
    <w:p w14:paraId="45D5459D">
      <w:pPr>
        <w:adjustRightInd w:val="0"/>
        <w:spacing w:line="360" w:lineRule="auto"/>
        <w:jc w:val="left"/>
        <w:rPr>
          <w:rFonts w:ascii="Times New Roman" w:hAnsi="Times New Roman" w:eastAsia="宋体" w:cs="Times New Roman"/>
          <w:sz w:val="24"/>
        </w:rPr>
      </w:pPr>
      <w:r>
        <w:rPr>
          <w:rFonts w:ascii="Times New Roman" w:hAnsi="Times New Roman" w:eastAsia="宋体" w:cs="Times New Roman"/>
          <w:sz w:val="24"/>
        </w:rPr>
        <w:t>提交投标文件截止时间、开标时间和地点更正为：</w:t>
      </w:r>
    </w:p>
    <w:p w14:paraId="21DC697C">
      <w:pPr>
        <w:pStyle w:val="9"/>
        <w:adjustRightInd w:val="0"/>
        <w:spacing w:line="360" w:lineRule="auto"/>
        <w:ind w:firstLine="480"/>
        <w:jc w:val="left"/>
        <w:rPr>
          <w:rFonts w:ascii="Times New Roman" w:hAnsi="Times New Roman"/>
          <w:sz w:val="24"/>
          <w:szCs w:val="24"/>
        </w:rPr>
      </w:pPr>
      <w:r>
        <w:rPr>
          <w:rFonts w:ascii="Times New Roman" w:hAnsi="Times New Roman"/>
          <w:sz w:val="24"/>
          <w:szCs w:val="24"/>
        </w:rPr>
        <w:t>提交投标文件截止时间、开标时间：2025年12月</w:t>
      </w:r>
      <w:r>
        <w:rPr>
          <w:rFonts w:hint="eastAsia" w:ascii="Times New Roman" w:hAnsi="Times New Roman"/>
          <w:sz w:val="24"/>
          <w:szCs w:val="24"/>
          <w:lang w:val="en-US" w:eastAsia="zh-CN"/>
        </w:rPr>
        <w:t>1</w:t>
      </w:r>
      <w:r>
        <w:rPr>
          <w:rFonts w:ascii="Times New Roman" w:hAnsi="Times New Roman"/>
          <w:sz w:val="24"/>
          <w:szCs w:val="24"/>
        </w:rPr>
        <w:t>2日9：30（北京时间）。</w:t>
      </w:r>
    </w:p>
    <w:p w14:paraId="1FC77E89">
      <w:pPr>
        <w:pStyle w:val="9"/>
        <w:adjustRightInd w:val="0"/>
        <w:spacing w:line="360" w:lineRule="auto"/>
        <w:ind w:firstLine="480"/>
        <w:jc w:val="left"/>
        <w:rPr>
          <w:rFonts w:ascii="Times New Roman" w:hAnsi="Times New Roman"/>
          <w:sz w:val="24"/>
          <w:szCs w:val="24"/>
        </w:rPr>
      </w:pPr>
      <w:r>
        <w:rPr>
          <w:rFonts w:ascii="Times New Roman" w:hAnsi="Times New Roman"/>
          <w:sz w:val="24"/>
          <w:szCs w:val="24"/>
        </w:rPr>
        <w:t>开标地点：北京市海淀大街8号中钢国际广场21层会议室</w:t>
      </w:r>
      <w:bookmarkStart w:id="8" w:name="_GoBack"/>
      <w:bookmarkEnd w:id="8"/>
    </w:p>
    <w:p w14:paraId="34EDBEA1">
      <w:pPr>
        <w:rPr>
          <w:rFonts w:ascii="Times New Roman" w:hAnsi="Times New Roman" w:eastAsia="宋体" w:cs="Times New Roman"/>
        </w:rPr>
      </w:pP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518DE"/>
    <w:multiLevelType w:val="singleLevel"/>
    <w:tmpl w:val="AC8518DE"/>
    <w:lvl w:ilvl="0" w:tentative="0">
      <w:start w:val="1"/>
      <w:numFmt w:val="chineseCounting"/>
      <w:suff w:val="nothing"/>
      <w:lvlText w:val="（%1）"/>
      <w:lvlJc w:val="left"/>
      <w:rPr>
        <w:rFonts w:hint="eastAsia"/>
      </w:rPr>
    </w:lvl>
  </w:abstractNum>
  <w:abstractNum w:abstractNumId="1">
    <w:nsid w:val="794D4865"/>
    <w:multiLevelType w:val="multilevel"/>
    <w:tmpl w:val="794D4865"/>
    <w:lvl w:ilvl="0" w:tentative="0">
      <w:start w:val="1"/>
      <w:numFmt w:val="decimal"/>
      <w:suff w:val="nothing"/>
      <w:lvlText w:val="%1"/>
      <w:lvlJc w:val="center"/>
      <w:pPr>
        <w:ind w:left="440" w:hanging="440"/>
      </w:pPr>
      <w:rPr>
        <w:rFonts w:hint="default" w:ascii="Times New Roman" w:hAnsi="Times New Roman" w:eastAsia="宋体"/>
        <w:b w:val="0"/>
        <w:i w:val="0"/>
        <w:sz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7BD277E8"/>
    <w:multiLevelType w:val="multilevel"/>
    <w:tmpl w:val="7BD277E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B03"/>
    <w:rsid w:val="002231A3"/>
    <w:rsid w:val="004E5D78"/>
    <w:rsid w:val="006247F0"/>
    <w:rsid w:val="00775732"/>
    <w:rsid w:val="007D6B03"/>
    <w:rsid w:val="00913276"/>
    <w:rsid w:val="00984B63"/>
    <w:rsid w:val="009A5F4B"/>
    <w:rsid w:val="00A27909"/>
    <w:rsid w:val="00AE3304"/>
    <w:rsid w:val="00BC30FE"/>
    <w:rsid w:val="27D07E39"/>
    <w:rsid w:val="501D4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rPr>
  </w:style>
  <w:style w:type="paragraph" w:styleId="3">
    <w:name w:val="header"/>
    <w:basedOn w:val="1"/>
    <w:link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页脚 字符"/>
    <w:basedOn w:val="5"/>
    <w:link w:val="2"/>
    <w:uiPriority w:val="0"/>
    <w:rPr>
      <w:rFonts w:hint="eastAsia" w:ascii="宋体" w:hAnsi="宋体" w:eastAsia="宋体" w:cs="宋体"/>
      <w:sz w:val="18"/>
    </w:rPr>
  </w:style>
  <w:style w:type="character" w:customStyle="1" w:styleId="7">
    <w:name w:val="页眉 字符"/>
    <w:basedOn w:val="5"/>
    <w:link w:val="3"/>
    <w:qFormat/>
    <w:uiPriority w:val="0"/>
    <w:rPr>
      <w:kern w:val="2"/>
      <w:sz w:val="18"/>
      <w:szCs w:val="18"/>
    </w:rPr>
  </w:style>
  <w:style w:type="character" w:customStyle="1" w:styleId="8">
    <w:name w:val="列表段落 字符"/>
    <w:link w:val="9"/>
    <w:qFormat/>
    <w:uiPriority w:val="34"/>
    <w:rPr>
      <w:rFonts w:ascii="Calibri" w:hAnsi="Calibri"/>
      <w:kern w:val="2"/>
      <w:sz w:val="21"/>
      <w:szCs w:val="22"/>
    </w:rPr>
  </w:style>
  <w:style w:type="paragraph" w:styleId="9">
    <w:name w:val="List Paragraph"/>
    <w:basedOn w:val="1"/>
    <w:link w:val="8"/>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5352</Words>
  <Characters>5441</Characters>
  <Lines>167</Lines>
  <Paragraphs>177</Paragraphs>
  <TotalTime>29</TotalTime>
  <ScaleCrop>false</ScaleCrop>
  <LinksUpToDate>false</LinksUpToDate>
  <CharactersWithSpaces>5461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2025-11-25T10:04:00Z</dcterms:created>
  <dc:creator>user</dc:creator>
  <cp:lastModifiedBy>轩壹</cp:lastModifiedBy>
  <dcterms:modified xsi:type="dcterms:W3CDTF">2025-11-26T02:17:23Z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eyJoZGlkIjoiNjBjYjJlNDkxMjU1ZTg5MThjNDllZmVkM2M5YzE0ZjAiLCJ1c2VySWQiOiI5MzczMjc1MDQifQ==</vt:lpwstr>
  </property>
  <property fmtid="{D5CDD505-2E9C-101B-9397-08002B2CF9AE}" pid="4" name="ICV">
    <vt:lpwstr>434E72D47C204A1A953347A8138041D6_12</vt:lpwstr>
  </property>
</Properties>
</file>