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B16710">
      <w:pPr>
        <w:jc w:val="center"/>
        <w:rPr>
          <w:rFonts w:ascii="华文中宋" w:hAnsi="华文中宋" w:eastAsia="华文中宋"/>
          <w:b/>
          <w:bCs/>
          <w:kern w:val="44"/>
          <w:sz w:val="32"/>
          <w:szCs w:val="32"/>
        </w:rPr>
      </w:pPr>
      <w:bookmarkStart w:id="0" w:name="_Toc35393813"/>
      <w:r>
        <w:rPr>
          <w:rFonts w:hint="eastAsia" w:ascii="华文中宋" w:hAnsi="华文中宋" w:eastAsia="华文中宋"/>
          <w:b/>
          <w:bCs/>
          <w:kern w:val="44"/>
          <w:sz w:val="32"/>
          <w:szCs w:val="32"/>
        </w:rPr>
        <w:t>更正公告</w:t>
      </w:r>
      <w:bookmarkEnd w:id="0"/>
    </w:p>
    <w:p w14:paraId="6B684A98">
      <w:pPr>
        <w:pStyle w:val="3"/>
        <w:spacing w:line="360" w:lineRule="auto"/>
        <w:rPr>
          <w:rFonts w:ascii="宋体" w:hAnsi="宋体" w:eastAsia="宋体" w:cs="宋体"/>
          <w:b w:val="0"/>
          <w:sz w:val="28"/>
          <w:szCs w:val="28"/>
        </w:rPr>
      </w:pPr>
      <w:bookmarkStart w:id="1" w:name="_Toc35393645"/>
      <w:bookmarkStart w:id="2" w:name="_Toc35393814"/>
      <w:bookmarkStart w:id="3" w:name="_Toc28359104"/>
      <w:bookmarkStart w:id="4" w:name="_Toc28359027"/>
      <w:r>
        <w:rPr>
          <w:rFonts w:hint="eastAsia" w:ascii="宋体" w:hAnsi="宋体" w:eastAsia="宋体" w:cs="宋体"/>
          <w:b w:val="0"/>
          <w:sz w:val="28"/>
          <w:szCs w:val="28"/>
        </w:rPr>
        <w:t>一、项目基本情况</w:t>
      </w:r>
      <w:bookmarkEnd w:id="1"/>
      <w:bookmarkEnd w:id="2"/>
      <w:bookmarkEnd w:id="3"/>
      <w:bookmarkEnd w:id="4"/>
    </w:p>
    <w:p w14:paraId="702EB25C">
      <w:pPr>
        <w:ind w:firstLine="560" w:firstLineChars="200"/>
        <w:rPr>
          <w:rFonts w:ascii="宋体" w:hAnsi="宋体" w:cs="宋体"/>
          <w:sz w:val="28"/>
          <w:szCs w:val="28"/>
          <w:u w:val="single"/>
        </w:rPr>
      </w:pPr>
      <w:r>
        <w:rPr>
          <w:rFonts w:hint="eastAsia" w:ascii="宋体" w:hAnsi="宋体" w:cs="宋体"/>
          <w:sz w:val="28"/>
          <w:szCs w:val="28"/>
        </w:rPr>
        <w:t>原公告的采购项目编号：0686-2511QI063438Z</w:t>
      </w:r>
      <w:bookmarkStart w:id="33" w:name="_GoBack"/>
      <w:bookmarkEnd w:id="33"/>
    </w:p>
    <w:p w14:paraId="135462B6">
      <w:pPr>
        <w:ind w:firstLine="560" w:firstLineChars="200"/>
        <w:rPr>
          <w:rFonts w:ascii="宋体" w:hAnsi="宋体" w:cs="宋体"/>
          <w:sz w:val="28"/>
          <w:szCs w:val="28"/>
        </w:rPr>
      </w:pPr>
      <w:r>
        <w:rPr>
          <w:rFonts w:hint="eastAsia" w:ascii="宋体" w:hAnsi="宋体" w:cs="宋体"/>
          <w:sz w:val="28"/>
          <w:szCs w:val="28"/>
        </w:rPr>
        <w:t>原公告的采购项目名称：平谷区妇幼保健院迁建信息化项目调整其他网络设备采购项目</w:t>
      </w:r>
    </w:p>
    <w:p w14:paraId="62F680AA">
      <w:pPr>
        <w:ind w:firstLine="560" w:firstLineChars="200"/>
        <w:rPr>
          <w:rFonts w:ascii="宋体" w:hAnsi="宋体" w:cs="宋体"/>
          <w:sz w:val="28"/>
          <w:szCs w:val="28"/>
        </w:rPr>
      </w:pPr>
      <w:r>
        <w:rPr>
          <w:rFonts w:hint="eastAsia" w:ascii="宋体" w:hAnsi="宋体" w:cs="宋体"/>
          <w:sz w:val="28"/>
          <w:szCs w:val="28"/>
        </w:rPr>
        <w:t>首次公告日期：2025年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26</w:t>
      </w:r>
      <w:r>
        <w:rPr>
          <w:rFonts w:hint="eastAsia" w:ascii="宋体" w:hAnsi="宋体" w:cs="宋体"/>
          <w:sz w:val="28"/>
          <w:szCs w:val="28"/>
        </w:rPr>
        <w:t>日</w:t>
      </w:r>
    </w:p>
    <w:p w14:paraId="2C33D1B7">
      <w:pPr>
        <w:pStyle w:val="3"/>
        <w:spacing w:line="360" w:lineRule="auto"/>
        <w:rPr>
          <w:rFonts w:ascii="宋体" w:hAnsi="宋体" w:eastAsia="宋体" w:cs="宋体"/>
          <w:b w:val="0"/>
          <w:sz w:val="28"/>
          <w:szCs w:val="28"/>
        </w:rPr>
      </w:pPr>
      <w:bookmarkStart w:id="5" w:name="_Toc35393646"/>
      <w:bookmarkStart w:id="6" w:name="_Toc35393815"/>
      <w:bookmarkStart w:id="7" w:name="_Toc28359105"/>
      <w:bookmarkStart w:id="8" w:name="_Toc28359028"/>
      <w:r>
        <w:rPr>
          <w:rFonts w:hint="eastAsia" w:ascii="宋体" w:hAnsi="宋体" w:eastAsia="宋体" w:cs="宋体"/>
          <w:b w:val="0"/>
          <w:sz w:val="28"/>
          <w:szCs w:val="28"/>
        </w:rPr>
        <w:t>二、更正信息</w:t>
      </w:r>
      <w:bookmarkEnd w:id="5"/>
      <w:bookmarkEnd w:id="6"/>
      <w:bookmarkEnd w:id="7"/>
      <w:bookmarkEnd w:id="8"/>
    </w:p>
    <w:p w14:paraId="2625439F">
      <w:pPr>
        <w:rPr>
          <w:rFonts w:ascii="宋体" w:hAnsi="宋体" w:cs="宋体"/>
          <w:sz w:val="28"/>
          <w:szCs w:val="28"/>
        </w:rPr>
      </w:pPr>
      <w:r>
        <w:rPr>
          <w:rFonts w:hint="eastAsia" w:ascii="宋体" w:hAnsi="宋体" w:cs="宋体"/>
          <w:sz w:val="28"/>
          <w:szCs w:val="28"/>
        </w:rPr>
        <w:t>更正事项：□采购公告 ☑ 采购文件 □采购结果</w:t>
      </w:r>
    </w:p>
    <w:p w14:paraId="385674E3">
      <w:pPr>
        <w:spacing w:line="360" w:lineRule="auto"/>
        <w:rPr>
          <w:rFonts w:ascii="宋体" w:hAnsi="宋体" w:cs="宋体"/>
          <w:sz w:val="28"/>
          <w:szCs w:val="28"/>
        </w:rPr>
      </w:pPr>
      <w:r>
        <w:rPr>
          <w:rFonts w:hint="eastAsia" w:ascii="宋体" w:hAnsi="宋体" w:cs="宋体"/>
          <w:sz w:val="28"/>
          <w:szCs w:val="28"/>
        </w:rPr>
        <w:t>更正内容：</w:t>
      </w:r>
    </w:p>
    <w:p w14:paraId="3DB0AEF0">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1、合同履行期限变更为：01包：合同签订后45天内。</w:t>
      </w:r>
    </w:p>
    <w:p w14:paraId="69FC504F">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2、评标标准</w:t>
      </w:r>
    </w:p>
    <w:p w14:paraId="13A2A108">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（1）所投产品或其同品牌的同类产品近三年销售业绩的评价 内容变更为：根据供应商所投产品（如本包为非单一产品采购，则提供本包核心产品）或其同品牌的同类产品近三年（2022年11月至投标截止期，合同签字日期为准），在中国境内的销售业绩进行评价，有1项业绩得1分，最高得3分。</w:t>
      </w:r>
    </w:p>
    <w:p w14:paraId="29A56DC6">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（2）对招标文件技术规格要求的响应程度 内容变更为：投标文件采购需求技术指标全部满足招标文件要求的为42分，其中：</w:t>
      </w:r>
    </w:p>
    <w:p w14:paraId="4A7115DA">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“▲”号指标全部满足的，得18分，有1项不满足的，扣3分；</w:t>
      </w:r>
    </w:p>
    <w:p w14:paraId="6F602CA0">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“#”号指标全部满足的，得16分，有1项不满足的，扣1分；</w:t>
      </w:r>
    </w:p>
    <w:p w14:paraId="579CED8F">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一般技术指标全部满足的，得8分，有1项不满足的，扣0.02分；</w:t>
      </w:r>
    </w:p>
    <w:p w14:paraId="7493E11B">
      <w:pPr>
        <w:autoSpaceDE w:val="0"/>
        <w:autoSpaceDN w:val="0"/>
        <w:adjustRightInd w:val="0"/>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最低得分为0分</w:t>
      </w:r>
    </w:p>
    <w:p w14:paraId="62962270">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（3）增加 服务能力：具备质量管理体系认证证书、信息技术服务管理体系认证证书、信息安全管理体系认证证书、环境管理体系认证证书、职业健康安全管理体系认证证书、计算机技术与软件专业资格网络工程师中级及以上证书。以上证书每具备1项，得1分。最高得6分。</w:t>
      </w:r>
    </w:p>
    <w:p w14:paraId="69380693">
      <w:pPr>
        <w:autoSpaceDE w:val="0"/>
        <w:autoSpaceDN w:val="0"/>
        <w:adjustRightInd w:val="0"/>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3、原招标文件内</w:t>
      </w:r>
    </w:p>
    <w:p w14:paraId="1C3AE6E4">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招标文件第49页、#资质证书、具备网络关键设备和网络安全专用产品安全认证证书。厂商具备中国信息安全测评中心安全工程类三级服务资质。厂商具备GB33718&amp;GB31863履约能力服务认证（5A级）、厂商具备GB37228应急预案管理能力管理体系认证（十星级）。</w:t>
      </w:r>
    </w:p>
    <w:p w14:paraId="72B653BB">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招标文件第52页、#资质证书、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w:t>
      </w:r>
    </w:p>
    <w:p w14:paraId="2291F1D3">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招标文件第55页、#资质证书、具备国家信息安全漏洞库兼容性资质证书。具备中国信息安全测评中心信息技术产品安全测评证书，级别不低于EAL3+。厂商具备中国信息安全测评中心安全工程类三级服务资质。厂商具备GB33718&amp;GB31863履约能力服务认证（5A级）、厂商具备GB37228应急预案管理能力管理体系认证（十星级）。</w:t>
      </w:r>
    </w:p>
    <w:p w14:paraId="3A81F67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招标文件第58页、#资质证书、具备中国信息安全测评中心信息技术产品安全测评证书，级别不低于EAL3+。厂商具备中国信息安全测评中心安全工程类三级服务资质。厂商具备GB33718&amp;GB31863履约能力服务认证（5A级）、厂商具备GB37228应急预案管理能力管理体系认证（十星级）。</w:t>
      </w:r>
    </w:p>
    <w:p w14:paraId="352AC3CD">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招标文件第60页、#资质证书、具备国家信息安全漏洞库兼容性资质证书。具备中国信息安全测评中心信息技术产品安全测评证书，级别不低于EAL3+。厂商具备中国信息安全测评中心安全工程类三级服务资质。厂商具备GB33718&amp;GB31863履约能力服务认证（5A级）、厂商具备GB37228应急预案管理能力管理体系认证（十星级）。</w:t>
      </w:r>
    </w:p>
    <w:p w14:paraId="068E1CDE">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6）招标文件第63页、#资质证书、厂商具备中国信息安全测评中心安全工程类三级服务资质。厂商具备GB33718&amp;GB31863履约能力服务认证（5A级）、厂商具备GB37228应急预案管理能力管理体系认证（十星级）。</w:t>
      </w:r>
    </w:p>
    <w:p w14:paraId="35FE3E5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7）招标文件第66页、#资质证书、厂商具备中国信息安全测评中心安全工程类三级服务资质。厂商具备GB33718&amp;GB31863履约能力服务认证（5A级）、厂商具备GB37228应急预案管理能力管理体系认证（十星级）。</w:t>
      </w:r>
    </w:p>
    <w:p w14:paraId="2942F65D">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招标文件第68页、#资质证书、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w:t>
      </w:r>
    </w:p>
    <w:p w14:paraId="73827B4F">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9）招标文件第71页、#资质证书、厂商具备中国信息安全测评中心安全工程类三级服务资质。厂商具备GB33718&amp;GB31863履约能力服务认证（5A级）、厂商具备GB37228应急预案管理能力管理体系认证（十星级）。</w:t>
      </w:r>
    </w:p>
    <w:p w14:paraId="2DE853DA">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10）招标文件第74页、#资质证书、具备计算机病毒防治产品网络安全专用产品安全检测证书。具备IPv6 Ready Logo认证证书。厂商具备中国信息安全测评中心安全工程类三级服务资质。厂商具备GB33718&amp;GB31863履约能力服务认证（5A级）、厂商具备GB37228应急预案管理能力管理体系认证（十星级）。</w:t>
      </w:r>
    </w:p>
    <w:p w14:paraId="3563DBBD">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招标文件第77页、#资质证书、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w:t>
      </w:r>
    </w:p>
    <w:p w14:paraId="70946DDB">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招标文件第79页、#资质证书、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w:t>
      </w:r>
    </w:p>
    <w:p w14:paraId="130F9BD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13）招标文件第81页、#资质证书、厂商具备中国信息安全测评中心安全工程类三级服务资质。厂商具备GB33718&amp;GB31863履约能力服务认证（5A级）、厂商具备GB37228应急预案管理能力管理体系认证（十星级）。</w:t>
      </w:r>
    </w:p>
    <w:p w14:paraId="53B54DEE">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14）招标文件第84页、#资质证书、厂商具备中国信息安全测评中心安全工程类三级服务资质。厂商具备GB33718&amp;GB31863履约能力服务认证（5A级）、厂商具备GB37228应急预案管理能力管理体系认证（十星级）。</w:t>
      </w:r>
    </w:p>
    <w:p w14:paraId="32F83817">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15）招标文件第88页、#资质证书、厂商具备中国信息安全测评中心安全工程类三级服务资质。厂商具备GB33718&amp;GB31863履约能力服务认证（5A级）、厂商具备GB37228应急预案管理能力管理体系认证（十星级）。</w:t>
      </w:r>
    </w:p>
    <w:p w14:paraId="2FE21628">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以上内容变更为：</w:t>
      </w:r>
    </w:p>
    <w:p w14:paraId="4C1EC45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删除“具备网络关键设备和网络安全专用产品安全认证证书。厂商具备中国信息安全测评中心安全工程类三级服务资质。厂商具备GB33718&amp;GB31863履约能力服务认证（5A级）、厂商具备GB37228应急预案管理能力管理体系认证（十星级）”,取消“#资质证书#号标记”。</w:t>
      </w:r>
    </w:p>
    <w:p w14:paraId="1788FA8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删除“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 取消“#资质证书#号标记”。</w:t>
      </w:r>
    </w:p>
    <w:p w14:paraId="1081B54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删除“具备国家信息安全漏洞库兼容性资质证书。具备中国信息安全测评中心信息技术产品安全测评证书，级别不低于EAL3+。厂商具备中国信息安全测评中心安全工程类三级服务资质。厂商具备GB33718&amp;GB31863履约能力服务认证（5A级）、厂商具备GB37228应急预案管理能力管理体系认证（十星级）”,取消 “#资质证书#号标记”。</w:t>
      </w:r>
    </w:p>
    <w:p w14:paraId="72B2A6C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删除“具备中国信息安全测评中心信息技术产品安全测评证书，级别不低于EAL3+。厂商具备中国信息安全测评中心安全工程类三级服务资质。厂商具备GB33718&amp;GB31863履约能力服务认证（5A级）、厂商具备GB37228应急预案管理能力管理体系认证（十星级）”, 取消 “#资质证书#号标记”。</w:t>
      </w:r>
    </w:p>
    <w:p w14:paraId="24F4DD1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删除“具备国家信息安全漏洞库兼容性资质证书。具备中国信息安全测评中心信息技术产品安全测评证书，级别不低于EAL3+。厂商具备中国信息安全测评中心安全工程类三级服务资质。厂商具备GB33718&amp;GB31863履约能力服务认证（5A级）、厂商具备GB37228应急预案管理能力管理体系认证（十星级）”,取消“#资质证书#号标记”。</w:t>
      </w:r>
    </w:p>
    <w:p w14:paraId="18F5DAA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6)删除“厂商具备中国信息安全测评中心安全工程类三级服务资质。厂商具备GB33718&amp;GB31863履约能力服务认证（5A级）、厂商具备GB37228应急预案管理能力管理体系认证（十星级）”, 取消“#资质证书#号标记”。</w:t>
      </w:r>
    </w:p>
    <w:p w14:paraId="553D695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7)删除“厂商具备中国信息安全测评中心安全工程类三级服务资质。厂商具备GB33718&amp;GB31863履约能力服务认证（5A级）、厂商具备GB37228应急预案管理能力管理体系认证（十星级）”, 取消 “#资质证书#号标记”。</w:t>
      </w:r>
    </w:p>
    <w:p w14:paraId="56F869C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删除“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 取消 “#资质证书#号标记”。</w:t>
      </w:r>
    </w:p>
    <w:p w14:paraId="7A98AFA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9)删除“厂商具备中国信息安全测评中心安全工程类三级服务资质。厂商具备GB33718&amp;GB31863履约能力服务认证（5A级）、厂商具备GB37228应急预案管理能力管理体系认证（十星级）”, 取消 “#资质证书#号标记”。</w:t>
      </w:r>
    </w:p>
    <w:p w14:paraId="49BB64E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10)删除“#资质证书”此项。</w:t>
      </w:r>
    </w:p>
    <w:p w14:paraId="17A4422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删除“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 取消 “#资质证书#号标记”</w:t>
      </w:r>
    </w:p>
    <w:p w14:paraId="22D5CA6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12)删除“具备中国信息安全测评中心信息技术产品安全测评证书,级别不低于EAL4+。厂商具备中国信息安全测评中心安全工程类三级服务资质。厂商具备GB33718&amp;GB31863履约能力服务认证（5A级）、厂商具备GB37228应急预案管理能力管理体系认证（十星级）”, 取消 “#资质证书#号标记”。</w:t>
      </w:r>
    </w:p>
    <w:p w14:paraId="3A41759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 删除“#资质证书”此项。</w:t>
      </w:r>
    </w:p>
    <w:p w14:paraId="32365FB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14)删除“厂商具备中国信息安全测评中心安全工程类三级服务资质。厂商具备GB33718&amp;GB31863履约能力服务认证（5A级）、厂商具备GB37228应急预案管理能力管理体系认证（十星级）”, 取消“#资质证书#号标记”。</w:t>
      </w:r>
    </w:p>
    <w:p w14:paraId="2E7A6CD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 删除“#资质证书”此项。</w:t>
      </w:r>
    </w:p>
    <w:p w14:paraId="45DAF488">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4、原招标文件内</w:t>
      </w:r>
    </w:p>
    <w:p w14:paraId="75A450F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1）招标文件第39页，▲转发性能</w:t>
      </w:r>
      <w:r>
        <w:rPr>
          <w:rFonts w:hint="default" w:ascii="宋体" w:hAnsi="宋体" w:cs="宋体"/>
          <w:sz w:val="28"/>
          <w:szCs w:val="28"/>
          <w:lang w:val="en-US" w:eastAsia="zh-CN"/>
        </w:rPr>
        <w:tab/>
      </w:r>
      <w:r>
        <w:rPr>
          <w:rFonts w:hint="default" w:ascii="宋体" w:hAnsi="宋体" w:cs="宋体"/>
          <w:sz w:val="28"/>
          <w:szCs w:val="28"/>
          <w:lang w:val="en-US" w:eastAsia="zh-CN"/>
        </w:rPr>
        <w:t>三层转发吞吐量≥10Gbps；</w:t>
      </w:r>
    </w:p>
    <w:p w14:paraId="0725720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2）招标文件第39页，#安全</w:t>
      </w:r>
      <w:r>
        <w:rPr>
          <w:rFonts w:hint="default" w:ascii="宋体" w:hAnsi="宋体" w:cs="宋体"/>
          <w:sz w:val="28"/>
          <w:szCs w:val="28"/>
          <w:lang w:val="en-US" w:eastAsia="zh-CN"/>
        </w:rPr>
        <w:tab/>
      </w:r>
      <w:r>
        <w:rPr>
          <w:rFonts w:hint="default" w:ascii="宋体" w:hAnsi="宋体" w:cs="宋体"/>
          <w:sz w:val="28"/>
          <w:szCs w:val="28"/>
          <w:lang w:val="en-US" w:eastAsia="zh-CN"/>
        </w:rPr>
        <w:t>支持反病毒功能，支持病毒库更新，提供官网链接证明；</w:t>
      </w:r>
    </w:p>
    <w:p w14:paraId="05B52B7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3）招标文件第39页，#隧道</w:t>
      </w:r>
      <w:r>
        <w:rPr>
          <w:rFonts w:hint="default" w:ascii="宋体" w:hAnsi="宋体" w:cs="宋体"/>
          <w:sz w:val="28"/>
          <w:szCs w:val="28"/>
          <w:lang w:val="en-US" w:eastAsia="zh-CN"/>
        </w:rPr>
        <w:tab/>
      </w:r>
      <w:r>
        <w:rPr>
          <w:rFonts w:hint="default" w:ascii="宋体" w:hAnsi="宋体" w:cs="宋体"/>
          <w:sz w:val="28"/>
          <w:szCs w:val="28"/>
          <w:lang w:val="en-US" w:eastAsia="zh-CN"/>
        </w:rPr>
        <w:t>AP支持IPv4与IPv6双栈与AC建立capwap隧道，提供第三方测试报告或官网截图；</w:t>
      </w:r>
    </w:p>
    <w:p w14:paraId="3E961B7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4）招标文件第39页，▲ 射频</w:t>
      </w:r>
      <w:r>
        <w:rPr>
          <w:rFonts w:hint="default" w:ascii="宋体" w:hAnsi="宋体" w:cs="宋体"/>
          <w:sz w:val="28"/>
          <w:szCs w:val="28"/>
          <w:lang w:val="en-US" w:eastAsia="zh-CN"/>
        </w:rPr>
        <w:tab/>
      </w:r>
      <w:r>
        <w:rPr>
          <w:rFonts w:hint="default" w:ascii="宋体" w:hAnsi="宋体" w:cs="宋体"/>
          <w:sz w:val="28"/>
          <w:szCs w:val="28"/>
          <w:lang w:val="en-US" w:eastAsia="zh-CN"/>
        </w:rPr>
        <w:t>2.4G频段和5G频段，全频段支持802.11be，提供第三方检测报告；</w:t>
      </w:r>
    </w:p>
    <w:p w14:paraId="5909C9B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5）招标文件第40页，#国产化</w:t>
      </w:r>
      <w:r>
        <w:rPr>
          <w:rFonts w:hint="default" w:ascii="宋体" w:hAnsi="宋体" w:cs="宋体"/>
          <w:sz w:val="28"/>
          <w:szCs w:val="28"/>
          <w:lang w:val="en-US" w:eastAsia="zh-CN"/>
        </w:rPr>
        <w:tab/>
      </w:r>
      <w:r>
        <w:rPr>
          <w:rFonts w:hint="default" w:ascii="宋体" w:hAnsi="宋体" w:cs="宋体"/>
          <w:sz w:val="28"/>
          <w:szCs w:val="28"/>
          <w:lang w:val="en-US" w:eastAsia="zh-CN"/>
        </w:rPr>
        <w:t>支持自主可控，使用国产化Wi-Fi芯片，提供第三方认证报告；</w:t>
      </w:r>
    </w:p>
    <w:p w14:paraId="798CCC6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6）招标文件第40页，#MLO</w:t>
      </w:r>
      <w:r>
        <w:rPr>
          <w:rFonts w:hint="default" w:ascii="宋体" w:hAnsi="宋体" w:cs="宋体"/>
          <w:sz w:val="28"/>
          <w:szCs w:val="28"/>
          <w:lang w:val="en-US" w:eastAsia="zh-CN"/>
        </w:rPr>
        <w:tab/>
      </w:r>
      <w:r>
        <w:rPr>
          <w:rFonts w:hint="default" w:ascii="宋体" w:hAnsi="宋体" w:cs="宋体"/>
          <w:sz w:val="28"/>
          <w:szCs w:val="28"/>
          <w:lang w:val="en-US" w:eastAsia="zh-CN"/>
        </w:rPr>
        <w:t>AP支持MLO冗余传输（多链路发送相同报文），提供第三方权威机构测试报告或官网截图；</w:t>
      </w:r>
    </w:p>
    <w:p w14:paraId="1833D91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7）招标文件第40页，#性能</w:t>
      </w:r>
      <w:r>
        <w:rPr>
          <w:rFonts w:hint="default" w:ascii="宋体" w:hAnsi="宋体" w:cs="宋体"/>
          <w:sz w:val="28"/>
          <w:szCs w:val="28"/>
          <w:lang w:val="en-US" w:eastAsia="zh-CN"/>
        </w:rPr>
        <w:tab/>
      </w:r>
      <w:r>
        <w:rPr>
          <w:rFonts w:hint="default" w:ascii="宋体" w:hAnsi="宋体" w:cs="宋体"/>
          <w:sz w:val="28"/>
          <w:szCs w:val="28"/>
          <w:lang w:val="en-US" w:eastAsia="zh-CN"/>
        </w:rPr>
        <w:t>单用户极限测速≥2Gbps，提供第三方权威机构测试报告或官网截图</w:t>
      </w:r>
    </w:p>
    <w:p w14:paraId="13B633E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8）招标文件第40页，#性能</w:t>
      </w:r>
      <w:r>
        <w:rPr>
          <w:rFonts w:hint="default" w:ascii="宋体" w:hAnsi="宋体" w:cs="宋体"/>
          <w:sz w:val="28"/>
          <w:szCs w:val="28"/>
          <w:lang w:val="en-US" w:eastAsia="zh-CN"/>
        </w:rPr>
        <w:tab/>
      </w:r>
      <w:r>
        <w:rPr>
          <w:rFonts w:hint="default" w:ascii="宋体" w:hAnsi="宋体" w:cs="宋体"/>
          <w:sz w:val="28"/>
          <w:szCs w:val="28"/>
          <w:lang w:val="en-US" w:eastAsia="zh-CN"/>
        </w:rPr>
        <w:t>单射频5G性能≥5G，提供第三方测试报告</w:t>
      </w:r>
    </w:p>
    <w:p w14:paraId="425BEBD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9）招标文件第40页，▲ 射频</w:t>
      </w:r>
      <w:r>
        <w:rPr>
          <w:rFonts w:hint="default" w:ascii="宋体" w:hAnsi="宋体" w:cs="宋体"/>
          <w:sz w:val="28"/>
          <w:szCs w:val="28"/>
          <w:lang w:val="en-US" w:eastAsia="zh-CN"/>
        </w:rPr>
        <w:tab/>
      </w:r>
      <w:r>
        <w:rPr>
          <w:rFonts w:hint="default" w:ascii="宋体" w:hAnsi="宋体" w:cs="宋体"/>
          <w:sz w:val="28"/>
          <w:szCs w:val="28"/>
          <w:lang w:val="en-US" w:eastAsia="zh-CN"/>
        </w:rPr>
        <w:t>5G射频支持软件定义射频，可以802.11ax 单射频工作，也可以软件切换成双射频：一个为8×8 MU-MIMO，另一个为4x4 MU-MIMO，交换容量≥670Gbps，包转发率≥170Mpps；</w:t>
      </w:r>
    </w:p>
    <w:p w14:paraId="5EC35D5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10）招标文件第41页，▲ 转发性能</w:t>
      </w:r>
      <w:r>
        <w:rPr>
          <w:rFonts w:hint="default" w:ascii="宋体" w:hAnsi="宋体" w:cs="宋体"/>
          <w:sz w:val="28"/>
          <w:szCs w:val="28"/>
          <w:lang w:val="en-US" w:eastAsia="zh-CN"/>
        </w:rPr>
        <w:tab/>
      </w:r>
      <w:r>
        <w:rPr>
          <w:rFonts w:hint="default" w:ascii="宋体" w:hAnsi="宋体" w:cs="宋体"/>
          <w:sz w:val="28"/>
          <w:szCs w:val="28"/>
          <w:lang w:val="en-US" w:eastAsia="zh-CN"/>
        </w:rPr>
        <w:t>交换容量≥1.3 Tbps，包转发率≥170Mpps；</w:t>
      </w:r>
    </w:p>
    <w:p w14:paraId="1F4083E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11）招标文件第41页，# POE能力</w:t>
      </w:r>
      <w:r>
        <w:rPr>
          <w:rFonts w:hint="default" w:ascii="宋体" w:hAnsi="宋体" w:cs="宋体"/>
          <w:sz w:val="28"/>
          <w:szCs w:val="28"/>
          <w:lang w:val="en-US" w:eastAsia="zh-CN"/>
        </w:rPr>
        <w:tab/>
      </w:r>
      <w:r>
        <w:rPr>
          <w:rFonts w:hint="default" w:ascii="宋体" w:hAnsi="宋体" w:cs="宋体"/>
          <w:sz w:val="28"/>
          <w:szCs w:val="28"/>
          <w:lang w:val="en-US" w:eastAsia="zh-CN"/>
        </w:rPr>
        <w:t>要求设备全端口支持30W供电，设备POE可用功率≥720W；支持快速POE，即秒级对设备进行供电；支持永久POE，即设备在软件版本升级时，对下挂的设备供电不会中断，交换机重启不掉电，实现POE零中断。提供官网产品文档证明截图并提供官网链接；</w:t>
      </w:r>
    </w:p>
    <w:p w14:paraId="611D4AC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12）招标文件第41页，国产化</w:t>
      </w:r>
      <w:r>
        <w:rPr>
          <w:rFonts w:hint="default" w:ascii="宋体" w:hAnsi="宋体" w:cs="宋体"/>
          <w:sz w:val="28"/>
          <w:szCs w:val="28"/>
          <w:lang w:val="en-US" w:eastAsia="zh-CN"/>
        </w:rPr>
        <w:tab/>
      </w:r>
      <w:r>
        <w:rPr>
          <w:rFonts w:hint="default" w:ascii="宋体" w:hAnsi="宋体" w:cs="宋体"/>
          <w:sz w:val="28"/>
          <w:szCs w:val="28"/>
          <w:lang w:val="en-US" w:eastAsia="zh-CN"/>
        </w:rPr>
        <w:t>采用厂商自研国产化芯片，提供第三方测试报告；</w:t>
      </w:r>
    </w:p>
    <w:p w14:paraId="1578A7A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13）招标文件第41页，# 指示灯</w:t>
      </w:r>
      <w:r>
        <w:rPr>
          <w:rFonts w:hint="default" w:ascii="宋体" w:hAnsi="宋体" w:cs="宋体"/>
          <w:sz w:val="28"/>
          <w:szCs w:val="28"/>
          <w:lang w:val="en-US" w:eastAsia="zh-CN"/>
        </w:rPr>
        <w:tab/>
      </w:r>
      <w:r>
        <w:rPr>
          <w:rFonts w:hint="default" w:ascii="宋体" w:hAnsi="宋体" w:cs="宋体"/>
          <w:sz w:val="28"/>
          <w:szCs w:val="28"/>
          <w:lang w:val="en-US" w:eastAsia="zh-CN"/>
        </w:rPr>
        <w:t>提供ID指示灯，用于现场定位，运维人员远程管理ID灯开启和关闭，提供官网产品文档证明截图并提供官网链接；</w:t>
      </w:r>
    </w:p>
    <w:p w14:paraId="713164B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14）招标文件第41页，#堆叠</w:t>
      </w:r>
      <w:r>
        <w:rPr>
          <w:rFonts w:hint="default" w:ascii="宋体" w:hAnsi="宋体" w:cs="宋体"/>
          <w:sz w:val="28"/>
          <w:szCs w:val="28"/>
          <w:lang w:val="en-US" w:eastAsia="zh-CN"/>
        </w:rPr>
        <w:tab/>
      </w:r>
      <w:r>
        <w:rPr>
          <w:rFonts w:hint="default" w:ascii="宋体" w:hAnsi="宋体" w:cs="宋体"/>
          <w:sz w:val="28"/>
          <w:szCs w:val="28"/>
          <w:lang w:val="en-US" w:eastAsia="zh-CN"/>
        </w:rPr>
        <w:t>支持专用堆叠口，不占用业务口带宽，提供官网产品文档证明截图并提供官网链接；</w:t>
      </w:r>
    </w:p>
    <w:p w14:paraId="643C71B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15）招标文件第42页，▲ 性能要求</w:t>
      </w:r>
      <w:r>
        <w:rPr>
          <w:rFonts w:hint="default" w:ascii="宋体" w:hAnsi="宋体" w:cs="宋体"/>
          <w:sz w:val="28"/>
          <w:szCs w:val="28"/>
          <w:lang w:val="en-US" w:eastAsia="zh-CN"/>
        </w:rPr>
        <w:tab/>
      </w:r>
      <w:r>
        <w:rPr>
          <w:rFonts w:hint="default" w:ascii="宋体" w:hAnsi="宋体" w:cs="宋体"/>
          <w:sz w:val="28"/>
          <w:szCs w:val="28"/>
          <w:lang w:val="en-US" w:eastAsia="zh-CN"/>
        </w:rPr>
        <w:t>吞吐量不低于4Gbps，并发连接数至少250万，新建连接数至少4万</w:t>
      </w:r>
    </w:p>
    <w:p w14:paraId="47766BF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16）招标文件第42页，#VPN</w:t>
      </w:r>
      <w:r>
        <w:rPr>
          <w:rFonts w:hint="default" w:ascii="宋体" w:hAnsi="宋体" w:cs="宋体"/>
          <w:sz w:val="28"/>
          <w:szCs w:val="28"/>
          <w:lang w:val="en-US" w:eastAsia="zh-CN"/>
        </w:rPr>
        <w:tab/>
      </w:r>
      <w:r>
        <w:rPr>
          <w:rFonts w:hint="default" w:ascii="宋体" w:hAnsi="宋体" w:cs="宋体"/>
          <w:sz w:val="28"/>
          <w:szCs w:val="28"/>
          <w:lang w:val="en-US" w:eastAsia="zh-CN"/>
        </w:rPr>
        <w:t>支持IPsec VPN智能选路，根据隧道质量调度流量，提供功能截图</w:t>
      </w:r>
    </w:p>
    <w:p w14:paraId="7C42962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17）招标文件第42页，#国密算法</w:t>
      </w:r>
      <w:r>
        <w:rPr>
          <w:rFonts w:hint="default" w:ascii="宋体" w:hAnsi="宋体" w:cs="宋体"/>
          <w:sz w:val="28"/>
          <w:szCs w:val="28"/>
          <w:lang w:val="en-US" w:eastAsia="zh-CN"/>
        </w:rPr>
        <w:tab/>
      </w:r>
      <w:r>
        <w:rPr>
          <w:rFonts w:hint="default" w:ascii="宋体" w:hAnsi="宋体" w:cs="宋体"/>
          <w:sz w:val="28"/>
          <w:szCs w:val="28"/>
          <w:lang w:val="en-US" w:eastAsia="zh-CN"/>
        </w:rPr>
        <w:t>支持国密SM1/2/3/4算法，提供功能截图</w:t>
      </w:r>
    </w:p>
    <w:p w14:paraId="18DE869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18）招标文件第42页，▲交换容量</w:t>
      </w:r>
      <w:r>
        <w:rPr>
          <w:rFonts w:hint="default" w:ascii="宋体" w:hAnsi="宋体" w:cs="宋体"/>
          <w:sz w:val="28"/>
          <w:szCs w:val="28"/>
          <w:lang w:val="en-US" w:eastAsia="zh-CN"/>
        </w:rPr>
        <w:tab/>
      </w:r>
      <w:r>
        <w:rPr>
          <w:rFonts w:hint="default" w:ascii="宋体" w:hAnsi="宋体" w:cs="宋体"/>
          <w:sz w:val="28"/>
          <w:szCs w:val="28"/>
          <w:lang w:val="en-US" w:eastAsia="zh-CN"/>
        </w:rPr>
        <w:t>交换容量≥1800Tbps，提供官网截图，以官网最小值为准</w:t>
      </w:r>
    </w:p>
    <w:p w14:paraId="401ED4C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19）招标文件第42页，#插槽类型</w:t>
      </w:r>
      <w:r>
        <w:rPr>
          <w:rFonts w:hint="default" w:ascii="宋体" w:hAnsi="宋体" w:cs="宋体"/>
          <w:sz w:val="28"/>
          <w:szCs w:val="28"/>
          <w:lang w:val="en-US" w:eastAsia="zh-CN"/>
        </w:rPr>
        <w:tab/>
      </w:r>
      <w:r>
        <w:rPr>
          <w:rFonts w:hint="default" w:ascii="宋体" w:hAnsi="宋体" w:cs="宋体"/>
          <w:sz w:val="28"/>
          <w:szCs w:val="28"/>
          <w:lang w:val="en-US" w:eastAsia="zh-CN"/>
        </w:rPr>
        <w:t>主控槽≥2，交换槽≥6，业务槽≥8，提供官网截图</w:t>
      </w:r>
    </w:p>
    <w:p w14:paraId="27E4B15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20）招标文件第43页，#TAP功能</w:t>
      </w:r>
      <w:r>
        <w:rPr>
          <w:rFonts w:hint="default" w:ascii="宋体" w:hAnsi="宋体" w:cs="宋体"/>
          <w:sz w:val="28"/>
          <w:szCs w:val="28"/>
          <w:lang w:val="en-US" w:eastAsia="zh-CN"/>
        </w:rPr>
        <w:tab/>
      </w:r>
      <w:r>
        <w:rPr>
          <w:rFonts w:hint="default" w:ascii="宋体" w:hAnsi="宋体" w:cs="宋体"/>
          <w:sz w:val="28"/>
          <w:szCs w:val="28"/>
          <w:lang w:val="en-US" w:eastAsia="zh-CN"/>
        </w:rPr>
        <w:t>支持TAP能力，可支持TAP 同源同宿功能，报文截断功能，源端口标识功能，支持 TAP 基于端口的 M:N 模型功能，M:N 模型下最大 M 口规格为 575, N口规格为575;提供第三方权威机构（CNAS认证）测试报告</w:t>
      </w:r>
    </w:p>
    <w:p w14:paraId="059BB37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21）招标文件第43页，▲交换容量</w:t>
      </w:r>
      <w:r>
        <w:rPr>
          <w:rFonts w:hint="default" w:ascii="宋体" w:hAnsi="宋体" w:cs="宋体"/>
          <w:sz w:val="28"/>
          <w:szCs w:val="28"/>
          <w:lang w:val="en-US" w:eastAsia="zh-CN"/>
        </w:rPr>
        <w:tab/>
      </w:r>
      <w:r>
        <w:rPr>
          <w:rFonts w:hint="default" w:ascii="宋体" w:hAnsi="宋体" w:cs="宋体"/>
          <w:sz w:val="28"/>
          <w:szCs w:val="28"/>
          <w:lang w:val="en-US" w:eastAsia="zh-CN"/>
        </w:rPr>
        <w:t>交换容量≥100Tbps，提供官网截图，以官网最小值为准</w:t>
      </w:r>
    </w:p>
    <w:p w14:paraId="78BF7F7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22）招标文件第43页，#扩展性</w:t>
      </w:r>
      <w:r>
        <w:rPr>
          <w:rFonts w:hint="default" w:ascii="宋体" w:hAnsi="宋体" w:cs="宋体"/>
          <w:sz w:val="28"/>
          <w:szCs w:val="28"/>
          <w:lang w:val="en-US" w:eastAsia="zh-CN"/>
        </w:rPr>
        <w:tab/>
      </w:r>
      <w:r>
        <w:rPr>
          <w:rFonts w:hint="default" w:ascii="宋体" w:hAnsi="宋体" w:cs="宋体"/>
          <w:sz w:val="28"/>
          <w:szCs w:val="28"/>
          <w:lang w:val="en-US" w:eastAsia="zh-CN"/>
        </w:rPr>
        <w:t>为了满足业务增长需求，要求设备支持≥14端口的40G板卡，提供官网截图</w:t>
      </w:r>
    </w:p>
    <w:p w14:paraId="32FDD2D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23）招标文件第43页，资质认证</w:t>
      </w:r>
      <w:r>
        <w:rPr>
          <w:rFonts w:hint="default" w:ascii="宋体" w:hAnsi="宋体" w:cs="宋体"/>
          <w:sz w:val="28"/>
          <w:szCs w:val="28"/>
          <w:lang w:val="en-US" w:eastAsia="zh-CN"/>
        </w:rPr>
        <w:tab/>
      </w:r>
      <w:r>
        <w:rPr>
          <w:rFonts w:hint="default" w:ascii="宋体" w:hAnsi="宋体" w:cs="宋体"/>
          <w:sz w:val="28"/>
          <w:szCs w:val="28"/>
          <w:lang w:val="en-US" w:eastAsia="zh-CN"/>
        </w:rPr>
        <w:t>要求提供工信部入网证书复印件，且设备制造厂商必须盖章。要求提供泰尔实验室测试报告复印件，且设备制造厂商必须盖章。</w:t>
      </w:r>
    </w:p>
    <w:p w14:paraId="068E51F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24）招标文件第43页，▲配置要求</w:t>
      </w:r>
      <w:r>
        <w:rPr>
          <w:rFonts w:hint="default" w:ascii="宋体" w:hAnsi="宋体" w:cs="宋体"/>
          <w:sz w:val="28"/>
          <w:szCs w:val="28"/>
          <w:lang w:val="en-US" w:eastAsia="zh-CN"/>
        </w:rPr>
        <w:tab/>
      </w:r>
      <w:r>
        <w:rPr>
          <w:rFonts w:hint="default" w:ascii="宋体" w:hAnsi="宋体" w:cs="宋体"/>
          <w:sz w:val="28"/>
          <w:szCs w:val="28"/>
          <w:lang w:val="en-US" w:eastAsia="zh-CN"/>
        </w:rPr>
        <w:t>千兆电≥48，万兆光≥48，40光口≥8，100G光≥8，40G堆叠线≥1根</w:t>
      </w:r>
    </w:p>
    <w:p w14:paraId="0879ED8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25）招标文件第44页，▲交换容量</w:t>
      </w:r>
      <w:r>
        <w:rPr>
          <w:rFonts w:hint="default" w:ascii="宋体" w:hAnsi="宋体" w:cs="宋体"/>
          <w:sz w:val="28"/>
          <w:szCs w:val="28"/>
          <w:lang w:val="en-US" w:eastAsia="zh-CN"/>
        </w:rPr>
        <w:tab/>
      </w:r>
      <w:r>
        <w:rPr>
          <w:rFonts w:hint="default" w:ascii="宋体" w:hAnsi="宋体" w:cs="宋体"/>
          <w:sz w:val="28"/>
          <w:szCs w:val="28"/>
          <w:lang w:val="en-US" w:eastAsia="zh-CN"/>
        </w:rPr>
        <w:t>交换容量≥100Tbps，提供官网截图，以官网最小值为准</w:t>
      </w:r>
    </w:p>
    <w:p w14:paraId="3079643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26）招标文件第44页，资质认证</w:t>
      </w:r>
      <w:r>
        <w:rPr>
          <w:rFonts w:hint="default" w:ascii="宋体" w:hAnsi="宋体" w:cs="宋体"/>
          <w:sz w:val="28"/>
          <w:szCs w:val="28"/>
          <w:lang w:val="en-US" w:eastAsia="zh-CN"/>
        </w:rPr>
        <w:tab/>
      </w:r>
      <w:r>
        <w:rPr>
          <w:rFonts w:hint="default" w:ascii="宋体" w:hAnsi="宋体" w:cs="宋体"/>
          <w:sz w:val="28"/>
          <w:szCs w:val="28"/>
          <w:lang w:val="en-US" w:eastAsia="zh-CN"/>
        </w:rPr>
        <w:t>要求提供工信部入网证书复印件，且设备制造厂商必须盖章。要求提供泰尔实验室测试报告复印件，且设备制造厂商必须盖章。</w:t>
      </w:r>
    </w:p>
    <w:p w14:paraId="7EF592A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27）招标文件第44页，▲配置要求</w:t>
      </w:r>
      <w:r>
        <w:rPr>
          <w:rFonts w:hint="default" w:ascii="宋体" w:hAnsi="宋体" w:cs="宋体"/>
          <w:sz w:val="28"/>
          <w:szCs w:val="28"/>
          <w:lang w:val="en-US" w:eastAsia="zh-CN"/>
        </w:rPr>
        <w:tab/>
      </w:r>
      <w:r>
        <w:rPr>
          <w:rFonts w:hint="default" w:ascii="宋体" w:hAnsi="宋体" w:cs="宋体"/>
          <w:sz w:val="28"/>
          <w:szCs w:val="28"/>
          <w:lang w:val="en-US" w:eastAsia="zh-CN"/>
        </w:rPr>
        <w:t>万兆光≥48，40光口≥8，100G光≥8，40G堆叠线≥1根，40G多模光模块≥4块</w:t>
      </w:r>
    </w:p>
    <w:p w14:paraId="1D5DD35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28）招标文件第44页，#交换容量</w:t>
      </w:r>
      <w:r>
        <w:rPr>
          <w:rFonts w:hint="default" w:ascii="宋体" w:hAnsi="宋体" w:cs="宋体"/>
          <w:sz w:val="28"/>
          <w:szCs w:val="28"/>
          <w:lang w:val="en-US" w:eastAsia="zh-CN"/>
        </w:rPr>
        <w:tab/>
      </w:r>
      <w:r>
        <w:rPr>
          <w:rFonts w:hint="default" w:ascii="宋体" w:hAnsi="宋体" w:cs="宋体"/>
          <w:sz w:val="28"/>
          <w:szCs w:val="28"/>
          <w:lang w:val="en-US" w:eastAsia="zh-CN"/>
        </w:rPr>
        <w:t>交换容量≥4.8Tbps，提供官网截图，以官网最小值为准</w:t>
      </w:r>
    </w:p>
    <w:p w14:paraId="5174C43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29）招标文件第44页，#转发性能</w:t>
      </w:r>
      <w:r>
        <w:rPr>
          <w:rFonts w:hint="default" w:ascii="宋体" w:hAnsi="宋体" w:cs="宋体"/>
          <w:sz w:val="28"/>
          <w:szCs w:val="28"/>
          <w:lang w:val="en-US" w:eastAsia="zh-CN"/>
        </w:rPr>
        <w:tab/>
      </w:r>
      <w:r>
        <w:rPr>
          <w:rFonts w:hint="default" w:ascii="宋体" w:hAnsi="宋体" w:cs="宋体"/>
          <w:sz w:val="28"/>
          <w:szCs w:val="28"/>
          <w:lang w:val="en-US" w:eastAsia="zh-CN"/>
        </w:rPr>
        <w:t>转发性能≥1620Mpps，提供官网截图</w:t>
      </w:r>
    </w:p>
    <w:p w14:paraId="6CD0C29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30）招标文件第45页，▲配置要求</w:t>
      </w:r>
      <w:r>
        <w:rPr>
          <w:rFonts w:hint="default" w:ascii="宋体" w:hAnsi="宋体" w:cs="宋体"/>
          <w:sz w:val="28"/>
          <w:szCs w:val="28"/>
          <w:lang w:val="en-US" w:eastAsia="zh-CN"/>
        </w:rPr>
        <w:tab/>
      </w:r>
      <w:r>
        <w:rPr>
          <w:rFonts w:hint="default" w:ascii="宋体" w:hAnsi="宋体" w:cs="宋体"/>
          <w:sz w:val="28"/>
          <w:szCs w:val="28"/>
          <w:lang w:val="en-US" w:eastAsia="zh-CN"/>
        </w:rPr>
        <w:t>40G光模块≥4，40G堆叠线≥1根，风扇模块≥5块</w:t>
      </w:r>
    </w:p>
    <w:p w14:paraId="6660E54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31）招标文件第46页，# 在线用户管理能力</w:t>
      </w:r>
      <w:r>
        <w:rPr>
          <w:rFonts w:hint="default" w:ascii="宋体" w:hAnsi="宋体" w:cs="宋体"/>
          <w:sz w:val="28"/>
          <w:szCs w:val="28"/>
          <w:lang w:val="en-US" w:eastAsia="zh-CN"/>
        </w:rPr>
        <w:tab/>
      </w:r>
      <w:r>
        <w:rPr>
          <w:rFonts w:hint="default" w:ascii="宋体" w:hAnsi="宋体" w:cs="宋体"/>
          <w:sz w:val="28"/>
          <w:szCs w:val="28"/>
          <w:lang w:val="en-US" w:eastAsia="zh-CN"/>
        </w:rPr>
        <w:t>可以在线查看用户状态及其所连接的网络设备信息，如此用户接入的登录名称、登录设备IP、设备端口、终端信息、在线会话信息、接入开始时间、接入持续时长、安全状态等，对非法用户可以执行发送消息、在线检查、强制下线、加入黑名单等操作,提供证明截图。</w:t>
      </w:r>
    </w:p>
    <w:p w14:paraId="656A321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32）招标文件第46页，#VLAN拓扑</w:t>
      </w:r>
      <w:r>
        <w:rPr>
          <w:rFonts w:hint="default" w:ascii="宋体" w:hAnsi="宋体" w:cs="宋体"/>
          <w:sz w:val="28"/>
          <w:szCs w:val="28"/>
          <w:lang w:val="en-US" w:eastAsia="zh-CN"/>
        </w:rPr>
        <w:tab/>
      </w:r>
      <w:r>
        <w:rPr>
          <w:rFonts w:hint="default" w:ascii="宋体" w:hAnsi="宋体" w:cs="宋体"/>
          <w:sz w:val="28"/>
          <w:szCs w:val="28"/>
          <w:lang w:val="en-US" w:eastAsia="zh-CN"/>
        </w:rPr>
        <w:t>VLAN拓扑功能以可视的方式对网络中的VLAN资源进行管理，查看拓扑视图中所有设备节点和链路是否允许某个特定VLAN通过，提供功能截图</w:t>
      </w:r>
    </w:p>
    <w:p w14:paraId="2499878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33）招标文件第47页，▲配置要求</w:t>
      </w:r>
      <w:r>
        <w:rPr>
          <w:rFonts w:hint="default" w:ascii="宋体" w:hAnsi="宋体" w:cs="宋体"/>
          <w:sz w:val="28"/>
          <w:szCs w:val="28"/>
          <w:lang w:val="en-US" w:eastAsia="zh-CN"/>
        </w:rPr>
        <w:tab/>
      </w:r>
      <w:r>
        <w:rPr>
          <w:rFonts w:hint="default" w:ascii="宋体" w:hAnsi="宋体" w:cs="宋体"/>
          <w:sz w:val="28"/>
          <w:szCs w:val="28"/>
          <w:lang w:val="en-US" w:eastAsia="zh-CN"/>
        </w:rPr>
        <w:t>管理网络设备数量≥300，认证接入数量≥5000</w:t>
      </w:r>
    </w:p>
    <w:p w14:paraId="5E35C6C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34）招标文件第47页，#交换容量</w:t>
      </w:r>
      <w:r>
        <w:rPr>
          <w:rFonts w:hint="default" w:ascii="宋体" w:hAnsi="宋体" w:cs="宋体"/>
          <w:sz w:val="28"/>
          <w:szCs w:val="28"/>
          <w:lang w:val="en-US" w:eastAsia="zh-CN"/>
        </w:rPr>
        <w:tab/>
      </w:r>
      <w:r>
        <w:rPr>
          <w:rFonts w:hint="default" w:ascii="宋体" w:hAnsi="宋体" w:cs="宋体"/>
          <w:sz w:val="28"/>
          <w:szCs w:val="28"/>
          <w:lang w:val="en-US" w:eastAsia="zh-CN"/>
        </w:rPr>
        <w:t>交换容量≥4.8Tbps，提供官网截图，以官网最小值为准</w:t>
      </w:r>
    </w:p>
    <w:p w14:paraId="281568E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35）招标文件第47页，#软件规格</w:t>
      </w:r>
      <w:r>
        <w:rPr>
          <w:rFonts w:hint="default" w:ascii="宋体" w:hAnsi="宋体" w:cs="宋体"/>
          <w:sz w:val="28"/>
          <w:szCs w:val="28"/>
          <w:lang w:val="en-US" w:eastAsia="zh-CN"/>
        </w:rPr>
        <w:tab/>
      </w:r>
      <w:r>
        <w:rPr>
          <w:rFonts w:hint="default" w:ascii="宋体" w:hAnsi="宋体" w:cs="宋体"/>
          <w:sz w:val="28"/>
          <w:szCs w:val="28"/>
          <w:lang w:val="en-US" w:eastAsia="zh-CN"/>
        </w:rPr>
        <w:t>整机最大路由地址表≥320K，提供第三方权威机构（CNAS认证）测试报告</w:t>
      </w:r>
    </w:p>
    <w:p w14:paraId="11527D2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36）招标文件第47页，▲ 配置要求</w:t>
      </w:r>
      <w:r>
        <w:rPr>
          <w:rFonts w:hint="default" w:ascii="宋体" w:hAnsi="宋体" w:cs="宋体"/>
          <w:sz w:val="28"/>
          <w:szCs w:val="28"/>
          <w:lang w:val="en-US" w:eastAsia="zh-CN"/>
        </w:rPr>
        <w:tab/>
      </w:r>
      <w:r>
        <w:rPr>
          <w:rFonts w:hint="default" w:ascii="宋体" w:hAnsi="宋体" w:cs="宋体"/>
          <w:sz w:val="28"/>
          <w:szCs w:val="28"/>
          <w:lang w:val="en-US" w:eastAsia="zh-CN"/>
        </w:rPr>
        <w:t>40G光模块≥4，40G堆叠线≥1根，风扇模块≥5块</w:t>
      </w:r>
    </w:p>
    <w:p w14:paraId="0630D45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37）招标文件第48页，#反向远程管理、支持反向远程管理，系统本地管理服务主动注册到远程管理服务器，并将本地管理服务端口与远程管理服务端口绑定，实现远程管理服务器通过本地管理服务对系统进行反向远程管理。需提供产品功能截图证明并加盖原厂公章。</w:t>
      </w:r>
    </w:p>
    <w:p w14:paraId="3B81943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38）招标文件第49页，#数据库交换、支持数据表智能匹配，可自动匹配表名、字段相同的数据表建立同步关系，满足大批量数据表同步场景下的快速配置需求。需提供产品功能截图证明并加盖原厂公章。</w:t>
      </w:r>
    </w:p>
    <w:p w14:paraId="0D703CD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39）招标文件第50页，▲接口配置</w:t>
      </w:r>
      <w:r>
        <w:rPr>
          <w:rFonts w:hint="default" w:ascii="宋体" w:hAnsi="宋体" w:cs="宋体"/>
          <w:sz w:val="28"/>
          <w:szCs w:val="28"/>
          <w:lang w:val="en-US" w:eastAsia="zh-CN"/>
        </w:rPr>
        <w:tab/>
      </w:r>
      <w:r>
        <w:rPr>
          <w:rFonts w:hint="default" w:ascii="宋体" w:hAnsi="宋体" w:cs="宋体"/>
          <w:sz w:val="28"/>
          <w:szCs w:val="28"/>
          <w:lang w:val="en-US" w:eastAsia="zh-CN"/>
        </w:rPr>
        <w:t>内端：≥6个千兆电口，≥2个扩展槽；外端：≥6个千兆电口，≥2个扩展槽。</w:t>
      </w:r>
    </w:p>
    <w:p w14:paraId="359EBCB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40）招标文件第50页，硬件指标</w:t>
      </w:r>
      <w:r>
        <w:rPr>
          <w:rFonts w:hint="default" w:ascii="宋体" w:hAnsi="宋体" w:cs="宋体"/>
          <w:sz w:val="28"/>
          <w:szCs w:val="28"/>
          <w:lang w:val="en-US" w:eastAsia="zh-CN"/>
        </w:rPr>
        <w:tab/>
      </w:r>
      <w:r>
        <w:rPr>
          <w:rFonts w:hint="default" w:ascii="宋体" w:hAnsi="宋体" w:cs="宋体"/>
          <w:sz w:val="28"/>
          <w:szCs w:val="28"/>
          <w:lang w:val="en-US" w:eastAsia="zh-CN"/>
        </w:rPr>
        <w:t>1U机架式设备，CPU≥4核，内存≥16GB，硬盘≥2TB，双电源，风扇数≥2个，Console接口≥1个，USB≥2个。</w:t>
      </w:r>
    </w:p>
    <w:p w14:paraId="58A01DB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41）招标文件第51页，#入侵防御</w:t>
      </w:r>
      <w:r>
        <w:rPr>
          <w:rFonts w:hint="default" w:ascii="宋体" w:hAnsi="宋体" w:cs="宋体"/>
          <w:sz w:val="28"/>
          <w:szCs w:val="28"/>
          <w:lang w:val="en-US" w:eastAsia="zh-CN"/>
        </w:rPr>
        <w:tab/>
      </w:r>
      <w:r>
        <w:rPr>
          <w:rFonts w:hint="default" w:ascii="宋体" w:hAnsi="宋体" w:cs="宋体"/>
          <w:sz w:val="28"/>
          <w:szCs w:val="28"/>
          <w:lang w:val="en-US" w:eastAsia="zh-CN"/>
        </w:rPr>
        <w:t>系统预定义至少11000条主流攻击规则，并通过IPS预定义规则防御验证测试。需提供第三方权威机构测试报告并加盖原厂公章。</w:t>
      </w:r>
    </w:p>
    <w:p w14:paraId="0B4A1A3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42）招标文件第51页，#威胁情报</w:t>
      </w:r>
      <w:r>
        <w:rPr>
          <w:rFonts w:hint="default" w:ascii="宋体" w:hAnsi="宋体" w:cs="宋体"/>
          <w:sz w:val="28"/>
          <w:szCs w:val="28"/>
          <w:lang w:val="en-US" w:eastAsia="zh-CN"/>
        </w:rPr>
        <w:tab/>
      </w:r>
      <w:r>
        <w:rPr>
          <w:rFonts w:hint="default" w:ascii="宋体" w:hAnsi="宋体" w:cs="宋体"/>
          <w:sz w:val="28"/>
          <w:szCs w:val="28"/>
          <w:lang w:val="en-US" w:eastAsia="zh-CN"/>
        </w:rPr>
        <w:t>威胁情报检测能力支持检测C&amp;C、勒索软件、僵尸网络、挖矿软件、矿池地址等安全攻击类型。需提供第三方权威机构测试报告并加盖原厂公章。</w:t>
      </w:r>
    </w:p>
    <w:p w14:paraId="4CEC52E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43）招标文件第52页，#策略分析</w:t>
      </w:r>
      <w:r>
        <w:rPr>
          <w:rFonts w:hint="default" w:ascii="宋体" w:hAnsi="宋体" w:cs="宋体"/>
          <w:sz w:val="28"/>
          <w:szCs w:val="28"/>
          <w:lang w:val="en-US" w:eastAsia="zh-CN"/>
        </w:rPr>
        <w:tab/>
      </w:r>
      <w:r>
        <w:rPr>
          <w:rFonts w:hint="default" w:ascii="宋体" w:hAnsi="宋体" w:cs="宋体"/>
          <w:sz w:val="28"/>
          <w:szCs w:val="28"/>
          <w:lang w:val="en-US" w:eastAsia="zh-CN"/>
        </w:rPr>
        <w:t>提供对控制策略、策略路由、源NAT等策略的策略分析，简化运维工作。需提供第三方权威机构测试报告并加盖原厂公章。</w:t>
      </w:r>
    </w:p>
    <w:p w14:paraId="7BC36E2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44）招标文件第53-54页，#自动收集和自动授权</w:t>
      </w:r>
      <w:r>
        <w:rPr>
          <w:rFonts w:hint="default" w:ascii="宋体" w:hAnsi="宋体" w:cs="宋体"/>
          <w:sz w:val="28"/>
          <w:szCs w:val="28"/>
          <w:lang w:val="en-US" w:eastAsia="zh-CN"/>
        </w:rPr>
        <w:tab/>
      </w:r>
      <w:r>
        <w:rPr>
          <w:rFonts w:hint="default" w:ascii="宋体" w:hAnsi="宋体" w:cs="宋体"/>
          <w:sz w:val="28"/>
          <w:szCs w:val="28"/>
          <w:lang w:val="en-US" w:eastAsia="zh-CN"/>
        </w:rPr>
        <w:t>支持自动收集设备IP、运维协议、端口号、账号、密码、与用户的权限关系，可自动完成授权。需提供支持自动收集授权关系能力的国家权威机构证明并加盖原厂公章。</w:t>
      </w:r>
    </w:p>
    <w:p w14:paraId="0AC1DEF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45）招标文件第54页，#应用代填</w:t>
      </w:r>
      <w:r>
        <w:rPr>
          <w:rFonts w:hint="default" w:ascii="宋体" w:hAnsi="宋体" w:cs="宋体"/>
          <w:sz w:val="28"/>
          <w:szCs w:val="28"/>
          <w:lang w:val="en-US" w:eastAsia="zh-CN"/>
        </w:rPr>
        <w:tab/>
      </w:r>
      <w:r>
        <w:rPr>
          <w:rFonts w:hint="default" w:ascii="宋体" w:hAnsi="宋体" w:cs="宋体"/>
          <w:sz w:val="28"/>
          <w:szCs w:val="28"/>
          <w:lang w:val="en-US" w:eastAsia="zh-CN"/>
        </w:rPr>
        <w:t>支持IE、谷歌或火狐浏览器代填应用发布，HTTP/HTTPS协议的web设备，且可以直接代填账号和密码。需提供支持半自动化学习式表单特征提取能力的国家权威机构证明并加盖原厂公章。</w:t>
      </w:r>
    </w:p>
    <w:p w14:paraId="36AF6AE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46）招标文件第55页，#任务编排</w:t>
      </w:r>
      <w:r>
        <w:rPr>
          <w:rFonts w:hint="default" w:ascii="宋体" w:hAnsi="宋体" w:cs="宋体"/>
          <w:sz w:val="28"/>
          <w:szCs w:val="28"/>
          <w:lang w:val="en-US" w:eastAsia="zh-CN"/>
        </w:rPr>
        <w:tab/>
      </w:r>
      <w:r>
        <w:rPr>
          <w:rFonts w:hint="default" w:ascii="宋体" w:hAnsi="宋体" w:cs="宋体"/>
          <w:sz w:val="28"/>
          <w:szCs w:val="28"/>
          <w:lang w:val="en-US" w:eastAsia="zh-CN"/>
        </w:rPr>
        <w:t>具备自动化编排能力，通过编排动作流的方式，对目标资产进行定时或周期性的自动化运维。动作流可包括：上传文件、执行命令、下载文件等。动作流会按设定好的顺序进行执行。支持单个动作流的启用和禁用，并支持单个动作流执行完成后，是否需要人工进行确认，以及可选择完成后是否需要通过邮件的方式进行结果推送。需提供产品功能截图证明并加盖原厂公章。</w:t>
      </w:r>
    </w:p>
    <w:p w14:paraId="2276A4A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47）招标文件第55页，▲ 接口配置</w:t>
      </w:r>
      <w:r>
        <w:rPr>
          <w:rFonts w:hint="default" w:ascii="宋体" w:hAnsi="宋体" w:cs="宋体"/>
          <w:sz w:val="28"/>
          <w:szCs w:val="28"/>
          <w:lang w:val="en-US" w:eastAsia="zh-CN"/>
        </w:rPr>
        <w:tab/>
      </w:r>
      <w:r>
        <w:rPr>
          <w:rFonts w:hint="default" w:ascii="宋体" w:hAnsi="宋体" w:cs="宋体"/>
          <w:sz w:val="28"/>
          <w:szCs w:val="28"/>
          <w:lang w:val="en-US" w:eastAsia="zh-CN"/>
        </w:rPr>
        <w:t>≥6个千兆电口，≥4个千兆光口，≥2个千兆SFP多模光模块</w:t>
      </w:r>
    </w:p>
    <w:p w14:paraId="31C47CC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48）招标文件第56页，#漏洞预警</w:t>
      </w:r>
      <w:r>
        <w:rPr>
          <w:rFonts w:hint="default" w:ascii="宋体" w:hAnsi="宋体" w:cs="宋体"/>
          <w:sz w:val="28"/>
          <w:szCs w:val="28"/>
          <w:lang w:val="en-US" w:eastAsia="zh-CN"/>
        </w:rPr>
        <w:tab/>
      </w:r>
      <w:r>
        <w:rPr>
          <w:rFonts w:hint="default" w:ascii="宋体" w:hAnsi="宋体" w:cs="宋体"/>
          <w:sz w:val="28"/>
          <w:szCs w:val="28"/>
          <w:lang w:val="en-US" w:eastAsia="zh-CN"/>
        </w:rPr>
        <w:t>支持漏洞预警功能。漏洞库升级时，自动触发指定条件预警，无需通过任何扫描任务，推送哪些资产可能存在本次更新的漏洞。告警信息支持多渠道即时推送：支持页面、邮件即时推送潜在受影响资产及漏洞风险信息。需提供产品功能截图证明并加盖原厂公章。</w:t>
      </w:r>
    </w:p>
    <w:p w14:paraId="4568171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49）招标文件第56-57页，#渗透取证</w:t>
      </w:r>
      <w:r>
        <w:rPr>
          <w:rFonts w:hint="default" w:ascii="宋体" w:hAnsi="宋体" w:cs="宋体"/>
          <w:sz w:val="28"/>
          <w:szCs w:val="28"/>
          <w:lang w:val="en-US" w:eastAsia="zh-CN"/>
        </w:rPr>
        <w:tab/>
      </w:r>
      <w:r>
        <w:rPr>
          <w:rFonts w:hint="default" w:ascii="宋体" w:hAnsi="宋体" w:cs="宋体"/>
          <w:sz w:val="28"/>
          <w:szCs w:val="28"/>
          <w:lang w:val="en-US" w:eastAsia="zh-CN"/>
        </w:rPr>
        <w:t>内置EXP渗透取证功能，可对常见高危高危漏洞开展手动渗透，并支持反弹shell和shell终端管理功能。内置EXP数量不少于40个，覆盖Struts2远程命令执行、ThinkPHP5 远程代码执行漏洞、Apache Solr任意文件读取等多种类型。需提供产品功能截图证明并加盖原厂公章。</w:t>
      </w:r>
    </w:p>
    <w:p w14:paraId="598758D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50）招标文件第58页，▲ 接口配置</w:t>
      </w:r>
      <w:r>
        <w:rPr>
          <w:rFonts w:hint="default" w:ascii="宋体" w:hAnsi="宋体" w:cs="宋体"/>
          <w:sz w:val="28"/>
          <w:szCs w:val="28"/>
          <w:lang w:val="en-US" w:eastAsia="zh-CN"/>
        </w:rPr>
        <w:tab/>
      </w:r>
      <w:r>
        <w:rPr>
          <w:rFonts w:hint="default" w:ascii="宋体" w:hAnsi="宋体" w:cs="宋体"/>
          <w:sz w:val="28"/>
          <w:szCs w:val="28"/>
          <w:lang w:val="en-US" w:eastAsia="zh-CN"/>
        </w:rPr>
        <w:t>≥6个千兆电口，≥1个扩展插槽</w:t>
      </w:r>
    </w:p>
    <w:p w14:paraId="7709842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51）招标文件第59页，#安全审计</w:t>
      </w:r>
      <w:r>
        <w:rPr>
          <w:rFonts w:hint="default" w:ascii="宋体" w:hAnsi="宋体" w:cs="宋体"/>
          <w:sz w:val="28"/>
          <w:szCs w:val="28"/>
          <w:lang w:val="en-US" w:eastAsia="zh-CN"/>
        </w:rPr>
        <w:tab/>
      </w:r>
      <w:r>
        <w:rPr>
          <w:rFonts w:hint="default" w:ascii="宋体" w:hAnsi="宋体" w:cs="宋体"/>
          <w:sz w:val="28"/>
          <w:szCs w:val="28"/>
          <w:lang w:val="en-US" w:eastAsia="zh-CN"/>
        </w:rPr>
        <w:t>产品具有内置安全规则，规则类型有SQL注入、账号安全、数据泄露和违规操作等，并可依据规则进行邮件告警。内置安全规则通过规则包进行单独升级。需提供第三方权威机构测试报告并加盖原厂公章。</w:t>
      </w:r>
    </w:p>
    <w:p w14:paraId="353E3ED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52）招标文件第60页，#模型分析</w:t>
      </w:r>
      <w:r>
        <w:rPr>
          <w:rFonts w:hint="default" w:ascii="宋体" w:hAnsi="宋体" w:cs="宋体"/>
          <w:sz w:val="28"/>
          <w:szCs w:val="28"/>
          <w:lang w:val="en-US" w:eastAsia="zh-CN"/>
        </w:rPr>
        <w:tab/>
      </w:r>
      <w:r>
        <w:rPr>
          <w:rFonts w:hint="default" w:ascii="宋体" w:hAnsi="宋体" w:cs="宋体"/>
          <w:sz w:val="28"/>
          <w:szCs w:val="28"/>
          <w:lang w:val="en-US" w:eastAsia="zh-CN"/>
        </w:rPr>
        <w:t>可依据客户端工具名、数据库用户名、客户端IP、操作系统用户名、客户端主机名、数据库名、操作类型、服务器IP等配置行为模型。需提供第三方权威机构测试报告并加盖原厂公章。</w:t>
      </w:r>
    </w:p>
    <w:p w14:paraId="31EBCA8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53）招标文件第60页，#Agent管理</w:t>
      </w:r>
      <w:r>
        <w:rPr>
          <w:rFonts w:hint="default" w:ascii="宋体" w:hAnsi="宋体" w:cs="宋体"/>
          <w:sz w:val="28"/>
          <w:szCs w:val="28"/>
          <w:lang w:val="en-US" w:eastAsia="zh-CN"/>
        </w:rPr>
        <w:tab/>
      </w:r>
      <w:r>
        <w:rPr>
          <w:rFonts w:hint="default" w:ascii="宋体" w:hAnsi="宋体" w:cs="宋体"/>
          <w:sz w:val="28"/>
          <w:szCs w:val="28"/>
          <w:lang w:val="en-US" w:eastAsia="zh-CN"/>
        </w:rPr>
        <w:t>可监控Agent的转发速率，以及Agent所在数据库服务器的CPU、内存利用率，并可设置CPU、内存利用率的上限阈值，超阈值时Agent将自动停止转发数据。需提供第三方权威机构测试报告并加盖原厂公章。</w:t>
      </w:r>
    </w:p>
    <w:p w14:paraId="73A9D2D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54）招标文件第60页，▲ 接口配置</w:t>
      </w:r>
      <w:r>
        <w:rPr>
          <w:rFonts w:hint="default" w:ascii="宋体" w:hAnsi="宋体" w:cs="宋体"/>
          <w:sz w:val="28"/>
          <w:szCs w:val="28"/>
          <w:lang w:val="en-US" w:eastAsia="zh-CN"/>
        </w:rPr>
        <w:tab/>
      </w:r>
      <w:r>
        <w:rPr>
          <w:rFonts w:hint="default" w:ascii="宋体" w:hAnsi="宋体" w:cs="宋体"/>
          <w:sz w:val="28"/>
          <w:szCs w:val="28"/>
          <w:lang w:val="en-US" w:eastAsia="zh-CN"/>
        </w:rPr>
        <w:t>≥6个千兆电口，≥1个接口扩展槽</w:t>
      </w:r>
    </w:p>
    <w:p w14:paraId="6BF2A40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55）招标文件第61-62页，#日志分析</w:t>
      </w:r>
      <w:r>
        <w:rPr>
          <w:rFonts w:hint="default" w:ascii="宋体" w:hAnsi="宋体" w:cs="宋体"/>
          <w:sz w:val="28"/>
          <w:szCs w:val="28"/>
          <w:lang w:val="en-US" w:eastAsia="zh-CN"/>
        </w:rPr>
        <w:tab/>
      </w:r>
      <w:r>
        <w:rPr>
          <w:rFonts w:hint="default" w:ascii="宋体" w:hAnsi="宋体" w:cs="宋体"/>
          <w:sz w:val="28"/>
          <w:szCs w:val="28"/>
          <w:lang w:val="en-US" w:eastAsia="zh-CN"/>
        </w:rPr>
        <w:t>具备安全评估模型，评估模型基于设备故障、认证登录、攻击威胁、可用性、系统脆弱性等纬度加权平均计算总体安全指数。安全评估模型可以显示总体评分、历史评分趋势。安全评估模型各项指标可钻取具体的评分扣分事件。需提供第三方权威机构测试报告并加盖原厂公章。</w:t>
      </w:r>
    </w:p>
    <w:p w14:paraId="42D03FB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56）招标文件第62页，#性能监控</w:t>
      </w:r>
      <w:r>
        <w:rPr>
          <w:rFonts w:hint="default" w:ascii="宋体" w:hAnsi="宋体" w:cs="宋体"/>
          <w:sz w:val="28"/>
          <w:szCs w:val="28"/>
          <w:lang w:val="en-US" w:eastAsia="zh-CN"/>
        </w:rPr>
        <w:tab/>
      </w:r>
      <w:r>
        <w:rPr>
          <w:rFonts w:hint="default" w:ascii="宋体" w:hAnsi="宋体" w:cs="宋体"/>
          <w:sz w:val="28"/>
          <w:szCs w:val="28"/>
          <w:lang w:val="en-US" w:eastAsia="zh-CN"/>
        </w:rPr>
        <w:t>支持对目标主机资产的CPU利用率、内存使用率、磁盘使用率、磁盘使用情况、流量等信息进行转发，在产品监控界面中即可查看目标主机的监控信息。需提供第三方权威机构测试报告并加盖原厂公章。</w:t>
      </w:r>
    </w:p>
    <w:p w14:paraId="1E52647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57）质疑事项6、57）招标文件第62页，#资产管理</w:t>
      </w:r>
      <w:r>
        <w:rPr>
          <w:rFonts w:hint="default" w:ascii="宋体" w:hAnsi="宋体" w:cs="宋体"/>
          <w:sz w:val="28"/>
          <w:szCs w:val="28"/>
          <w:lang w:val="en-US" w:eastAsia="zh-CN"/>
        </w:rPr>
        <w:tab/>
      </w:r>
      <w:r>
        <w:rPr>
          <w:rFonts w:hint="default" w:ascii="宋体" w:hAnsi="宋体" w:cs="宋体"/>
          <w:sz w:val="28"/>
          <w:szCs w:val="28"/>
          <w:lang w:val="en-US" w:eastAsia="zh-CN"/>
        </w:rPr>
        <w:t>支持在可视化界面中通过拖拽直接绘制拓扑图并与资产进行绑定支持在可视化界面上查看资产信息，如资产采集的事件数量，被采集资产的状态等。需提供第三方权威机构测试报告并加盖原厂公章。</w:t>
      </w:r>
    </w:p>
    <w:p w14:paraId="5073B16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58）招标文件第63页，#准入控制方式</w:t>
      </w:r>
      <w:r>
        <w:rPr>
          <w:rFonts w:hint="default" w:ascii="宋体" w:hAnsi="宋体" w:cs="宋体"/>
          <w:sz w:val="28"/>
          <w:szCs w:val="28"/>
          <w:lang w:val="en-US" w:eastAsia="zh-CN"/>
        </w:rPr>
        <w:tab/>
      </w:r>
      <w:r>
        <w:rPr>
          <w:rFonts w:hint="default" w:ascii="宋体" w:hAnsi="宋体" w:cs="宋体"/>
          <w:sz w:val="28"/>
          <w:szCs w:val="28"/>
          <w:lang w:val="en-US" w:eastAsia="zh-CN"/>
        </w:rPr>
        <w:t>支持802.1x、EOU、Portal、端口镜像、策略路由、设备指纹准入等多种控制方式，并可以混合使用，且支持无代理方式。需提供产品功能截图证明并加盖原厂公章。</w:t>
      </w:r>
    </w:p>
    <w:p w14:paraId="79AA194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59）招标文件第65页，#资产可视化</w:t>
      </w:r>
      <w:r>
        <w:rPr>
          <w:rFonts w:hint="default" w:ascii="宋体" w:hAnsi="宋体" w:cs="宋体"/>
          <w:sz w:val="28"/>
          <w:szCs w:val="28"/>
          <w:lang w:val="en-US" w:eastAsia="zh-CN"/>
        </w:rPr>
        <w:tab/>
      </w:r>
      <w:r>
        <w:rPr>
          <w:rFonts w:hint="default" w:ascii="宋体" w:hAnsi="宋体" w:cs="宋体"/>
          <w:sz w:val="28"/>
          <w:szCs w:val="28"/>
          <w:lang w:val="en-US" w:eastAsia="zh-CN"/>
        </w:rPr>
        <w:t>支持以图表的方式展现IP资源的实际使用情况，包括已使用、未使用IP地址以及每个IP地址的终端类型，协助管理员对IP资源进行整体规划，快速完成IP地址资源分配和回收登记管理。需提供产品功能截图证明并加盖原厂公章。</w:t>
      </w:r>
    </w:p>
    <w:p w14:paraId="1017397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60）招标文件第65页，▲接口配置</w:t>
      </w:r>
      <w:r>
        <w:rPr>
          <w:rFonts w:hint="default" w:ascii="宋体" w:hAnsi="宋体" w:cs="宋体"/>
          <w:sz w:val="28"/>
          <w:szCs w:val="28"/>
          <w:lang w:val="en-US" w:eastAsia="zh-CN"/>
        </w:rPr>
        <w:tab/>
      </w:r>
      <w:r>
        <w:rPr>
          <w:rFonts w:hint="default" w:ascii="宋体" w:hAnsi="宋体" w:cs="宋体"/>
          <w:sz w:val="28"/>
          <w:szCs w:val="28"/>
          <w:lang w:val="en-US" w:eastAsia="zh-CN"/>
        </w:rPr>
        <w:t>≥6个千兆电口，≥1个扩展插槽</w:t>
      </w:r>
    </w:p>
    <w:p w14:paraId="4E4FE91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61）招标文件第67页，#黑名单</w:t>
      </w:r>
      <w:r>
        <w:rPr>
          <w:rFonts w:hint="default" w:ascii="宋体" w:hAnsi="宋体" w:cs="宋体"/>
          <w:sz w:val="28"/>
          <w:szCs w:val="28"/>
          <w:lang w:val="en-US" w:eastAsia="zh-CN"/>
        </w:rPr>
        <w:tab/>
      </w:r>
      <w:r>
        <w:rPr>
          <w:rFonts w:hint="default" w:ascii="宋体" w:hAnsi="宋体" w:cs="宋体"/>
          <w:sz w:val="28"/>
          <w:szCs w:val="28"/>
          <w:lang w:val="en-US" w:eastAsia="zh-CN"/>
        </w:rPr>
        <w:t>黑名单容量规格≥100万条。支持基于源IP地址、目的IP地址、端口、协议的黑名单配置，支持自定义黑名单生效时间。需提供第三方权威机构测试报告并加盖原厂公章。</w:t>
      </w:r>
    </w:p>
    <w:p w14:paraId="626E9EC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62）招标文件第68页，#业务安全</w:t>
      </w:r>
      <w:r>
        <w:rPr>
          <w:rFonts w:hint="default" w:ascii="宋体" w:hAnsi="宋体" w:cs="宋体"/>
          <w:sz w:val="28"/>
          <w:szCs w:val="28"/>
          <w:lang w:val="en-US" w:eastAsia="zh-CN"/>
        </w:rPr>
        <w:tab/>
      </w:r>
      <w:r>
        <w:rPr>
          <w:rFonts w:hint="default" w:ascii="宋体" w:hAnsi="宋体" w:cs="宋体"/>
          <w:sz w:val="28"/>
          <w:szCs w:val="28"/>
          <w:lang w:val="en-US" w:eastAsia="zh-CN"/>
        </w:rPr>
        <w:t>支持智能模式和普通模式，在智能模式下，安全引擎将尽可能的处理网络报文，但不影响网络转发。需提供第三方权威机构测试报告并加盖原厂公章。</w:t>
      </w:r>
    </w:p>
    <w:p w14:paraId="217A87E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63）招标文件第68页，#策略分析</w:t>
      </w:r>
      <w:r>
        <w:rPr>
          <w:rFonts w:hint="default" w:ascii="宋体" w:hAnsi="宋体" w:cs="宋体"/>
          <w:sz w:val="28"/>
          <w:szCs w:val="28"/>
          <w:lang w:val="en-US" w:eastAsia="zh-CN"/>
        </w:rPr>
        <w:tab/>
      </w:r>
      <w:r>
        <w:rPr>
          <w:rFonts w:hint="default" w:ascii="宋体" w:hAnsi="宋体" w:cs="宋体"/>
          <w:sz w:val="28"/>
          <w:szCs w:val="28"/>
          <w:lang w:val="en-US" w:eastAsia="zh-CN"/>
        </w:rPr>
        <w:t>提供对控制策略、策略路由、源NAT等策略的策略分析，简化运维工作。需提供第三方权威机构测试报告并加盖原厂公章。</w:t>
      </w:r>
    </w:p>
    <w:p w14:paraId="29AA319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64）招标文件第70页，#关键字过滤</w:t>
      </w:r>
      <w:r>
        <w:rPr>
          <w:rFonts w:hint="default" w:ascii="宋体" w:hAnsi="宋体" w:cs="宋体"/>
          <w:sz w:val="28"/>
          <w:szCs w:val="28"/>
          <w:lang w:val="en-US" w:eastAsia="zh-CN"/>
        </w:rPr>
        <w:tab/>
      </w:r>
      <w:r>
        <w:rPr>
          <w:rFonts w:hint="default" w:ascii="宋体" w:hAnsi="宋体" w:cs="宋体"/>
          <w:sz w:val="28"/>
          <w:szCs w:val="28"/>
          <w:lang w:val="en-US" w:eastAsia="zh-CN"/>
        </w:rPr>
        <w:t>支持采用关键字过滤等方式实现对应用访问的控制。需提供第三方权威机构测试报告并加盖原厂公章。</w:t>
      </w:r>
    </w:p>
    <w:p w14:paraId="1386C71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65）招标文件第70页，#流量控制</w:t>
      </w:r>
      <w:r>
        <w:rPr>
          <w:rFonts w:hint="default" w:ascii="宋体" w:hAnsi="宋体" w:cs="宋体"/>
          <w:sz w:val="28"/>
          <w:szCs w:val="28"/>
          <w:lang w:val="en-US" w:eastAsia="zh-CN"/>
        </w:rPr>
        <w:tab/>
      </w:r>
      <w:r>
        <w:rPr>
          <w:rFonts w:hint="default" w:ascii="宋体" w:hAnsi="宋体" w:cs="宋体"/>
          <w:sz w:val="28"/>
          <w:szCs w:val="28"/>
          <w:lang w:val="en-US" w:eastAsia="zh-CN"/>
        </w:rPr>
        <w:t>支持采用线路和通道流控策略实现对应用、服务、用户、地址等对象的流量控制。需提供第三方权威机构测试报告并加盖原厂公章。</w:t>
      </w:r>
    </w:p>
    <w:p w14:paraId="1FBE573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66）招标文件第71页，▲接口配置</w:t>
      </w:r>
      <w:r>
        <w:rPr>
          <w:rFonts w:hint="default" w:ascii="宋体" w:hAnsi="宋体" w:cs="宋体"/>
          <w:sz w:val="28"/>
          <w:szCs w:val="28"/>
          <w:lang w:val="en-US" w:eastAsia="zh-CN"/>
        </w:rPr>
        <w:tab/>
      </w:r>
      <w:r>
        <w:rPr>
          <w:rFonts w:hint="default" w:ascii="宋体" w:hAnsi="宋体" w:cs="宋体"/>
          <w:sz w:val="28"/>
          <w:szCs w:val="28"/>
          <w:lang w:val="en-US" w:eastAsia="zh-CN"/>
        </w:rPr>
        <w:t>≥12个千兆电口(含≥1对电口Bypass)，≥12个千兆光口，≥1个管理电口</w:t>
      </w:r>
    </w:p>
    <w:p w14:paraId="7BA619A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67）招标文件第73页，#风险账户检测</w:t>
      </w:r>
      <w:r>
        <w:rPr>
          <w:rFonts w:hint="default" w:ascii="宋体" w:hAnsi="宋体" w:cs="宋体"/>
          <w:sz w:val="28"/>
          <w:szCs w:val="28"/>
          <w:lang w:val="en-US" w:eastAsia="zh-CN"/>
        </w:rPr>
        <w:tab/>
      </w:r>
      <w:r>
        <w:rPr>
          <w:rFonts w:hint="default" w:ascii="宋体" w:hAnsi="宋体" w:cs="宋体"/>
          <w:sz w:val="28"/>
          <w:szCs w:val="28"/>
          <w:lang w:val="en-US" w:eastAsia="zh-CN"/>
        </w:rPr>
        <w:t>支持对系统风险账户，如弱口令账户、 隐藏账户、 克隆账户、 高权限账户等，进行监测，并以图形的形式直观查看风险账户在应用、终端上的分布状态。需提供产品功能截图证明并加盖原厂公章。</w:t>
      </w:r>
    </w:p>
    <w:p w14:paraId="50C3375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68）招标文件第73页，#入侵检测</w:t>
      </w:r>
      <w:r>
        <w:rPr>
          <w:rFonts w:hint="default" w:ascii="宋体" w:hAnsi="宋体" w:cs="宋体"/>
          <w:sz w:val="28"/>
          <w:szCs w:val="28"/>
          <w:lang w:val="en-US" w:eastAsia="zh-CN"/>
        </w:rPr>
        <w:tab/>
      </w:r>
      <w:r>
        <w:rPr>
          <w:rFonts w:hint="default" w:ascii="宋体" w:hAnsi="宋体" w:cs="宋体"/>
          <w:sz w:val="28"/>
          <w:szCs w:val="28"/>
          <w:lang w:val="en-US" w:eastAsia="zh-CN"/>
        </w:rPr>
        <w:t>支持≥3000个检测模型，覆盖ATT&amp;CK矩阵的≥12种攻击战术及≥130种攻击技术，在多维分析模型的能力下，实现对海量终端安全事件的分析，针对入侵行为进行秒级告警。需提供产品功能截图证明并加盖原厂公章。</w:t>
      </w:r>
    </w:p>
    <w:p w14:paraId="0BB67FA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69）招标文件第74页，▲ 部署要求</w:t>
      </w:r>
      <w:r>
        <w:rPr>
          <w:rFonts w:hint="default" w:ascii="宋体" w:hAnsi="宋体" w:cs="宋体"/>
          <w:sz w:val="28"/>
          <w:szCs w:val="28"/>
          <w:lang w:val="en-US" w:eastAsia="zh-CN"/>
        </w:rPr>
        <w:tab/>
      </w:r>
      <w:r>
        <w:rPr>
          <w:rFonts w:hint="default" w:ascii="宋体" w:hAnsi="宋体" w:cs="宋体"/>
          <w:sz w:val="28"/>
          <w:szCs w:val="28"/>
          <w:lang w:val="en-US" w:eastAsia="zh-CN"/>
        </w:rPr>
        <w:t>管理中心：支持海光、兆芯、鲲鹏、飞腾CPU，支持Centos 7.9及以上版本、Redhat 7.x、中标麒麟、银河麒麟、统信UOS、openEuler操作系统部署。客户端：支持常见的Windows、Linux及统信UOS、麒麟v10等国产操作系统环境。</w:t>
      </w:r>
    </w:p>
    <w:p w14:paraId="3696F99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70）招标文件第75页，#入侵防御</w:t>
      </w:r>
      <w:r>
        <w:rPr>
          <w:rFonts w:hint="default" w:ascii="宋体" w:hAnsi="宋体" w:cs="宋体"/>
          <w:sz w:val="28"/>
          <w:szCs w:val="28"/>
          <w:lang w:val="en-US" w:eastAsia="zh-CN"/>
        </w:rPr>
        <w:tab/>
      </w:r>
      <w:r>
        <w:rPr>
          <w:rFonts w:hint="default" w:ascii="宋体" w:hAnsi="宋体" w:cs="宋体"/>
          <w:sz w:val="28"/>
          <w:szCs w:val="28"/>
          <w:lang w:val="en-US" w:eastAsia="zh-CN"/>
        </w:rPr>
        <w:t>系统预定义至少11000条主流攻击规则，并通过IPS预定义规则防御验证测试。需提供第三方权威机构测试报告并加盖原厂公章。</w:t>
      </w:r>
    </w:p>
    <w:p w14:paraId="5C32859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71）招标文件第76页，#威胁情报</w:t>
      </w:r>
      <w:r>
        <w:rPr>
          <w:rFonts w:hint="default" w:ascii="宋体" w:hAnsi="宋体" w:cs="宋体"/>
          <w:sz w:val="28"/>
          <w:szCs w:val="28"/>
          <w:lang w:val="en-US" w:eastAsia="zh-CN"/>
        </w:rPr>
        <w:tab/>
      </w:r>
      <w:r>
        <w:rPr>
          <w:rFonts w:hint="default" w:ascii="宋体" w:hAnsi="宋体" w:cs="宋体"/>
          <w:sz w:val="28"/>
          <w:szCs w:val="28"/>
          <w:lang w:val="en-US" w:eastAsia="zh-CN"/>
        </w:rPr>
        <w:t>威胁情报检测能力支持检测C&amp;C、勒索软件、僵尸网络、挖矿软件、矿池地址等安全攻击类型。需提供第三方权威机构测试报告并加盖原厂公章。</w:t>
      </w:r>
    </w:p>
    <w:p w14:paraId="4897EE7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72）招标文件第76页，#策略分析</w:t>
      </w:r>
      <w:r>
        <w:rPr>
          <w:rFonts w:hint="default" w:ascii="宋体" w:hAnsi="宋体" w:cs="宋体"/>
          <w:sz w:val="28"/>
          <w:szCs w:val="28"/>
          <w:lang w:val="en-US" w:eastAsia="zh-CN"/>
        </w:rPr>
        <w:tab/>
      </w:r>
      <w:r>
        <w:rPr>
          <w:rFonts w:hint="default" w:ascii="宋体" w:hAnsi="宋体" w:cs="宋体"/>
          <w:sz w:val="28"/>
          <w:szCs w:val="28"/>
          <w:lang w:val="en-US" w:eastAsia="zh-CN"/>
        </w:rPr>
        <w:t>提供对控制策略、策略路由、源NAT等策略的策略分析，简化运维工作。需提供第三方权威机构测试报告并加盖原厂公章。</w:t>
      </w:r>
    </w:p>
    <w:p w14:paraId="54448BE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73）招标文件第79页，#业务安全</w:t>
      </w:r>
      <w:r>
        <w:rPr>
          <w:rFonts w:hint="default" w:ascii="宋体" w:hAnsi="宋体" w:cs="宋体"/>
          <w:sz w:val="28"/>
          <w:szCs w:val="28"/>
          <w:lang w:val="en-US" w:eastAsia="zh-CN"/>
        </w:rPr>
        <w:tab/>
      </w:r>
      <w:r>
        <w:rPr>
          <w:rFonts w:hint="default" w:ascii="宋体" w:hAnsi="宋体" w:cs="宋体"/>
          <w:sz w:val="28"/>
          <w:szCs w:val="28"/>
          <w:lang w:val="en-US" w:eastAsia="zh-CN"/>
        </w:rPr>
        <w:t>支持智能模式和普通模式，在智能模式下，安全引擎将尽可能的处理网络报文，但不影响网络转发。需提供第三方权威机构测试报告并加盖原厂公章。</w:t>
      </w:r>
    </w:p>
    <w:p w14:paraId="5DCEA1A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74）招标文件第79页，#策略分析</w:t>
      </w:r>
      <w:r>
        <w:rPr>
          <w:rFonts w:hint="default" w:ascii="宋体" w:hAnsi="宋体" w:cs="宋体"/>
          <w:sz w:val="28"/>
          <w:szCs w:val="28"/>
          <w:lang w:val="en-US" w:eastAsia="zh-CN"/>
        </w:rPr>
        <w:tab/>
      </w:r>
      <w:r>
        <w:rPr>
          <w:rFonts w:hint="default" w:ascii="宋体" w:hAnsi="宋体" w:cs="宋体"/>
          <w:sz w:val="28"/>
          <w:szCs w:val="28"/>
          <w:lang w:val="en-US" w:eastAsia="zh-CN"/>
        </w:rPr>
        <w:t>提供对控制策略、策略路由、源NAT等策略的策略分析，简化运维工作。需提供第三方权威机构测试报告并加盖原厂公章。</w:t>
      </w:r>
    </w:p>
    <w:p w14:paraId="13A6E1D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75）招标文件第79页，#管理认证</w:t>
      </w:r>
      <w:r>
        <w:rPr>
          <w:rFonts w:hint="default" w:ascii="宋体" w:hAnsi="宋体" w:cs="宋体"/>
          <w:sz w:val="28"/>
          <w:szCs w:val="28"/>
          <w:lang w:val="en-US" w:eastAsia="zh-CN"/>
        </w:rPr>
        <w:tab/>
      </w:r>
      <w:r>
        <w:rPr>
          <w:rFonts w:hint="default" w:ascii="宋体" w:hAnsi="宋体" w:cs="宋体"/>
          <w:sz w:val="28"/>
          <w:szCs w:val="28"/>
          <w:lang w:val="en-US" w:eastAsia="zh-CN"/>
        </w:rPr>
        <w:t>系统管理员登录认证支持密码和手机APP令牌的双因子认证。需提供第三方权威机构测试报告并加盖原厂公章。</w:t>
      </w:r>
    </w:p>
    <w:p w14:paraId="7CC0BF2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76）招标文件第80页，▲ 接口配置</w:t>
      </w:r>
      <w:r>
        <w:rPr>
          <w:rFonts w:hint="default" w:ascii="宋体" w:hAnsi="宋体" w:cs="宋体"/>
          <w:sz w:val="28"/>
          <w:szCs w:val="28"/>
          <w:lang w:val="en-US" w:eastAsia="zh-CN"/>
        </w:rPr>
        <w:tab/>
      </w:r>
      <w:r>
        <w:rPr>
          <w:rFonts w:hint="default" w:ascii="宋体" w:hAnsi="宋体" w:cs="宋体"/>
          <w:sz w:val="28"/>
          <w:szCs w:val="28"/>
          <w:lang w:val="en-US" w:eastAsia="zh-CN"/>
        </w:rPr>
        <w:t>≥8个千兆电口(含≥2组电口Bypass），≥4个千兆光口，≥2个接口扩展槽</w:t>
      </w:r>
    </w:p>
    <w:p w14:paraId="29D48FF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77）招标文件第83页，#安全监测</w:t>
      </w:r>
      <w:r>
        <w:rPr>
          <w:rFonts w:hint="default" w:ascii="宋体" w:hAnsi="宋体" w:cs="宋体"/>
          <w:sz w:val="28"/>
          <w:szCs w:val="28"/>
          <w:lang w:val="en-US" w:eastAsia="zh-CN"/>
        </w:rPr>
        <w:tab/>
      </w:r>
      <w:r>
        <w:rPr>
          <w:rFonts w:hint="default" w:ascii="宋体" w:hAnsi="宋体" w:cs="宋体"/>
          <w:sz w:val="28"/>
          <w:szCs w:val="28"/>
          <w:lang w:val="en-US" w:eastAsia="zh-CN"/>
        </w:rPr>
        <w:t>支持内置主机行为分析模型和关联分析规则库,可根据该模型和规则库对网络、主机和Web应用等的常见漏洞、各种攻击行为和异常行为等进行实时监测。需提供第三方权威机构测试报告并加盖原厂公章。</w:t>
      </w:r>
    </w:p>
    <w:p w14:paraId="3401F89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78）招标文件第83页，#态势分析</w:t>
      </w:r>
      <w:r>
        <w:rPr>
          <w:rFonts w:hint="default" w:ascii="宋体" w:hAnsi="宋体" w:cs="宋体"/>
          <w:sz w:val="28"/>
          <w:szCs w:val="28"/>
          <w:lang w:val="en-US" w:eastAsia="zh-CN"/>
        </w:rPr>
        <w:tab/>
      </w:r>
      <w:r>
        <w:rPr>
          <w:rFonts w:hint="default" w:ascii="宋体" w:hAnsi="宋体" w:cs="宋体"/>
          <w:sz w:val="28"/>
          <w:szCs w:val="28"/>
          <w:lang w:val="en-US" w:eastAsia="zh-CN"/>
        </w:rPr>
        <w:t>支持支持对系统资产、威胁、攻击、漏洞等信息进行态势分析,可根据分析结果对当前态势进行实时展示和查看。需提供第三方权威机构测试报告并加盖原厂公章。</w:t>
      </w:r>
    </w:p>
    <w:p w14:paraId="2FC588D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79）招标文件第83页，#威胁溯源</w:t>
      </w:r>
      <w:r>
        <w:rPr>
          <w:rFonts w:hint="default" w:ascii="宋体" w:hAnsi="宋体" w:cs="宋体"/>
          <w:sz w:val="28"/>
          <w:szCs w:val="28"/>
          <w:lang w:val="en-US" w:eastAsia="zh-CN"/>
        </w:rPr>
        <w:tab/>
      </w:r>
      <w:r>
        <w:rPr>
          <w:rFonts w:hint="default" w:ascii="宋体" w:hAnsi="宋体" w:cs="宋体"/>
          <w:sz w:val="28"/>
          <w:szCs w:val="28"/>
          <w:lang w:val="en-US" w:eastAsia="zh-CN"/>
        </w:rPr>
        <w:t>可通过攻击者追踪溯源、资产威胁溯源对已知的安全威胁事件进行溯源,可追溯威胁路径、威胁过程、攻击手法,虚拟身份和攻击者IP等;查看告警类型、结果等信息。需提供第三方权威机构测试报告并加盖原厂公章。</w:t>
      </w:r>
    </w:p>
    <w:p w14:paraId="31245ED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80）招标文件第84页，▲接口配置</w:t>
      </w:r>
      <w:r>
        <w:rPr>
          <w:rFonts w:hint="default" w:ascii="宋体" w:hAnsi="宋体" w:cs="宋体"/>
          <w:sz w:val="28"/>
          <w:szCs w:val="28"/>
          <w:lang w:val="en-US" w:eastAsia="zh-CN"/>
        </w:rPr>
        <w:tab/>
      </w:r>
      <w:r>
        <w:rPr>
          <w:rFonts w:hint="default" w:ascii="宋体" w:hAnsi="宋体" w:cs="宋体"/>
          <w:sz w:val="28"/>
          <w:szCs w:val="28"/>
          <w:lang w:val="en-US" w:eastAsia="zh-CN"/>
        </w:rPr>
        <w:t>平台：≥6个千兆电口，≥3个接口扩展槽。探针：≥6个千兆电口</w:t>
      </w:r>
    </w:p>
    <w:p w14:paraId="26E7C09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81）招标文件第86页，▲接口配置</w:t>
      </w:r>
      <w:r>
        <w:rPr>
          <w:rFonts w:hint="default" w:ascii="宋体" w:hAnsi="宋体" w:cs="宋体"/>
          <w:sz w:val="28"/>
          <w:szCs w:val="28"/>
          <w:lang w:val="en-US" w:eastAsia="zh-CN"/>
        </w:rPr>
        <w:tab/>
      </w:r>
      <w:r>
        <w:rPr>
          <w:rFonts w:hint="default" w:ascii="宋体" w:hAnsi="宋体" w:cs="宋体"/>
          <w:sz w:val="28"/>
          <w:szCs w:val="28"/>
          <w:lang w:val="en-US" w:eastAsia="zh-CN"/>
        </w:rPr>
        <w:t>≥8个千兆电口(含≥2组电口Bypass），≥2个千兆光口，≥2个万兆光口，≥2个接口扩展槽。</w:t>
      </w:r>
    </w:p>
    <w:p w14:paraId="2CE24BBA">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变更为：</w:t>
      </w:r>
    </w:p>
    <w:p w14:paraId="32D8B30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1）删除此项▲标注。</w:t>
      </w:r>
    </w:p>
    <w:p w14:paraId="491B4D2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2）删除提供官网链接证明；取消#标注。</w:t>
      </w:r>
    </w:p>
    <w:p w14:paraId="391B338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3）删除</w:t>
      </w:r>
      <w:bookmarkStart w:id="9" w:name="OLE_LINK8"/>
      <w:bookmarkStart w:id="10" w:name="OLE_LINK7"/>
      <w:r>
        <w:rPr>
          <w:rFonts w:hint="default" w:ascii="宋体" w:hAnsi="宋体" w:cs="宋体"/>
          <w:sz w:val="28"/>
          <w:szCs w:val="28"/>
          <w:lang w:val="en-US" w:eastAsia="zh-CN"/>
        </w:rPr>
        <w:t>此项内容</w:t>
      </w:r>
      <w:bookmarkEnd w:id="9"/>
      <w:bookmarkEnd w:id="10"/>
      <w:r>
        <w:rPr>
          <w:rFonts w:hint="default" w:ascii="宋体" w:hAnsi="宋体" w:cs="宋体"/>
          <w:sz w:val="28"/>
          <w:szCs w:val="28"/>
          <w:lang w:val="en-US" w:eastAsia="zh-CN"/>
        </w:rPr>
        <w:t>。</w:t>
      </w:r>
    </w:p>
    <w:p w14:paraId="1C6F905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4）删除提供第三方检测报告；取消▲标注。</w:t>
      </w:r>
    </w:p>
    <w:p w14:paraId="5411FED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5）删除此项内容。</w:t>
      </w:r>
    </w:p>
    <w:p w14:paraId="4DBD224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6）删除此项内容。</w:t>
      </w:r>
    </w:p>
    <w:p w14:paraId="1250D9F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7）删除此项内容。</w:t>
      </w:r>
    </w:p>
    <w:p w14:paraId="333C6C9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8）删除提供第三方检测报告；取消#标注。</w:t>
      </w:r>
    </w:p>
    <w:p w14:paraId="408C89F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9）取消▲标注。</w:t>
      </w:r>
    </w:p>
    <w:p w14:paraId="29D384A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10）原“交换容量≥1.3 Tbps”修改为“交换容量≥650 Gbps”。</w:t>
      </w:r>
    </w:p>
    <w:p w14:paraId="76C9F6B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11）取消#标注，删除提供官网产品文档证明截图并提供官网链接；</w:t>
      </w:r>
    </w:p>
    <w:p w14:paraId="5063461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12）删除此项内容。</w:t>
      </w:r>
    </w:p>
    <w:p w14:paraId="73C4A55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13）取消此项#标注。</w:t>
      </w:r>
    </w:p>
    <w:p w14:paraId="2008AF4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14）取消#标注，删除提供官网产品文档证明截图并提供官网链接。</w:t>
      </w:r>
    </w:p>
    <w:p w14:paraId="5C5EEDD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15）取消此项▲标注。</w:t>
      </w:r>
    </w:p>
    <w:p w14:paraId="4EA12C2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16）取消此项#标注，删除根据隧道质量调度流量，提供功能截图。</w:t>
      </w:r>
    </w:p>
    <w:p w14:paraId="092D268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17）取消此项#标注，删除提供功能截图。</w:t>
      </w:r>
    </w:p>
    <w:p w14:paraId="7D78ECB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18）此项▲标注。</w:t>
      </w:r>
    </w:p>
    <w:p w14:paraId="0EC3A23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19）取消此项#标注，删除提供官网截图。</w:t>
      </w:r>
    </w:p>
    <w:p w14:paraId="40CAC7A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20）取消此项#标注，删除提供第三方权威机构（CNAS认证）测试报告。</w:t>
      </w:r>
    </w:p>
    <w:p w14:paraId="46C74D0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21）取消此项▲标注。</w:t>
      </w:r>
    </w:p>
    <w:p w14:paraId="12987E3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22）取消此项#标注。</w:t>
      </w:r>
    </w:p>
    <w:p w14:paraId="5D5AF98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23）删除制造厂商必须盖章。</w:t>
      </w:r>
    </w:p>
    <w:p w14:paraId="4C29040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24）取消此项▲标注。</w:t>
      </w:r>
    </w:p>
    <w:p w14:paraId="4D229A2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25）取消此项▲标注。</w:t>
      </w:r>
    </w:p>
    <w:p w14:paraId="653239A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26）删除制造厂商必须盖章。</w:t>
      </w:r>
    </w:p>
    <w:p w14:paraId="3408491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27）取消此项▲标注。</w:t>
      </w:r>
    </w:p>
    <w:p w14:paraId="67A58FF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28）取消此项#标注。</w:t>
      </w:r>
    </w:p>
    <w:p w14:paraId="28E08B8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29）取消此项#标注。</w:t>
      </w:r>
    </w:p>
    <w:p w14:paraId="0911387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30）取消此项▲标注。</w:t>
      </w:r>
    </w:p>
    <w:p w14:paraId="5B72EF9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31）取消此项#标注。</w:t>
      </w:r>
    </w:p>
    <w:p w14:paraId="795AB49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32）取消此项#标注。</w:t>
      </w:r>
    </w:p>
    <w:p w14:paraId="5451552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33）取消此项▲标注。</w:t>
      </w:r>
    </w:p>
    <w:p w14:paraId="3777D9E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34）取消此项#标注。</w:t>
      </w:r>
    </w:p>
    <w:p w14:paraId="12516A0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35）取消此项#标注，删除提供第三方权威机构（CNAS认证）测试报告。</w:t>
      </w:r>
    </w:p>
    <w:p w14:paraId="5A87C9E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36）取消此项▲标注。</w:t>
      </w:r>
    </w:p>
    <w:p w14:paraId="727A511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37）</w:t>
      </w:r>
      <w:bookmarkStart w:id="11" w:name="OLE_LINK9"/>
      <w:r>
        <w:rPr>
          <w:rFonts w:hint="default" w:ascii="宋体" w:hAnsi="宋体" w:cs="宋体"/>
          <w:sz w:val="28"/>
          <w:szCs w:val="28"/>
          <w:lang w:val="en-US" w:eastAsia="zh-CN"/>
        </w:rPr>
        <w:t>删除此项。</w:t>
      </w:r>
      <w:bookmarkEnd w:id="11"/>
    </w:p>
    <w:p w14:paraId="55A6EBC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38）删除此项。</w:t>
      </w:r>
    </w:p>
    <w:p w14:paraId="759F12B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39）取消此项▲标注。</w:t>
      </w:r>
    </w:p>
    <w:p w14:paraId="0FC30F3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40）增加此项▲标注。</w:t>
      </w:r>
    </w:p>
    <w:p w14:paraId="7BE8985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41）修改为：#账号安全支持独立的账号安全功能，具备事前账号脆弱性、事中账号爆破、事后账号失陷的全生命周期安全防护，在设备界面可以详细展示账号安全相关信息，包括风险业务、风险等级、存在账号入口、存在弱口令、遭受口令爆破、异常登录账号登。（需提供产品功能截图/证明材料证明并加盖公章）。</w:t>
      </w:r>
    </w:p>
    <w:p w14:paraId="30C1FC1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42）删除此项。</w:t>
      </w:r>
    </w:p>
    <w:p w14:paraId="77D5F04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43）修改为：#勒索防护</w:t>
      </w:r>
      <w:r>
        <w:rPr>
          <w:rFonts w:hint="default" w:ascii="宋体" w:hAnsi="宋体" w:cs="宋体"/>
          <w:sz w:val="28"/>
          <w:szCs w:val="28"/>
          <w:lang w:val="en-US" w:eastAsia="zh-CN"/>
        </w:rPr>
        <w:tab/>
      </w:r>
      <w:r>
        <w:rPr>
          <w:rFonts w:hint="default" w:ascii="宋体" w:hAnsi="宋体" w:cs="宋体"/>
          <w:sz w:val="28"/>
          <w:szCs w:val="28"/>
          <w:lang w:val="en-US" w:eastAsia="zh-CN"/>
        </w:rPr>
        <w:t>产品应具备独立的勒索病毒防护模块，非普通防病毒功能，支持对特定的业务进行勒索风险自动化评估，并依据评估结果自动生成防护策略。（需提供产品功能截图/证明材料证明并加盖公章）。</w:t>
      </w:r>
    </w:p>
    <w:p w14:paraId="30FF43D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44）删除此项。</w:t>
      </w:r>
    </w:p>
    <w:p w14:paraId="4112625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45）删除此项。</w:t>
      </w:r>
    </w:p>
    <w:p w14:paraId="63BD888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46）删除此项。</w:t>
      </w:r>
    </w:p>
    <w:p w14:paraId="5BE7478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47）取消此项▲标注。</w:t>
      </w:r>
    </w:p>
    <w:p w14:paraId="69DDD6F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48）删除此项。</w:t>
      </w:r>
    </w:p>
    <w:p w14:paraId="46C0D39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49）删除此项。</w:t>
      </w:r>
    </w:p>
    <w:p w14:paraId="397EC79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50）取消此项▲标注。</w:t>
      </w:r>
    </w:p>
    <w:p w14:paraId="2BEC2A4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51）修改为：#安全审计</w:t>
      </w:r>
      <w:r>
        <w:rPr>
          <w:rFonts w:hint="default" w:ascii="宋体" w:hAnsi="宋体" w:cs="宋体"/>
          <w:sz w:val="28"/>
          <w:szCs w:val="28"/>
          <w:lang w:val="en-US" w:eastAsia="zh-CN"/>
        </w:rPr>
        <w:tab/>
      </w:r>
      <w:r>
        <w:rPr>
          <w:rFonts w:hint="default" w:ascii="宋体" w:hAnsi="宋体" w:cs="宋体"/>
          <w:sz w:val="28"/>
          <w:szCs w:val="28"/>
          <w:lang w:val="en-US" w:eastAsia="zh-CN"/>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需提供产品功能截图/证明材料证明并加盖公章）。</w:t>
      </w:r>
    </w:p>
    <w:p w14:paraId="2501FB3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52）修改为：#敏感数据发现</w:t>
      </w:r>
      <w:r>
        <w:rPr>
          <w:rFonts w:hint="default" w:ascii="宋体" w:hAnsi="宋体" w:cs="宋体"/>
          <w:sz w:val="28"/>
          <w:szCs w:val="28"/>
          <w:lang w:val="en-US" w:eastAsia="zh-CN"/>
        </w:rPr>
        <w:tab/>
      </w:r>
      <w:r>
        <w:rPr>
          <w:rFonts w:hint="default" w:ascii="宋体" w:hAnsi="宋体" w:cs="宋体"/>
          <w:sz w:val="28"/>
          <w:szCs w:val="28"/>
          <w:lang w:val="en-US" w:eastAsia="zh-CN"/>
        </w:rPr>
        <w:t>内置包括个人信息安全规范标签库，内置敏感数据标签包含港澳居民来往内容通行证、性别、名族、统一社会信用代码、港澳通行证、IP地址、IPv6地址、MAC地址、IMEI、MEID、企业单位名称、电子邮箱、中文地址、固定电话、手机号、银行卡号、军官证号、社保证号、护照号、驾驶证、身份证号、中文姓名等22条敏感数据规则（需提供产品功能截图/证明材料证明并加盖公章）。</w:t>
      </w:r>
    </w:p>
    <w:p w14:paraId="415877C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 xml:space="preserve">53）删除此项。 </w:t>
      </w:r>
    </w:p>
    <w:p w14:paraId="7B71551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54）取消此项▲标注。</w:t>
      </w:r>
    </w:p>
    <w:p w14:paraId="2588821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55）修改为：#接入POC</w:t>
      </w:r>
      <w:r>
        <w:rPr>
          <w:rFonts w:hint="default" w:ascii="宋体" w:hAnsi="宋体" w:cs="宋体"/>
          <w:sz w:val="28"/>
          <w:szCs w:val="28"/>
          <w:lang w:val="en-US" w:eastAsia="zh-CN"/>
        </w:rPr>
        <w:tab/>
      </w:r>
      <w:r>
        <w:rPr>
          <w:rFonts w:hint="default" w:ascii="宋体" w:hAnsi="宋体" w:cs="宋体"/>
          <w:sz w:val="28"/>
          <w:szCs w:val="28"/>
          <w:lang w:val="en-US" w:eastAsia="zh-CN"/>
        </w:rPr>
        <w:t>支持POC测试工具一键生成数据,验证日志数据采集是否成功，避免设备部署后采集失效但不被发现等风险（需提供产品功能截图/证明材料证明并加盖公章）。</w:t>
      </w:r>
    </w:p>
    <w:p w14:paraId="278A62F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56）删除此项。</w:t>
      </w:r>
    </w:p>
    <w:p w14:paraId="1C4AD2A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57）删除此项。</w:t>
      </w:r>
    </w:p>
    <w:p w14:paraId="5CA34ED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58）删除此项。</w:t>
      </w:r>
    </w:p>
    <w:p w14:paraId="32B4866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59）删除此项。</w:t>
      </w:r>
    </w:p>
    <w:p w14:paraId="16A2572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60）取消此项▲标注。</w:t>
      </w:r>
    </w:p>
    <w:p w14:paraId="7CD34FF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61）删除此项。</w:t>
      </w:r>
    </w:p>
    <w:p w14:paraId="3250937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62）修改为：#账号安全</w:t>
      </w:r>
      <w:r>
        <w:rPr>
          <w:rFonts w:hint="default" w:ascii="宋体" w:hAnsi="宋体" w:cs="宋体"/>
          <w:sz w:val="28"/>
          <w:szCs w:val="28"/>
          <w:lang w:val="en-US" w:eastAsia="zh-CN"/>
        </w:rPr>
        <w:tab/>
      </w:r>
      <w:r>
        <w:rPr>
          <w:rFonts w:hint="default" w:ascii="宋体" w:hAnsi="宋体" w:cs="宋体"/>
          <w:sz w:val="28"/>
          <w:szCs w:val="28"/>
          <w:lang w:val="en-US" w:eastAsia="zh-CN"/>
        </w:rPr>
        <w:t>支持独立的账号安全功能，具备事前账号脆弱性、事中账号爆破、事后账号失陷的全生命周期安全防护，在设备界面可以详细展示账号安全相关信息，包括风险业务、风险等级、存在账号入口、存在弱口令、遭受口令爆破、异常登录账号登。（需提供产品功能截图/证明材料证明并加盖公章）。</w:t>
      </w:r>
    </w:p>
    <w:p w14:paraId="19FD375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63）修改为：#勒索防护</w:t>
      </w:r>
      <w:r>
        <w:rPr>
          <w:rFonts w:hint="default" w:ascii="宋体" w:hAnsi="宋体" w:cs="宋体"/>
          <w:sz w:val="28"/>
          <w:szCs w:val="28"/>
          <w:lang w:val="en-US" w:eastAsia="zh-CN"/>
        </w:rPr>
        <w:tab/>
      </w:r>
      <w:r>
        <w:rPr>
          <w:rFonts w:hint="default" w:ascii="宋体" w:hAnsi="宋体" w:cs="宋体"/>
          <w:sz w:val="28"/>
          <w:szCs w:val="28"/>
          <w:lang w:val="en-US" w:eastAsia="zh-CN"/>
        </w:rPr>
        <w:t>产品应具备独立的勒索病毒防护模块，非普通防病毒功能，支持对特定的业务进行勒索风险自动化评估，并依据评估结果自动生成防护策略。（需提供产品功能截图/证明材料证明并加盖公章）。</w:t>
      </w:r>
    </w:p>
    <w:p w14:paraId="42FA796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64）删除此项。</w:t>
      </w:r>
    </w:p>
    <w:p w14:paraId="4ABFF8E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65）删除此项。</w:t>
      </w:r>
    </w:p>
    <w:p w14:paraId="42EBD64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66）取消此项▲标注。</w:t>
      </w:r>
    </w:p>
    <w:p w14:paraId="00316AB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67）修改为：#防钓鱼</w:t>
      </w:r>
      <w:r>
        <w:rPr>
          <w:rFonts w:hint="default" w:ascii="宋体" w:hAnsi="宋体" w:cs="宋体"/>
          <w:sz w:val="28"/>
          <w:szCs w:val="28"/>
          <w:lang w:val="en-US" w:eastAsia="zh-CN"/>
        </w:rPr>
        <w:tab/>
      </w:r>
      <w:r>
        <w:rPr>
          <w:rFonts w:hint="default" w:ascii="宋体" w:hAnsi="宋体" w:cs="宋体"/>
          <w:sz w:val="28"/>
          <w:szCs w:val="28"/>
          <w:lang w:val="en-US" w:eastAsia="zh-CN"/>
        </w:rPr>
        <w:t>基于高级威胁检测的高置信钓鱼攻击事件，提供实时自动化进程阻断防御功能，即在检测到钓鱼攻击事件时，支持自动结束恶意进程（需提供产品功能截图/证明材料证明并加盖公章）。</w:t>
      </w:r>
    </w:p>
    <w:p w14:paraId="4F99280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68）修改为：#防勒索</w:t>
      </w:r>
      <w:r>
        <w:rPr>
          <w:rFonts w:hint="default" w:ascii="宋体" w:hAnsi="宋体" w:cs="宋体"/>
          <w:sz w:val="28"/>
          <w:szCs w:val="28"/>
          <w:lang w:val="en-US" w:eastAsia="zh-CN"/>
        </w:rPr>
        <w:tab/>
      </w:r>
      <w:r>
        <w:rPr>
          <w:rFonts w:hint="default" w:ascii="宋体" w:hAnsi="宋体" w:cs="宋体"/>
          <w:sz w:val="28"/>
          <w:szCs w:val="28"/>
          <w:lang w:val="en-US" w:eastAsia="zh-CN"/>
        </w:rPr>
        <w:t>提供勒索病毒整体防护体系入口，直观展示最近七天勒索病毒防护效果，包括已处置的恶意文件数量、已拦截可疑行为次数、已阻止的未知进程操作次数、已阻止的暴力破解攻击次数（需提供产品功能截图/证明材料证明并加盖公章）。</w:t>
      </w:r>
    </w:p>
    <w:p w14:paraId="48BC604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69）删除此项。</w:t>
      </w:r>
    </w:p>
    <w:p w14:paraId="542F4BB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70）修改为：#账号安全</w:t>
      </w:r>
      <w:r>
        <w:rPr>
          <w:rFonts w:hint="default" w:ascii="宋体" w:hAnsi="宋体" w:cs="宋体"/>
          <w:sz w:val="28"/>
          <w:szCs w:val="28"/>
          <w:lang w:val="en-US" w:eastAsia="zh-CN"/>
        </w:rPr>
        <w:tab/>
      </w:r>
      <w:r>
        <w:rPr>
          <w:rFonts w:hint="default" w:ascii="宋体" w:hAnsi="宋体" w:cs="宋体"/>
          <w:sz w:val="28"/>
          <w:szCs w:val="28"/>
          <w:lang w:val="en-US" w:eastAsia="zh-CN"/>
        </w:rPr>
        <w:t>支持独立的账号安全功能，具备事前账号脆弱性、事中账号爆破、事后账号失陷的全生命周期安全防护，在设备界面可以详细展示账号安全相关信息，包括风险业务、风险等级、存在账号入口、存在弱口令、遭受口令爆破、异常登录账号登陆。（需提供产品功能截图/证明材料证明并加盖公章）。</w:t>
      </w:r>
    </w:p>
    <w:p w14:paraId="25B8703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71）删除此项。</w:t>
      </w:r>
    </w:p>
    <w:p w14:paraId="0D8AC9A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72）修改为：#勒索防护</w:t>
      </w:r>
      <w:r>
        <w:rPr>
          <w:rFonts w:hint="default" w:ascii="宋体" w:hAnsi="宋体" w:cs="宋体"/>
          <w:sz w:val="28"/>
          <w:szCs w:val="28"/>
          <w:lang w:val="en-US" w:eastAsia="zh-CN"/>
        </w:rPr>
        <w:tab/>
      </w:r>
      <w:r>
        <w:rPr>
          <w:rFonts w:hint="default" w:ascii="宋体" w:hAnsi="宋体" w:cs="宋体"/>
          <w:sz w:val="28"/>
          <w:szCs w:val="28"/>
          <w:lang w:val="en-US" w:eastAsia="zh-CN"/>
        </w:rPr>
        <w:t>产品应具备独立的勒索病毒防护模块，非普通防病毒功能，支持对特定的业务进行勒索风险自动化评估，并依据评估结果自动生成防护策略。（需提供产品功能截图/证明材料证明并加盖公章）。</w:t>
      </w:r>
    </w:p>
    <w:p w14:paraId="67298BF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73）修改为：#账号安全</w:t>
      </w:r>
      <w:r>
        <w:rPr>
          <w:rFonts w:hint="default" w:ascii="宋体" w:hAnsi="宋体" w:cs="宋体"/>
          <w:sz w:val="28"/>
          <w:szCs w:val="28"/>
          <w:lang w:val="en-US" w:eastAsia="zh-CN"/>
        </w:rPr>
        <w:tab/>
      </w:r>
      <w:r>
        <w:rPr>
          <w:rFonts w:hint="default" w:ascii="宋体" w:hAnsi="宋体" w:cs="宋体"/>
          <w:sz w:val="28"/>
          <w:szCs w:val="28"/>
          <w:lang w:val="en-US" w:eastAsia="zh-CN"/>
        </w:rPr>
        <w:t>支持独立的账号安全功能，具备事前账号脆弱性、事中账号爆破、事后账号失陷的全生命周期安全防护，在设备界面可以详细展示账号安全相关信息，包括风险业务、风险等级、存在账号入口、存在弱口令、遭受口令爆破、异常登录账号登。（需提供产品功能截图/证明材料证明并加盖公章）。</w:t>
      </w:r>
    </w:p>
    <w:p w14:paraId="34F770B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74）修改为：#勒索防护</w:t>
      </w:r>
      <w:r>
        <w:rPr>
          <w:rFonts w:hint="default" w:ascii="宋体" w:hAnsi="宋体" w:cs="宋体"/>
          <w:sz w:val="28"/>
          <w:szCs w:val="28"/>
          <w:lang w:val="en-US" w:eastAsia="zh-CN"/>
        </w:rPr>
        <w:tab/>
      </w:r>
      <w:r>
        <w:rPr>
          <w:rFonts w:hint="default" w:ascii="宋体" w:hAnsi="宋体" w:cs="宋体"/>
          <w:sz w:val="28"/>
          <w:szCs w:val="28"/>
          <w:lang w:val="en-US" w:eastAsia="zh-CN"/>
        </w:rPr>
        <w:t>产品应具备独立的勒索病毒防护模块，非普通防病毒功能，支持对特定的业务进行勒索风险自动化评估，并依据评估结果自动生成防护策略。（需提供产品功能截图/证明材料证明并加盖公章）。</w:t>
      </w:r>
    </w:p>
    <w:p w14:paraId="5C21043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75）删除此项。</w:t>
      </w:r>
    </w:p>
    <w:p w14:paraId="0F7C1CE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76）取消此项▲标注。</w:t>
      </w:r>
    </w:p>
    <w:p w14:paraId="5E0E94A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77）删除此项。</w:t>
      </w:r>
    </w:p>
    <w:p w14:paraId="399BC00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78）删除此项。</w:t>
      </w:r>
    </w:p>
    <w:p w14:paraId="491D655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79）删除此项。</w:t>
      </w:r>
    </w:p>
    <w:p w14:paraId="617B330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80）取消此项▲标注。</w:t>
      </w:r>
    </w:p>
    <w:p w14:paraId="197E56A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81）取消此项▲标注。</w:t>
      </w:r>
    </w:p>
    <w:p w14:paraId="30CD8C1D">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5、原招标文件内</w:t>
      </w:r>
    </w:p>
    <w:p w14:paraId="5D3279D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1）招标文件第89页、门板开孔率 门和侧板为可拆卸结构，门的开合转动灵活、锁定可靠、施工安装和维护方便。前门单开网孔门开孔区面积比≥80％。网孔开孔率≥73％，后门双开，后门开孔区面积比≥70％，网孔开孔率≥74％，提供第三方泰尔认证测试报告。</w:t>
      </w:r>
    </w:p>
    <w:p w14:paraId="5A4DD3F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2）招标文件第90页、强制性产品认证</w:t>
      </w:r>
      <w:r>
        <w:rPr>
          <w:rFonts w:hint="default" w:ascii="宋体" w:hAnsi="宋体" w:cs="宋体"/>
          <w:sz w:val="28"/>
          <w:szCs w:val="28"/>
          <w:lang w:val="en-US" w:eastAsia="zh-CN"/>
        </w:rPr>
        <w:tab/>
      </w:r>
      <w:r>
        <w:rPr>
          <w:rFonts w:hint="default" w:ascii="宋体" w:hAnsi="宋体" w:cs="宋体"/>
          <w:sz w:val="28"/>
          <w:szCs w:val="28"/>
          <w:lang w:val="en-US" w:eastAsia="zh-CN"/>
        </w:rPr>
        <w:t>PDU应满足国家强制性产品认证，提供CCC证书</w:t>
      </w:r>
    </w:p>
    <w:p w14:paraId="1CBC7DB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3）招标文件第90页、阻燃要求</w:t>
      </w:r>
      <w:r>
        <w:rPr>
          <w:rFonts w:hint="default" w:ascii="宋体" w:hAnsi="宋体" w:cs="宋体"/>
          <w:sz w:val="28"/>
          <w:szCs w:val="28"/>
          <w:lang w:val="en-US" w:eastAsia="zh-CN"/>
        </w:rPr>
        <w:tab/>
      </w:r>
      <w:r>
        <w:rPr>
          <w:rFonts w:hint="default" w:ascii="宋体" w:hAnsi="宋体" w:cs="宋体"/>
          <w:sz w:val="28"/>
          <w:szCs w:val="28"/>
          <w:lang w:val="en-US" w:eastAsia="zh-CN"/>
        </w:rPr>
        <w:t>为满足机房安全性，PDU应应符合GB/T5169.16,满足垂直燃烧V-0 的要求，</w:t>
      </w:r>
    </w:p>
    <w:p w14:paraId="01B8106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招标文件第91页、活动天窗性能：通道上部天窗为活动天窗，开启后悬停位置要求确保冷通道的净高不少于2000mm，开启角度不小于80度，并且可根据要求调节开启角度，同时不影响日常维护工作和维护人员安全。通道系统应兼具功能性、透光性及美观性，固定型天窗和翻转型天窗透光材质应使用钢化玻璃，厚度不小于5mm，天窗玻璃面积占比应保证不小于90%， 请提供天窗实物照片。要求钢化玻璃透光率应不小于89%，。</w:t>
      </w:r>
    </w:p>
    <w:p w14:paraId="5CA1FC7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招标文件第91页、线槽设计可以前后挪动隔板调整位置。采用高强度A级优质碳素冷轧钢板，侧板及托板厚度不小于1.2mm；模块应具备强弱电走线装置，应支持模块化设计、去工程化安装特性，并能以机柜为单位进行扩展，</w:t>
      </w:r>
    </w:p>
    <w:p w14:paraId="019E781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6）招标文件第91页、抗震能力</w:t>
      </w:r>
      <w:r>
        <w:rPr>
          <w:rFonts w:hint="default" w:ascii="宋体" w:hAnsi="宋体" w:cs="宋体"/>
          <w:sz w:val="28"/>
          <w:szCs w:val="28"/>
          <w:lang w:val="en-US" w:eastAsia="zh-CN"/>
        </w:rPr>
        <w:tab/>
      </w:r>
      <w:r>
        <w:rPr>
          <w:rFonts w:hint="default" w:ascii="宋体" w:hAnsi="宋体" w:cs="宋体"/>
          <w:sz w:val="28"/>
          <w:szCs w:val="28"/>
          <w:lang w:val="en-US" w:eastAsia="zh-CN"/>
        </w:rPr>
        <w:t>要求整体模块机房（包含冷通道）通过8、9级烈度结构抗地震考核，满足YD 5083-2005规范要求，</w:t>
      </w:r>
    </w:p>
    <w:p w14:paraId="7B953D0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7）招标文件第91页、节能水平</w:t>
      </w:r>
      <w:r>
        <w:rPr>
          <w:rFonts w:hint="default" w:ascii="宋体" w:hAnsi="宋体" w:cs="宋体"/>
          <w:sz w:val="28"/>
          <w:szCs w:val="28"/>
          <w:lang w:val="en-US" w:eastAsia="zh-CN"/>
        </w:rPr>
        <w:tab/>
      </w:r>
      <w:r>
        <w:rPr>
          <w:rFonts w:hint="default" w:ascii="宋体" w:hAnsi="宋体" w:cs="宋体"/>
          <w:sz w:val="28"/>
          <w:szCs w:val="28"/>
          <w:lang w:val="en-US" w:eastAsia="zh-CN"/>
        </w:rPr>
        <w:t>为客观的反映采购产品实际节能水平，衡量数据中心能效，提供第三方PUE测试证书，测试值为北京区域全年平均PUE，而非基于某个项目、时间点的单点PUE指标，年PUE指标＜1.25。</w:t>
      </w:r>
    </w:p>
    <w:p w14:paraId="29C705A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8）招标文件第91页、CQC认证等级</w:t>
      </w:r>
      <w:r>
        <w:rPr>
          <w:rFonts w:hint="default" w:ascii="宋体" w:hAnsi="宋体" w:cs="宋体"/>
          <w:sz w:val="28"/>
          <w:szCs w:val="28"/>
          <w:lang w:val="en-US" w:eastAsia="zh-CN"/>
        </w:rPr>
        <w:tab/>
      </w:r>
      <w:r>
        <w:rPr>
          <w:rFonts w:hint="default" w:ascii="宋体" w:hAnsi="宋体" w:cs="宋体"/>
          <w:sz w:val="28"/>
          <w:szCs w:val="28"/>
          <w:lang w:val="en-US" w:eastAsia="zh-CN"/>
        </w:rPr>
        <w:t>微模块满足GB/T41783-2022标准中A级认证等级。</w:t>
      </w:r>
    </w:p>
    <w:p w14:paraId="2FA829C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9）招标文件第92页、端门功能可显示时间、通道状态、温湿度、负载率等参数。</w:t>
      </w:r>
    </w:p>
    <w:p w14:paraId="6912D96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10）招标文件第92页、紧急供电</w:t>
      </w:r>
      <w:r>
        <w:rPr>
          <w:rFonts w:hint="default" w:ascii="宋体" w:hAnsi="宋体" w:cs="宋体"/>
          <w:sz w:val="28"/>
          <w:szCs w:val="28"/>
          <w:lang w:val="en-US" w:eastAsia="zh-CN"/>
        </w:rPr>
        <w:tab/>
      </w:r>
      <w:r>
        <w:rPr>
          <w:rFonts w:hint="default" w:ascii="宋体" w:hAnsi="宋体" w:cs="宋体"/>
          <w:sz w:val="28"/>
          <w:szCs w:val="28"/>
          <w:lang w:val="en-US" w:eastAsia="zh-CN"/>
        </w:rPr>
        <w:t>配置备用电池，发生紧急断电情况时可以自动开门，保障通道内部人员安全，高贵美观。</w:t>
      </w:r>
    </w:p>
    <w:p w14:paraId="24DFA75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11）招标文件第92页、门禁系统 微模块通道两端应设置门禁系统，运维人员须通过识别身份方可进入微模块内部进行相应操作。模块级门禁系统由门禁机、门禁控制器、出门按钮、磁力锁、紧急按钮组成。门禁控制一体机含IC卡5张，可通过刷卡、指纹、密码进行身份认证。</w:t>
      </w:r>
    </w:p>
    <w:p w14:paraId="2F993A8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12）招标文件第92页、照明智能化</w:t>
      </w:r>
      <w:r>
        <w:rPr>
          <w:rFonts w:hint="default" w:ascii="宋体" w:hAnsi="宋体" w:cs="宋体"/>
          <w:sz w:val="28"/>
          <w:szCs w:val="28"/>
          <w:lang w:val="en-US" w:eastAsia="zh-CN"/>
        </w:rPr>
        <w:tab/>
      </w:r>
      <w:r>
        <w:rPr>
          <w:rFonts w:hint="default" w:ascii="宋体" w:hAnsi="宋体" w:cs="宋体"/>
          <w:sz w:val="28"/>
          <w:szCs w:val="28"/>
          <w:lang w:val="en-US" w:eastAsia="zh-CN"/>
        </w:rPr>
        <w:t>照明采用控制智能化，人来灯亮，人走灯延时灭，当红外未检测到人员进入时 ，氛围灯按照报警等级控制氛围灯变色。</w:t>
      </w:r>
    </w:p>
    <w:p w14:paraId="776A55E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13）招标文件第94页、触摸屏规格</w:t>
      </w:r>
      <w:r>
        <w:rPr>
          <w:rFonts w:hint="default" w:ascii="宋体" w:hAnsi="宋体" w:cs="宋体"/>
          <w:sz w:val="28"/>
          <w:szCs w:val="28"/>
          <w:lang w:val="en-US" w:eastAsia="zh-CN"/>
        </w:rPr>
        <w:tab/>
      </w:r>
      <w:r>
        <w:rPr>
          <w:rFonts w:hint="default" w:ascii="宋体" w:hAnsi="宋体" w:cs="宋体"/>
          <w:sz w:val="28"/>
          <w:szCs w:val="28"/>
          <w:lang w:val="en-US" w:eastAsia="zh-CN"/>
        </w:rPr>
        <w:t>采用不小于10寸液晶彩色触摸屏，监控板需能够实现可视化界面。</w:t>
      </w:r>
    </w:p>
    <w:p w14:paraId="1BE333A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14）招标文件第94页、安全防护</w:t>
      </w:r>
      <w:r>
        <w:rPr>
          <w:rFonts w:hint="default" w:ascii="宋体" w:hAnsi="宋体" w:cs="宋体"/>
          <w:sz w:val="28"/>
          <w:szCs w:val="28"/>
          <w:lang w:val="en-US" w:eastAsia="zh-CN"/>
        </w:rPr>
        <w:tab/>
      </w:r>
      <w:r>
        <w:rPr>
          <w:rFonts w:hint="default" w:ascii="宋体" w:hAnsi="宋体" w:cs="宋体"/>
          <w:sz w:val="28"/>
          <w:szCs w:val="28"/>
          <w:lang w:val="en-US" w:eastAsia="zh-CN"/>
        </w:rPr>
        <w:t>配电柜后部应有亚克力防护板，并有有电危险标识，防止非专业人员误触造成人员伤亡。</w:t>
      </w:r>
    </w:p>
    <w:p w14:paraId="4E25FD4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15）招标文件第96页、强制性产品认证</w:t>
      </w:r>
      <w:r>
        <w:rPr>
          <w:rFonts w:hint="default" w:ascii="宋体" w:hAnsi="宋体" w:cs="宋体"/>
          <w:sz w:val="28"/>
          <w:szCs w:val="28"/>
          <w:lang w:val="en-US" w:eastAsia="zh-CN"/>
        </w:rPr>
        <w:tab/>
      </w:r>
      <w:r>
        <w:rPr>
          <w:rFonts w:hint="default" w:ascii="宋体" w:hAnsi="宋体" w:cs="宋体"/>
          <w:sz w:val="28"/>
          <w:szCs w:val="28"/>
          <w:lang w:val="en-US" w:eastAsia="zh-CN"/>
        </w:rPr>
        <w:t>配电柜满足国家强制性产品认证，</w:t>
      </w:r>
    </w:p>
    <w:p w14:paraId="59B9983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16）招标文件第96页、通信用配电设备认证满足YD/T 585-2010《通信用配电设备》，</w:t>
      </w:r>
    </w:p>
    <w:p w14:paraId="043D9A5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17）招标文件第97页、压缩机品牌</w:t>
      </w:r>
      <w:r>
        <w:rPr>
          <w:rFonts w:hint="default" w:ascii="宋体" w:hAnsi="宋体" w:cs="宋体"/>
          <w:sz w:val="28"/>
          <w:szCs w:val="28"/>
          <w:lang w:val="en-US" w:eastAsia="zh-CN"/>
        </w:rPr>
        <w:tab/>
      </w:r>
      <w:r>
        <w:rPr>
          <w:rFonts w:hint="default" w:ascii="宋体" w:hAnsi="宋体" w:cs="宋体"/>
          <w:sz w:val="28"/>
          <w:szCs w:val="28"/>
          <w:lang w:val="en-US" w:eastAsia="zh-CN"/>
        </w:rPr>
        <w:t>精密空调室内机采用高效工业用直流变频压缩机，压缩机品牌要求采用三菱、日立、谷轮或同档次及以上产品；</w:t>
      </w:r>
    </w:p>
    <w:p w14:paraId="5B9799D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18）招标文件第97页、风机冗余</w:t>
      </w:r>
      <w:r>
        <w:rPr>
          <w:rFonts w:hint="default" w:ascii="宋体" w:hAnsi="宋体" w:cs="宋体"/>
          <w:sz w:val="28"/>
          <w:szCs w:val="28"/>
          <w:lang w:val="en-US" w:eastAsia="zh-CN"/>
        </w:rPr>
        <w:tab/>
      </w:r>
      <w:r>
        <w:rPr>
          <w:rFonts w:hint="default" w:ascii="宋体" w:hAnsi="宋体" w:cs="宋体"/>
          <w:sz w:val="28"/>
          <w:szCs w:val="28"/>
          <w:lang w:val="en-US" w:eastAsia="zh-CN"/>
        </w:rPr>
        <w:t>空调风机N+1冗余配置， 任意风机故障，仍可确保全风量运行；</w:t>
      </w:r>
    </w:p>
    <w:p w14:paraId="6D263C2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19）招标文件第97页、保护与排水功能</w:t>
      </w:r>
      <w:r>
        <w:rPr>
          <w:rFonts w:hint="default" w:ascii="宋体" w:hAnsi="宋体" w:cs="宋体"/>
          <w:sz w:val="28"/>
          <w:szCs w:val="28"/>
          <w:lang w:val="en-US" w:eastAsia="zh-CN"/>
        </w:rPr>
        <w:tab/>
      </w:r>
      <w:r>
        <w:rPr>
          <w:rFonts w:hint="default" w:ascii="宋体" w:hAnsi="宋体" w:cs="宋体"/>
          <w:sz w:val="28"/>
          <w:szCs w:val="28"/>
          <w:lang w:val="en-US" w:eastAsia="zh-CN"/>
        </w:rPr>
        <w:t>机组标配6KV防雷，防止雷击或电网浪涌对设备造成损坏；标配排水泵，同时支持上排水和自然排水；标配电源检测板，具备过流、过压、欠压、缺相、过热、短路等保护功能；</w:t>
      </w:r>
    </w:p>
    <w:p w14:paraId="2EB0B6E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20）招标文件第97页、CE认证</w:t>
      </w:r>
      <w:r>
        <w:rPr>
          <w:rFonts w:hint="default" w:ascii="宋体" w:hAnsi="宋体" w:cs="宋体"/>
          <w:sz w:val="28"/>
          <w:szCs w:val="28"/>
          <w:lang w:val="en-US" w:eastAsia="zh-CN"/>
        </w:rPr>
        <w:tab/>
      </w:r>
      <w:r>
        <w:rPr>
          <w:rFonts w:hint="default" w:ascii="宋体" w:hAnsi="宋体" w:cs="宋体"/>
          <w:sz w:val="28"/>
          <w:szCs w:val="28"/>
          <w:lang w:val="en-US" w:eastAsia="zh-CN"/>
        </w:rPr>
        <w:t>满足CE认证要求，</w:t>
      </w:r>
    </w:p>
    <w:p w14:paraId="515427B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21）招标文件第97页、空调专业认证</w:t>
      </w:r>
      <w:r>
        <w:rPr>
          <w:rFonts w:hint="default" w:ascii="宋体" w:hAnsi="宋体" w:cs="宋体"/>
          <w:sz w:val="28"/>
          <w:szCs w:val="28"/>
          <w:lang w:val="en-US" w:eastAsia="zh-CN"/>
        </w:rPr>
        <w:tab/>
      </w:r>
      <w:r>
        <w:rPr>
          <w:rFonts w:hint="default" w:ascii="宋体" w:hAnsi="宋体" w:cs="宋体"/>
          <w:sz w:val="28"/>
          <w:szCs w:val="28"/>
          <w:lang w:val="en-US" w:eastAsia="zh-CN"/>
        </w:rPr>
        <w:t>要求空调机组设备符合GB19413相关标准，经中国制冷空调设备产业联盟、中国制冷空调工业协会、中国冷冻空调设备标准化技术委员会联合确认的中国机房空调专业认证，</w:t>
      </w:r>
    </w:p>
    <w:p w14:paraId="12D0CFF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22）招标文件第98页、全年能效比</w:t>
      </w:r>
      <w:r>
        <w:rPr>
          <w:rFonts w:hint="default" w:ascii="宋体" w:hAnsi="宋体" w:cs="宋体"/>
          <w:sz w:val="28"/>
          <w:szCs w:val="28"/>
          <w:lang w:val="en-US" w:eastAsia="zh-CN"/>
        </w:rPr>
        <w:tab/>
      </w:r>
      <w:r>
        <w:rPr>
          <w:rFonts w:hint="default" w:ascii="宋体" w:hAnsi="宋体" w:cs="宋体"/>
          <w:sz w:val="28"/>
          <w:szCs w:val="28"/>
          <w:lang w:val="en-US" w:eastAsia="zh-CN"/>
        </w:rPr>
        <w:t>为了相应国家节能节耗政策，要求空调全年能效比应不小于4.1，</w:t>
      </w:r>
    </w:p>
    <w:p w14:paraId="6DC9DAE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23）招标文件第98页、基本性能</w:t>
      </w:r>
      <w:r>
        <w:rPr>
          <w:rFonts w:hint="default" w:ascii="宋体" w:hAnsi="宋体" w:cs="宋体"/>
          <w:sz w:val="28"/>
          <w:szCs w:val="28"/>
          <w:lang w:val="en-US" w:eastAsia="zh-CN"/>
        </w:rPr>
        <w:tab/>
      </w:r>
      <w:r>
        <w:rPr>
          <w:rFonts w:hint="default" w:ascii="宋体" w:hAnsi="宋体" w:cs="宋体"/>
          <w:sz w:val="28"/>
          <w:szCs w:val="28"/>
          <w:lang w:val="en-US" w:eastAsia="zh-CN"/>
        </w:rPr>
        <w:t>1.制冷量不小于12.5KW，风量不小于3200m3/h、显冷量不小于11.4KW、上送风正面回风，</w:t>
      </w:r>
    </w:p>
    <w:p w14:paraId="0455E69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24）招标文件第98页、加热加湿</w:t>
      </w:r>
      <w:r>
        <w:rPr>
          <w:rFonts w:hint="default" w:ascii="宋体" w:hAnsi="宋体" w:cs="宋体"/>
          <w:sz w:val="28"/>
          <w:szCs w:val="28"/>
          <w:lang w:val="en-US" w:eastAsia="zh-CN"/>
        </w:rPr>
        <w:tab/>
      </w:r>
      <w:r>
        <w:rPr>
          <w:rFonts w:hint="default" w:ascii="宋体" w:hAnsi="宋体" w:cs="宋体"/>
          <w:sz w:val="28"/>
          <w:szCs w:val="28"/>
          <w:lang w:val="en-US" w:eastAsia="zh-CN"/>
        </w:rPr>
        <w:t>2. 机组标配PTC电加热，加热量≥4kW,标配电极式加湿；</w:t>
      </w:r>
    </w:p>
    <w:p w14:paraId="7564567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25）招标文件第98页、防雷设计</w:t>
      </w:r>
      <w:r>
        <w:rPr>
          <w:rFonts w:hint="default" w:ascii="宋体" w:hAnsi="宋体" w:cs="宋体"/>
          <w:sz w:val="28"/>
          <w:szCs w:val="28"/>
          <w:lang w:val="en-US" w:eastAsia="zh-CN"/>
        </w:rPr>
        <w:tab/>
      </w:r>
      <w:r>
        <w:rPr>
          <w:rFonts w:hint="default" w:ascii="宋体" w:hAnsi="宋体" w:cs="宋体"/>
          <w:sz w:val="28"/>
          <w:szCs w:val="28"/>
          <w:lang w:val="en-US" w:eastAsia="zh-CN"/>
        </w:rPr>
        <w:t>4. 机组标配防雷设计，具备不低于6kV 防雷滤波，有效保证机组的运行安全性；</w:t>
      </w:r>
    </w:p>
    <w:p w14:paraId="4553713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26）招标文件第98页、CE认证</w:t>
      </w:r>
      <w:r>
        <w:rPr>
          <w:rFonts w:hint="default" w:ascii="宋体" w:hAnsi="宋体" w:cs="宋体"/>
          <w:sz w:val="28"/>
          <w:szCs w:val="28"/>
          <w:lang w:val="en-US" w:eastAsia="zh-CN"/>
        </w:rPr>
        <w:tab/>
      </w:r>
      <w:r>
        <w:rPr>
          <w:rFonts w:hint="default" w:ascii="宋体" w:hAnsi="宋体" w:cs="宋体"/>
          <w:sz w:val="28"/>
          <w:szCs w:val="28"/>
          <w:lang w:val="en-US" w:eastAsia="zh-CN"/>
        </w:rPr>
        <w:t>7、具有CE认证证书，</w:t>
      </w:r>
    </w:p>
    <w:p w14:paraId="49618F1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27）招标文件第98页、空调专业认证</w:t>
      </w:r>
      <w:r>
        <w:rPr>
          <w:rFonts w:hint="default" w:ascii="宋体" w:hAnsi="宋体" w:cs="宋体"/>
          <w:sz w:val="28"/>
          <w:szCs w:val="28"/>
          <w:lang w:val="en-US" w:eastAsia="zh-CN"/>
        </w:rPr>
        <w:tab/>
      </w:r>
      <w:r>
        <w:rPr>
          <w:rFonts w:hint="default" w:ascii="宋体" w:hAnsi="宋体" w:cs="宋体"/>
          <w:sz w:val="28"/>
          <w:szCs w:val="28"/>
          <w:lang w:val="en-US" w:eastAsia="zh-CN"/>
        </w:rPr>
        <w:t>8.要求空调机组设备符合GB19413相关标准，经中国制冷空调设备产业联盟、中国制冷空调工业协会、中国冷冻空调设备标准化技术委员会联合确认的中国机房空调专业认证，</w:t>
      </w:r>
    </w:p>
    <w:p w14:paraId="3ADE197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28）招标文件第98页、节能认证</w:t>
      </w:r>
      <w:r>
        <w:rPr>
          <w:rFonts w:hint="default" w:ascii="宋体" w:hAnsi="宋体" w:cs="宋体"/>
          <w:sz w:val="28"/>
          <w:szCs w:val="28"/>
          <w:lang w:val="en-US" w:eastAsia="zh-CN"/>
        </w:rPr>
        <w:tab/>
      </w:r>
      <w:r>
        <w:rPr>
          <w:rFonts w:hint="default" w:ascii="宋体" w:hAnsi="宋体" w:cs="宋体"/>
          <w:sz w:val="28"/>
          <w:szCs w:val="28"/>
          <w:lang w:val="en-US" w:eastAsia="zh-CN"/>
        </w:rPr>
        <w:t>9.空调应满足《单元式空气调节机能效限定值及能效等级》，</w:t>
      </w:r>
    </w:p>
    <w:p w14:paraId="6A3313D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29）招标文件第99页、强制性产品认证</w:t>
      </w:r>
      <w:r>
        <w:rPr>
          <w:rFonts w:hint="default" w:ascii="宋体" w:hAnsi="宋体" w:cs="宋体"/>
          <w:sz w:val="28"/>
          <w:szCs w:val="28"/>
          <w:lang w:val="en-US" w:eastAsia="zh-CN"/>
        </w:rPr>
        <w:tab/>
      </w:r>
      <w:r>
        <w:rPr>
          <w:rFonts w:hint="default" w:ascii="宋体" w:hAnsi="宋体" w:cs="宋体"/>
          <w:sz w:val="28"/>
          <w:szCs w:val="28"/>
          <w:lang w:val="en-US" w:eastAsia="zh-CN"/>
        </w:rPr>
        <w:t>10.空调满足国家强制性产品认证，</w:t>
      </w:r>
    </w:p>
    <w:p w14:paraId="54D82DC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30）招标文件第99页、硬件配置</w:t>
      </w:r>
      <w:r>
        <w:rPr>
          <w:rFonts w:hint="default" w:ascii="宋体" w:hAnsi="宋体" w:cs="宋体"/>
          <w:sz w:val="28"/>
          <w:szCs w:val="28"/>
          <w:lang w:val="en-US" w:eastAsia="zh-CN"/>
        </w:rPr>
        <w:tab/>
      </w:r>
      <w:r>
        <w:rPr>
          <w:rFonts w:hint="default" w:ascii="宋体" w:hAnsi="宋体" w:cs="宋体"/>
          <w:sz w:val="28"/>
          <w:szCs w:val="28"/>
          <w:lang w:val="en-US" w:eastAsia="zh-CN"/>
        </w:rPr>
        <w:t>采集单元应具备采集、数据处理、分析、告警上传、存储等功能，采用ARM架构。不低于2G内存，采用Linux操作系统平台，数据库支持SQL、Mysql等主流数据库；</w:t>
      </w:r>
    </w:p>
    <w:p w14:paraId="7236812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31）招标文件第99页、接口配置</w:t>
      </w:r>
      <w:r>
        <w:rPr>
          <w:rFonts w:hint="default" w:ascii="宋体" w:hAnsi="宋体" w:cs="宋体"/>
          <w:sz w:val="28"/>
          <w:szCs w:val="28"/>
          <w:lang w:val="en-US" w:eastAsia="zh-CN"/>
        </w:rPr>
        <w:tab/>
      </w:r>
      <w:r>
        <w:rPr>
          <w:rFonts w:hint="default" w:ascii="宋体" w:hAnsi="宋体" w:cs="宋体"/>
          <w:sz w:val="28"/>
          <w:szCs w:val="28"/>
          <w:lang w:val="en-US" w:eastAsia="zh-CN"/>
        </w:rPr>
        <w:t>具备至少16 路RS485/RS232光隔离接口、至少12路DI、4路DO，端口具备12V/500mA供电能力。</w:t>
      </w:r>
    </w:p>
    <w:p w14:paraId="4B96F5A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32）招标文件第100页、软件著作权</w:t>
      </w:r>
      <w:r>
        <w:rPr>
          <w:rFonts w:hint="default" w:ascii="宋体" w:hAnsi="宋体" w:cs="宋体"/>
          <w:sz w:val="28"/>
          <w:szCs w:val="28"/>
          <w:lang w:val="en-US" w:eastAsia="zh-CN"/>
        </w:rPr>
        <w:tab/>
      </w:r>
      <w:r>
        <w:rPr>
          <w:rFonts w:hint="default" w:ascii="宋体" w:hAnsi="宋体" w:cs="宋体"/>
          <w:sz w:val="28"/>
          <w:szCs w:val="28"/>
          <w:lang w:val="en-US" w:eastAsia="zh-CN"/>
        </w:rPr>
        <w:t>动环主机软件通过具有国家版权局颁发的《计算机软件著作权登记证书》；</w:t>
      </w:r>
    </w:p>
    <w:p w14:paraId="1899672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33）招标文件第100页、环境适应性</w:t>
      </w:r>
      <w:r>
        <w:rPr>
          <w:rFonts w:hint="default" w:ascii="宋体" w:hAnsi="宋体" w:cs="宋体"/>
          <w:sz w:val="28"/>
          <w:szCs w:val="28"/>
          <w:lang w:val="en-US" w:eastAsia="zh-CN"/>
        </w:rPr>
        <w:tab/>
      </w:r>
      <w:r>
        <w:rPr>
          <w:rFonts w:hint="default" w:ascii="宋体" w:hAnsi="宋体" w:cs="宋体"/>
          <w:sz w:val="28"/>
          <w:szCs w:val="28"/>
          <w:lang w:val="en-US" w:eastAsia="zh-CN"/>
        </w:rPr>
        <w:t>动环主机满足GB/T2 423.1-2008《电工电子产品环境试验》规定的低温试验和高温试验</w:t>
      </w:r>
    </w:p>
    <w:p w14:paraId="7C2DC07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34）招标文件第100页、CE认证</w:t>
      </w:r>
      <w:r>
        <w:rPr>
          <w:rFonts w:hint="default" w:ascii="宋体" w:hAnsi="宋体" w:cs="宋体"/>
          <w:sz w:val="28"/>
          <w:szCs w:val="28"/>
          <w:lang w:val="en-US" w:eastAsia="zh-CN"/>
        </w:rPr>
        <w:tab/>
      </w:r>
      <w:r>
        <w:rPr>
          <w:rFonts w:hint="default" w:ascii="宋体" w:hAnsi="宋体" w:cs="宋体"/>
          <w:sz w:val="28"/>
          <w:szCs w:val="28"/>
          <w:lang w:val="en-US" w:eastAsia="zh-CN"/>
        </w:rPr>
        <w:t>动环主机具有CE认证证书，</w:t>
      </w:r>
    </w:p>
    <w:p w14:paraId="62D00F9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35）招标文件第100页、测湿范围及精度</w:t>
      </w:r>
      <w:r>
        <w:rPr>
          <w:rFonts w:hint="default" w:ascii="宋体" w:hAnsi="宋体" w:cs="宋体"/>
          <w:sz w:val="28"/>
          <w:szCs w:val="28"/>
          <w:lang w:val="en-US" w:eastAsia="zh-CN"/>
        </w:rPr>
        <w:tab/>
      </w:r>
      <w:r>
        <w:rPr>
          <w:rFonts w:hint="default" w:ascii="宋体" w:hAnsi="宋体" w:cs="宋体"/>
          <w:sz w:val="28"/>
          <w:szCs w:val="28"/>
          <w:lang w:val="en-US" w:eastAsia="zh-CN"/>
        </w:rPr>
        <w:t>0～100％RH、±3%RH（25℃时）</w:t>
      </w:r>
    </w:p>
    <w:p w14:paraId="3E8F7AF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36）招标文件第100页、探测距离</w:t>
      </w:r>
      <w:r>
        <w:rPr>
          <w:rFonts w:hint="default" w:ascii="宋体" w:hAnsi="宋体" w:cs="宋体"/>
          <w:sz w:val="28"/>
          <w:szCs w:val="28"/>
          <w:lang w:val="en-US" w:eastAsia="zh-CN"/>
        </w:rPr>
        <w:tab/>
      </w:r>
      <w:r>
        <w:rPr>
          <w:rFonts w:hint="default" w:ascii="宋体" w:hAnsi="宋体" w:cs="宋体"/>
          <w:sz w:val="28"/>
          <w:szCs w:val="28"/>
          <w:lang w:val="en-US" w:eastAsia="zh-CN"/>
        </w:rPr>
        <w:t>安装高度2.5米时8米/安装高度3.6米时12米 ，3米时6米</w:t>
      </w:r>
    </w:p>
    <w:p w14:paraId="7ED9BC6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37）招标文件第101页、供电电源</w:t>
      </w:r>
      <w:r>
        <w:rPr>
          <w:rFonts w:hint="default" w:ascii="宋体" w:hAnsi="宋体" w:cs="宋体"/>
          <w:sz w:val="28"/>
          <w:szCs w:val="28"/>
          <w:lang w:val="en-US" w:eastAsia="zh-CN"/>
        </w:rPr>
        <w:tab/>
      </w:r>
      <w:r>
        <w:rPr>
          <w:rFonts w:hint="default" w:ascii="宋体" w:hAnsi="宋体" w:cs="宋体"/>
          <w:sz w:val="28"/>
          <w:szCs w:val="28"/>
          <w:lang w:val="en-US" w:eastAsia="zh-CN"/>
        </w:rPr>
        <w:t>12-60VDC；</w:t>
      </w:r>
    </w:p>
    <w:p w14:paraId="286A08A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38）招标文件第107页、账号与密码策略</w:t>
      </w:r>
      <w:r>
        <w:rPr>
          <w:rFonts w:hint="default" w:ascii="宋体" w:hAnsi="宋体" w:cs="宋体"/>
          <w:sz w:val="28"/>
          <w:szCs w:val="28"/>
          <w:lang w:val="en-US" w:eastAsia="zh-CN"/>
        </w:rPr>
        <w:tab/>
      </w:r>
      <w:r>
        <w:rPr>
          <w:rFonts w:hint="default" w:ascii="宋体" w:hAnsi="宋体" w:cs="宋体"/>
          <w:sz w:val="28"/>
          <w:szCs w:val="28"/>
          <w:lang w:val="en-US" w:eastAsia="zh-CN"/>
        </w:rPr>
        <w:t>要求系统提供账号安全策略（连续密码错误次数、账号验证错误锁定时长）和密码安全策略（密码有效天数、密码到期提醒天数），可启用停用密码安全策略。</w:t>
      </w:r>
    </w:p>
    <w:p w14:paraId="0A80817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39）招标文件第107页、系统自监控</w:t>
      </w:r>
      <w:r>
        <w:rPr>
          <w:rFonts w:hint="default" w:ascii="宋体" w:hAnsi="宋体" w:cs="宋体"/>
          <w:sz w:val="28"/>
          <w:szCs w:val="28"/>
          <w:lang w:val="en-US" w:eastAsia="zh-CN"/>
        </w:rPr>
        <w:tab/>
      </w:r>
      <w:r>
        <w:rPr>
          <w:rFonts w:hint="default" w:ascii="宋体" w:hAnsi="宋体" w:cs="宋体"/>
          <w:sz w:val="28"/>
          <w:szCs w:val="28"/>
          <w:lang w:val="en-US" w:eastAsia="zh-CN"/>
        </w:rPr>
        <w:t>要求系统提供自监控功能，须支持监控系统CPU占有率、内存占有率和磁盘占有率的监控，可设置上述指标阈值，当超过阈值时以告警的方式提醒运维人员，以保证监控系统稳定运行。</w:t>
      </w:r>
    </w:p>
    <w:p w14:paraId="37DAF8BD">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变更为：</w:t>
      </w:r>
    </w:p>
    <w:p w14:paraId="734212A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1）原：前门单开网孔门开孔区面积比≥80％。网孔开孔率≥73％，后门双开，后门开孔区面积比≥70％，网孔开孔率≥74％，提供第三方泰尔认证测试报告</w:t>
      </w:r>
    </w:p>
    <w:p w14:paraId="4F2B196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更改为：#机柜门开启角不小于135°，具备第三方权威机构检测报告，柜体、通道、配电系统、制冷系统、动环监控系统统一品牌</w:t>
      </w:r>
    </w:p>
    <w:p w14:paraId="48DAF60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2）删除此项。</w:t>
      </w:r>
    </w:p>
    <w:p w14:paraId="790651F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3）增加：并提供第三方阻燃测试报告。增加#标注。</w:t>
      </w:r>
    </w:p>
    <w:p w14:paraId="0493CD0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4）删除天窗玻璃面积占比应保证不小于90%</w:t>
      </w:r>
    </w:p>
    <w:p w14:paraId="241CE37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5）删除线槽设计可以前后挪动隔板调整位置。</w:t>
      </w:r>
    </w:p>
    <w:p w14:paraId="60752B8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6）质疑事项7、6）、招标文件第91页、原：要求整体模块机房（包含冷通道）通过8、9级烈度结构抗地震考核。</w:t>
      </w:r>
    </w:p>
    <w:p w14:paraId="1E564F9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更改为要求整体模块机房（包含冷通道）通过8级烈度结构抗地震考核。</w:t>
      </w:r>
    </w:p>
    <w:p w14:paraId="0148B90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7）删除此项。</w:t>
      </w:r>
    </w:p>
    <w:p w14:paraId="4FD4902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8）删除此项。</w:t>
      </w:r>
    </w:p>
    <w:p w14:paraId="70DB81D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9）原：端门功能可显示时间、通道状态、温湿度、负载率等参数。</w:t>
      </w:r>
    </w:p>
    <w:p w14:paraId="68D6984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更改为：通道移门须配有红外防夹装置，保证人员出入安全性</w:t>
      </w:r>
    </w:p>
    <w:p w14:paraId="274E3A4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10）删除此项。</w:t>
      </w:r>
    </w:p>
    <w:p w14:paraId="181D6B6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11）原：门禁系统 微模块通道两端应设置门禁系统，运维人员须通过识别身份方可进入微模块内部进行相应操作。模块级门禁系统由门禁机、门禁控制器、出门按钮、磁力锁、紧急按钮组成。门禁控制一体机含IC卡5张，可通过刷卡、指纹、密码进行身份认证。</w:t>
      </w:r>
    </w:p>
    <w:p w14:paraId="46DCB37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微模块通道两端应设置门禁系统，运维人员须通过识别身份方可进入微模块内部进行相应操作。要求开门支持指纹识别+密码+刷卡，门禁控制器同时支持TCP/IP、232/RS485通讯接口。用户数量≥5000、指纹容量≥3000枚、刷卡事件 ≥100000、门时区 每个门可有8个开放时间、卡时区 8个开放时间/门、鉴别方式 卡，卡+密码，单密码，双卡，首卡开门、双向检测 支持、脱机运行支持、节假日 支持读卡头通讯方式 RS485 26bits。IC卡≥5张。</w:t>
      </w:r>
    </w:p>
    <w:p w14:paraId="3838729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 xml:space="preserve">12）原：当红外未检测到人员进入时 </w:t>
      </w:r>
    </w:p>
    <w:p w14:paraId="1237F86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更改为：红外未检测或通过摄像机检测人员进入时</w:t>
      </w:r>
    </w:p>
    <w:p w14:paraId="205EDA2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13）原：不小于10寸液晶彩色触摸屏</w:t>
      </w:r>
    </w:p>
    <w:p w14:paraId="211156B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更改为：≥7吋晶彩色触摸屏</w:t>
      </w:r>
    </w:p>
    <w:p w14:paraId="38A2C6C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14）原：亚克力防护板</w:t>
      </w:r>
    </w:p>
    <w:p w14:paraId="6835EFF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更改为：防导电材料安装的防护板</w:t>
      </w:r>
    </w:p>
    <w:p w14:paraId="5C3B56B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15）删除此项。</w:t>
      </w:r>
    </w:p>
    <w:p w14:paraId="221160D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16）删除此项。</w:t>
      </w:r>
    </w:p>
    <w:p w14:paraId="24FD630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17）原：三菱、日立、谷轮或同档次及以上产品</w:t>
      </w:r>
    </w:p>
    <w:p w14:paraId="41AC54C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更改为：行业内主流水平直流变频压缩机</w:t>
      </w:r>
    </w:p>
    <w:p w14:paraId="6D14036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18）删除空调风机N+1冗余配置。</w:t>
      </w:r>
    </w:p>
    <w:p w14:paraId="785DF26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19）原：机组标配6KV防雷</w:t>
      </w:r>
    </w:p>
    <w:p w14:paraId="0E2F265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更改为：为C级及以上防雷</w:t>
      </w:r>
    </w:p>
    <w:p w14:paraId="1A6EBB6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20）删除此项。</w:t>
      </w:r>
    </w:p>
    <w:p w14:paraId="0B9D49E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21）删除此项。</w:t>
      </w:r>
    </w:p>
    <w:p w14:paraId="2A93891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22）原：要求空调全年能效比应不小于4.1</w:t>
      </w:r>
    </w:p>
    <w:p w14:paraId="203BF82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更改为：要求空调全年能效比应不小于4.0</w:t>
      </w:r>
    </w:p>
    <w:p w14:paraId="6C1AE12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23）原：显冷量不小于11.4KW</w:t>
      </w:r>
    </w:p>
    <w:p w14:paraId="3BA2D9F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更改为：显冷量不小于11.3KW</w:t>
      </w:r>
    </w:p>
    <w:p w14:paraId="18D0FD5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24）原：加热量≥4kW</w:t>
      </w:r>
    </w:p>
    <w:p w14:paraId="0955138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更改为：加热量≥3kW</w:t>
      </w:r>
    </w:p>
    <w:p w14:paraId="539594A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25）原：具备不低于6kV 防雷滤波</w:t>
      </w:r>
    </w:p>
    <w:p w14:paraId="7C4338C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更改为：为C级及以上防雷滤波</w:t>
      </w:r>
    </w:p>
    <w:p w14:paraId="6473F58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26）删除此项。</w:t>
      </w:r>
    </w:p>
    <w:p w14:paraId="4AA7A16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27）删除此项。</w:t>
      </w:r>
    </w:p>
    <w:p w14:paraId="28AC573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28）删除此项。</w:t>
      </w:r>
    </w:p>
    <w:p w14:paraId="2CB8FE9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29）删除此项。</w:t>
      </w:r>
    </w:p>
    <w:p w14:paraId="2D3F305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30）原：不低于2G内</w:t>
      </w:r>
    </w:p>
    <w:p w14:paraId="1C9E61B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存更改为：不低于1G内存</w:t>
      </w:r>
    </w:p>
    <w:p w14:paraId="10357CE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31）原：具备至少16 路RS485/RS232光隔离接口</w:t>
      </w:r>
    </w:p>
    <w:p w14:paraId="3557275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更改为具备至少10 路RS485/RS232光隔离接口。</w:t>
      </w:r>
    </w:p>
    <w:p w14:paraId="6AA478C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32）删除此项。</w:t>
      </w:r>
    </w:p>
    <w:p w14:paraId="64B3DA3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33）删除此项。</w:t>
      </w:r>
    </w:p>
    <w:p w14:paraId="597D0DE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34）删除此项。</w:t>
      </w:r>
    </w:p>
    <w:p w14:paraId="38DA5E1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35）原：±3%RH（25℃时）</w:t>
      </w:r>
    </w:p>
    <w:p w14:paraId="6566CE1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更改为：±4.5%RH。</w:t>
      </w:r>
    </w:p>
    <w:p w14:paraId="0D6DD8C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 xml:space="preserve">36）原：安装高度3.6米时12米 </w:t>
      </w:r>
    </w:p>
    <w:p w14:paraId="08F712B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更改为：安装高度3米时6米。</w:t>
      </w:r>
    </w:p>
    <w:p w14:paraId="1313093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37）原：供电电源12-60VDC</w:t>
      </w:r>
    </w:p>
    <w:p w14:paraId="052D67A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更改为：DC9-30V。</w:t>
      </w:r>
    </w:p>
    <w:p w14:paraId="2E95840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38）删除此项。</w:t>
      </w:r>
    </w:p>
    <w:p w14:paraId="25A6813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39）删除当超过阈值时以告警的方式提醒运维人员，以保证监控系统稳定运行。</w:t>
      </w:r>
    </w:p>
    <w:p w14:paraId="0347C37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6、原招标文件内：</w:t>
      </w:r>
    </w:p>
    <w:p w14:paraId="3414524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1）招标文件第109页、门板开孔率 门和侧板为可拆卸结构，门的开合转动灵活、锁定可靠、施工安装和维护方便。前门单开网孔门开孔区面积比≥80％。网孔开孔率≥73％，后门双开，后门开孔区面积比≥70％，网孔开孔率≥74％，提供第三方泰尔认证测试报告。</w:t>
      </w:r>
    </w:p>
    <w:p w14:paraId="4CA8892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2）招标文件第110页、强制性产品认证</w:t>
      </w:r>
      <w:r>
        <w:rPr>
          <w:rFonts w:hint="default" w:ascii="宋体" w:hAnsi="宋体" w:cs="宋体"/>
          <w:sz w:val="28"/>
          <w:szCs w:val="28"/>
          <w:lang w:val="en-US" w:eastAsia="zh-CN"/>
        </w:rPr>
        <w:tab/>
      </w:r>
      <w:r>
        <w:rPr>
          <w:rFonts w:hint="default" w:ascii="宋体" w:hAnsi="宋体" w:cs="宋体"/>
          <w:sz w:val="28"/>
          <w:szCs w:val="28"/>
          <w:lang w:val="en-US" w:eastAsia="zh-CN"/>
        </w:rPr>
        <w:t>PDU应满足国家强制性产品认证，提供CCC证书</w:t>
      </w:r>
    </w:p>
    <w:p w14:paraId="4455CC9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3）招标文件第110页、阻燃要求</w:t>
      </w:r>
      <w:r>
        <w:rPr>
          <w:rFonts w:hint="default" w:ascii="宋体" w:hAnsi="宋体" w:cs="宋体"/>
          <w:sz w:val="28"/>
          <w:szCs w:val="28"/>
          <w:lang w:val="en-US" w:eastAsia="zh-CN"/>
        </w:rPr>
        <w:tab/>
      </w:r>
      <w:r>
        <w:rPr>
          <w:rFonts w:hint="default" w:ascii="宋体" w:hAnsi="宋体" w:cs="宋体"/>
          <w:sz w:val="28"/>
          <w:szCs w:val="28"/>
          <w:lang w:val="en-US" w:eastAsia="zh-CN"/>
        </w:rPr>
        <w:t>为满足机房安全性，PDU应应符合GB/T5169.16,满足垂直燃烧V-0 的要求，</w:t>
      </w:r>
    </w:p>
    <w:p w14:paraId="15C62F3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4）招标文件第111页、端门功能可显示时间、通道状态、温湿度、负载率等参数。</w:t>
      </w:r>
    </w:p>
    <w:p w14:paraId="71B7ABE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5）招标文件第111页、门禁系统</w:t>
      </w:r>
      <w:r>
        <w:rPr>
          <w:rFonts w:hint="default" w:ascii="宋体" w:hAnsi="宋体" w:cs="宋体"/>
          <w:sz w:val="28"/>
          <w:szCs w:val="28"/>
          <w:lang w:val="en-US" w:eastAsia="zh-CN"/>
        </w:rPr>
        <w:tab/>
      </w:r>
      <w:r>
        <w:rPr>
          <w:rFonts w:hint="default" w:ascii="宋体" w:hAnsi="宋体" w:cs="宋体"/>
          <w:sz w:val="28"/>
          <w:szCs w:val="28"/>
          <w:lang w:val="en-US" w:eastAsia="zh-CN"/>
        </w:rPr>
        <w:t>微模块通道两端应设置门禁系统，运维人员须通过识别身份方可进入微模块内部进行相应操作。模块级门禁系统由门禁机、门禁控制器、出门按钮、磁力锁、紧急按钮组成。门禁控制一体机含IC卡5张，可通过刷卡、指纹、密码进行身份认证。</w:t>
      </w:r>
    </w:p>
    <w:p w14:paraId="4706867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6）招标文件第115页，强制性产品认证</w:t>
      </w:r>
      <w:r>
        <w:rPr>
          <w:rFonts w:hint="default" w:ascii="宋体" w:hAnsi="宋体" w:cs="宋体"/>
          <w:sz w:val="28"/>
          <w:szCs w:val="28"/>
          <w:lang w:val="en-US" w:eastAsia="zh-CN"/>
        </w:rPr>
        <w:tab/>
      </w:r>
      <w:r>
        <w:rPr>
          <w:rFonts w:hint="default" w:ascii="宋体" w:hAnsi="宋体" w:cs="宋体"/>
          <w:sz w:val="28"/>
          <w:szCs w:val="28"/>
          <w:lang w:val="en-US" w:eastAsia="zh-CN"/>
        </w:rPr>
        <w:t>配电柜满足国家强制性产品认证，</w:t>
      </w:r>
    </w:p>
    <w:p w14:paraId="36B9474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7）招标文件第115页，通信用配电设备认证</w:t>
      </w:r>
      <w:r>
        <w:rPr>
          <w:rFonts w:hint="default" w:ascii="宋体" w:hAnsi="宋体" w:cs="宋体"/>
          <w:sz w:val="28"/>
          <w:szCs w:val="28"/>
          <w:lang w:val="en-US" w:eastAsia="zh-CN"/>
        </w:rPr>
        <w:tab/>
      </w:r>
      <w:r>
        <w:rPr>
          <w:rFonts w:hint="default" w:ascii="宋体" w:hAnsi="宋体" w:cs="宋体"/>
          <w:sz w:val="28"/>
          <w:szCs w:val="28"/>
          <w:lang w:val="en-US" w:eastAsia="zh-CN"/>
        </w:rPr>
        <w:t>满足YD/T 585-2010《通信用配电设备》，</w:t>
      </w:r>
    </w:p>
    <w:p w14:paraId="199665E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8）招标文件第115页，压缩机品牌</w:t>
      </w:r>
      <w:r>
        <w:rPr>
          <w:rFonts w:hint="default" w:ascii="宋体" w:hAnsi="宋体" w:cs="宋体"/>
          <w:sz w:val="28"/>
          <w:szCs w:val="28"/>
          <w:lang w:val="en-US" w:eastAsia="zh-CN"/>
        </w:rPr>
        <w:tab/>
      </w:r>
      <w:r>
        <w:rPr>
          <w:rFonts w:hint="default" w:ascii="宋体" w:hAnsi="宋体" w:cs="宋体"/>
          <w:sz w:val="28"/>
          <w:szCs w:val="28"/>
          <w:lang w:val="en-US" w:eastAsia="zh-CN"/>
        </w:rPr>
        <w:t>精密空调室内机采用高效工业用直流变频压缩机，压缩机品牌要求采用三菱、日立、谷轮或同档次及以上产品；</w:t>
      </w:r>
    </w:p>
    <w:p w14:paraId="544DEB6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9）招标文件第115页，风机冗余</w:t>
      </w:r>
      <w:r>
        <w:rPr>
          <w:rFonts w:hint="default" w:ascii="宋体" w:hAnsi="宋体" w:cs="宋体"/>
          <w:sz w:val="28"/>
          <w:szCs w:val="28"/>
          <w:lang w:val="en-US" w:eastAsia="zh-CN"/>
        </w:rPr>
        <w:tab/>
      </w:r>
      <w:r>
        <w:rPr>
          <w:rFonts w:hint="default" w:ascii="宋体" w:hAnsi="宋体" w:cs="宋体"/>
          <w:sz w:val="28"/>
          <w:szCs w:val="28"/>
          <w:lang w:val="en-US" w:eastAsia="zh-CN"/>
        </w:rPr>
        <w:t>空调风机N+1冗余配置，任意风机故障，仍可确保全风量运行；</w:t>
      </w:r>
    </w:p>
    <w:p w14:paraId="08DE857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10）招标文件第116页，空调专业认证</w:t>
      </w:r>
      <w:r>
        <w:rPr>
          <w:rFonts w:hint="default" w:ascii="宋体" w:hAnsi="宋体" w:cs="宋体"/>
          <w:sz w:val="28"/>
          <w:szCs w:val="28"/>
          <w:lang w:val="en-US" w:eastAsia="zh-CN"/>
        </w:rPr>
        <w:tab/>
      </w:r>
      <w:r>
        <w:rPr>
          <w:rFonts w:hint="default" w:ascii="宋体" w:hAnsi="宋体" w:cs="宋体"/>
          <w:sz w:val="28"/>
          <w:szCs w:val="28"/>
          <w:lang w:val="en-US" w:eastAsia="zh-CN"/>
        </w:rPr>
        <w:t>要求空调机组设备符合GB19413相关标准，经中国制冷空调设备产业联盟、中国制冷空调工业协会、中国冷冻空调设备标准化技术委员会联合确认的中国机房空调专业认证，</w:t>
      </w:r>
    </w:p>
    <w:p w14:paraId="03230C5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11）招标文件第116页，CE认证</w:t>
      </w:r>
      <w:r>
        <w:rPr>
          <w:rFonts w:hint="default" w:ascii="宋体" w:hAnsi="宋体" w:cs="宋体"/>
          <w:sz w:val="28"/>
          <w:szCs w:val="28"/>
          <w:lang w:val="en-US" w:eastAsia="zh-CN"/>
        </w:rPr>
        <w:tab/>
      </w:r>
      <w:r>
        <w:rPr>
          <w:rFonts w:hint="default" w:ascii="宋体" w:hAnsi="宋体" w:cs="宋体"/>
          <w:sz w:val="28"/>
          <w:szCs w:val="28"/>
          <w:lang w:val="en-US" w:eastAsia="zh-CN"/>
        </w:rPr>
        <w:t>满足CE认证要求，</w:t>
      </w:r>
    </w:p>
    <w:p w14:paraId="69330C3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12）招标文件第116页，全年能效比</w:t>
      </w:r>
      <w:r>
        <w:rPr>
          <w:rFonts w:hint="default" w:ascii="宋体" w:hAnsi="宋体" w:cs="宋体"/>
          <w:sz w:val="28"/>
          <w:szCs w:val="28"/>
          <w:lang w:val="en-US" w:eastAsia="zh-CN"/>
        </w:rPr>
        <w:tab/>
      </w:r>
      <w:r>
        <w:rPr>
          <w:rFonts w:hint="default" w:ascii="宋体" w:hAnsi="宋体" w:cs="宋体"/>
          <w:sz w:val="28"/>
          <w:szCs w:val="28"/>
          <w:lang w:val="en-US" w:eastAsia="zh-CN"/>
        </w:rPr>
        <w:t>为了相应国家节能节耗政策，要求空调全年能效比应不小于4.1，</w:t>
      </w:r>
    </w:p>
    <w:p w14:paraId="6AA892F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13）招标文件第116页，硬件配置</w:t>
      </w:r>
      <w:r>
        <w:rPr>
          <w:rFonts w:hint="default" w:ascii="宋体" w:hAnsi="宋体" w:cs="宋体"/>
          <w:sz w:val="28"/>
          <w:szCs w:val="28"/>
          <w:lang w:val="en-US" w:eastAsia="zh-CN"/>
        </w:rPr>
        <w:tab/>
      </w:r>
      <w:r>
        <w:rPr>
          <w:rFonts w:hint="default" w:ascii="宋体" w:hAnsi="宋体" w:cs="宋体"/>
          <w:sz w:val="28"/>
          <w:szCs w:val="28"/>
          <w:lang w:val="en-US" w:eastAsia="zh-CN"/>
        </w:rPr>
        <w:t>采集单元应具备采集、数据处理、分析、告警上传、存储等功能，采用ARM架构。不低于2G内存，采用Linux操作系统平台，数据库支持SQL、Mysql等主流数据库；</w:t>
      </w:r>
    </w:p>
    <w:p w14:paraId="6748179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14）招标文件第117页，接口配置</w:t>
      </w:r>
      <w:r>
        <w:rPr>
          <w:rFonts w:hint="default" w:ascii="宋体" w:hAnsi="宋体" w:cs="宋体"/>
          <w:sz w:val="28"/>
          <w:szCs w:val="28"/>
          <w:lang w:val="en-US" w:eastAsia="zh-CN"/>
        </w:rPr>
        <w:tab/>
      </w:r>
      <w:r>
        <w:rPr>
          <w:rFonts w:hint="default" w:ascii="宋体" w:hAnsi="宋体" w:cs="宋体"/>
          <w:sz w:val="28"/>
          <w:szCs w:val="28"/>
          <w:lang w:val="en-US" w:eastAsia="zh-CN"/>
        </w:rPr>
        <w:t>具备至少16路RS485/RS232光隔离接口、至少12路DI、4路DO，端口具备12V/500mA供电能力。</w:t>
      </w:r>
    </w:p>
    <w:p w14:paraId="53C9755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15）招标文件第117页，软件著作权</w:t>
      </w:r>
      <w:r>
        <w:rPr>
          <w:rFonts w:hint="default" w:ascii="宋体" w:hAnsi="宋体" w:cs="宋体"/>
          <w:sz w:val="28"/>
          <w:szCs w:val="28"/>
          <w:lang w:val="en-US" w:eastAsia="zh-CN"/>
        </w:rPr>
        <w:tab/>
      </w:r>
      <w:r>
        <w:rPr>
          <w:rFonts w:hint="default" w:ascii="宋体" w:hAnsi="宋体" w:cs="宋体"/>
          <w:sz w:val="28"/>
          <w:szCs w:val="28"/>
          <w:lang w:val="en-US" w:eastAsia="zh-CN"/>
        </w:rPr>
        <w:t>动环主机软件通过具有国家版权局颁发的《计算机软件著作权登记证书》；</w:t>
      </w:r>
    </w:p>
    <w:p w14:paraId="7B20499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16）招标文件第117页，环境适应性</w:t>
      </w:r>
      <w:r>
        <w:rPr>
          <w:rFonts w:hint="default" w:ascii="宋体" w:hAnsi="宋体" w:cs="宋体"/>
          <w:sz w:val="28"/>
          <w:szCs w:val="28"/>
          <w:lang w:val="en-US" w:eastAsia="zh-CN"/>
        </w:rPr>
        <w:tab/>
      </w:r>
      <w:r>
        <w:rPr>
          <w:rFonts w:hint="default" w:ascii="宋体" w:hAnsi="宋体" w:cs="宋体"/>
          <w:sz w:val="28"/>
          <w:szCs w:val="28"/>
          <w:lang w:val="en-US" w:eastAsia="zh-CN"/>
        </w:rPr>
        <w:t>动环主机满足GB/T2 423.1-2008《电工电子产品环境试验》规定的低温试验和高温试验，</w:t>
      </w:r>
    </w:p>
    <w:p w14:paraId="7CC9F6A3">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17）招标文件第117页，CE认证</w:t>
      </w:r>
      <w:r>
        <w:rPr>
          <w:rFonts w:hint="default" w:ascii="宋体" w:hAnsi="宋体" w:cs="宋体"/>
          <w:sz w:val="28"/>
          <w:szCs w:val="28"/>
          <w:lang w:val="en-US" w:eastAsia="zh-CN"/>
        </w:rPr>
        <w:tab/>
      </w:r>
      <w:r>
        <w:rPr>
          <w:rFonts w:hint="default" w:ascii="宋体" w:hAnsi="宋体" w:cs="宋体"/>
          <w:sz w:val="28"/>
          <w:szCs w:val="28"/>
          <w:lang w:val="en-US" w:eastAsia="zh-CN"/>
        </w:rPr>
        <w:t>动环主机具有CE认证证书，</w:t>
      </w:r>
    </w:p>
    <w:p w14:paraId="1714596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18）招标文件第118页，测湿范围及精度</w:t>
      </w:r>
      <w:r>
        <w:rPr>
          <w:rFonts w:hint="default" w:ascii="宋体" w:hAnsi="宋体" w:cs="宋体"/>
          <w:sz w:val="28"/>
          <w:szCs w:val="28"/>
          <w:lang w:val="en-US" w:eastAsia="zh-CN"/>
        </w:rPr>
        <w:tab/>
      </w:r>
      <w:r>
        <w:rPr>
          <w:rFonts w:hint="default" w:ascii="宋体" w:hAnsi="宋体" w:cs="宋体"/>
          <w:sz w:val="28"/>
          <w:szCs w:val="28"/>
          <w:lang w:val="en-US" w:eastAsia="zh-CN"/>
        </w:rPr>
        <w:t>0～100％RH、±3%RH（25℃时）</w:t>
      </w:r>
    </w:p>
    <w:p w14:paraId="7055832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19）招标文件第118页，探测距离</w:t>
      </w:r>
      <w:r>
        <w:rPr>
          <w:rFonts w:hint="default" w:ascii="宋体" w:hAnsi="宋体" w:cs="宋体"/>
          <w:sz w:val="28"/>
          <w:szCs w:val="28"/>
          <w:lang w:val="en-US" w:eastAsia="zh-CN"/>
        </w:rPr>
        <w:tab/>
      </w:r>
      <w:r>
        <w:rPr>
          <w:rFonts w:hint="default" w:ascii="宋体" w:hAnsi="宋体" w:cs="宋体"/>
          <w:sz w:val="28"/>
          <w:szCs w:val="28"/>
          <w:lang w:val="en-US" w:eastAsia="zh-CN"/>
        </w:rPr>
        <w:t>安装高度2.5米时8米/安装高度3.6米时12米</w:t>
      </w:r>
    </w:p>
    <w:p w14:paraId="648D764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20）招标文件第119页，供电电源</w:t>
      </w:r>
      <w:r>
        <w:rPr>
          <w:rFonts w:hint="default" w:ascii="宋体" w:hAnsi="宋体" w:cs="宋体"/>
          <w:sz w:val="28"/>
          <w:szCs w:val="28"/>
          <w:lang w:val="en-US" w:eastAsia="zh-CN"/>
        </w:rPr>
        <w:tab/>
      </w:r>
      <w:r>
        <w:rPr>
          <w:rFonts w:hint="default" w:ascii="宋体" w:hAnsi="宋体" w:cs="宋体"/>
          <w:sz w:val="28"/>
          <w:szCs w:val="28"/>
          <w:lang w:val="en-US" w:eastAsia="zh-CN"/>
        </w:rPr>
        <w:t>12-60VDC；</w:t>
      </w:r>
    </w:p>
    <w:p w14:paraId="30E5640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21）招标文件第124页，账号与密码策略</w:t>
      </w:r>
      <w:r>
        <w:rPr>
          <w:rFonts w:hint="default" w:ascii="宋体" w:hAnsi="宋体" w:cs="宋体"/>
          <w:sz w:val="28"/>
          <w:szCs w:val="28"/>
          <w:lang w:val="en-US" w:eastAsia="zh-CN"/>
        </w:rPr>
        <w:tab/>
      </w:r>
      <w:r>
        <w:rPr>
          <w:rFonts w:hint="default" w:ascii="宋体" w:hAnsi="宋体" w:cs="宋体"/>
          <w:sz w:val="28"/>
          <w:szCs w:val="28"/>
          <w:lang w:val="en-US" w:eastAsia="zh-CN"/>
        </w:rPr>
        <w:t>要求系统提供账号安全策略（连续密码错误次数、账号验证错误锁定时长）和密码安全策略（密码有效天数、密码到期提醒天数），可启用停用密码安全策略，</w:t>
      </w:r>
    </w:p>
    <w:p w14:paraId="0EFD5FB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22）招标文件第124页，系统自监控</w:t>
      </w:r>
      <w:r>
        <w:rPr>
          <w:rFonts w:hint="default" w:ascii="宋体" w:hAnsi="宋体" w:cs="宋体"/>
          <w:sz w:val="28"/>
          <w:szCs w:val="28"/>
          <w:lang w:val="en-US" w:eastAsia="zh-CN"/>
        </w:rPr>
        <w:tab/>
      </w:r>
      <w:r>
        <w:rPr>
          <w:rFonts w:hint="default" w:ascii="宋体" w:hAnsi="宋体" w:cs="宋体"/>
          <w:sz w:val="28"/>
          <w:szCs w:val="28"/>
          <w:lang w:val="en-US" w:eastAsia="zh-CN"/>
        </w:rPr>
        <w:t>要求系统提供自监控功能，须支持监控系统CPU占有率、内存占有率和磁盘占有率的监控，可设置上述指标阈值，当超过阈值时以告警的方式提醒运维人员，以保证监控系统稳定运行。</w:t>
      </w:r>
    </w:p>
    <w:p w14:paraId="3BF441F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23）招标文件第126页，高级功能：支持单向、双向、一对多、多对一和级联等多种复制关系，支持按照备份任务的粒度配置远程复制，无需复制整个存储池，降低网络传输带宽占用，提供提供具备 CNAS 或 CMA 资质认证的检测报告。</w:t>
      </w:r>
    </w:p>
    <w:p w14:paraId="2B0A1BC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支持文件以原生格式归档，支持将备份数据长期归档至磁带、对象存储、蓝光中；支持将归档数据直接恢复至备份服务器和客户端中，提供具备 CNAS 或 CMA 资质认证的检测报告</w:t>
      </w:r>
    </w:p>
    <w:p w14:paraId="0DF3B35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24）招标文件第127页，提供 2 名及以上原厂实施人员，要求至少1名实施人员具备 CCSRP工信部网络与信息安全应急人员管理级证书，1名实施人员具备CBCP业务连续性管理专家认证证书。</w:t>
      </w:r>
    </w:p>
    <w:p w14:paraId="4DC934B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变更为：</w:t>
      </w:r>
    </w:p>
    <w:p w14:paraId="5D1A37E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1）原：前门单开网孔门开孔区面积比≥80％。网孔开孔率≥73％，后门双开，后门开孔区面积比≥70％，网孔开孔率≥74％，提供第三方泰尔认证测试报告。</w:t>
      </w:r>
    </w:p>
    <w:p w14:paraId="43BD3547">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更改为：为便于维护，机柜门开启角不小于135°，具备第三方权威机构检测报告，柜体、通道、配电系统、制冷系统、动环监控系统统一品牌。并将此项标注为#。</w:t>
      </w:r>
    </w:p>
    <w:p w14:paraId="1DF77FDF">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2）删除此项。</w:t>
      </w:r>
    </w:p>
    <w:p w14:paraId="5C91644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3）增加：并提供第三方阻燃测试报告。增加#标注。</w:t>
      </w:r>
    </w:p>
    <w:p w14:paraId="042FC42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4）原：端门功能可显示时间、通道状态、温湿度、负载率等参数。</w:t>
      </w:r>
    </w:p>
    <w:p w14:paraId="668D27C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更改为：通道移门须配有红外防夹装置，保证人员出入安全性</w:t>
      </w:r>
    </w:p>
    <w:p w14:paraId="4604F8F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5）原：门禁系统 微模块通道两端应设置门禁系统，运维人员须通过识别身份方可进入微模块内部进行相应操作。模块级门禁系统由门禁机、门禁控制器、出门按钮、磁力锁、紧急按钮组成。门禁控制一体机含IC卡5张，可通过刷卡、指纹、密码进行身份认证。</w:t>
      </w:r>
    </w:p>
    <w:p w14:paraId="7DD4432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微模块通道两端应设置门禁系统，运维人员须通过识别身份方可进入微模块内部进行相应操作。要求开门支持指纹识别+密码+刷卡，门禁控制器同时支持TCP/IP、232/RS485通讯接口。用户数量≥5000、指纹容量≥3000枚、刷卡事件 ≥100000、门时区 每个门可有8个开放时间、卡时区 8个开放时间/门、鉴别方式 卡，卡+密码，单密码，双卡，首卡开门、双向检测 支持、脱机运行 支持、节假日 支持读卡头通讯方式 RS485 26bits。IC卡≥5张。</w:t>
      </w:r>
    </w:p>
    <w:p w14:paraId="391BAAC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6）删除此项。</w:t>
      </w:r>
    </w:p>
    <w:p w14:paraId="28E00CE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7）删除此项。</w:t>
      </w:r>
    </w:p>
    <w:p w14:paraId="256D68F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8）原：三菱、日立、谷轮或同档次及以上产品</w:t>
      </w:r>
    </w:p>
    <w:p w14:paraId="0B5CDD7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更改为：行业内主流水平直流变频压缩机，</w:t>
      </w:r>
    </w:p>
    <w:p w14:paraId="10EC8F5B">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9）删除空调风机N+1冗余配置。</w:t>
      </w:r>
    </w:p>
    <w:p w14:paraId="3E951C18">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10）删除此项。</w:t>
      </w:r>
    </w:p>
    <w:p w14:paraId="4B6749F1">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11）删除此项。</w:t>
      </w:r>
    </w:p>
    <w:p w14:paraId="5CDACC3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12）原：要求空调全年能效比应不小于4.1</w:t>
      </w:r>
    </w:p>
    <w:p w14:paraId="51780366">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更改为：要求空调全年能效比应不小于4.0。</w:t>
      </w:r>
    </w:p>
    <w:p w14:paraId="758314DE">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13）原：不低于2G内存</w:t>
      </w:r>
    </w:p>
    <w:p w14:paraId="48F0C43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更改为：不低于1G内存。</w:t>
      </w:r>
    </w:p>
    <w:p w14:paraId="781D985D">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14）原：具备至少16 路RS485/RS232光隔离接口</w:t>
      </w:r>
    </w:p>
    <w:p w14:paraId="1B59A53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更改为具备至少10 路RS485/RS232光隔离接口。</w:t>
      </w:r>
    </w:p>
    <w:p w14:paraId="0969EE1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15）删除此项。</w:t>
      </w:r>
    </w:p>
    <w:p w14:paraId="689FEA95">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16）删除此项。</w:t>
      </w:r>
    </w:p>
    <w:p w14:paraId="6CBF295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17）删除此项。</w:t>
      </w:r>
    </w:p>
    <w:p w14:paraId="2FF8CA0C">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18）原：±3%RH（25℃时）</w:t>
      </w:r>
    </w:p>
    <w:p w14:paraId="32BD2D7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更改为：±4.5%RH。</w:t>
      </w:r>
    </w:p>
    <w:p w14:paraId="0B4D599A">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 xml:space="preserve">19）原：安装高度3.6米时12米 </w:t>
      </w:r>
    </w:p>
    <w:p w14:paraId="1A86CF3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更改为：3米时6米。</w:t>
      </w:r>
    </w:p>
    <w:p w14:paraId="0D9CF34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20）原：供电电源12-60VDC</w:t>
      </w:r>
    </w:p>
    <w:p w14:paraId="51D9D44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更改为：DC9-30V。</w:t>
      </w:r>
    </w:p>
    <w:p w14:paraId="023634A4">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21）删除此项。</w:t>
      </w:r>
    </w:p>
    <w:p w14:paraId="0CB87C90">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22）删除当超过阈值时以告警的方式提醒运维人员，以保证监控系统稳定运行。</w:t>
      </w:r>
    </w:p>
    <w:p w14:paraId="77FBCFA9">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23）提供提供具备 CNAS 或 CMA 资质认证的检测报告。</w:t>
      </w:r>
    </w:p>
    <w:p w14:paraId="39933DF2">
      <w:pPr>
        <w:autoSpaceDE w:val="0"/>
        <w:autoSpaceDN w:val="0"/>
        <w:adjustRightInd w:val="0"/>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24）删除此项。</w:t>
      </w:r>
    </w:p>
    <w:p w14:paraId="5EEAED96">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7、原招标文件内：</w:t>
      </w:r>
    </w:p>
    <w:p w14:paraId="09140721">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w:t>
      </w:r>
      <w:bookmarkStart w:id="12" w:name="_Hlk216085994"/>
      <w:r>
        <w:rPr>
          <w:rFonts w:hint="eastAsia" w:ascii="宋体" w:hAnsi="宋体" w:cs="宋体"/>
          <w:sz w:val="28"/>
          <w:szCs w:val="28"/>
          <w:lang w:val="en-US" w:eastAsia="zh-CN"/>
        </w:rPr>
        <w:t>招标文件第50页、▲其他要求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bookmarkEnd w:id="12"/>
    </w:p>
    <w:p w14:paraId="53F9E096">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2）招标文件第52页、▲其他要求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27627A8B">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3）招标文件第55页、▲其他要求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2CDF1708">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4）招标文件第58页、▲其他要求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4F8A771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5）招标文件第60页、▲其他要求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7AAF84B3">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6）招标文件第63页、▲其他要求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316391D5">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7）招标文件第66页、▲其他要求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4A1BC6F3">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8）招标文件第69页、▲其他要求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31D1850C">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9）招标文件第71页、▲其他要求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720C32C2">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10）招标文件第74页、▲其他要求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0497F8ED">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11）招标文件第77页、▲其他要求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5BAA3924">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12）招标文件第80页、▲其他要求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199CAE8C">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13）招标文件第81页、▲其他要求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7B399E47">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14）招标文件第84页、▲其他要求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6AB5CE10">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15）招标文件第86页、▲其他要求</w:t>
      </w:r>
      <w:r>
        <w:rPr>
          <w:rFonts w:hint="eastAsia" w:ascii="宋体" w:hAnsi="宋体" w:cs="宋体"/>
          <w:sz w:val="28"/>
          <w:szCs w:val="28"/>
          <w:lang w:val="en-US" w:eastAsia="zh-CN"/>
        </w:rPr>
        <w:tab/>
      </w:r>
      <w:r>
        <w:rPr>
          <w:rFonts w:hint="eastAsia" w:ascii="宋体" w:hAnsi="宋体" w:cs="宋体"/>
          <w:sz w:val="28"/>
          <w:szCs w:val="28"/>
          <w:lang w:val="en-US" w:eastAsia="zh-CN"/>
        </w:rPr>
        <w:t>要求提供制造厂家针对本项目的授权文件原件及售后服务承诺，并加盖公章。</w:t>
      </w:r>
    </w:p>
    <w:p w14:paraId="42839643">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变更为：</w:t>
      </w:r>
    </w:p>
    <w:p w14:paraId="1BDC783C">
      <w:pPr>
        <w:pStyle w:val="17"/>
        <w:ind w:firstLine="560" w:firstLineChars="200"/>
        <w:rPr>
          <w:rFonts w:hint="eastAsia" w:ascii="宋体" w:hAnsi="宋体" w:cs="宋体"/>
          <w:sz w:val="28"/>
          <w:szCs w:val="28"/>
          <w:lang w:val="en-US" w:eastAsia="zh-CN"/>
        </w:rPr>
      </w:pPr>
      <w:r>
        <w:rPr>
          <w:rFonts w:hint="default" w:ascii="宋体" w:hAnsi="宋体" w:eastAsia="宋体" w:cs="宋体"/>
          <w:color w:val="auto"/>
          <w:kern w:val="2"/>
          <w:sz w:val="28"/>
          <w:szCs w:val="28"/>
          <w:lang w:val="en-US" w:eastAsia="zh-CN" w:bidi="ar-SA"/>
        </w:rPr>
        <w:t>删除“要求提供制造厂家针对本项目的授权文件原件及售后服务承诺，并加盖公章”，取消▲标注。</w:t>
      </w:r>
    </w:p>
    <w:p w14:paraId="6329D7C9">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8、第01包提交投标文件截止时间、开标时间和地点</w:t>
      </w:r>
    </w:p>
    <w:p w14:paraId="4A86C72A">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变更为：</w:t>
      </w:r>
    </w:p>
    <w:p w14:paraId="68CAD6BE">
      <w:pPr>
        <w:autoSpaceDE w:val="0"/>
        <w:autoSpaceDN w:val="0"/>
        <w:adjustRightInd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投标截止时间、开标时间：2026年1月4日上午9点30分（北京时间）。</w:t>
      </w:r>
    </w:p>
    <w:p w14:paraId="416C0DCA">
      <w:pPr>
        <w:autoSpaceDE w:val="0"/>
        <w:autoSpaceDN w:val="0"/>
        <w:adjustRightInd w:val="0"/>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地点：北京市朝阳区建国门外大街甲3号第三开标室。</w:t>
      </w:r>
    </w:p>
    <w:p w14:paraId="3A0AC4DB">
      <w:pPr>
        <w:pStyle w:val="5"/>
        <w:rPr>
          <w:rFonts w:hint="eastAsia"/>
        </w:rPr>
      </w:pPr>
    </w:p>
    <w:p w14:paraId="38F5AB49">
      <w:pPr>
        <w:rPr>
          <w:rFonts w:ascii="宋体" w:hAnsi="宋体" w:cs="宋体"/>
          <w:sz w:val="28"/>
          <w:szCs w:val="28"/>
          <w:u w:val="single"/>
        </w:rPr>
      </w:pPr>
      <w:r>
        <w:rPr>
          <w:rFonts w:hint="eastAsia" w:ascii="宋体" w:hAnsi="宋体" w:cs="宋体"/>
          <w:sz w:val="28"/>
          <w:szCs w:val="28"/>
        </w:rPr>
        <w:t>更正日期：</w:t>
      </w:r>
      <w:r>
        <w:rPr>
          <w:rFonts w:hint="eastAsia" w:ascii="宋体" w:hAnsi="宋体" w:cs="宋体"/>
          <w:sz w:val="28"/>
          <w:szCs w:val="28"/>
          <w:u w:val="single"/>
        </w:rPr>
        <w:t>2025年</w:t>
      </w:r>
      <w:r>
        <w:rPr>
          <w:rFonts w:hint="eastAsia" w:ascii="宋体" w:hAnsi="宋体" w:cs="宋体"/>
          <w:sz w:val="28"/>
          <w:szCs w:val="28"/>
          <w:u w:val="single"/>
          <w:lang w:val="en-US" w:eastAsia="zh-CN"/>
        </w:rPr>
        <w:t>12</w:t>
      </w:r>
      <w:r>
        <w:rPr>
          <w:rFonts w:hint="eastAsia" w:ascii="宋体" w:hAnsi="宋体" w:cs="宋体"/>
          <w:sz w:val="28"/>
          <w:szCs w:val="28"/>
          <w:u w:val="single"/>
        </w:rPr>
        <w:t>月</w:t>
      </w:r>
      <w:r>
        <w:rPr>
          <w:rFonts w:hint="eastAsia" w:ascii="宋体" w:hAnsi="宋体" w:cs="宋体"/>
          <w:sz w:val="28"/>
          <w:szCs w:val="28"/>
          <w:u w:val="single"/>
          <w:lang w:val="en-US" w:eastAsia="zh-CN"/>
        </w:rPr>
        <w:t>17</w:t>
      </w:r>
      <w:r>
        <w:rPr>
          <w:rFonts w:hint="eastAsia" w:ascii="宋体" w:hAnsi="宋体" w:cs="宋体"/>
          <w:sz w:val="28"/>
          <w:szCs w:val="28"/>
          <w:u w:val="single"/>
        </w:rPr>
        <w:t>日</w:t>
      </w:r>
    </w:p>
    <w:p w14:paraId="036FAC72">
      <w:pPr>
        <w:pStyle w:val="3"/>
        <w:spacing w:line="360" w:lineRule="auto"/>
        <w:rPr>
          <w:rFonts w:ascii="宋体" w:hAnsi="宋体" w:eastAsia="宋体" w:cs="宋体"/>
          <w:b w:val="0"/>
          <w:sz w:val="28"/>
          <w:szCs w:val="28"/>
        </w:rPr>
      </w:pPr>
      <w:bookmarkStart w:id="13" w:name="_Toc35393816"/>
      <w:bookmarkStart w:id="14" w:name="_Toc35393647"/>
      <w:r>
        <w:rPr>
          <w:rFonts w:hint="eastAsia" w:ascii="宋体" w:hAnsi="宋体" w:eastAsia="宋体" w:cs="宋体"/>
          <w:b w:val="0"/>
          <w:sz w:val="28"/>
          <w:szCs w:val="28"/>
        </w:rPr>
        <w:t>三、其他补充事宜</w:t>
      </w:r>
      <w:bookmarkEnd w:id="13"/>
      <w:bookmarkEnd w:id="14"/>
    </w:p>
    <w:p w14:paraId="0BAEAC7A">
      <w:pPr>
        <w:pStyle w:val="3"/>
        <w:spacing w:line="360" w:lineRule="auto"/>
        <w:rPr>
          <w:rFonts w:ascii="宋体" w:hAnsi="宋体" w:eastAsia="宋体" w:cs="宋体"/>
          <w:color w:val="383838"/>
          <w:sz w:val="28"/>
          <w:szCs w:val="28"/>
          <w:shd w:val="clear" w:color="auto" w:fill="FFFFFF"/>
        </w:rPr>
      </w:pPr>
      <w:bookmarkStart w:id="15" w:name="OLE_LINK2"/>
      <w:bookmarkStart w:id="16" w:name="_Toc35393648"/>
      <w:bookmarkStart w:id="17" w:name="_Toc28359029"/>
      <w:bookmarkStart w:id="18" w:name="_Toc35393817"/>
      <w:bookmarkStart w:id="19" w:name="_Toc28359106"/>
      <w:r>
        <w:rPr>
          <w:rFonts w:hint="eastAsia" w:ascii="宋体" w:hAnsi="宋体" w:eastAsia="宋体" w:cs="宋体"/>
          <w:b w:val="0"/>
          <w:bCs w:val="0"/>
          <w:color w:val="000000"/>
          <w:sz w:val="28"/>
          <w:szCs w:val="28"/>
        </w:rPr>
        <w:t>其他内容不变。</w:t>
      </w:r>
      <w:bookmarkEnd w:id="15"/>
    </w:p>
    <w:p w14:paraId="08ECA69A">
      <w:pPr>
        <w:pStyle w:val="3"/>
        <w:spacing w:line="360" w:lineRule="auto"/>
        <w:rPr>
          <w:rFonts w:ascii="宋体" w:hAnsi="宋体" w:eastAsia="宋体" w:cs="宋体"/>
          <w:b w:val="0"/>
          <w:sz w:val="28"/>
          <w:szCs w:val="28"/>
        </w:rPr>
      </w:pPr>
      <w:r>
        <w:rPr>
          <w:rFonts w:hint="eastAsia" w:ascii="宋体" w:hAnsi="宋体" w:eastAsia="宋体" w:cs="宋体"/>
          <w:b w:val="0"/>
          <w:sz w:val="28"/>
          <w:szCs w:val="28"/>
        </w:rPr>
        <w:t>四、凡对本次公告内容提出询问，请按以下方式联系。</w:t>
      </w:r>
      <w:bookmarkEnd w:id="16"/>
      <w:bookmarkEnd w:id="17"/>
      <w:bookmarkEnd w:id="18"/>
      <w:bookmarkEnd w:id="19"/>
    </w:p>
    <w:p w14:paraId="67731D64">
      <w:pPr>
        <w:spacing w:line="360" w:lineRule="auto"/>
        <w:ind w:left="-67" w:leftChars="-32" w:firstLine="560" w:firstLineChars="200"/>
        <w:rPr>
          <w:rFonts w:ascii="宋体" w:hAnsi="宋体" w:cs="宋体"/>
          <w:sz w:val="28"/>
          <w:szCs w:val="28"/>
        </w:rPr>
      </w:pPr>
      <w:bookmarkStart w:id="20" w:name="_Toc28359107"/>
      <w:bookmarkStart w:id="21" w:name="_Toc35393649"/>
      <w:bookmarkStart w:id="22" w:name="_Toc28359030"/>
      <w:bookmarkStart w:id="23" w:name="_Toc35393818"/>
      <w:r>
        <w:rPr>
          <w:rFonts w:hint="eastAsia" w:ascii="宋体" w:hAnsi="宋体" w:cs="宋体"/>
          <w:sz w:val="28"/>
          <w:szCs w:val="28"/>
        </w:rPr>
        <w:t>1.采购人信息</w:t>
      </w:r>
      <w:bookmarkEnd w:id="20"/>
      <w:bookmarkEnd w:id="21"/>
      <w:bookmarkEnd w:id="22"/>
      <w:bookmarkEnd w:id="23"/>
    </w:p>
    <w:p w14:paraId="3B3910BA">
      <w:pPr>
        <w:spacing w:line="360" w:lineRule="auto"/>
        <w:ind w:firstLine="560" w:firstLineChars="200"/>
        <w:rPr>
          <w:rFonts w:hint="eastAsia" w:ascii="宋体" w:hAnsi="宋体" w:cs="宋体"/>
          <w:sz w:val="28"/>
          <w:szCs w:val="28"/>
        </w:rPr>
      </w:pPr>
      <w:bookmarkStart w:id="24" w:name="_Toc35393819"/>
      <w:bookmarkStart w:id="25" w:name="_Toc28359108"/>
      <w:bookmarkStart w:id="26" w:name="_Toc35393650"/>
      <w:bookmarkStart w:id="27" w:name="_Toc28359031"/>
      <w:r>
        <w:rPr>
          <w:rFonts w:hint="eastAsia" w:ascii="宋体" w:hAnsi="宋体" w:cs="宋体"/>
          <w:sz w:val="28"/>
          <w:szCs w:val="28"/>
        </w:rPr>
        <w:t>名</w:t>
      </w:r>
      <w:r>
        <w:rPr>
          <w:rFonts w:hint="eastAsia" w:ascii="宋体" w:hAnsi="宋体" w:cs="宋体"/>
          <w:sz w:val="28"/>
          <w:szCs w:val="28"/>
          <w:lang w:val="en-US" w:eastAsia="zh-CN"/>
        </w:rPr>
        <w:t xml:space="preserve">    </w:t>
      </w:r>
      <w:r>
        <w:rPr>
          <w:rFonts w:hint="eastAsia" w:ascii="宋体" w:hAnsi="宋体" w:cs="宋体"/>
          <w:sz w:val="28"/>
          <w:szCs w:val="28"/>
        </w:rPr>
        <w:t>称：北京市平谷区妇幼保健院</w:t>
      </w:r>
    </w:p>
    <w:p w14:paraId="3B283E45">
      <w:pPr>
        <w:spacing w:line="360" w:lineRule="auto"/>
        <w:ind w:firstLine="560" w:firstLineChars="200"/>
        <w:rPr>
          <w:rFonts w:hint="eastAsia" w:ascii="宋体" w:hAnsi="宋体" w:cs="宋体"/>
          <w:sz w:val="28"/>
          <w:szCs w:val="28"/>
        </w:rPr>
      </w:pPr>
      <w:r>
        <w:rPr>
          <w:rFonts w:hint="eastAsia" w:ascii="宋体" w:hAnsi="宋体" w:cs="宋体"/>
          <w:sz w:val="28"/>
          <w:szCs w:val="28"/>
        </w:rPr>
        <w:t>地</w:t>
      </w:r>
      <w:r>
        <w:rPr>
          <w:rFonts w:hint="eastAsia" w:ascii="宋体" w:hAnsi="宋体" w:cs="宋体"/>
          <w:sz w:val="28"/>
          <w:szCs w:val="28"/>
          <w:lang w:val="en-US" w:eastAsia="zh-CN"/>
        </w:rPr>
        <w:t xml:space="preserve">    </w:t>
      </w:r>
      <w:r>
        <w:rPr>
          <w:rFonts w:hint="eastAsia" w:ascii="宋体" w:hAnsi="宋体" w:cs="宋体"/>
          <w:sz w:val="28"/>
          <w:szCs w:val="28"/>
        </w:rPr>
        <w:t>址：北京市平谷区南岔子街49号</w:t>
      </w:r>
    </w:p>
    <w:p w14:paraId="56A22C74">
      <w:pPr>
        <w:spacing w:line="360" w:lineRule="auto"/>
        <w:ind w:firstLine="560" w:firstLineChars="200"/>
        <w:rPr>
          <w:rFonts w:hint="eastAsia" w:ascii="宋体" w:hAnsi="宋体" w:cs="宋体"/>
          <w:sz w:val="28"/>
          <w:szCs w:val="28"/>
        </w:rPr>
      </w:pPr>
      <w:r>
        <w:rPr>
          <w:rFonts w:hint="eastAsia" w:ascii="宋体" w:hAnsi="宋体" w:cs="宋体"/>
          <w:sz w:val="28"/>
          <w:szCs w:val="28"/>
        </w:rPr>
        <w:t>联系方式：010-69971619</w:t>
      </w:r>
    </w:p>
    <w:p w14:paraId="0CF75D17">
      <w:pPr>
        <w:spacing w:line="360" w:lineRule="auto"/>
        <w:ind w:left="-67" w:leftChars="-32" w:firstLine="560" w:firstLineChars="200"/>
        <w:rPr>
          <w:rFonts w:ascii="宋体" w:hAnsi="宋体" w:cs="宋体"/>
          <w:sz w:val="28"/>
          <w:szCs w:val="28"/>
        </w:rPr>
      </w:pPr>
      <w:r>
        <w:rPr>
          <w:rFonts w:hint="eastAsia" w:ascii="宋体" w:hAnsi="宋体" w:cs="宋体"/>
          <w:sz w:val="28"/>
          <w:szCs w:val="28"/>
        </w:rPr>
        <w:t>2.采购代理机构信息</w:t>
      </w:r>
      <w:bookmarkEnd w:id="24"/>
      <w:bookmarkEnd w:id="25"/>
      <w:bookmarkEnd w:id="26"/>
      <w:bookmarkEnd w:id="27"/>
    </w:p>
    <w:p w14:paraId="3ED6B760">
      <w:pPr>
        <w:spacing w:line="360" w:lineRule="auto"/>
        <w:ind w:firstLine="560" w:firstLineChars="200"/>
        <w:rPr>
          <w:rFonts w:ascii="宋体" w:hAnsi="宋体" w:cs="宋体"/>
          <w:sz w:val="28"/>
          <w:szCs w:val="28"/>
        </w:rPr>
      </w:pPr>
      <w:r>
        <w:rPr>
          <w:rFonts w:hint="eastAsia" w:ascii="宋体" w:hAnsi="宋体" w:cs="宋体"/>
          <w:sz w:val="28"/>
          <w:szCs w:val="28"/>
        </w:rPr>
        <w:t>名    称：北京国际贸易有限公司</w:t>
      </w:r>
    </w:p>
    <w:p w14:paraId="3F5D502D">
      <w:pPr>
        <w:spacing w:line="360" w:lineRule="auto"/>
        <w:ind w:firstLine="560" w:firstLineChars="200"/>
        <w:rPr>
          <w:rFonts w:ascii="宋体" w:hAnsi="宋体" w:cs="宋体"/>
          <w:sz w:val="28"/>
          <w:szCs w:val="28"/>
        </w:rPr>
      </w:pPr>
      <w:r>
        <w:rPr>
          <w:rFonts w:hint="eastAsia" w:ascii="宋体" w:hAnsi="宋体" w:cs="宋体"/>
          <w:sz w:val="28"/>
          <w:szCs w:val="28"/>
        </w:rPr>
        <w:t>地    址：北京市朝阳区建国门外大街甲3号</w:t>
      </w:r>
    </w:p>
    <w:p w14:paraId="071ECD94">
      <w:pPr>
        <w:spacing w:line="360" w:lineRule="auto"/>
        <w:ind w:firstLine="560" w:firstLineChars="200"/>
        <w:rPr>
          <w:rFonts w:ascii="宋体" w:hAnsi="宋体" w:cs="宋体"/>
          <w:sz w:val="28"/>
          <w:szCs w:val="28"/>
        </w:rPr>
      </w:pPr>
      <w:r>
        <w:rPr>
          <w:rFonts w:hint="eastAsia" w:ascii="宋体" w:hAnsi="宋体" w:cs="宋体"/>
          <w:sz w:val="28"/>
          <w:szCs w:val="28"/>
        </w:rPr>
        <w:t>联系方式：</w:t>
      </w:r>
      <w:bookmarkStart w:id="28" w:name="_Toc28359032"/>
      <w:bookmarkStart w:id="29" w:name="_Toc28359109"/>
      <w:r>
        <w:rPr>
          <w:rFonts w:hint="eastAsia" w:ascii="宋体" w:hAnsi="宋体" w:cs="宋体"/>
          <w:sz w:val="28"/>
          <w:szCs w:val="28"/>
        </w:rPr>
        <w:t>010-85343458</w:t>
      </w:r>
    </w:p>
    <w:p w14:paraId="2C3BA6CF">
      <w:pPr>
        <w:spacing w:line="360" w:lineRule="auto"/>
        <w:ind w:left="-67" w:leftChars="-32" w:firstLine="560" w:firstLineChars="200"/>
        <w:rPr>
          <w:rFonts w:ascii="宋体" w:hAnsi="宋体" w:cs="宋体"/>
          <w:sz w:val="28"/>
          <w:szCs w:val="28"/>
        </w:rPr>
      </w:pPr>
      <w:bookmarkStart w:id="30" w:name="_Toc35393820"/>
      <w:bookmarkStart w:id="31" w:name="_Toc35393651"/>
      <w:r>
        <w:rPr>
          <w:rFonts w:hint="eastAsia" w:ascii="宋体" w:hAnsi="宋体" w:cs="宋体"/>
          <w:sz w:val="28"/>
          <w:szCs w:val="28"/>
        </w:rPr>
        <w:t>3.项目联系方式</w:t>
      </w:r>
      <w:bookmarkEnd w:id="28"/>
      <w:bookmarkEnd w:id="29"/>
      <w:bookmarkEnd w:id="30"/>
      <w:bookmarkEnd w:id="31"/>
    </w:p>
    <w:p w14:paraId="606F1746">
      <w:pPr>
        <w:pStyle w:val="7"/>
        <w:spacing w:line="360" w:lineRule="auto"/>
        <w:ind w:firstLine="560" w:firstLineChars="200"/>
        <w:rPr>
          <w:rFonts w:hAnsi="宋体" w:eastAsia="宋体" w:cs="宋体"/>
          <w:sz w:val="28"/>
          <w:szCs w:val="28"/>
        </w:rPr>
      </w:pPr>
      <w:r>
        <w:rPr>
          <w:rFonts w:hint="eastAsia" w:hAnsi="宋体" w:eastAsia="宋体" w:cs="宋体"/>
          <w:sz w:val="28"/>
          <w:szCs w:val="28"/>
        </w:rPr>
        <w:t>项目联系人：</w:t>
      </w:r>
      <w:bookmarkStart w:id="32" w:name="OLE_LINK1"/>
      <w:r>
        <w:rPr>
          <w:rFonts w:hint="eastAsia" w:hAnsi="宋体" w:eastAsia="宋体" w:cs="宋体"/>
          <w:sz w:val="28"/>
          <w:szCs w:val="28"/>
        </w:rPr>
        <w:t>齐汉、梁潇</w:t>
      </w:r>
      <w:bookmarkEnd w:id="32"/>
    </w:p>
    <w:p w14:paraId="3C2652D7">
      <w:pPr>
        <w:spacing w:line="360" w:lineRule="auto"/>
        <w:ind w:firstLine="560" w:firstLineChars="200"/>
        <w:rPr>
          <w:rFonts w:ascii="宋体" w:hAnsi="宋体" w:cs="宋体"/>
          <w:sz w:val="28"/>
          <w:szCs w:val="28"/>
          <w:u w:val="single"/>
        </w:rPr>
      </w:pPr>
      <w:r>
        <w:rPr>
          <w:rFonts w:hint="eastAsia" w:ascii="宋体" w:hAnsi="宋体" w:cs="宋体"/>
          <w:sz w:val="28"/>
          <w:szCs w:val="28"/>
        </w:rPr>
        <w:t>电　　 话：010-85343458</w:t>
      </w:r>
    </w:p>
    <w:p w14:paraId="4CE57564"/>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mFjNmZjM2U5ODcyZjQ5NTE0NjNjMjU2OTE5OTIifQ=="/>
  </w:docVars>
  <w:rsids>
    <w:rsidRoot w:val="7E281D0E"/>
    <w:rsid w:val="00103454"/>
    <w:rsid w:val="001141A1"/>
    <w:rsid w:val="00266CAA"/>
    <w:rsid w:val="003D32A8"/>
    <w:rsid w:val="004851A3"/>
    <w:rsid w:val="004E7D88"/>
    <w:rsid w:val="00556CFC"/>
    <w:rsid w:val="005C08AB"/>
    <w:rsid w:val="007D3026"/>
    <w:rsid w:val="00886E73"/>
    <w:rsid w:val="009867BB"/>
    <w:rsid w:val="00A8172F"/>
    <w:rsid w:val="00A92D5D"/>
    <w:rsid w:val="00C15FD8"/>
    <w:rsid w:val="00D8411C"/>
    <w:rsid w:val="00F37ACE"/>
    <w:rsid w:val="00F56009"/>
    <w:rsid w:val="017C306F"/>
    <w:rsid w:val="03900D20"/>
    <w:rsid w:val="048F6B4D"/>
    <w:rsid w:val="050C0A55"/>
    <w:rsid w:val="066954AF"/>
    <w:rsid w:val="06AD2632"/>
    <w:rsid w:val="097F5A20"/>
    <w:rsid w:val="09CD35A1"/>
    <w:rsid w:val="0B871679"/>
    <w:rsid w:val="0D1A078A"/>
    <w:rsid w:val="0EE77CA3"/>
    <w:rsid w:val="109B03CC"/>
    <w:rsid w:val="10F90765"/>
    <w:rsid w:val="1169429C"/>
    <w:rsid w:val="133C6FCF"/>
    <w:rsid w:val="13AC4857"/>
    <w:rsid w:val="15B15FCC"/>
    <w:rsid w:val="16D25CB8"/>
    <w:rsid w:val="181F295D"/>
    <w:rsid w:val="18FC0A05"/>
    <w:rsid w:val="1A2F1202"/>
    <w:rsid w:val="1BC3124A"/>
    <w:rsid w:val="1E560BF6"/>
    <w:rsid w:val="1FC44117"/>
    <w:rsid w:val="21D90CFA"/>
    <w:rsid w:val="230143C1"/>
    <w:rsid w:val="23110016"/>
    <w:rsid w:val="24356AF4"/>
    <w:rsid w:val="252F016A"/>
    <w:rsid w:val="26903450"/>
    <w:rsid w:val="26FE05F1"/>
    <w:rsid w:val="289406A2"/>
    <w:rsid w:val="2A324303"/>
    <w:rsid w:val="2BCF42EC"/>
    <w:rsid w:val="2C6552FC"/>
    <w:rsid w:val="2D837DB0"/>
    <w:rsid w:val="2F521D10"/>
    <w:rsid w:val="2FB461D1"/>
    <w:rsid w:val="315C24DC"/>
    <w:rsid w:val="3332198B"/>
    <w:rsid w:val="36E01005"/>
    <w:rsid w:val="37D62FBB"/>
    <w:rsid w:val="39940230"/>
    <w:rsid w:val="39F32D23"/>
    <w:rsid w:val="39F93375"/>
    <w:rsid w:val="3B6113A4"/>
    <w:rsid w:val="3C1D71D8"/>
    <w:rsid w:val="3D626BFD"/>
    <w:rsid w:val="3DE444BB"/>
    <w:rsid w:val="3E4916A8"/>
    <w:rsid w:val="3E8B0E28"/>
    <w:rsid w:val="3FB76CC1"/>
    <w:rsid w:val="40D62B9D"/>
    <w:rsid w:val="42293AB2"/>
    <w:rsid w:val="43F01F04"/>
    <w:rsid w:val="44FD449E"/>
    <w:rsid w:val="48BB51BB"/>
    <w:rsid w:val="493B1131"/>
    <w:rsid w:val="4AE90539"/>
    <w:rsid w:val="4C5D7E37"/>
    <w:rsid w:val="4EB4342C"/>
    <w:rsid w:val="527D59E1"/>
    <w:rsid w:val="54242899"/>
    <w:rsid w:val="54C07FD3"/>
    <w:rsid w:val="55834999"/>
    <w:rsid w:val="590D65AA"/>
    <w:rsid w:val="5B2D07A3"/>
    <w:rsid w:val="5B6C3B0B"/>
    <w:rsid w:val="5C0C7E11"/>
    <w:rsid w:val="5CBF4CBA"/>
    <w:rsid w:val="5DA65554"/>
    <w:rsid w:val="5F10541D"/>
    <w:rsid w:val="60052F14"/>
    <w:rsid w:val="61F3273F"/>
    <w:rsid w:val="6271300E"/>
    <w:rsid w:val="63314735"/>
    <w:rsid w:val="64BE0654"/>
    <w:rsid w:val="654266AF"/>
    <w:rsid w:val="668E4EA5"/>
    <w:rsid w:val="68D35286"/>
    <w:rsid w:val="68DD5B96"/>
    <w:rsid w:val="69220889"/>
    <w:rsid w:val="6B643673"/>
    <w:rsid w:val="6CE16E6B"/>
    <w:rsid w:val="6D1F1191"/>
    <w:rsid w:val="6EB9401D"/>
    <w:rsid w:val="710B6561"/>
    <w:rsid w:val="736230F4"/>
    <w:rsid w:val="73827203"/>
    <w:rsid w:val="7549190E"/>
    <w:rsid w:val="75EF5122"/>
    <w:rsid w:val="76CF0AAE"/>
    <w:rsid w:val="77A2763E"/>
    <w:rsid w:val="782D04B7"/>
    <w:rsid w:val="7AEF609F"/>
    <w:rsid w:val="7B840878"/>
    <w:rsid w:val="7BFA4CF4"/>
    <w:rsid w:val="7DFC31C0"/>
    <w:rsid w:val="7E07427B"/>
    <w:rsid w:val="7E28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Balloon Text"/>
    <w:basedOn w:val="1"/>
    <w:link w:val="22"/>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jc w:val="center"/>
    </w:pPr>
    <w:rPr>
      <w:b/>
      <w:bCs/>
      <w:sz w:val="7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5"/>
    <w:next w:val="14"/>
    <w:qFormat/>
    <w:uiPriority w:val="0"/>
    <w:pPr>
      <w:spacing w:before="0" w:after="120" w:line="240" w:lineRule="auto"/>
      <w:ind w:firstLine="420" w:firstLineChars="100"/>
    </w:pPr>
    <w:rPr>
      <w:rFonts w:ascii="Times New Roman" w:hAnsi="Times New Roman"/>
      <w:sz w:val="21"/>
    </w:rPr>
  </w:style>
  <w:style w:type="paragraph" w:styleId="14">
    <w:name w:val="Body Text First Indent 2"/>
    <w:basedOn w:val="6"/>
    <w:qFormat/>
    <w:uiPriority w:val="0"/>
    <w:pPr>
      <w:spacing w:after="120" w:line="240" w:lineRule="auto"/>
      <w:ind w:left="420" w:leftChars="200" w:firstLine="420" w:firstLineChars="200"/>
    </w:pPr>
    <w:rPr>
      <w:sz w:val="21"/>
    </w:rPr>
  </w:style>
  <w:style w:type="paragraph" w:customStyle="1" w:styleId="17">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8">
    <w:name w:val="Table Paragraph"/>
    <w:basedOn w:val="1"/>
    <w:qFormat/>
    <w:uiPriority w:val="1"/>
    <w:pPr>
      <w:autoSpaceDE w:val="0"/>
      <w:autoSpaceDN w:val="0"/>
      <w:adjustRightInd w:val="0"/>
      <w:jc w:val="left"/>
    </w:pPr>
    <w:rPr>
      <w:rFonts w:eastAsia="等线"/>
      <w:kern w:val="0"/>
      <w:sz w:val="24"/>
    </w:rPr>
  </w:style>
  <w:style w:type="paragraph" w:customStyle="1" w:styleId="19">
    <w:name w:val="列表段落1"/>
    <w:basedOn w:val="1"/>
    <w:qFormat/>
    <w:uiPriority w:val="34"/>
    <w:pPr>
      <w:spacing w:after="160" w:line="278" w:lineRule="auto"/>
      <w:ind w:left="720"/>
      <w:contextualSpacing/>
      <w:jc w:val="left"/>
    </w:pPr>
    <w:rPr>
      <w:sz w:val="22"/>
      <w:szCs w:val="24"/>
    </w:rPr>
  </w:style>
  <w:style w:type="character" w:customStyle="1" w:styleId="20">
    <w:name w:val="页眉 字符"/>
    <w:basedOn w:val="16"/>
    <w:link w:val="10"/>
    <w:qFormat/>
    <w:uiPriority w:val="0"/>
    <w:rPr>
      <w:kern w:val="2"/>
      <w:sz w:val="18"/>
      <w:szCs w:val="18"/>
    </w:rPr>
  </w:style>
  <w:style w:type="character" w:customStyle="1" w:styleId="21">
    <w:name w:val="页脚 字符"/>
    <w:basedOn w:val="16"/>
    <w:link w:val="9"/>
    <w:qFormat/>
    <w:uiPriority w:val="0"/>
    <w:rPr>
      <w:kern w:val="2"/>
      <w:sz w:val="18"/>
      <w:szCs w:val="18"/>
    </w:rPr>
  </w:style>
  <w:style w:type="character" w:customStyle="1" w:styleId="22">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18197</Words>
  <Characters>20470</Characters>
  <Lines>17</Lines>
  <Paragraphs>4</Paragraphs>
  <TotalTime>0</TotalTime>
  <ScaleCrop>false</ScaleCrop>
  <LinksUpToDate>false</LinksUpToDate>
  <CharactersWithSpaces>20772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2022-04-25T05:54:00Z</dcterms:created>
  <dc:creator>吻安</dc:creator>
  <cp:lastModifiedBy>Desperado</cp:lastModifiedBy>
  <cp:lastPrinted>2023-05-18T02:14:00Z</cp:lastPrinted>
  <dcterms:modified xsi:type="dcterms:W3CDTF">2025-12-17T07:32:18Z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F336F6A85BC54F6982258C88260508FC_13</vt:lpwstr>
  </property>
  <property fmtid="{D5CDD505-2E9C-101B-9397-08002B2CF9AE}" pid="4" name="commondata">
    <vt:lpwstr>eyJoZGlkIjoiNTU3MWFmY2JmYjBmNTA2M2Q0ZWY5MzgxYzE5YjliMzUifQ==</vt:lpwstr>
  </property>
  <property fmtid="{D5CDD505-2E9C-101B-9397-08002B2CF9AE}" pid="5" name="KSOTemplateDocerSaveRecord">
    <vt:lpwstr>eyJoZGlkIjoiZDE4OTk5ZDlhMzUyYmRkY2IwZWNjYmIyMGQ4YjIwMmUiLCJ1c2VySWQiOiIyNzA1NTg4NTgifQ==</vt:lpwstr>
  </property>
</Properties>
</file>