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附件一：</w:t>
      </w:r>
    </w:p>
    <w:p>
      <w:pPr>
        <w:pStyle w:val="2"/>
        <w:bidi w:val="0"/>
        <w:jc w:val="center"/>
        <w:rPr>
          <w:rFonts w:hint="eastAsia" w:ascii="宋体" w:hAnsi="宋体" w:eastAsia="宋体" w:cs="宋体"/>
          <w:lang w:val="en-US" w:eastAsia="zh-CN"/>
        </w:rPr>
      </w:pPr>
      <w:r>
        <w:rPr>
          <w:rFonts w:hint="eastAsia" w:ascii="宋体" w:hAnsi="宋体" w:eastAsia="宋体" w:cs="宋体"/>
          <w:lang w:val="en-US" w:eastAsia="zh-CN"/>
        </w:rPr>
        <w:t>清单变更明细表</w:t>
      </w:r>
    </w:p>
    <w:p>
      <w:pPr>
        <w:rPr>
          <w:rFonts w:hint="eastAsia" w:ascii="宋体" w:hAnsi="宋体" w:eastAsia="宋体" w:cs="宋体"/>
          <w:lang w:val="en-US" w:eastAsia="zh-CN"/>
        </w:rPr>
      </w:pPr>
      <w:r>
        <w:rPr>
          <w:rFonts w:hint="eastAsia" w:ascii="宋体" w:hAnsi="宋体" w:eastAsia="宋体" w:cs="宋体"/>
          <w:lang w:val="en-US" w:eastAsia="zh-CN"/>
        </w:rPr>
        <w:t>因采购需求调整，现对采购需求货物清单及技术参数进行了调整，具体要求以变更后清单为准。</w:t>
      </w:r>
    </w:p>
    <w:p>
      <w:pPr>
        <w:rPr>
          <w:rFonts w:hint="eastAsia" w:ascii="宋体" w:hAnsi="宋体" w:eastAsia="宋体" w:cs="宋体"/>
          <w:lang w:val="en-US" w:eastAsia="zh-CN"/>
        </w:rPr>
      </w:pPr>
    </w:p>
    <w:p>
      <w:pPr>
        <w:jc w:val="center"/>
        <w:rPr>
          <w:rFonts w:hint="eastAsia" w:ascii="宋体" w:hAnsi="宋体" w:eastAsia="宋体" w:cs="宋体"/>
          <w:b/>
          <w:bCs/>
          <w:sz w:val="24"/>
          <w:szCs w:val="32"/>
          <w:lang w:val="en-US" w:eastAsia="zh-CN"/>
        </w:rPr>
      </w:pPr>
    </w:p>
    <w:tbl>
      <w:tblPr>
        <w:tblStyle w:val="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0"/>
        <w:gridCol w:w="3321"/>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shd w:val="clear" w:color="auto" w:fill="D7D7D7" w:themeFill="background1" w:themeFillShade="D8"/>
          </w:tcPr>
          <w:p>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原清单</w:t>
            </w:r>
          </w:p>
        </w:tc>
        <w:tc>
          <w:tcPr>
            <w:tcW w:w="3321" w:type="dxa"/>
            <w:shd w:val="clear" w:color="auto" w:fill="D7D7D7" w:themeFill="background1" w:themeFillShade="D8"/>
          </w:tcPr>
          <w:p>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变更后</w:t>
            </w:r>
          </w:p>
        </w:tc>
        <w:tc>
          <w:tcPr>
            <w:tcW w:w="3321" w:type="dxa"/>
            <w:shd w:val="clear" w:color="auto" w:fill="D7D7D7" w:themeFill="background1" w:themeFillShade="D8"/>
          </w:tcPr>
          <w:p>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变更方式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numPr>
                <w:ilvl w:val="0"/>
                <w:numId w:val="1"/>
              </w:num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阅览桌</w:t>
            </w:r>
          </w:p>
        </w:tc>
        <w:tc>
          <w:tcPr>
            <w:tcW w:w="3321" w:type="dxa"/>
          </w:tcPr>
          <w:p>
            <w:pPr>
              <w:rPr>
                <w:rFonts w:hint="eastAsia" w:ascii="宋体" w:hAnsi="宋体" w:eastAsia="宋体" w:cs="宋体"/>
                <w:vertAlign w:val="baseline"/>
              </w:rPr>
            </w:pPr>
          </w:p>
        </w:tc>
        <w:tc>
          <w:tcPr>
            <w:tcW w:w="3321" w:type="dxa"/>
          </w:tcPr>
          <w:p>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第34项、阅览椅，数量为17把</w:t>
            </w:r>
          </w:p>
        </w:tc>
        <w:tc>
          <w:tcPr>
            <w:tcW w:w="3321" w:type="dxa"/>
          </w:tcPr>
          <w:p>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数量 变更为12把</w:t>
            </w:r>
          </w:p>
        </w:tc>
        <w:tc>
          <w:tcPr>
            <w:tcW w:w="3321" w:type="dxa"/>
          </w:tcPr>
          <w:p>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数量变更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rPr>
                <w:rFonts w:hint="eastAsia" w:ascii="宋体" w:hAnsi="宋体" w:eastAsia="宋体" w:cs="宋体"/>
                <w:vertAlign w:val="baseline"/>
                <w:lang w:val="en-US"/>
              </w:rPr>
            </w:pPr>
            <w:r>
              <w:rPr>
                <w:rFonts w:hint="eastAsia" w:ascii="宋体" w:hAnsi="宋体" w:eastAsia="宋体" w:cs="宋体"/>
                <w:vertAlign w:val="baseline"/>
                <w:lang w:val="en-US" w:eastAsia="zh-CN"/>
              </w:rPr>
              <w:t>第40项、定制书架</w:t>
            </w:r>
          </w:p>
        </w:tc>
        <w:tc>
          <w:tcPr>
            <w:tcW w:w="3321" w:type="dxa"/>
          </w:tcPr>
          <w:p>
            <w:pPr>
              <w:rPr>
                <w:rFonts w:hint="eastAsia" w:ascii="宋体" w:hAnsi="宋体" w:eastAsia="宋体" w:cs="宋体"/>
                <w:vertAlign w:val="baseline"/>
              </w:rPr>
            </w:pPr>
          </w:p>
        </w:tc>
        <w:tc>
          <w:tcPr>
            <w:tcW w:w="3321" w:type="dxa"/>
          </w:tcPr>
          <w:p>
            <w:pPr>
              <w:rPr>
                <w:rFonts w:hint="eastAsia" w:ascii="宋体" w:hAnsi="宋体" w:eastAsia="宋体" w:cs="宋体"/>
                <w:vertAlign w:val="baseline"/>
              </w:rPr>
            </w:pPr>
            <w:r>
              <w:rPr>
                <w:rFonts w:hint="eastAsia" w:ascii="宋体" w:hAnsi="宋体" w:eastAsia="宋体" w:cs="宋体"/>
                <w:vertAlign w:val="baseli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rPr>
                <w:rFonts w:hint="eastAsia" w:ascii="宋体" w:hAnsi="宋体" w:eastAsia="宋体" w:cs="宋体"/>
                <w:vertAlign w:val="baseline"/>
                <w:lang w:val="en-US"/>
              </w:rPr>
            </w:pPr>
            <w:r>
              <w:rPr>
                <w:rFonts w:hint="eastAsia" w:ascii="宋体" w:hAnsi="宋体" w:eastAsia="宋体" w:cs="宋体"/>
                <w:vertAlign w:val="baseline"/>
                <w:lang w:val="en-US" w:eastAsia="zh-CN"/>
              </w:rPr>
              <w:t>第53项、定制书架</w:t>
            </w:r>
          </w:p>
        </w:tc>
        <w:tc>
          <w:tcPr>
            <w:tcW w:w="3321" w:type="dxa"/>
          </w:tcPr>
          <w:p>
            <w:pPr>
              <w:rPr>
                <w:rFonts w:hint="eastAsia" w:ascii="宋体" w:hAnsi="宋体" w:eastAsia="宋体" w:cs="宋体"/>
                <w:vertAlign w:val="baseline"/>
              </w:rPr>
            </w:pPr>
          </w:p>
        </w:tc>
        <w:tc>
          <w:tcPr>
            <w:tcW w:w="3321" w:type="dxa"/>
          </w:tcPr>
          <w:p>
            <w:pPr>
              <w:rPr>
                <w:rFonts w:hint="eastAsia" w:ascii="宋体" w:hAnsi="宋体" w:eastAsia="宋体" w:cs="宋体"/>
                <w:vertAlign w:val="baseline"/>
              </w:rPr>
            </w:pPr>
            <w:r>
              <w:rPr>
                <w:rFonts w:hint="eastAsia" w:ascii="宋体" w:hAnsi="宋体" w:eastAsia="宋体" w:cs="宋体"/>
                <w:vertAlign w:val="baseli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rPr>
                <w:rFonts w:hint="eastAsia" w:ascii="宋体" w:hAnsi="宋体" w:eastAsia="宋体" w:cs="宋体"/>
                <w:vertAlign w:val="baseline"/>
                <w:lang w:val="en-US"/>
              </w:rPr>
            </w:pPr>
            <w:r>
              <w:rPr>
                <w:rFonts w:hint="eastAsia" w:ascii="宋体" w:hAnsi="宋体" w:eastAsia="宋体" w:cs="宋体"/>
                <w:vertAlign w:val="baseline"/>
                <w:lang w:val="en-US" w:eastAsia="zh-CN"/>
              </w:rPr>
              <w:t>第54-57项、固装定制书架</w:t>
            </w:r>
          </w:p>
        </w:tc>
        <w:tc>
          <w:tcPr>
            <w:tcW w:w="3321" w:type="dxa"/>
          </w:tcPr>
          <w:p>
            <w:pPr>
              <w:rPr>
                <w:rFonts w:hint="eastAsia" w:ascii="宋体" w:hAnsi="宋体" w:eastAsia="宋体" w:cs="宋体"/>
                <w:vertAlign w:val="baseline"/>
              </w:rPr>
            </w:pPr>
          </w:p>
        </w:tc>
        <w:tc>
          <w:tcPr>
            <w:tcW w:w="3321" w:type="dxa"/>
          </w:tcPr>
          <w:p>
            <w:pPr>
              <w:rPr>
                <w:rFonts w:hint="eastAsia" w:ascii="宋体" w:hAnsi="宋体" w:eastAsia="宋体" w:cs="宋体"/>
                <w:vertAlign w:val="baseline"/>
              </w:rPr>
            </w:pPr>
            <w:r>
              <w:rPr>
                <w:rFonts w:hint="eastAsia" w:ascii="宋体" w:hAnsi="宋体" w:eastAsia="宋体" w:cs="宋体"/>
                <w:vertAlign w:val="baseli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rPr>
                <w:rFonts w:hint="eastAsia" w:ascii="宋体" w:hAnsi="宋体" w:eastAsia="宋体" w:cs="宋体"/>
                <w:vertAlign w:val="baseline"/>
                <w:lang w:val="en-US"/>
              </w:rPr>
            </w:pPr>
            <w:r>
              <w:rPr>
                <w:rFonts w:hint="eastAsia" w:ascii="宋体" w:hAnsi="宋体" w:eastAsia="宋体" w:cs="宋体"/>
                <w:vertAlign w:val="baseline"/>
                <w:lang w:val="en-US" w:eastAsia="zh-CN"/>
              </w:rPr>
              <w:t>第58-59项、固装定制矮柜</w:t>
            </w:r>
          </w:p>
        </w:tc>
        <w:tc>
          <w:tcPr>
            <w:tcW w:w="3321" w:type="dxa"/>
          </w:tcPr>
          <w:p>
            <w:pPr>
              <w:rPr>
                <w:rFonts w:hint="eastAsia" w:ascii="宋体" w:hAnsi="宋体" w:eastAsia="宋体" w:cs="宋体"/>
                <w:vertAlign w:val="baseline"/>
              </w:rPr>
            </w:pPr>
          </w:p>
        </w:tc>
        <w:tc>
          <w:tcPr>
            <w:tcW w:w="3321" w:type="dxa"/>
          </w:tcPr>
          <w:p>
            <w:pPr>
              <w:rPr>
                <w:rFonts w:hint="eastAsia" w:ascii="宋体" w:hAnsi="宋体" w:eastAsia="宋体" w:cs="宋体"/>
                <w:vertAlign w:val="baseline"/>
              </w:rPr>
            </w:pPr>
            <w:r>
              <w:rPr>
                <w:rFonts w:hint="eastAsia" w:ascii="宋体" w:hAnsi="宋体" w:eastAsia="宋体" w:cs="宋体"/>
                <w:vertAlign w:val="baseli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第60项、水吧柜</w:t>
            </w:r>
          </w:p>
        </w:tc>
        <w:tc>
          <w:tcPr>
            <w:tcW w:w="3321" w:type="dxa"/>
          </w:tcPr>
          <w:p>
            <w:pPr>
              <w:rPr>
                <w:rFonts w:hint="eastAsia" w:ascii="宋体" w:hAnsi="宋体" w:eastAsia="宋体" w:cs="宋体"/>
                <w:vertAlign w:val="baseline"/>
              </w:rPr>
            </w:pPr>
          </w:p>
        </w:tc>
        <w:tc>
          <w:tcPr>
            <w:tcW w:w="3321" w:type="dxa"/>
          </w:tcPr>
          <w:p>
            <w:pPr>
              <w:rPr>
                <w:rFonts w:hint="eastAsia" w:ascii="宋体" w:hAnsi="宋体" w:eastAsia="宋体" w:cs="宋体"/>
                <w:vertAlign w:val="baseline"/>
              </w:rPr>
            </w:pPr>
            <w:r>
              <w:rPr>
                <w:rFonts w:hint="eastAsia" w:ascii="宋体" w:hAnsi="宋体" w:eastAsia="宋体" w:cs="宋体"/>
                <w:vertAlign w:val="baseli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第63项、沙发凳</w:t>
            </w:r>
          </w:p>
        </w:tc>
        <w:tc>
          <w:tcPr>
            <w:tcW w:w="3321" w:type="dxa"/>
          </w:tcPr>
          <w:p>
            <w:pPr>
              <w:rPr>
                <w:rFonts w:hint="eastAsia" w:ascii="宋体" w:hAnsi="宋体" w:eastAsia="宋体" w:cs="宋体"/>
                <w:vertAlign w:val="baseline"/>
              </w:rPr>
            </w:pPr>
          </w:p>
        </w:tc>
        <w:tc>
          <w:tcPr>
            <w:tcW w:w="3321" w:type="dxa"/>
          </w:tcPr>
          <w:p>
            <w:pPr>
              <w:rPr>
                <w:rFonts w:hint="eastAsia" w:ascii="宋体" w:hAnsi="宋体" w:eastAsia="宋体" w:cs="宋体"/>
                <w:vertAlign w:val="baseline"/>
              </w:rPr>
            </w:pPr>
            <w:r>
              <w:rPr>
                <w:rFonts w:hint="eastAsia" w:ascii="宋体" w:hAnsi="宋体" w:eastAsia="宋体" w:cs="宋体"/>
                <w:vertAlign w:val="baseli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0" w:type="dxa"/>
          </w:tcPr>
          <w:p>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第66项、桌子</w:t>
            </w:r>
          </w:p>
        </w:tc>
        <w:tc>
          <w:tcPr>
            <w:tcW w:w="3321" w:type="dxa"/>
          </w:tcPr>
          <w:p>
            <w:pPr>
              <w:rPr>
                <w:rFonts w:hint="eastAsia" w:ascii="宋体" w:hAnsi="宋体" w:eastAsia="宋体" w:cs="宋体"/>
                <w:vertAlign w:val="baseline"/>
              </w:rPr>
            </w:pPr>
          </w:p>
        </w:tc>
        <w:tc>
          <w:tcPr>
            <w:tcW w:w="3321" w:type="dxa"/>
          </w:tcPr>
          <w:p>
            <w:pPr>
              <w:rPr>
                <w:rFonts w:hint="eastAsia" w:ascii="宋体" w:hAnsi="宋体" w:eastAsia="宋体" w:cs="宋体"/>
                <w:vertAlign w:val="baseline"/>
              </w:rPr>
            </w:pPr>
            <w:r>
              <w:rPr>
                <w:rFonts w:hint="eastAsia" w:ascii="宋体" w:hAnsi="宋体" w:eastAsia="宋体" w:cs="宋体"/>
                <w:vertAlign w:val="baseline"/>
                <w:lang w:val="en-US" w:eastAsia="zh-CN"/>
              </w:rPr>
              <w:t>删除</w:t>
            </w:r>
          </w:p>
        </w:tc>
      </w:tr>
    </w:tbl>
    <w:p>
      <w:pPr>
        <w:rPr>
          <w:rFonts w:hint="default"/>
          <w:lang w:val="en-US" w:eastAsia="zh-CN"/>
        </w:rPr>
        <w:sectPr>
          <w:pgSz w:w="11906" w:h="16838"/>
          <w:pgMar w:top="1440" w:right="1080" w:bottom="1440" w:left="1080" w:header="851" w:footer="992" w:gutter="0"/>
          <w:cols w:space="425" w:num="1"/>
          <w:docGrid w:type="lines" w:linePitch="312" w:charSpace="0"/>
        </w:sectPr>
      </w:pPr>
    </w:p>
    <w:p>
      <w:pPr>
        <w:rPr>
          <w:rFonts w:hint="eastAsia"/>
          <w:b/>
          <w:bCs/>
          <w:lang w:val="en-US" w:eastAsia="zh-CN"/>
        </w:rPr>
      </w:pPr>
      <w:r>
        <w:rPr>
          <w:rFonts w:hint="eastAsia"/>
          <w:b/>
          <w:bCs/>
          <w:lang w:val="en-US" w:eastAsia="zh-CN"/>
        </w:rPr>
        <w:t>变更后需求清单</w:t>
      </w:r>
    </w:p>
    <w:tbl>
      <w:tblPr>
        <w:tblStyle w:val="4"/>
        <w:tblW w:w="141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987"/>
        <w:gridCol w:w="1064"/>
        <w:gridCol w:w="1254"/>
        <w:gridCol w:w="9150"/>
        <w:gridCol w:w="9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样品</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技术参数</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班台</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1600x800x750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1、基材：#优质环保刨花板，甲醛释放量满足</w:t>
            </w:r>
            <w:bookmarkStart w:id="0" w:name="_GoBack"/>
            <w:bookmarkEnd w:id="0"/>
            <w:r>
              <w:rPr>
                <w:rFonts w:hint="eastAsia" w:ascii="宋体" w:hAnsi="宋体" w:eastAsia="宋体" w:cs="宋体"/>
                <w:i w:val="0"/>
                <w:iCs w:val="0"/>
                <w:color w:val="000000"/>
                <w:kern w:val="0"/>
                <w:sz w:val="21"/>
                <w:szCs w:val="21"/>
                <w:u w:val="none"/>
                <w:lang w:val="en-US" w:eastAsia="zh-CN" w:bidi="ar"/>
              </w:rPr>
              <w:t>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 xml:space="preserve">，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条：#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连接件：#采用优质三合一，锁紧角度175-185度，偏心体抗压强度≥350N，预埋螺母抗拉强度≥1150N，中连接螺杆螺纹与预埋螺纹的抗拉强度≥3050N，三合一偏心连接件中偏心体与连接螺杆的扭矩≥10N.m，耐腐蚀600h乙酸盐雾达到10级标准，720h中性盐雾达到10级标准。</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高背</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层：#采用优质头层牛皮，游离甲醛含量≤1.5mg/kg，挥发性有机物（VOC）≤10mg/kg，6.0≥pH值≥5.0，涂层粘着牢度≥4.5N/10mm，撕裂力≥100N，禁用偶氮染料含量不得检出，可萃取的重金属铅≤2mg/kg，可萃取的重金属镉≤2.5mg/kg，气味≤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泡棉：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机构：#符合QB/T 5619-2021《转椅底盘》、GB/T 10125-2021；QB/T3832-1999标准，无深度大于10mm的可触及的孔及间隙，无可接触的活动部件间的间隙，具有隔离措施，钢板厚度3mm，耐腐蚀600h乙酸盐雾达到10级标准，720h中性盐雾达到10级标准。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气压棒：#优质品牌气压棒，卡阻检测动态摩擦力最大值≤40N,伸展速度100-120mm/s，高低温存储性能衰减量≤0.5%，经过高低温储存性能试验的气弹簧应能承受30000次循环寿命试验试验后公称力的总衰减量应≤6%，动态摩擦力≤45N,无卡阻现象，在3倍锁定力拉伸作用下,保持5min,无肢解分离。气弹簧锁定在任意位置，经72h常温储存后，活塞杆不应产生位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五星脚：实木盖板，内衬钢制五星脚架,半径≥350mm, 尼龙纤维合成脚轮。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油漆：选用优质品牌环保水性漆,非显孔亚光，两面均衡油饰,漆膜附着力达到1级，耐磨、耐温性能强。</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800x400x2000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4、铰链：采用优质品牌铰链，其中操作力、垂直静载荷、水平静载荷、耐久性（80000次）、均检测合格，下沉量≤1mm，600h乙酸盐雾和720h中性盐雾：无锈点10级；</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800x400x2000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4、铰链：采用优质品牌铰链，其中操作力、垂直静载荷、水平静载荷、耐久性（80000次）、均检测合格，下沉量≤1mm，600h乙酸盐雾和720h中性盐雾：无锈点10级；</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800x400x2000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4、铰链：采用优质品牌铰链，其中操作力、垂直静载荷、水平静载荷、耐久性（80000次）、均检测合格，下沉量≤1mm，600h乙酸盐雾和720h中性盐雾：无锈点10级；</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三人位</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层：#采用优质头层牛皮，游离甲醛含量≤1.5mg/kg，挥发性有机物（VOC）≤10mg/kg，6.0≥pH值≥5.0，涂层粘着牢度≥4.5N/10mm，撕裂力≥100N，禁用偶氮染料含量不得检出，可萃取的重金属铅≤2mg/kg，可萃取的重金属镉≤2.5mg/kg，气味≤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泡棉：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油漆：选用水性油漆,非显孔亚光，两面均衡油饰,漆膜附着力达到1级，耐磨、耐温性能强。</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1200x600x450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提供样品</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学生课桌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（核心产品）</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600x400x（640-760）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1、桌面板材质:#优质环保刨花板，甲醛释放量满足ENF级，苯、甲苯、二甲苯≤5μg/m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B1级标准。四边注塑封边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2、规格:600Wx400D;</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3、样式:桌面四角倒圆角设计，前端托手斜45℃设计，后端中间部位配凹形笔槽设计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4、书箱采用优质冷轧钢板;规格450Wx300Dx:底部前端配10mm高加强筋。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桌脚钢架:桌脚外管立柱采用60x30x1.5mm椭圆形宝钢冷轧钢管;桌脚升降立柱采用50x25mmx1.5mm椭圆形宝钢冷轧钢管，并具有手摇式升降调节高度功能，外侧方配有激光雕刻成型的国标刻度;桌脚拉杆采用50x25mmx1.5mm椭圆形宝钢冷轧钢管，抽芯弯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6、#采用壁厚1.5mm优质钢管，依据参照GB/T 10125-2021《人造气氛腐蚀试验 盐雾试验》QB/T3832-1999《轻工产品金属镀层腐蚀试验 结果的评价》标准检测。中性盐雾试验720h无锈点10级，乙酸盐雾试验600h无锈点10级。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7、#课桌成品性能检测要求:执行QB/T 4071-2021《课桌椅》、GB/T 35607-2024《绿色产品评价 家具》标准:检测内容须包含:外观，主要尺寸和尺寸偏差，形状与位置公差、安装尺寸偏差，安全要求，表面理化性能要求，力学性能等，其中附着力≥1级、抗冲击≥2级、甲醛释放量≤0.25mg/L，锑、砷、钡、镉、铬、铅、汞、硒等不得检出，甲醛、苯、甲苯、二甲苯均≤0.005m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，TVOC≤0.02mg/m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。(提供具有CNAS或CMA标识的市场监督部门认定的检测报告复印件并加盖制造商公章)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配置：钢腿中间要求带U型钢梁。手摇升降。</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提供样品</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（核心产品）</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385x405x(360-440)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椅子材质：高度为340-440 mm(±5mm)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PP工程塑料一次压铸成型、两边有与椅架固定的专用卡槽、卡槽宽28mm(±3mm)、长180mm(±3mm)，靠背与钢管结合方式，得需采用直插式；椅背中部有3列54个圆形冲孔、其中有9个为圆形半冲孔、两边分别有4列或以上椭圆形全冲孔，椅背宽：416mm(±5mm)、高350mm(±5mm)、提手宽101mm(±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座：采用PP工程塑料一次压铸成、两边有与椅架固定的专用卡槽、卡槽宽28mm(±3mm)、长305mm(±5mm)，其中包裹钢管卡槽有145mm(±5mm)长；座板与钢管结合方式，得需采用直插式，椅座中部有3列63个圆形冲孔、其中有9个为圆形半冲孔、两边分别有4列或以上椭圆形全冲孔，椅座宽：430mm(±5mm)、长425mm(±5mm)，椅座下面有6条大体上平行的加强筋（边部不算）、加强筋中间位置的最大内空距离为：65mm(±3mm)、64mm(±2mm)、68mm(±2mm)、62mm(±2mm)、74(±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3）椅架：椭圆形钢管：底脚为60x30x1.2mm连接50x25x1.2mm钢管，并具有手摇式升降调节高度功能，采用氩弧焊焊接，高度为340-440 mm(±5mm)，椅子钢管：内、外管采用椭圆形钢管。椅子管材表面涂装：钢管架，表面经酸洗、脱脂、磷化处理、耐腐蚀、防锈。外表采用颗粒粉末，经高温粉末烤漆。                                                                                                   配置：#要求必须设计可以实现轻松存放、拿取Pad平板的位置。</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提供样品              （4门书包柜）</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异形定制书包柜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4600x450x1050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检验依据:QB/T4463-2013《家具用封边条技术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连接件：#采用优质三合一，锁紧角度175-185度，偏心体抗压强度≥350N，预埋螺母抗拉强度≥1150N，中连接螺杆螺纹与预埋螺纹的抗拉强度≥3050N，三合一偏心连接件中偏心体与连接螺杆的扭矩≥10N.m，耐腐蚀600h乙酸盐雾达到10级标准，720h中性盐雾达到10级标准。检验依据：符合GB/T 28203-2011《家具用连接件技术要求及试验方法》、GB/T 10125-2021《人造气氛腐蚀试验 盐雾试验》。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4、配置：书包柜按照使用方实际需求28-30门均分设计，带柜门，顶板配优质环保石英石台面。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5、5、#异形定制书包柜成品性能检测要求:执行GB18584-2001《室内装饰装修材料 木家具中有害物质限量》、GB/T 35607-2024《绿色产品评价 家具》标准:检测内容须包含:外观，力学性能等，其中甲醛释放量≤0.25mg/L，锑、砷、钡、镉、铬、铅、汞、硒等不得检出，TVOC≤0.02mg/m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。(提供具有CNAS或CMA标识的市场监督部门认定的异形定制书包柜检测报告复印件并加盖制造商公章)</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1200x600x750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 xml:space="preserve">，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封边条：#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连接件：#采用优质三合一，锁紧角度175-185度，偏心体抗压强度≥350N，预埋螺母抗拉强度≥1150N，中连接螺杆螺纹与预埋螺纹的抗拉强度≥3050N，三合一偏心连接件中偏心体与连接螺杆的扭矩≥10N.m，耐腐蚀600h乙酸盐雾达到10级标准，720h中性盐雾达到10级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配置：钢制开模桌脚：1.5mm壁厚扁圆“八”字造型管设计，中上位置加横梁，加冲孔钢板（钢板需按照使用单位要求图案做激光雕刻）；桌面下配1.5mm壁厚钢梁。                                                                                                  桌面：采用45度斜边工艺。桌面配阻尼线盒。                                                                                                                                                                             桌屏系统：钢制开模多功能屏风梁；功能梁设计说明：两端1.5mm圆管立柱，用于与桌面固定连接；中间开槽用于夹木制桌屏；双面设计有一定的储物功能，方便用户存放手机、便利贴、笔等日常文具；一端加装椭圆形双层钢制储物盒。                                                                                                                                                             办公桌要与储物柜可以组合使用，并且共同完成走线功能的设计要求。</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400x500x625</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储物柜:规格尺寸要根据甲方实际需求制作。储物柜底部采用万向轮或调平脚设计。                                                                                                                                                                                                                                                                         材质：#优质环保刨花板，甲醛释放量满足ENF级，苯、甲苯、二甲苯≤5μg/m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 xml:space="preserve">，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封边条：#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导轨：采用优质品牌导轨，其中操作力、耐久性（80000次）、垂直向下静载荷、水平侧向静载荷、拉出安全性、猛开或猛关、均检测合格，抽屉导轨组件底部变形量≤1mm,下沉量≤0.7%，600h乙酸盐雾和720h中性盐雾：无锈点10级。                                                                                                                                                                   拉手：一次成型内嵌抠手（颜色可选）或采用斜切边隐藏拉手。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锁具：品牌优质三级管理锁具，万能及可换锁芯功能，黑色及水晶折叠顺畅钥匙，锁头不锈钢包边处理或采用机械密码锁。                                                                                                                        储物柜：整体多种颜色做配色；顶板三面做出沿设计；一端主机箱带柜门，可选配钢制层板，层板采用优质一级冷轧钢板，钢板厚度0.8mm；所有金属表面处理剂，经除油、除锈、除脂后，环氧树脂环保塑粉，静电喷塑处理，环保健康0甲醛；一端抽屉+空格配密码锁。                                                                                                                     储物柜要与办公桌可以组合使用，并且共同完成走线功能的设计要求。</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1400x700x750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 xml:space="preserve">，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封边条：#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连接件：#采用优质三合一，锁紧角度175-185度，偏心体抗压强度≥350N，预埋螺母抗拉强度≥1150N，中连接螺杆螺纹与预埋螺纹的抗拉强度≥3050N，三合一偏心连接件中偏心体与连接螺杆的扭矩≥10N.m，耐腐蚀600h乙酸盐雾达到10级标准，720h中性盐雾达到10级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配置：钢制开模桌脚：1.5mm壁厚扁圆“八”字造型管设计，中上位置加横梁，加冲孔钢板（钢板需按照使用单位要求图案做激光雕刻）；桌面下配1.5mm壁厚钢梁。                                                                                                  桌面：采用45度斜边工艺。桌面配阻尼线盒。                                                                                                                                                                             桌屏系统：钢制开模多功能屏风梁；功能梁设计说明：两端1.5mm圆管立柱，用于与桌面固定连接；中间开槽用于夹木制桌屏；双面设计有一定的储物功能，方便用户存放手机、便利贴、笔等日常文具；一端加装椭圆形双层钢制储物盒。                                                                      办公桌要与储物柜可以组合使用，并且共同完成走线功能的设计要求。       </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400x500x625</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储物柜:规格尺寸要根据甲方实际需求制作。储物柜底部采用万向轮或调平脚设计。                                                                                                                                                                                                                                                                         材质：#优质环保刨花板，甲醛释放量满足ENF级，苯、甲苯、二甲苯≤5μg/m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 xml:space="preserve">，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封边条：#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导轨：采用优质品牌导轨，其中操作力、耐久性（80000次）、垂直向下静载荷、水平侧向静载荷、拉出安全性、猛开或猛关、均检测合格，抽屉导轨组件底部变形量≤1mm,下沉量≤0.7%，600h乙酸盐雾和720h中性盐雾：无锈点10级。                                                                                                                                                                   拉手：一次成型内嵌抠手（颜色可选）或采用斜切边隐藏拉手。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锁具：品牌优质三级管理锁具，万能及可换锁芯功能，黑色及水晶折叠顺畅钥匙，锁头不锈钢包边处理或采用机械密码锁。                                                                                                                        储物柜：整体多种颜色做配色；顶板三面做出沿设计；一端主机箱带柜门，可选配钢制层板，层板采用优质一级冷轧钢板，钢板厚度0.8mm；所有金属表面处理剂，经除油、除锈、除脂后，环氧树脂环保塑粉，静电喷塑处理，环保健康0甲醛；一端抽屉+空格配密码锁。                                                                                                                     储物柜要与办公桌可以组合使用，并且共同完成走线功能的设计要求。</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高背</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料：#采用优质品牌网布面料，甲醛含量≤20mg/kg，pH值4-5，可分解致癌芳香胺染料：未检出，锑、砷、铅、镉、铬、六价铬、钴、铜、镍、汞、总铅、总镉不得检出，无异味、阻燃性：通过香烟抗引燃试验（无续燃、阴燃）。检验依据符合GB/T 18885-2020《生态纺织品技术要求》、GB18401-2010《国家纺织产品基本安全技术规范》。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底盘机构：#符合QB/T 5619-2021《转椅底盘》、GB/T 10125-2021；QB/T3832-1999标准，无深度大于10mm的可触及的孔及间隙，无可接触的活动部件间的间隙，具有隔离措施，钢板厚度3mm，耐腐蚀600h乙酸盐雾达到10级标准，720h中性盐雾达到10级标准。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气压棒：#优质品牌气压棒，卡阻检测动态摩擦力最大值≤40N,伸展速度100-120mm/s，高低温存储性能衰减量≤0.5%，经过高低温储存性能试验的气弹簧应能承受30000次循环寿命试验试验后公称力的总衰减量应≤6%，动态摩擦力≤45N,无卡阻现象，在3倍锁定力拉伸作用下,保持5min,无肢解分离。气弹簧锁定在任意位置，经72h常温储存后，活塞杆不应产生位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配置功能：                                                                                                                   头枕：曲面3D头枕，可上下升降、前后翻转，适配不同身高人群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腰托：可上下升降，双侧随动浮翼腰托，撑住双侧腰肌；超大尺寸海绵材质，全方位包裹支撑；分段式腰靠人体工学贴合背部，超过 35% 面支撑背部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椅座：高密度定型海绵一体成型设计，椅座带底壳。                                                                           椅背：座背联动多角度倾仰，椅背可最大145°后仰，三档倾仰锁定搭配脚托惬意午休，后仰时扶手同步驱动 , 端坐、后仰自如切换。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定型棉脚踏：隐藏伸缩就静音脚踏，高密度定型海绵一体成型设计，180度可翻转收纳，翻转调整贴合腿部曲线。 尼龙五星脚，60黑色PU静音轮。</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提供样品</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文件柜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900x400x1850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材质：#采用优质一级冷轧钢板，钢板厚度1.5mm，乙酸盐雾600h无锈点，达到10级，中性盐雾720h无锈点，达到10级，硬度≥3H，规定塑性延伸强度≤210MPa，抗拉强度310-330MPa,断后伸长率≥36%；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拉手：一次成型内嵌抠手（颜色可选）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锁具：#采用优质锁具，弹珠设计，开关灵活顺畅，锁舌伸出长度不少于6mm，600h乙酸盐雾和720h中性盐雾：无锈点10级；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合页：#采用优质品牌铰链，其中操作力、垂直静载荷、水平静载荷、耐久性（80000次）、均检测合格，下沉量≤1mm，600h乙酸盐雾和720h中性盐雾：无锈点10级；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底脚：柜体底部配置塑料可调垫脚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结构：整体整装，柜体薄边设计；所有边缘三折弯处理；层板及门板内均设加强筋，门外设标签框。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配置：根据实际使用需求增加挂衣功能，柜门全部采用钢制门板，整面柜门全部采用激光冲孔设计，孔的直径、间距需均匀一致，确保视觉美观与通风等功能性需求，门内配层板。</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顶柜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900x400x400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材质：#采用优质一级冷轧钢板，钢板厚度1.5mm，乙酸盐雾600h无锈点，达到10级，中性盐雾720h无锈点，达到10级，硬度≥3H，规定塑性延伸强度≤210MPa，抗拉强度310-330MPa,断后伸长率≥36%；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拉手：一次成型内嵌抠手（颜色可选）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锁具：#采用优质锁具，弹珠设计，开关灵活顺畅，锁舌伸出长度不少于6mm，600h乙酸盐雾和720h中性盐雾：无锈点10级；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合页：#采用优质品牌铰链，其中操作力、垂直静载荷、水平静载荷、耐久性（80000次）、均检测合格，下沉量≤1mm，600h乙酸盐雾和720h中性盐雾：无锈点10级；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结构：整体整装，柜体薄边设计；所有边缘三折弯处理；层板及门板内均设加强筋，门外设标签框。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配置：柜门全部采用钢制门板，整面柜门全部采用激光冲孔设计，孔的直径、间距需均匀一致，确保视觉美观与通风等功能性需求。</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医务室诊床</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1900x600x650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表面优质医用皮革覆面，内衬高回弹海绵。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桌架：采用1.5mm壁厚优质钢架，静电喷涂。                                           </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矮柜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1200x400x1200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材质：#采用优质一级冷轧钢板，钢板厚度1.5mm，乙酸盐雾600h无锈点，达到10级，中性盐雾720h无锈点，达到10级，硬度≥3H，规定塑性延伸强度≤210MPa，抗拉强度310-330MPa,断后伸长率≥36%；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拉手：一次成型内嵌抠手（颜色可选）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锁具：#采用优质锁具，弹珠设计，开关灵活顺畅，锁舌伸出长度不少于6mm，600h乙酸盐雾和720h中性盐雾：无锈点10级；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合页：#采用优质品牌铰链，其中操作力、垂直静载荷、水平静载荷、耐久性（80000次）、均检测合格，下沉量≤1mm，600h乙酸盐雾和720h中性盐雾：无锈点10级；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底脚：柜体底部配置塑料可调垫脚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结构：整体整装，柜体薄边设计；所有边缘三折弯处理；层板及门板内均设加强筋，门外设标签框。对开门+单开门，门内各二块可调活动层板。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配置：矮柜带花槽设计。</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4500x1600x750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连接件：#采用优质三合一，锁紧角度175-185度，偏心体抗压强度≥350N，预埋螺母抗拉强度≥1150N，中连接螺杆螺纹与预埋螺纹的抗拉强度≥3050N，三合一偏心连接件中偏心体与连接螺杆的扭矩≥10N.m，耐腐蚀600h乙酸盐雾达到10级标准，720h中性盐雾达到10级标准。</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高背</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层：#采用优质头层牛皮，游离甲醛含量≤1.5mg/kg，挥发性有机物（VOC）≤10mg/kg，6.0≥pH值≥5.0，涂层粘着牢度≥4.5N/10mm，撕裂力≥100N，禁用偶氮染料含量不得检出，可萃取的重金属铅≤2mg/kg，可萃取的重金属镉≤2.5mg/kg，气味≤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泡棉：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机构：#符合QB/T 5619-2021《转椅底盘》、GB/T 10125-2021；QB/T3832-1999标准，无深度大于10mm的可触及的孔及间隙，无可接触的活动部件间的间隙，具有隔离措施，钢板厚度3mm，耐腐蚀600h乙酸盐雾达到10级标准，720h中性盐雾达到10级标准。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气压棒：#优质品牌气压棒，卡阻检测动态摩擦力最大值≤40N,伸展速度100-120mm/s，高低温存储性能衰减量≤0.5%，经过高低温储存性能试验的气弹簧应能承受30000次循环寿命试验试验后公称力的总衰减量应≤6%，动态摩擦力≤45N,无卡阻现象，在3倍锁定力拉伸作用下,保持5min,无肢解分离。气弹簧锁定在任意位置，经72h常温储存后，活塞杆不应产生位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五星脚：实木盖板，内衬钢制五星脚架,半径≥350mm, 尼龙纤维合成脚轮。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油漆：选用水性油漆,非显孔亚光，两面均衡油饰,漆膜附着力达到1级，耐磨、耐温性能强。</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中背</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层：#采用优质头层牛皮，游离甲醛含量≤1.5mg/kg，挥发性有机物（VOC）≤10mg/kg，6.0≥pH值≥5.0，涂层粘着牢度≥4.5N/10mm，撕裂力≥100N，禁用偶氮染料含量不得检出，可萃取的重金属铅≤2mg/kg，可萃取的重金属镉≤2.5mg/kg，气味≤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泡棉：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优质电镀扶手，1.8mm厚电镀弓形架。                                                                                                                                                                                            </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固装定制矮柜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4460x450x850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（配石英石台面）</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其它要求：根据使用单位的要求以及实际现场空间出深化图，定制完成，做好收口；台面配优质环保石英石台面，三面做挡沿。</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3200x1200x750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连接件：#采用优质三合一，锁紧角度175-185度，偏心体抗压强度≥350N，预埋螺母抗拉强度≥1150N，中连接螺杆螺纹与预埋螺纹的抗拉强度≥3050N，三合一偏心连接件中偏心体与连接螺杆的扭矩≥10N.m，耐腐蚀600h乙酸盐雾达到10级标准，720h中性盐雾达到10级标准。</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高背</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层：#采用优质头层牛皮，游离甲醛含量≤1.5mg/kg，挥发性有机物（VOC）≤10mg/kg，6.0≥pH值≥5.0，涂层粘着牢度≥4.5N/10mm，撕裂力≥100N，禁用偶氮染料含量不得检出，可萃取的重金属铅≤2mg/kg，可萃取的重金属镉≤2.5mg/kg，气味≤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泡棉：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机构：#符合QB/T 5619-2021《转椅底盘》、GB/T 10125-2021；QB/T3832-1999标准，无深度大于10mm的可触及的孔及间隙，无可接触的活动部件间的间隙，具有隔离措施，钢板厚度3mm，耐腐蚀600h乙酸盐雾达到10级标准，720h中性盐雾达到10级标准。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气压棒：#优质品牌气压棒，卡阻检测动态摩擦力最大值≤40N,伸展速度100-120mm/s，高低温存储性能衰减量≤0.5%，经过高低温储存性能试验的气弹簧应能承受30000次循环寿命试验试验后公称力的总衰减量应≤6%，动态摩擦力≤45N,无卡阻现象，在3倍锁定力拉伸作用下,保持5min,无肢解分离。气弹簧锁定在任意位置，经72h常温储存后，活塞杆不应产生位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五星脚：实木盖板，内衬钢制五星脚架,半径≥350mm, 尼龙纤维合成脚轮。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油漆：选用水性油漆,非显孔亚光，两面均衡油饰,漆膜附着力达到1级，耐磨、耐温性能强。</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中背</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层：#采用优质头层牛皮，游离甲醛含量≤1.5mg/kg，挥发性有机物（VOC）≤10mg/kg，6.0≥pH值≥5.0，涂层粘着牢度≥4.5N/10mm，撕裂力≥100N，禁用偶氮染料含量不得检出，可萃取的重金属铅≤2mg/kg，可萃取的重金属镉≤2.5mg/kg，气味≤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泡棉：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优质电镀扶手，1.8mm厚电镀弓形架。                                                                                                                                                                                            </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固装定制矮柜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6260x350x850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（配石英石台面）</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其它要求：根据使用单位的要求以及实际现场空间出深化图，定制完成，做好收口；台面配优质环保石英石台面，三面做挡沿。</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21"/>
                <w:szCs w:val="21"/>
                <w:u w:val="none"/>
              </w:rPr>
            </w:pPr>
            <w:r>
              <w:rPr>
                <w:rFonts w:hint="eastAsia" w:ascii="宋体" w:hAnsi="宋体" w:eastAsia="宋体" w:cs="宋体"/>
                <w:b/>
                <w:bCs/>
                <w:i w:val="0"/>
                <w:iCs w:val="0"/>
                <w:color w:val="FF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固装定制柜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4500x400x2400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连接件：#采用优质三合一，锁紧角度175-185度，偏心体抗压强度≥350N，预埋螺母抗拉强度≥1150N，中连接螺杆螺纹与预埋螺纹的抗拉强度≥3050N，三合一偏心连接件中偏心体与连接螺杆的扭矩≥10N.m，耐腐蚀600h乙酸盐雾达到10级标准，720h中性盐雾达到10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其它要求：根据使用单位的要求以及实际现场空间出深化图，定制完成，做好收口。</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固装异形定制书架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26020x350x2400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（详细尺寸具根据现场测量深化）</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4、所有硬包采用优质超纤皮覆面，内衬高密度海绵。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功能计要求说明：实际房间长8.4米，宽7米高按照设计要求到顶。固装定制书架要按照设计效果图制作：房间四个角做圆弧卡座阅读区，卡座做超纤皮软包，配抱枕；其余位置做固装定制书架。书架要求包3个窗户（窗口内上下、左右加装蓝色金属钢板），1个垭口，1个对开门。房间内圆弧卡座、固装定制书架要求做成整体，分段接口处做好收口处理。厂家需根据实际情况进行现场放样做模板，出深化设计图并配合设计、施工单位完成。详见设计效果图1。</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异形定制矮柜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5020x600x460（详细尺寸具根据现场测量深化）</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4、所有硬包采用优质超纤皮覆面，内衬高密度海绵。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功能计要求说明：定制矮柜要按照设计效果图制作：半弧形矮柜宽600mm，一半做空格书架，一半做软包沙发凳（实木框架，高密度海绵，外包超纤皮），交叉递增设计。厂家需根据实际情况进行现场放样做模板，出深化设计图并配合设计、施工单位完成。详见设计效果图1。</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异形定制矮柜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3210x600x460（详细尺寸具根据现场测量深化）</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4、所有硬包采用优质超纤皮覆面，内衬高密度海绵。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功能计要求说明：定制矮柜要按照设计效果图制作：半弧形矮柜宽600mm，一半做空格书架，一半做软包沙发凳（实木框架，高密度海绵，外包超纤皮），交叉递增设计。厂家需根据实际情况进行现场放样做模板，出深化设计图并配合设计、施工单位完成。详见设计效果图1。</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5275x350x760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桌面全部采用36mm厚板材制作；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4、其它要求：阅览桌要按照设计要求制作，厂家需根据实际情况进行现场放样做模板，出深化设计图并配合设计、施工单位完成。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520x460x840/740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座：ABS注塑壳韧性和强度较好；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脚架：采用榉木木皮，高温压制而成， E1 级环保标准，释放量≤1.5mg/m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，厚度≥15MM 。密度≥ 600KG/m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，含水率：6-9%。不变形、不虫蛀、不霉变。</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1400x350x2400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3、功能计要求说明：定制书架现场需要与墙面固定，做好收口。                                               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1970x350x2400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3、功能计要求说明：定制书架现场需要与墙面固定，做好收口。                                               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1800x350x2400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3、功能计要求说明：定制书架现场需要与墙面固定，做好收口。                                               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1870x350x2400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3、功能计要求说明：定制书架现场需要与墙面固定，做好收口。                                               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1600x350x2400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3功能计要求说明：定制书架现场需要与墙面固定，做好收口。                                               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39</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1500x350x2400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3、功能计要求说明：定制书架现场需要与墙面固定，做好收口。                                               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2800x350x2400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3、功能计要求说明：定制书架现场需要与墙面固定，做好收口。                                               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1400x600x2400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3、功能计要求说明：定制书架现场需要与墙面固定，做好收口。                                               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1970x600x2400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注：中立全部采用18mm厚板材制作，横向隔板全部采用30mm厚板材制作；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3、功能计要求说明：定制书架现场需要与墙面固定，做好收口。                                               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730x750x760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内框架：实木框架配多层夹板装钉而成；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海绵：#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面料：可选布艺/西皮；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五金：黑色喷涂钢脚架；</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异形沙发凳</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700x700x400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内框架：实木框架配多层夹板装钉而成；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海绵：#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 xml:space="preserve">，甲醛释放量未检出，TVOC≤0.05mg/m2，，放置点燃香烟后1小时内未观察到试样表面或内部出现任何续燃、阴燃想象；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承重弹力结构：坐垫为标准间距蛇形簧+平衡进口橡筋+面布；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面料：可选布艺/西皮；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五金：黑色塑料防滑脚垫</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异形沙发凳</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550x550x400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内框架：实木框架配多层夹板装钉而成；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海绵：#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 xml:space="preserve">，甲醛释放量未检出，TVOC≤0.05mg/m2，，放置点燃香烟后1小时内未观察到试样表面或内部出现任何续燃、阴燃想象；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承重弹力结构：坐垫为标准间距蛇形簧+平衡进口橡筋+面布；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面料：可选布艺/西皮；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五金：黑色塑料防滑脚垫</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直径500x450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桌面为25mm烤漆板，底座采用优质PP材料一体注塑成型。</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47</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沙发墩</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直径420x450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内框架：实木框架配多层夹板装钉而成；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海绵：#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承重弹力结构：坐垫为标准间距蛇形簧+平衡进口橡筋+面布；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面料：可选布艺/西皮；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五金：黑色塑料防滑脚垫  </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48</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直径600x450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桌面为25mm白色烤漆板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铁架Φ500实心铁盘配Φ50中柱烧焊连接,经过高温静电喷涂；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台面常规色:白色/黑色；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钢架常规色：砂白色/砂黑色；</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直径800x715</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内框架：实木框架配多层夹板装钉而成；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海绵：#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承重弹力结构：靠背装钉进口多条橡筋，坐垫为标准间距蛇形簧+平衡进口橡筋+面布；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面料：可选布艺/西皮；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五金：塑料防滑脚垫；</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提供样品</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（右侧部分1200x450x850）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异形定制书架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4360x450x850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（含软包坐垫）</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2、面材：采用天然实木木皮，厚度0.8mm，含水率6%-8%，甲醛释放量≤0.005mg/m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 xml:space="preserve">，木皮应木纹流畅，色泽纹理一致，接缝处自然均匀无瑕疵，不允许有脱胶、鼓泡、压痕、划伤、胶渍等要保持台面的力度均衡经过防虫防腐处理，耐磨性好，纹理清晰自然。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海绵：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功能设计要求说明：定制书架要按照设计效果图2制作，现场需要与墙面固定，做好收口。定制书架整体“U”型设计，左右两边3层书架每列宽度600mm以内，中间下凹位置做一层书架，长度1.2米配超纤皮高密度海绵坐垫；下凹位置两个外角两个内角采用R150mm圆弧自然过渡设计。厂家需根据实际情况进行现场放样做模板，出深化设计图并配合设计、施工单位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6、#异形定制书架成品性能检测要求:执行GB18584-2001《室内装饰装修材料 木家具中有害物质限量》、GB/T 35607-2024《绿色产品评价 家具》标准:检测内容须包含:外观，力学性能等，其中甲醛释放量≤0.25mg/L，锑、砷、钡、镉、铬、铅、汞、硒等不得检出，TVOC≤0.02mg/m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。(提供具有CNAS或CMA标识的市场监督部门认定的异形定制书架检测报告复印件并加盖制造商公章)</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吧台桌</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2400x800x1100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（台面侧板石英石全包）</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连接件：#采用优质三合一，锁紧角度175-185度，偏心体抗压强度≥350N，预埋螺母抗拉强度≥1150N，中连接螺杆螺纹与预埋螺纹的抗拉强度≥3050N，三合一偏心连接件中偏心体与连接螺杆的扭矩≥10N.m，耐腐蚀600h乙酸盐雾达到10级标准，720h中性盐雾达到10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5、功能计要求说明：厂家需根据实际情况进行现场放样做模板，出深化设计图并配合设计、施工单位完成。</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洽谈桌</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直径800x750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桌面为25mm白色烤漆板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铁架Φ500实心铁盘配Φ50中柱烧焊连接,经过高温静电喷涂；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台面常规色:白色/黑色；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钢架常规色：砂白色/砂黑色；</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2400x800x750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2、PVC封边：#优质PVC封边条同色封边，甲醛释放量≤0.05mg/L，耐开裂性能达到1级，耐磨性能磨30r后无露底现象，厚度1.5mm。铅、镉、铬、汞、砷、钡、锑、硒均未检出或低于检出限。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3、五金配件：采用品牌优质五金件。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4、桌架：采用1.5mm壁厚优质金属开模钢架。</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560Wx600Dx800H</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面料：采用优质布艺或者皮革面料。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海绵：#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内部框架：采用优质金属框架。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脚架：管材φ19mm,管壁厚度≥1.6mm。经过焊接、打磨、抛光等工艺。表面采用行业领先的“黑镍”电泳工艺，电镀层厚度≥0.1mm.附着力强，抗氧化能力强。亮光镜面处理、质感好。</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1200x700x750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2、PVC封边：#优质PVC封边条同色封边，甲醛释放量≤0.05mg/L，耐开裂性能达到1级，耐磨性能磨30r后无露底现象，厚度1.5mm。铅、镉、铬、汞、砷、钡、锑、硒均未检出或低于检出限。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3、五金配件：采用品牌优质五金件。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4、桌架：采用1.5mm壁厚优质金属开模钢架。</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560Wx600Dx800H</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面料：采用优质布艺或者皮革面料。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海绵：#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内部框架：采用优质金属框架。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脚架：管材φ19mm,管壁厚度≥1.6mm。经过焊接、打磨、抛光等工艺。表面采用行业领先的“黑镍”电泳工艺，电镀层厚度≥0.1mm.附着力强，抗氧化能力强。亮光镜面处理、质感好。</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1200x600x750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1、基材：#优质环保刨花板，甲醛释放量满足ENF级，苯、甲苯、二甲苯≤5μg/m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6%～7%,板内密度偏差±2%，2h吸水厚度膨胀率≤1%，表面胶合强度≥2MPa，内胶合强度≥0.80MPa，静曲强度≥30MPa，弹性模量≥3810MPa，板面握螺钉力≥1810N，板边握螺钉力≥1610N,燃烧增长速率指数≤150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2、PVC封边：#优质PVC封边条同色封边，甲醛释放量≤0.05mg/L，耐开裂性能达到1级，耐磨性能磨30r后无露底现象，厚度1.5mm。铅、镉、铬、汞、砷、钡、锑、硒均未检出或低于检出限。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优质品牌铰链，其中操作力、垂直静载荷、水平静载荷、耐久性（80000次）、均检测合格，下沉量≤1mm，600h乙酸盐雾和720h中性盐雾：无锈点10级；采用优质品牌导轨，其中操作力、耐久性（80000次）、垂直向下静载荷、水平侧向静载荷、拉出安全性、猛开或猛关、均检测合格，抽屉导轨组件底部变形量≤1mm,下沉量≤0.7%，600h乙酸盐雾和720h中性盐雾：无锈点10级。</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58</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料：#采用优质品牌网布面料，甲醛含量≤20mg/kg，pH值4-5，可分解致癌芳香胺染料：未检出，锑、砷、铅、镉、铬、六价铬、钴、铜、镍、汞、总铅、总镉不得检出，无异味、阻燃性：通过香烟抗引燃试验（无续燃、阴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靠背及扶手：黑色PP+玻纤椅背，黑色PA尼龙+玻纤扶手 ，滑动升降腰靠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垫：#12mm厚度座板，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椅架：1.8厚方管电镀弓形架</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1000x600x2000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厚度1.8mm一级冷轧钢板，经过防腐防酸防锈处理，表面高温静电粉末喷涂，防化、防潮、耐高温以及耐磨。设4块搁板（设加强筋），侧面及背面设斜拉梁，防倾倒设计。搁板承重采用三重结构新工艺；搁板前后板边采用开口三折弯结构，并在折弯处焊接三折弯附件，安装可靠，美观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塑粉：#部件进入大型喷塑生产线时，表面经脱脂陶化液处理，烘干预热后进行环保品牌塑粉静电喷涂，塑粉总铅Pb含量≤2.0mg/kg，镉Cd含量≤2.5mg/kg，铬Cr含量≤0.7mg/kg，汞Hg含量≤2.5mg/kg，硬度≥H，附着力0级，耐沸水性2h无异常。耐酸性240h无异常，耐碱性168h无异常，压陷深度4mm，涂层无开裂及脱离。外观色泽均匀，无异物，呈松散粉末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3、工艺：通过数控机械折弯、冲压、等离子高精度切割，先进的无缝、二氧化碳保护焊接、再通过精细打磨一系列工艺精致而成。面板、正视面板件平整度≤2.0，底脚与水平面的差值 ≤2.0，耐腐蚀100H内，在溶剂中划道两侧3mm以外，无气泡产生；100H后无锈迹、剥落、起皱、变色和失光等现象。</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货架</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1200x600x2000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厚度1.8mm一级冷轧钢板，经过防腐防酸防锈处理，表面高温静电粉末喷涂，防化、防潮、耐高温以及耐磨。设4块搁板（设加强筋），侧面及背面设斜拉梁，防倾倒设计。搁板承重采用三重结构新工艺；搁板前后板边采用开口三折弯结构，并在折弯处焊接三折弯附件，安装可靠，美观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塑粉：#部件进入大型喷塑生产线时，表面经脱脂陶化液处理，烘干预热后进行环保品牌塑粉静电喷涂，塑粉总铅Pb含量≤2.0mg/kg，镉Cd含量≤2.5mg/kg，铬Cr含量≤0.7mg/kg，汞Hg含量≤2.5mg/kg，硬度≥H，附着力0级，耐沸水性2h无异常。耐酸性240h无异常，耐碱性168h无异常，压陷深度4mm，涂层无开裂及脱离。外观色泽均匀，无异物，呈松散粉末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3、工艺：通过数控机械折弯、冲压、等离子高精度切割，先进的无缝、二氧化碳保护焊接、再通过精细打磨一系列工艺精致而成。面板、正视面板件平整度≤2.0，底脚与水平面的差值 ≤2.0，耐腐蚀100H内，在溶剂中划道两侧3mm以外，无气泡产生；100H后无锈迹、剥落、起皱、变色和失光等现象。</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培训椅</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椅背：采用双层结构工艺，PA+25%玻纤坚固外框，PP增韧尼龙内框，柔软有弹性，可有效缓解背部疲劳，椅背施加102kg的推力，持续60s，无异常。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座垫：#优质品牌成型海绵，40%压陷硬度偏差350±5N，65%/25%压陷比≥2.2，75%压缩永久变形≤2.4%，回弹率≥55%，拉伸强度≥115kPa，伸长率≥92%，撕裂强度≥2.5N/cm，干热老化后拉伸强度≥145kPa，湿热老化后拉伸强度≥110kPa，密度：≥43k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，甲醛释放量未检出，TVOC≤0.05mg/m2，，放置点燃香烟后1小时内未观察到试样表面或内部出现任何续燃、阴燃想象。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椅脚：优质管材Φ28mm，前脚T2.0mm，后脚T1.5mm搭配焊接，结构稳固，102kg实验沙袋悬空椅座正上方152mm处，自由落体冲击，椅脚无异常，表面高温喷涂烤漆处理，漆面牢固，抗氧化、美观。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左扶手：PA+25%玻纤扶手面，精抛铝合金支架，可灵活上翻。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写字板：白色ABS板面加PA+30%玻纤板底双层架构，搭配铝合金喷涂扶手及精抛铝合金支架，可实现扶手卡位功能，铝合金旋转机构，可折叠收纳写字板。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脚轮：Φ50mm，PU面静音尼龙轮。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功能：坐垫上翻，前后推叠摆放，节省空间。</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演讲台</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1、基材：#优质品牌中密度纤维板，甲醛释放量满足ENF级,苯、甲苯、二甲苯≤5μg/m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，TVOC≤50μg/m</w:t>
            </w:r>
            <w:r>
              <w:rPr>
                <w:rFonts w:hint="eastAsia" w:ascii="宋体" w:hAnsi="宋体" w:eastAsia="宋体" w:cs="宋体"/>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含水率3%～6%,密度0.70～0.80g/cm³，板内密度偏差±3%，吸水厚度膨胀率≤10%，表面胶合强度≥1.4MPa，内胶合强度≥0.8MPa，静曲强度≥25MPa，弹性模量≥3000MPa，板面握螺钉力≥1450N，板边握螺钉力≥700N,燃烧增长速率指数≤230W/s，符合火焰横向蔓延未到达试样长翼边缘，60s内无燃烧滴落物引燃纸现象。燃烧性能等级符合GB 8624-2012 B1级标准；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面材：优质PVC封边条同色封边，甲醛释放量≤0.05mg/L，耐开裂性能达到1级，耐磨性能磨30r后无露底现象，厚度1.5mm。铅、镉、铬、汞、砷、钡、锑、硒均未检出或低于检出限。检验依据:QB/T4463-2013《家具用封边条技术要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优质品牌环保水性漆，甲醛含量≤5mg/kg，VOC含量≤2g/L，乙二醇醚及醚酯总和含量≤50mg/kg，苯、甲苯、二甲苯、乙苯的总量≤50mg/kg，烷基酚聚氧乙烯醚总和含量≤10mg/kg，细度≤15μm，不挥发物≥37%，硬度（擦伤）≥B，附着力&gt;1级，使用水性漆自动喷漆线新型设备，漆面附着力强、触感舒适、色泽温润美观，检验依据:GB 18581-2020《木器涂料中有害物质限量》。</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上下床</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1980Wx900Dx1750H</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材质：#采用优质钢管，依据参照GB/T 10125-2021《人造气氛腐蚀试验 盐雾试验》QB/T3832-1999《轻工产品金属镀层腐蚀试验 结果的评价》标准检测。中性盐雾试验720h无锈点10级，乙酸盐雾试验600h无锈点10级；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床腿4根：40x40方钢管，壁厚1.2mm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床枉梁：25x50矩形钢管，壁厚1.2mm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床带五根：25x25方钢管，壁厚1.2mm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床梯：25x25方钢管，壁厚1.2mm，带防滑钢制脚踏板，表面冲压防滑纹。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护栏：20x20方钢管，壁厚1.2mm。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含床板采用：#优质品牌多层板，甲醛释放量满足ENF级。含水率6%～7.5%,胶合强度≥0.78MPa，静曲强度（顺纹≥47MPa，横纹≥43MPa），弹性模量（顺纹≥6020MPa，横纹≥5750MPa），苯、甲苯、二甲苯未检出，总挥发性有机化合物（TVOC）未检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套脚：采用工程塑料注塑成型，对立柱上下切面做封闭处理。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工艺构造：结构稳固，所有金属连接部件满焊，焊点抛光打磨，焊点结实，美观，无尖角毛刺；全插扣式结构，无一镙丝固定。配优质棕垫。</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更衣柜</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900x500x1850</w:t>
            </w:r>
          </w:p>
        </w:tc>
        <w:tc>
          <w:tcPr>
            <w:tcW w:w="9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材质：#采用优质一级冷轧钢板，钢板厚度1.5mm，乙酸盐雾600h无锈点，达到10级，中性盐雾720h无锈点，达到10级，硬度≥3H，规定塑性延伸强度≤210MPa，抗拉强度310-330MPa,断后伸长率≥36%；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拉手：一次成型内嵌抠手（颜色可选）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锁具：#采用优质锁具，弹珠设计，开关灵活顺畅，锁舌伸出长度不少于6mm，600h乙酸盐雾和720h中性盐雾：无锈点10级；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合页：#采用优质品牌铰链，其中操作力、垂直静载荷、水平静载荷、耐久性（80000次）、均检测合格，下沉量≤1mm，600h乙酸盐雾和720h中性盐雾：无锈点10级；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底脚：柜体底部配置塑料可调垫脚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结构：整体整装，柜体薄边设计；所有边缘三折弯处理；层板及门板内均设加强筋，门外设标签框及通风排气孔位，二门衣柜，每门内上部一块可调活动层板，层板下一根不锈钢衣杆，下部一块可调层板，每门内配半身镶嵌大穿衣镜及便捷挂钩。</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bl>
    <w:p>
      <w:pPr>
        <w:rPr>
          <w:rFonts w:hint="eastAsia"/>
        </w:rPr>
      </w:pPr>
      <w:r>
        <w:rPr>
          <w:rFonts w:hint="eastAsia"/>
        </w:rPr>
        <w:t>注：</w:t>
      </w:r>
    </w:p>
    <w:p>
      <w:pPr>
        <w:rPr>
          <w:rFonts w:hint="eastAsia"/>
        </w:rPr>
      </w:pPr>
      <w:r>
        <w:rPr>
          <w:rFonts w:hint="eastAsia"/>
        </w:rPr>
        <w:t>效果图1</w:t>
      </w:r>
    </w:p>
    <w:p>
      <w:r>
        <w:drawing>
          <wp:inline distT="0" distB="0" distL="114300" distR="114300">
            <wp:extent cx="6420485" cy="2689860"/>
            <wp:effectExtent l="0" t="0" r="18415" b="152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tretch>
                      <a:fillRect/>
                    </a:stretch>
                  </pic:blipFill>
                  <pic:spPr>
                    <a:xfrm>
                      <a:off x="0" y="0"/>
                      <a:ext cx="6420485" cy="2689860"/>
                    </a:xfrm>
                    <a:prstGeom prst="rect">
                      <a:avLst/>
                    </a:prstGeom>
                    <a:noFill/>
                    <a:ln w="9525">
                      <a:noFill/>
                    </a:ln>
                  </pic:spPr>
                </pic:pic>
              </a:graphicData>
            </a:graphic>
          </wp:inline>
        </w:drawing>
      </w:r>
    </w:p>
    <w:p>
      <w:pPr>
        <w:rPr>
          <w:rFonts w:hint="eastAsia"/>
        </w:rPr>
      </w:pPr>
      <w:r>
        <w:rPr>
          <w:rFonts w:hint="eastAsia"/>
        </w:rPr>
        <w:t>效果图2</w:t>
      </w:r>
    </w:p>
    <w:p>
      <w:pPr>
        <w:rPr>
          <w:rFonts w:hint="default"/>
          <w:lang w:val="en-US" w:eastAsia="zh-CN"/>
        </w:rPr>
      </w:pPr>
      <w:r>
        <w:drawing>
          <wp:inline distT="0" distB="0" distL="114300" distR="114300">
            <wp:extent cx="8287385" cy="4523105"/>
            <wp:effectExtent l="0" t="0" r="18415"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
                    <a:stretch>
                      <a:fillRect/>
                    </a:stretch>
                  </pic:blipFill>
                  <pic:spPr>
                    <a:xfrm>
                      <a:off x="0" y="0"/>
                      <a:ext cx="8287385" cy="4523105"/>
                    </a:xfrm>
                    <a:prstGeom prst="rect">
                      <a:avLst/>
                    </a:prstGeom>
                    <a:noFill/>
                    <a:ln w="9525">
                      <a:noFill/>
                    </a:ln>
                  </pic:spPr>
                </pic:pic>
              </a:graphicData>
            </a:graphic>
          </wp:inline>
        </w:drawing>
      </w:r>
      <w:r>
        <w:drawing>
          <wp:inline distT="0" distB="0" distL="114300" distR="114300">
            <wp:extent cx="8561070" cy="2792095"/>
            <wp:effectExtent l="0" t="0" r="11430" b="82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
                    <a:stretch>
                      <a:fillRect/>
                    </a:stretch>
                  </pic:blipFill>
                  <pic:spPr>
                    <a:xfrm>
                      <a:off x="0" y="0"/>
                      <a:ext cx="8561070" cy="2792095"/>
                    </a:xfrm>
                    <a:prstGeom prst="rect">
                      <a:avLst/>
                    </a:prstGeom>
                    <a:noFill/>
                    <a:ln w="9525">
                      <a:noFill/>
                    </a:ln>
                  </pic:spPr>
                </pic:pic>
              </a:graphicData>
            </a:graphic>
          </wp:inline>
        </w:drawing>
      </w:r>
    </w:p>
    <w:sectPr>
      <w:pgSz w:w="16838" w:h="11906" w:orient="landscape"/>
      <w:pgMar w:top="1083" w:right="1440" w:bottom="1083" w:left="1440" w:header="851" w:footer="992" w:gutter="0"/>
      <w:paperSrc/>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4E9FB"/>
    <w:multiLevelType w:val="singleLevel"/>
    <w:tmpl w:val="1C44E9FB"/>
    <w:lvl w:ilvl="0" w:tentative="0">
      <w:start w:val="32"/>
      <w:numFmt w:val="decimal"/>
      <w:suff w:val="nothing"/>
      <w:lvlText w:val="第%1项、"/>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embedSystemFonts/>
  <w:bordersDoNotSurroundHeader w:val="1"/>
  <w:bordersDoNotSurroundFooter w:val="1"/>
  <w:documentProtection w:enforcement="0"/>
  <w:defaultTabStop w:val="420"/>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8C6AB1"/>
    <w:rsid w:val="0C46550C"/>
    <w:rsid w:val="0C7A76CC"/>
    <w:rsid w:val="118C6AB1"/>
    <w:rsid w:val="273B4695"/>
    <w:rsid w:val="2782425B"/>
    <w:rsid w:val="31FE3E76"/>
    <w:rsid w:val="39D21EAC"/>
    <w:rsid w:val="3BC702F9"/>
    <w:rsid w:val="3D404063"/>
    <w:rsid w:val="3ED139E3"/>
    <w:rsid w:val="40F11233"/>
    <w:rsid w:val="41717932"/>
    <w:rsid w:val="42ED43D5"/>
    <w:rsid w:val="46BC1650"/>
    <w:rsid w:val="4A2B0572"/>
    <w:rsid w:val="4AFF5FAF"/>
    <w:rsid w:val="4D4D323C"/>
    <w:rsid w:val="5474356A"/>
    <w:rsid w:val="6AFF63E4"/>
    <w:rsid w:val="6EF427B4"/>
    <w:rsid w:val="793350DE"/>
    <w:rsid w:val="79DC7338"/>
    <w:rsid w:val="7B603F0E"/>
    <w:rsid w:val="7C4C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116</Words>
  <Characters>132</Characters>
  <Lines>0</Lines>
  <Paragraphs>0</Paragraphs>
  <TotalTime>0</TotalTime>
  <ScaleCrop>false</ScaleCrop>
  <LinksUpToDate>false</LinksUpToDate>
  <CharactersWithSpaces>133</CharactersWithSpaces>
  <Application>WPS Office_10.8.0.6253_F1E327BC-269C-435d-A152-05C5408002CA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2025-05-26T08:00:00Z</dcterms:created>
  <dc:creator>User</dc:creator>
  <cp:lastModifiedBy>SJS-ZST-1</cp:lastModifiedBy>
  <dcterms:modified xsi:type="dcterms:W3CDTF">2025-05-27T02:25:29Z</dcterms:modified>
  <dc:title>清单变更明细表</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y fmtid="{D5CDD505-2E9C-101B-9397-08002B2CF9AE}" pid="3" name="ICV">
    <vt:lpwstr>B6B1144BAE24450FAF84CD808ADC85A0_11</vt:lpwstr>
  </property>
  <property fmtid="{D5CDD505-2E9C-101B-9397-08002B2CF9AE}" pid="4" name="KSOTemplateDocerSaveRecord">
    <vt:lpwstr>eyJoZGlkIjoiOWY2Y2NkN2MyZWZjZmMzNmE5YmY5ZDUzYjUwZjA1MzUiLCJ1c2VySWQiOiIzMjI2MzY1NTgifQ==</vt:lpwstr>
  </property>
</Properties>
</file>