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28777">
      <w:pPr>
        <w:spacing w:before="120" w:line="360" w:lineRule="auto"/>
        <w:jc w:val="center"/>
        <w:rPr>
          <w:rFonts w:ascii="仿宋_GB2312" w:hAnsi="等线" w:eastAsia="仿宋_GB2312" w:cs="Times New Roman"/>
          <w:b/>
          <w:sz w:val="28"/>
          <w:szCs w:val="28"/>
        </w:rPr>
      </w:pPr>
      <w:r>
        <w:rPr>
          <w:rFonts w:hint="eastAsia" w:ascii="仿宋_GB2312" w:hAnsi="等线" w:eastAsia="仿宋_GB2312" w:cs="Times New Roman"/>
          <w:b/>
          <w:sz w:val="28"/>
          <w:szCs w:val="28"/>
        </w:rPr>
        <w:t>政</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府</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采</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购</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合</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同</w:t>
      </w:r>
    </w:p>
    <w:p w14:paraId="7423BB31">
      <w:pPr>
        <w:adjustRightInd w:val="0"/>
        <w:spacing w:line="520" w:lineRule="exact"/>
        <w:ind w:firstLine="560" w:firstLineChars="200"/>
        <w:jc w:val="left"/>
        <w:textAlignment w:val="baseline"/>
        <w:rPr>
          <w:rFonts w:ascii="仿宋_GB2312" w:hAnsi="Times New Roman" w:eastAsia="仿宋_GB2312" w:cs="Times New Roman"/>
          <w:kern w:val="0"/>
          <w:sz w:val="28"/>
          <w:szCs w:val="20"/>
        </w:rPr>
      </w:pPr>
    </w:p>
    <w:p w14:paraId="19D13446">
      <w:pPr>
        <w:ind w:firstLine="6720" w:firstLineChars="3200"/>
        <w:rPr>
          <w:rFonts w:ascii="仿宋_GB2312" w:hAnsi="等线" w:eastAsia="仿宋_GB2312" w:cs="Times New Roman"/>
          <w:szCs w:val="22"/>
        </w:rPr>
      </w:pPr>
      <w:bookmarkStart w:id="0" w:name="_Toc109543216"/>
      <w:bookmarkStart w:id="1" w:name="_Toc109542396"/>
    </w:p>
    <w:p w14:paraId="09CF2372">
      <w:pPr>
        <w:spacing w:before="120" w:line="360" w:lineRule="auto"/>
        <w:ind w:firstLine="5880" w:firstLineChars="2450"/>
        <w:rPr>
          <w:rFonts w:ascii="仿宋_GB2312" w:hAnsi="等线" w:eastAsia="仿宋_GB2312" w:cs="Times New Roman"/>
          <w:szCs w:val="22"/>
        </w:rPr>
      </w:pPr>
      <w:r>
        <w:rPr>
          <w:rFonts w:hint="eastAsia" w:ascii="仿宋_GB2312" w:hAnsi="等线" w:eastAsia="仿宋_GB2312" w:cs="Times New Roman"/>
          <w:sz w:val="24"/>
          <w:szCs w:val="22"/>
        </w:rPr>
        <w:t>合同编号：</w:t>
      </w:r>
      <w:bookmarkEnd w:id="0"/>
      <w:bookmarkEnd w:id="1"/>
      <w:r>
        <w:rPr>
          <w:rFonts w:ascii="仿宋_GB2312" w:hAnsi="等线" w:eastAsia="仿宋_GB2312" w:cs="Times New Roman"/>
          <w:sz w:val="24"/>
          <w:szCs w:val="22"/>
          <w:u w:val="single"/>
        </w:rPr>
        <w:t xml:space="preserve">            </w:t>
      </w:r>
      <w:r>
        <w:rPr>
          <w:rFonts w:ascii="仿宋_GB2312" w:hAnsi="等线" w:eastAsia="仿宋_GB2312" w:cs="Times New Roman"/>
          <w:szCs w:val="22"/>
        </w:rPr>
        <w:t xml:space="preserve">        </w:t>
      </w:r>
    </w:p>
    <w:p w14:paraId="6A8F80DD">
      <w:pPr>
        <w:adjustRightInd w:val="0"/>
        <w:spacing w:line="520" w:lineRule="exact"/>
        <w:ind w:firstLine="560" w:firstLineChars="200"/>
        <w:jc w:val="left"/>
        <w:textAlignment w:val="baseline"/>
        <w:rPr>
          <w:rFonts w:ascii="仿宋_GB2312" w:hAnsi="Times New Roman" w:eastAsia="仿宋_GB2312" w:cs="Times New Roman"/>
          <w:kern w:val="0"/>
          <w:sz w:val="28"/>
          <w:szCs w:val="20"/>
        </w:rPr>
      </w:pPr>
    </w:p>
    <w:p w14:paraId="1E4F7DD2">
      <w:pPr>
        <w:spacing w:before="120" w:line="520" w:lineRule="exact"/>
        <w:rPr>
          <w:rFonts w:ascii="仿宋_GB2312" w:hAnsi="等线" w:eastAsia="仿宋_GB2312" w:cs="Times New Roman"/>
          <w:sz w:val="28"/>
          <w:szCs w:val="22"/>
        </w:rPr>
      </w:pPr>
    </w:p>
    <w:p w14:paraId="6A9AAB77">
      <w:pPr>
        <w:spacing w:before="120" w:line="520" w:lineRule="exact"/>
        <w:rPr>
          <w:rFonts w:ascii="仿宋_GB2312" w:hAnsi="等线" w:eastAsia="仿宋_GB2312" w:cs="Times New Roman"/>
          <w:sz w:val="28"/>
          <w:szCs w:val="22"/>
        </w:rPr>
      </w:pPr>
    </w:p>
    <w:p w14:paraId="4AB0EDB0">
      <w:pPr>
        <w:spacing w:before="120" w:line="520" w:lineRule="exact"/>
        <w:ind w:left="960"/>
        <w:rPr>
          <w:rFonts w:ascii="仿宋_GB2312" w:hAnsi="等线" w:eastAsia="仿宋_GB2312" w:cs="Times New Roman"/>
          <w:sz w:val="28"/>
          <w:szCs w:val="22"/>
        </w:rPr>
      </w:pPr>
      <w:r>
        <w:rPr>
          <w:rFonts w:hint="eastAsia" w:ascii="仿宋_GB2312" w:hAnsi="等线" w:eastAsia="仿宋_GB2312" w:cs="Times New Roman"/>
          <w:sz w:val="24"/>
          <w:szCs w:val="22"/>
        </w:rPr>
        <w:t>项目名称：</w:t>
      </w:r>
      <w:r>
        <w:rPr>
          <w:rFonts w:ascii="仿宋_GB2312" w:hAnsi="等线" w:eastAsia="仿宋_GB2312" w:cs="Times New Roman"/>
          <w:sz w:val="28"/>
          <w:szCs w:val="22"/>
          <w:u w:val="single"/>
        </w:rPr>
        <w:t xml:space="preserve"> </w:t>
      </w:r>
      <w:r>
        <w:rPr>
          <w:rFonts w:hint="eastAsia" w:ascii="仿宋_GB2312" w:hAnsi="等线" w:eastAsia="仿宋_GB2312" w:cs="Times New Roman"/>
          <w:sz w:val="24"/>
          <w:szCs w:val="22"/>
          <w:u w:val="single"/>
        </w:rPr>
        <w:t xml:space="preserve">北京市怀柔安佳医院信息化系统二期项目 </w:t>
      </w:r>
      <w:r>
        <w:rPr>
          <w:rFonts w:ascii="仿宋_GB2312" w:hAnsi="等线" w:eastAsia="仿宋_GB2312" w:cs="Times New Roman"/>
          <w:sz w:val="24"/>
          <w:szCs w:val="22"/>
        </w:rPr>
        <w:t xml:space="preserve">                                    </w:t>
      </w:r>
    </w:p>
    <w:p w14:paraId="009B63A4">
      <w:pPr>
        <w:spacing w:before="120" w:line="520" w:lineRule="exact"/>
        <w:ind w:left="960"/>
        <w:rPr>
          <w:rFonts w:ascii="仿宋_GB2312" w:hAnsi="等线" w:eastAsia="仿宋_GB2312" w:cs="Times New Roman"/>
          <w:sz w:val="28"/>
          <w:szCs w:val="22"/>
        </w:rPr>
      </w:pPr>
    </w:p>
    <w:p w14:paraId="644A30DD">
      <w:pPr>
        <w:spacing w:before="120" w:line="520" w:lineRule="exact"/>
        <w:ind w:left="960"/>
        <w:rPr>
          <w:rFonts w:ascii="仿宋_GB2312" w:hAnsi="等线" w:eastAsia="仿宋_GB2312" w:cs="Times New Roman"/>
          <w:sz w:val="28"/>
          <w:szCs w:val="22"/>
        </w:rPr>
      </w:pPr>
      <w:r>
        <w:rPr>
          <w:rFonts w:hint="eastAsia" w:ascii="仿宋_GB2312" w:hAnsi="等线" w:eastAsia="仿宋_GB2312" w:cs="Times New Roman"/>
          <w:sz w:val="24"/>
          <w:szCs w:val="22"/>
        </w:rPr>
        <w:t>服务名称：</w:t>
      </w:r>
      <w:r>
        <w:rPr>
          <w:rFonts w:ascii="仿宋_GB2312" w:hAnsi="等线" w:eastAsia="仿宋_GB2312" w:cs="Times New Roman"/>
          <w:sz w:val="28"/>
          <w:szCs w:val="22"/>
          <w:u w:val="single"/>
        </w:rPr>
        <w:t xml:space="preserve"> </w:t>
      </w:r>
      <w:r>
        <w:rPr>
          <w:rFonts w:hint="eastAsia" w:ascii="仿宋_GB2312" w:hAnsi="等线" w:eastAsia="仿宋_GB2312" w:cs="Times New Roman"/>
          <w:sz w:val="24"/>
          <w:szCs w:val="22"/>
          <w:u w:val="single"/>
        </w:rPr>
        <w:t>移动护理等</w:t>
      </w:r>
      <w:r>
        <w:rPr>
          <w:rFonts w:ascii="仿宋_GB2312" w:hAnsi="等线" w:eastAsia="仿宋_GB2312" w:cs="Times New Roman"/>
          <w:sz w:val="28"/>
          <w:szCs w:val="22"/>
          <w:u w:val="single"/>
        </w:rPr>
        <w:t xml:space="preserve">                       </w:t>
      </w:r>
      <w:r>
        <w:rPr>
          <w:rFonts w:ascii="仿宋_GB2312" w:hAnsi="等线" w:eastAsia="仿宋_GB2312" w:cs="Times New Roman"/>
          <w:sz w:val="24"/>
          <w:szCs w:val="22"/>
        </w:rPr>
        <w:t xml:space="preserve">                                    </w:t>
      </w:r>
    </w:p>
    <w:p w14:paraId="0D418786">
      <w:pPr>
        <w:spacing w:before="120" w:line="520" w:lineRule="exact"/>
        <w:rPr>
          <w:rFonts w:ascii="仿宋_GB2312" w:hAnsi="Times New Roman" w:eastAsia="仿宋_GB2312" w:cs="Times New Roman"/>
          <w:sz w:val="28"/>
          <w:szCs w:val="20"/>
        </w:rPr>
      </w:pPr>
    </w:p>
    <w:p w14:paraId="25F8DA93">
      <w:pPr>
        <w:spacing w:before="120" w:line="520" w:lineRule="exact"/>
        <w:ind w:left="960"/>
        <w:rPr>
          <w:rFonts w:ascii="仿宋_GB2312" w:hAnsi="等线" w:eastAsia="仿宋_GB2312" w:cs="Times New Roman"/>
          <w:sz w:val="24"/>
        </w:rPr>
      </w:pPr>
      <w:r>
        <w:rPr>
          <w:rFonts w:hint="eastAsia" w:ascii="仿宋_GB2312" w:hAnsi="等线" w:eastAsia="仿宋_GB2312" w:cs="Times New Roman"/>
          <w:sz w:val="24"/>
          <w:szCs w:val="22"/>
        </w:rPr>
        <w:t>采购人：</w:t>
      </w:r>
      <w:r>
        <w:rPr>
          <w:rFonts w:ascii="仿宋_GB2312" w:hAnsi="等线" w:eastAsia="仿宋_GB2312" w:cs="Times New Roman"/>
          <w:sz w:val="28"/>
          <w:szCs w:val="22"/>
          <w:u w:val="single"/>
        </w:rPr>
        <w:t xml:space="preserve">   </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rPr>
        <w:t>北京市怀柔安佳医院</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rPr>
        <w:t xml:space="preserve"> </w:t>
      </w:r>
      <w:r>
        <w:rPr>
          <w:rFonts w:ascii="仿宋_GB2312" w:hAnsi="等线" w:eastAsia="仿宋_GB2312" w:cs="Times New Roman"/>
          <w:sz w:val="24"/>
        </w:rPr>
        <w:t xml:space="preserve">                                    </w:t>
      </w:r>
    </w:p>
    <w:p w14:paraId="56E60A66">
      <w:pPr>
        <w:spacing w:before="120" w:line="520" w:lineRule="exact"/>
        <w:ind w:left="960"/>
        <w:rPr>
          <w:rFonts w:ascii="仿宋_GB2312" w:hAnsi="等线" w:eastAsia="仿宋_GB2312" w:cs="Times New Roman"/>
          <w:sz w:val="24"/>
        </w:rPr>
      </w:pPr>
    </w:p>
    <w:p w14:paraId="5229D274">
      <w:pPr>
        <w:spacing w:before="120" w:line="520" w:lineRule="exact"/>
        <w:ind w:left="960"/>
        <w:rPr>
          <w:rFonts w:ascii="仿宋_GB2312" w:hAnsi="等线" w:eastAsia="仿宋_GB2312" w:cs="Times New Roman"/>
          <w:sz w:val="24"/>
        </w:rPr>
      </w:pPr>
      <w:r>
        <w:rPr>
          <w:rFonts w:hint="eastAsia" w:ascii="仿宋_GB2312" w:hAnsi="等线" w:eastAsia="仿宋_GB2312" w:cs="Times New Roman"/>
          <w:sz w:val="24"/>
        </w:rPr>
        <w:t>中标人：</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lang w:val="en-US" w:eastAsia="zh-CN"/>
        </w:rPr>
        <w:t xml:space="preserve">                           </w:t>
      </w:r>
      <w:r>
        <w:rPr>
          <w:rFonts w:ascii="仿宋_GB2312" w:hAnsi="等线" w:eastAsia="仿宋_GB2312" w:cs="Times New Roman"/>
          <w:sz w:val="24"/>
          <w:u w:val="single"/>
        </w:rPr>
        <w:t xml:space="preserve">           </w:t>
      </w:r>
      <w:r>
        <w:rPr>
          <w:rFonts w:ascii="仿宋_GB2312" w:hAnsi="等线" w:eastAsia="仿宋_GB2312" w:cs="Times New Roman"/>
          <w:sz w:val="24"/>
        </w:rPr>
        <w:t xml:space="preserve">                                   </w:t>
      </w:r>
    </w:p>
    <w:p w14:paraId="297B9F75">
      <w:pPr>
        <w:spacing w:before="120" w:line="520" w:lineRule="exact"/>
        <w:ind w:firstLine="840" w:firstLineChars="350"/>
        <w:rPr>
          <w:rFonts w:ascii="仿宋_GB2312" w:hAnsi="等线" w:eastAsia="仿宋_GB2312" w:cs="Times New Roman"/>
          <w:sz w:val="24"/>
        </w:rPr>
      </w:pPr>
    </w:p>
    <w:p w14:paraId="06A113E3">
      <w:pPr>
        <w:spacing w:before="120" w:line="520" w:lineRule="exact"/>
        <w:ind w:left="960"/>
        <w:rPr>
          <w:rFonts w:ascii="仿宋_GB2312" w:hAnsi="等线" w:eastAsia="仿宋_GB2312" w:cs="Times New Roman"/>
          <w:sz w:val="24"/>
          <w:u w:val="single"/>
        </w:rPr>
      </w:pPr>
      <w:r>
        <w:rPr>
          <w:rFonts w:hint="eastAsia" w:ascii="仿宋_GB2312" w:hAnsi="等线" w:eastAsia="仿宋_GB2312" w:cs="Times New Roman"/>
          <w:sz w:val="24"/>
        </w:rPr>
        <w:t>签署日期：</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rPr>
        <w:t>20</w:t>
      </w:r>
      <w:r>
        <w:rPr>
          <w:rFonts w:ascii="仿宋_GB2312" w:hAnsi="等线" w:eastAsia="仿宋_GB2312" w:cs="Times New Roman"/>
          <w:sz w:val="24"/>
          <w:u w:val="single"/>
        </w:rPr>
        <w:t>2</w:t>
      </w:r>
      <w:r>
        <w:rPr>
          <w:rFonts w:hint="eastAsia" w:ascii="仿宋_GB2312" w:hAnsi="等线" w:eastAsia="仿宋_GB2312" w:cs="Times New Roman"/>
          <w:sz w:val="24"/>
          <w:u w:val="single"/>
        </w:rPr>
        <w:t>5年   月   日</w:t>
      </w:r>
      <w:r>
        <w:rPr>
          <w:rFonts w:ascii="仿宋_GB2312" w:hAnsi="等线" w:eastAsia="仿宋_GB2312" w:cs="Times New Roman"/>
          <w:sz w:val="24"/>
          <w:u w:val="single"/>
        </w:rPr>
        <w:t xml:space="preserve">                    </w:t>
      </w:r>
    </w:p>
    <w:p w14:paraId="6C84B0C5">
      <w:pPr>
        <w:spacing w:before="120" w:line="520" w:lineRule="exact"/>
        <w:rPr>
          <w:rFonts w:ascii="仿宋_GB2312" w:hAnsi="等线" w:eastAsia="仿宋_GB2312" w:cs="Times New Roman"/>
          <w:sz w:val="24"/>
        </w:rPr>
      </w:pPr>
    </w:p>
    <w:p w14:paraId="397E7672">
      <w:pPr>
        <w:spacing w:before="120" w:line="360" w:lineRule="auto"/>
        <w:jc w:val="center"/>
        <w:rPr>
          <w:rFonts w:ascii="仿宋_GB2312" w:hAnsi="等线" w:eastAsia="仿宋_GB2312" w:cs="Times New Roman"/>
          <w:b/>
          <w:sz w:val="28"/>
          <w:szCs w:val="28"/>
        </w:rPr>
      </w:pPr>
    </w:p>
    <w:p w14:paraId="4392B713">
      <w:pPr>
        <w:spacing w:before="120" w:line="360" w:lineRule="auto"/>
        <w:jc w:val="center"/>
        <w:rPr>
          <w:rFonts w:ascii="仿宋_GB2312" w:hAnsi="等线" w:eastAsia="仿宋_GB2312" w:cs="Times New Roman"/>
          <w:b/>
          <w:sz w:val="28"/>
          <w:szCs w:val="28"/>
        </w:rPr>
      </w:pPr>
    </w:p>
    <w:p w14:paraId="6E862E90">
      <w:pPr>
        <w:spacing w:before="120" w:line="360" w:lineRule="auto"/>
        <w:jc w:val="center"/>
        <w:rPr>
          <w:rFonts w:ascii="仿宋_GB2312" w:hAnsi="等线" w:eastAsia="仿宋_GB2312" w:cs="Times New Roman"/>
          <w:b/>
          <w:sz w:val="28"/>
          <w:szCs w:val="28"/>
        </w:rPr>
        <w:sectPr>
          <w:pgSz w:w="11906" w:h="16838"/>
          <w:pgMar w:top="1440" w:right="1800" w:bottom="1440" w:left="1800" w:header="851" w:footer="992" w:gutter="0"/>
          <w:cols w:space="425" w:num="1"/>
          <w:docGrid w:type="lines" w:linePitch="312" w:charSpace="0"/>
        </w:sectPr>
      </w:pPr>
    </w:p>
    <w:p w14:paraId="2CB54246">
      <w:pPr>
        <w:spacing w:before="120" w:line="360" w:lineRule="auto"/>
        <w:jc w:val="center"/>
        <w:rPr>
          <w:rFonts w:ascii="仿宋_GB2312" w:hAnsi="等线" w:eastAsia="仿宋_GB2312" w:cs="Times New Roman"/>
          <w:b/>
          <w:sz w:val="28"/>
          <w:szCs w:val="28"/>
        </w:rPr>
      </w:pPr>
      <w:r>
        <w:rPr>
          <w:rFonts w:hint="eastAsia" w:ascii="仿宋_GB2312" w:hAnsi="等线" w:eastAsia="仿宋_GB2312" w:cs="Times New Roman"/>
          <w:b/>
          <w:sz w:val="28"/>
          <w:szCs w:val="28"/>
        </w:rPr>
        <w:t>合　　　同　　　书</w:t>
      </w:r>
    </w:p>
    <w:p w14:paraId="40BC49ED">
      <w:pPr>
        <w:spacing w:before="120" w:line="520" w:lineRule="exact"/>
        <w:rPr>
          <w:rFonts w:ascii="仿宋_GB2312" w:hAnsi="等线" w:eastAsia="仿宋_GB2312" w:cs="Times New Roman"/>
          <w:sz w:val="28"/>
          <w:szCs w:val="22"/>
        </w:rPr>
      </w:pPr>
    </w:p>
    <w:p w14:paraId="126CE26A">
      <w:pPr>
        <w:spacing w:before="120" w:line="360" w:lineRule="auto"/>
        <w:ind w:firstLine="720"/>
        <w:rPr>
          <w:rFonts w:ascii="仿宋_GB2312" w:hAnsi="等线" w:eastAsia="仿宋_GB2312" w:cs="Times New Roman"/>
          <w:sz w:val="24"/>
          <w:szCs w:val="22"/>
        </w:rPr>
      </w:pPr>
      <w:r>
        <w:rPr>
          <w:rFonts w:ascii="仿宋_GB2312" w:hAnsi="等线" w:eastAsia="仿宋_GB2312" w:cs="Times New Roman"/>
          <w:sz w:val="24"/>
          <w:szCs w:val="22"/>
        </w:rPr>
        <w:t xml:space="preserve"> </w:t>
      </w:r>
      <w:r>
        <w:rPr>
          <w:rFonts w:hint="eastAsia" w:ascii="仿宋_GB2312" w:hAnsi="等线" w:eastAsia="仿宋_GB2312" w:cs="Times New Roman"/>
          <w:sz w:val="24"/>
          <w:szCs w:val="22"/>
          <w:u w:val="single"/>
        </w:rPr>
        <w:t>北京市怀柔安佳医院</w:t>
      </w:r>
      <w:r>
        <w:rPr>
          <w:rFonts w:hint="eastAsia" w:ascii="仿宋_GB2312" w:hAnsi="等线" w:eastAsia="仿宋_GB2312" w:cs="Times New Roman"/>
          <w:sz w:val="24"/>
          <w:szCs w:val="22"/>
        </w:rPr>
        <w:t>的</w:t>
      </w:r>
      <w:r>
        <w:rPr>
          <w:rFonts w:hint="eastAsia" w:ascii="仿宋_GB2312" w:hAnsi="等线" w:eastAsia="仿宋_GB2312" w:cs="Times New Roman"/>
          <w:sz w:val="24"/>
          <w:szCs w:val="22"/>
          <w:u w:val="single"/>
        </w:rPr>
        <w:t>北京市怀柔安佳医院信息化系统二期项目</w:t>
      </w:r>
      <w:r>
        <w:rPr>
          <w:rFonts w:hint="eastAsia" w:ascii="仿宋_GB2312" w:hAnsi="等线" w:eastAsia="仿宋_GB2312" w:cs="Times New Roman"/>
          <w:sz w:val="24"/>
          <w:szCs w:val="22"/>
        </w:rPr>
        <w:t>中所需</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u w:val="single"/>
        </w:rPr>
        <w:t>移动护理等</w:t>
      </w:r>
      <w:r>
        <w:rPr>
          <w:rFonts w:hint="eastAsia" w:ascii="仿宋_GB2312" w:hAnsi="等线" w:eastAsia="仿宋_GB2312" w:cs="Times New Roman"/>
          <w:sz w:val="24"/>
          <w:szCs w:val="22"/>
        </w:rPr>
        <w:t>经北京国际贸易有限公司以</w:t>
      </w:r>
      <w:r>
        <w:rPr>
          <w:rFonts w:hint="eastAsia" w:ascii="仿宋_GB2312" w:hAnsi="等线" w:eastAsia="仿宋_GB2312" w:cs="Times New Roman"/>
          <w:sz w:val="24"/>
          <w:szCs w:val="22"/>
          <w:u w:val="single"/>
        </w:rPr>
        <w:t>0686-2511QI060965Z</w:t>
      </w:r>
      <w:r>
        <w:rPr>
          <w:rFonts w:hint="eastAsia" w:ascii="仿宋_GB2312" w:hAnsi="等线" w:eastAsia="仿宋_GB2312" w:cs="Times New Roman"/>
          <w:sz w:val="24"/>
          <w:szCs w:val="22"/>
        </w:rPr>
        <w:t>号招标文件，进行国内公开招标。经评标委员会评定</w:t>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u w:val="single"/>
          <w:lang w:val="en-US" w:eastAsia="zh-CN"/>
        </w:rPr>
        <w:t xml:space="preserve">                      </w:t>
      </w:r>
      <w:r>
        <w:rPr>
          <w:rFonts w:ascii="仿宋_GB2312" w:hAnsi="等线" w:eastAsia="仿宋_GB2312" w:cs="Times New Roman"/>
          <w:sz w:val="24"/>
          <w:szCs w:val="22"/>
        </w:rPr>
        <w:t>(</w:t>
      </w:r>
      <w:r>
        <w:rPr>
          <w:rFonts w:hint="eastAsia" w:ascii="仿宋_GB2312" w:hAnsi="等线" w:eastAsia="仿宋_GB2312" w:cs="Times New Roman"/>
          <w:sz w:val="24"/>
          <w:szCs w:val="22"/>
        </w:rPr>
        <w:t>中标人</w:t>
      </w:r>
      <w:r>
        <w:rPr>
          <w:rFonts w:ascii="仿宋_GB2312" w:hAnsi="等线" w:eastAsia="仿宋_GB2312" w:cs="Times New Roman"/>
          <w:sz w:val="24"/>
          <w:szCs w:val="22"/>
        </w:rPr>
        <w:t>)</w:t>
      </w:r>
      <w:r>
        <w:rPr>
          <w:rFonts w:hint="eastAsia" w:ascii="仿宋_GB2312" w:hAnsi="等线" w:eastAsia="仿宋_GB2312" w:cs="Times New Roman"/>
          <w:sz w:val="24"/>
          <w:szCs w:val="22"/>
        </w:rPr>
        <w:t>为中标人。采购人与中标人协商一致，同意按照下列条款，签订本合同。</w:t>
      </w:r>
    </w:p>
    <w:p w14:paraId="7636C3C3">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一、合同文件</w:t>
      </w:r>
    </w:p>
    <w:p w14:paraId="2E010614">
      <w:pPr>
        <w:spacing w:before="120" w:line="360" w:lineRule="auto"/>
        <w:ind w:firstLine="480" w:firstLineChars="200"/>
        <w:rPr>
          <w:rFonts w:ascii="仿宋_GB2312" w:hAnsi="等线" w:eastAsia="仿宋_GB2312" w:cs="Times New Roman"/>
          <w:sz w:val="24"/>
          <w:szCs w:val="22"/>
        </w:rPr>
      </w:pPr>
      <w:r>
        <w:rPr>
          <w:rFonts w:hint="eastAsia" w:ascii="仿宋_GB2312" w:hAnsi="等线" w:eastAsia="仿宋_GB2312" w:cs="Times New Roman"/>
          <w:sz w:val="24"/>
          <w:szCs w:val="22"/>
        </w:rPr>
        <w:t>下列文件构成本合同的组成部分，应当认为是一个整体，彼此相互解释，相互补充。为便于解释，组成合同的多个文件的优先支配地位的次序如下：</w:t>
      </w:r>
    </w:p>
    <w:p w14:paraId="7852F904">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a.</w:t>
      </w:r>
      <w:r>
        <w:rPr>
          <w:rFonts w:hint="eastAsia" w:ascii="仿宋_GB2312" w:hAnsi="等线" w:eastAsia="仿宋_GB2312" w:cs="Times New Roman"/>
          <w:sz w:val="24"/>
          <w:szCs w:val="22"/>
        </w:rPr>
        <w:t>本合同书　</w:t>
      </w:r>
    </w:p>
    <w:p w14:paraId="222800CC">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b.</w:t>
      </w:r>
      <w:r>
        <w:rPr>
          <w:rFonts w:hint="eastAsia" w:ascii="仿宋_GB2312" w:hAnsi="等线" w:eastAsia="仿宋_GB2312" w:cs="Times New Roman"/>
          <w:sz w:val="24"/>
          <w:szCs w:val="22"/>
        </w:rPr>
        <w:t>中标通知书</w:t>
      </w:r>
    </w:p>
    <w:p w14:paraId="73B34CC7">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c.</w:t>
      </w:r>
      <w:r>
        <w:rPr>
          <w:rFonts w:hint="eastAsia" w:ascii="仿宋_GB2312" w:hAnsi="等线" w:eastAsia="仿宋_GB2312" w:cs="Times New Roman"/>
          <w:sz w:val="24"/>
          <w:szCs w:val="22"/>
        </w:rPr>
        <w:t>合同一般条款</w:t>
      </w:r>
    </w:p>
    <w:p w14:paraId="409550C0">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d.</w:t>
      </w:r>
      <w:r>
        <w:rPr>
          <w:rFonts w:hint="eastAsia" w:ascii="仿宋_GB2312" w:hAnsi="等线" w:eastAsia="仿宋_GB2312" w:cs="Times New Roman"/>
          <w:sz w:val="24"/>
          <w:szCs w:val="22"/>
        </w:rPr>
        <w:t>合同特殊条款</w:t>
      </w:r>
    </w:p>
    <w:p w14:paraId="3B47A34D">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e.</w:t>
      </w:r>
      <w:r>
        <w:rPr>
          <w:rFonts w:hint="eastAsia" w:ascii="仿宋_GB2312" w:hAnsi="等线" w:eastAsia="仿宋_GB2312" w:cs="Times New Roman"/>
          <w:sz w:val="24"/>
          <w:szCs w:val="22"/>
        </w:rPr>
        <w:t>投标文件</w:t>
      </w:r>
      <w:r>
        <w:rPr>
          <w:rFonts w:ascii="仿宋_GB2312" w:hAnsi="等线" w:eastAsia="仿宋_GB2312" w:cs="Times New Roman"/>
          <w:sz w:val="24"/>
          <w:szCs w:val="22"/>
        </w:rPr>
        <w:t>(</w:t>
      </w:r>
      <w:r>
        <w:rPr>
          <w:rFonts w:hint="eastAsia" w:ascii="仿宋_GB2312" w:hAnsi="等线" w:eastAsia="仿宋_GB2312" w:cs="Times New Roman"/>
          <w:sz w:val="24"/>
          <w:szCs w:val="22"/>
        </w:rPr>
        <w:t>含澄清文件</w:t>
      </w:r>
      <w:r>
        <w:rPr>
          <w:rFonts w:ascii="仿宋_GB2312" w:hAnsi="等线" w:eastAsia="仿宋_GB2312" w:cs="Times New Roman"/>
          <w:sz w:val="24"/>
          <w:szCs w:val="22"/>
        </w:rPr>
        <w:t>)</w:t>
      </w:r>
    </w:p>
    <w:p w14:paraId="46509ABD">
      <w:pPr>
        <w:spacing w:before="120" w:line="360" w:lineRule="auto"/>
        <w:ind w:firstLine="480" w:firstLineChars="200"/>
        <w:rPr>
          <w:rFonts w:ascii="仿宋_GB2312" w:hAnsi="等线" w:eastAsia="仿宋_GB2312" w:cs="Times New Roman"/>
          <w:sz w:val="24"/>
          <w:szCs w:val="22"/>
        </w:rPr>
      </w:pPr>
      <w:r>
        <w:rPr>
          <w:rFonts w:ascii="仿宋_GB2312" w:hAnsi="等线" w:eastAsia="仿宋_GB2312" w:cs="Times New Roman"/>
          <w:sz w:val="24"/>
          <w:szCs w:val="22"/>
        </w:rPr>
        <w:t>f.</w:t>
      </w:r>
      <w:r>
        <w:rPr>
          <w:rFonts w:hint="eastAsia" w:ascii="仿宋_GB2312" w:hAnsi="等线" w:eastAsia="仿宋_GB2312" w:cs="Times New Roman"/>
          <w:sz w:val="24"/>
          <w:szCs w:val="22"/>
        </w:rPr>
        <w:t>招标文件（含招标文件补充通知）</w:t>
      </w:r>
    </w:p>
    <w:p w14:paraId="1D4D0F5E">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二、服务内容</w:t>
      </w:r>
    </w:p>
    <w:p w14:paraId="3053404C">
      <w:pPr>
        <w:spacing w:before="120" w:line="520" w:lineRule="exact"/>
        <w:ind w:firstLine="628" w:firstLineChars="262"/>
        <w:rPr>
          <w:rFonts w:ascii="仿宋_GB2312" w:hAnsi="等线" w:eastAsia="仿宋_GB2312" w:cs="Times New Roman"/>
          <w:sz w:val="24"/>
          <w:u w:val="single"/>
        </w:rPr>
      </w:pPr>
      <w:r>
        <w:rPr>
          <w:rFonts w:hint="eastAsia" w:ascii="仿宋_GB2312" w:hAnsi="等线" w:eastAsia="仿宋_GB2312" w:cs="Times New Roman"/>
          <w:sz w:val="24"/>
          <w:u w:val="single"/>
        </w:rPr>
        <w:t>包括基础HIS系统功能升级（抗菌药物管理、危急值管理）、电子病历系统升级（电子病历质控、病历日常管理）、移动临床系统（移动医生、移动护理、一体化护理管理）、合理用药系统（合理用药监测、临床药学（处方点评）、实时审方）等业务应用系统建设，配套系统软硬件建设</w:t>
      </w:r>
    </w:p>
    <w:p w14:paraId="04D67177">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三、合同总价</w:t>
      </w:r>
    </w:p>
    <w:p w14:paraId="31CB8B24">
      <w:pPr>
        <w:spacing w:before="120" w:line="360" w:lineRule="auto"/>
        <w:ind w:firstLine="480" w:firstLineChars="200"/>
        <w:rPr>
          <w:rFonts w:ascii="仿宋_GB2312" w:hAnsi="等线" w:eastAsia="仿宋_GB2312" w:cs="Times New Roman"/>
          <w:sz w:val="24"/>
          <w:szCs w:val="22"/>
        </w:rPr>
      </w:pPr>
      <w:r>
        <w:rPr>
          <w:rFonts w:hint="eastAsia" w:ascii="仿宋_GB2312" w:hAnsi="等线" w:eastAsia="仿宋_GB2312" w:cs="Times New Roman"/>
          <w:sz w:val="24"/>
          <w:szCs w:val="22"/>
        </w:rPr>
        <w:t>本合同总价(含税)：人民币（大写）</w:t>
      </w:r>
      <w:r>
        <w:rPr>
          <w:rFonts w:hint="eastAsia" w:ascii="仿宋_GB2312" w:hAnsi="等线" w:eastAsia="仿宋_GB2312" w:cs="Times New Roman"/>
          <w:sz w:val="24"/>
          <w:szCs w:val="22"/>
          <w:u w:val="single"/>
          <w:lang w:val="en-US" w:eastAsia="zh-CN"/>
        </w:rPr>
        <w:t xml:space="preserve">                      </w:t>
      </w:r>
      <w:r>
        <w:rPr>
          <w:rFonts w:hint="eastAsia" w:ascii="仿宋_GB2312" w:hAnsi="等线" w:eastAsia="仿宋_GB2312" w:cs="Times New Roman"/>
          <w:sz w:val="24"/>
          <w:szCs w:val="22"/>
        </w:rPr>
        <w:t>。</w:t>
      </w:r>
    </w:p>
    <w:p w14:paraId="68A5C4A9">
      <w:pPr>
        <w:spacing w:before="120" w:line="360" w:lineRule="auto"/>
        <w:ind w:firstLine="480" w:firstLineChars="200"/>
        <w:rPr>
          <w:rFonts w:ascii="仿宋_GB2312" w:hAnsi="等线" w:eastAsia="仿宋_GB2312" w:cs="Times New Roman"/>
          <w:sz w:val="24"/>
          <w:szCs w:val="22"/>
        </w:rPr>
      </w:pPr>
      <w:r>
        <w:rPr>
          <w:rFonts w:hint="eastAsia" w:ascii="仿宋_GB2312" w:hAnsi="等线" w:eastAsia="仿宋_GB2312" w:cs="Times New Roman"/>
          <w:sz w:val="24"/>
          <w:szCs w:val="22"/>
        </w:rPr>
        <w:t>分项报价表如下：</w:t>
      </w:r>
    </w:p>
    <w:tbl>
      <w:tblPr>
        <w:tblStyle w:val="10"/>
        <w:tblW w:w="8560" w:type="dxa"/>
        <w:tblInd w:w="102" w:type="dxa"/>
        <w:tblLayout w:type="fixed"/>
        <w:tblCellMar>
          <w:top w:w="0" w:type="dxa"/>
          <w:left w:w="108" w:type="dxa"/>
          <w:bottom w:w="0" w:type="dxa"/>
          <w:right w:w="108" w:type="dxa"/>
        </w:tblCellMar>
      </w:tblPr>
      <w:tblGrid>
        <w:gridCol w:w="1072"/>
        <w:gridCol w:w="1897"/>
        <w:gridCol w:w="2121"/>
        <w:gridCol w:w="1209"/>
        <w:gridCol w:w="1188"/>
        <w:gridCol w:w="1073"/>
      </w:tblGrid>
      <w:tr w14:paraId="1F40E5E1">
        <w:tblPrEx>
          <w:tblCellMar>
            <w:top w:w="0" w:type="dxa"/>
            <w:left w:w="108" w:type="dxa"/>
            <w:bottom w:w="0" w:type="dxa"/>
            <w:right w:w="108" w:type="dxa"/>
          </w:tblCellMar>
        </w:tblPrEx>
        <w:trPr>
          <w:trHeight w:val="496" w:hRule="atLeast"/>
        </w:trPr>
        <w:tc>
          <w:tcPr>
            <w:tcW w:w="1072" w:type="dxa"/>
            <w:tcBorders>
              <w:top w:val="single" w:color="000000" w:sz="8" w:space="0"/>
              <w:left w:val="single" w:color="000000" w:sz="8" w:space="0"/>
              <w:bottom w:val="single" w:color="000000" w:sz="8" w:space="0"/>
              <w:right w:val="single" w:color="000000" w:sz="8" w:space="0"/>
            </w:tcBorders>
            <w:vAlign w:val="center"/>
          </w:tcPr>
          <w:p w14:paraId="3A766667">
            <w:pPr>
              <w:widowControl/>
              <w:jc w:val="center"/>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4018" w:type="dxa"/>
            <w:gridSpan w:val="2"/>
            <w:tcBorders>
              <w:top w:val="single" w:color="000000" w:sz="8" w:space="0"/>
              <w:left w:val="single" w:color="000000" w:sz="8" w:space="0"/>
              <w:bottom w:val="single" w:color="000000" w:sz="8" w:space="0"/>
              <w:right w:val="single" w:color="000000" w:sz="8" w:space="0"/>
            </w:tcBorders>
            <w:vAlign w:val="center"/>
          </w:tcPr>
          <w:p w14:paraId="6B43638B">
            <w:pPr>
              <w:widowControl/>
              <w:jc w:val="center"/>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分项名称</w:t>
            </w:r>
          </w:p>
        </w:tc>
        <w:tc>
          <w:tcPr>
            <w:tcW w:w="1209" w:type="dxa"/>
            <w:tcBorders>
              <w:top w:val="single" w:color="000000" w:sz="8" w:space="0"/>
              <w:left w:val="single" w:color="000000" w:sz="8" w:space="0"/>
              <w:bottom w:val="single" w:color="000000" w:sz="8" w:space="0"/>
              <w:right w:val="single" w:color="000000" w:sz="8" w:space="0"/>
            </w:tcBorders>
            <w:vAlign w:val="center"/>
          </w:tcPr>
          <w:p w14:paraId="134EBB71">
            <w:pPr>
              <w:widowControl/>
              <w:jc w:val="center"/>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单价（元）</w:t>
            </w:r>
          </w:p>
        </w:tc>
        <w:tc>
          <w:tcPr>
            <w:tcW w:w="1188" w:type="dxa"/>
            <w:tcBorders>
              <w:top w:val="single" w:color="000000" w:sz="8" w:space="0"/>
              <w:left w:val="single" w:color="000000" w:sz="8" w:space="0"/>
              <w:bottom w:val="single" w:color="000000" w:sz="8" w:space="0"/>
              <w:right w:val="single" w:color="000000" w:sz="8" w:space="0"/>
            </w:tcBorders>
            <w:vAlign w:val="center"/>
          </w:tcPr>
          <w:p w14:paraId="4E799FEA">
            <w:pPr>
              <w:widowControl/>
              <w:jc w:val="center"/>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合价（元）</w:t>
            </w:r>
          </w:p>
        </w:tc>
        <w:tc>
          <w:tcPr>
            <w:tcW w:w="1073" w:type="dxa"/>
            <w:tcBorders>
              <w:top w:val="single" w:color="000000" w:sz="8" w:space="0"/>
              <w:left w:val="single" w:color="000000" w:sz="8" w:space="0"/>
              <w:bottom w:val="single" w:color="000000" w:sz="8" w:space="0"/>
              <w:right w:val="single" w:color="000000" w:sz="8" w:space="0"/>
            </w:tcBorders>
            <w:vAlign w:val="center"/>
          </w:tcPr>
          <w:p w14:paraId="2AF8A0E3">
            <w:pPr>
              <w:widowControl/>
              <w:jc w:val="center"/>
              <w:textAlignment w:val="bottom"/>
              <w:rPr>
                <w:rFonts w:hint="eastAsia" w:ascii="仿宋" w:hAnsi="仿宋" w:eastAsia="仿宋" w:cs="仿宋"/>
                <w:b/>
                <w:bCs/>
                <w:color w:val="000000"/>
                <w:sz w:val="24"/>
              </w:rPr>
            </w:pPr>
            <w:r>
              <w:rPr>
                <w:rStyle w:val="14"/>
                <w:rFonts w:hint="default" w:ascii="仿宋" w:hAnsi="仿宋" w:eastAsia="仿宋" w:cs="仿宋"/>
                <w:lang w:bidi="ar"/>
              </w:rPr>
              <w:t>备注</w:t>
            </w:r>
            <w:r>
              <w:rPr>
                <w:rStyle w:val="15"/>
                <w:rFonts w:hint="eastAsia" w:ascii="仿宋" w:hAnsi="仿宋" w:eastAsia="仿宋" w:cs="仿宋"/>
                <w:lang w:bidi="ar"/>
              </w:rPr>
              <w:t>/</w:t>
            </w:r>
            <w:r>
              <w:rPr>
                <w:rStyle w:val="14"/>
                <w:rFonts w:hint="default" w:ascii="仿宋" w:hAnsi="仿宋" w:eastAsia="仿宋" w:cs="仿宋"/>
                <w:lang w:bidi="ar"/>
              </w:rPr>
              <w:t>说明</w:t>
            </w:r>
          </w:p>
        </w:tc>
      </w:tr>
      <w:tr w14:paraId="3022F5C3">
        <w:tblPrEx>
          <w:tblCellMar>
            <w:top w:w="0" w:type="dxa"/>
            <w:left w:w="108" w:type="dxa"/>
            <w:bottom w:w="0" w:type="dxa"/>
            <w:right w:w="108" w:type="dxa"/>
          </w:tblCellMar>
        </w:tblPrEx>
        <w:trPr>
          <w:trHeight w:val="330" w:hRule="atLeast"/>
        </w:trPr>
        <w:tc>
          <w:tcPr>
            <w:tcW w:w="8560" w:type="dxa"/>
            <w:gridSpan w:val="6"/>
            <w:tcBorders>
              <w:top w:val="nil"/>
              <w:left w:val="single" w:color="000000" w:sz="8" w:space="0"/>
              <w:bottom w:val="single" w:color="000000" w:sz="8" w:space="0"/>
              <w:right w:val="single" w:color="000000" w:sz="8" w:space="0"/>
            </w:tcBorders>
            <w:vAlign w:val="bottom"/>
          </w:tcPr>
          <w:p w14:paraId="17BFB22C">
            <w:pPr>
              <w:jc w:val="left"/>
              <w:rPr>
                <w:rFonts w:hint="eastAsia" w:ascii="仿宋" w:hAnsi="仿宋" w:eastAsia="仿宋" w:cs="仿宋"/>
                <w:color w:val="000000"/>
                <w:sz w:val="24"/>
              </w:rPr>
            </w:pPr>
            <w:r>
              <w:rPr>
                <w:rFonts w:hint="eastAsia" w:ascii="仿宋" w:hAnsi="仿宋" w:eastAsia="仿宋" w:cs="仿宋"/>
                <w:color w:val="000000"/>
                <w:sz w:val="24"/>
              </w:rPr>
              <w:t>一、业务应用系统</w:t>
            </w:r>
          </w:p>
        </w:tc>
      </w:tr>
      <w:tr w14:paraId="5212D7AB">
        <w:tblPrEx>
          <w:tblCellMar>
            <w:top w:w="0" w:type="dxa"/>
            <w:left w:w="108" w:type="dxa"/>
            <w:bottom w:w="0" w:type="dxa"/>
            <w:right w:w="108" w:type="dxa"/>
          </w:tblCellMar>
        </w:tblPrEx>
        <w:trPr>
          <w:trHeight w:val="330" w:hRule="atLeast"/>
        </w:trPr>
        <w:tc>
          <w:tcPr>
            <w:tcW w:w="1072" w:type="dxa"/>
            <w:vMerge w:val="restart"/>
            <w:tcBorders>
              <w:top w:val="nil"/>
              <w:left w:val="single" w:color="000000" w:sz="8" w:space="0"/>
              <w:right w:val="single" w:color="000000" w:sz="8" w:space="0"/>
            </w:tcBorders>
            <w:shd w:val="clear" w:color="auto" w:fill="auto"/>
            <w:vAlign w:val="center"/>
          </w:tcPr>
          <w:p w14:paraId="483B0106">
            <w:pPr>
              <w:widowControl/>
              <w:jc w:val="center"/>
              <w:textAlignment w:val="bottom"/>
              <w:rPr>
                <w:rFonts w:hint="eastAsia" w:ascii="仿宋" w:hAnsi="仿宋" w:eastAsia="仿宋" w:cs="仿宋"/>
                <w:color w:val="000000"/>
                <w:sz w:val="24"/>
              </w:rPr>
            </w:pPr>
            <w:bookmarkStart w:id="2" w:name="OLE_LINK12"/>
            <w:r>
              <w:rPr>
                <w:rFonts w:hint="eastAsia" w:ascii="仿宋" w:hAnsi="仿宋" w:eastAsia="仿宋" w:cs="仿宋"/>
                <w:color w:val="000000"/>
                <w:kern w:val="0"/>
                <w:sz w:val="24"/>
                <w:lang w:bidi="ar"/>
              </w:rPr>
              <w:t>1.</w:t>
            </w:r>
            <w:bookmarkEnd w:id="2"/>
            <w:r>
              <w:rPr>
                <w:rFonts w:hint="eastAsia" w:ascii="仿宋" w:hAnsi="仿宋" w:eastAsia="仿宋" w:cs="仿宋"/>
                <w:color w:val="000000"/>
                <w:kern w:val="0"/>
                <w:sz w:val="24"/>
                <w:lang w:bidi="ar"/>
              </w:rPr>
              <w:t>1</w:t>
            </w:r>
          </w:p>
        </w:tc>
        <w:tc>
          <w:tcPr>
            <w:tcW w:w="1897" w:type="dxa"/>
            <w:vMerge w:val="restart"/>
            <w:tcBorders>
              <w:top w:val="nil"/>
              <w:left w:val="single" w:color="000000" w:sz="8" w:space="0"/>
              <w:right w:val="single" w:color="000000" w:sz="8" w:space="0"/>
            </w:tcBorders>
            <w:shd w:val="clear" w:color="auto" w:fill="FFFFFF"/>
            <w:vAlign w:val="center"/>
          </w:tcPr>
          <w:p w14:paraId="1AA30C16">
            <w:pPr>
              <w:widowControl/>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基础HIS系统</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功能升级</w:t>
            </w: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7C1377B6">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抗菌药物管理</w:t>
            </w:r>
          </w:p>
        </w:tc>
        <w:tc>
          <w:tcPr>
            <w:tcW w:w="1209" w:type="dxa"/>
            <w:tcBorders>
              <w:top w:val="nil"/>
              <w:left w:val="single" w:color="000000" w:sz="8" w:space="0"/>
              <w:bottom w:val="single" w:color="000000" w:sz="8" w:space="0"/>
              <w:right w:val="single" w:color="000000" w:sz="8" w:space="0"/>
            </w:tcBorders>
            <w:vAlign w:val="bottom"/>
          </w:tcPr>
          <w:p w14:paraId="11E48B83">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07C8E6F4">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4150C142">
            <w:pPr>
              <w:jc w:val="center"/>
              <w:rPr>
                <w:rFonts w:hint="eastAsia" w:ascii="仿宋" w:hAnsi="仿宋" w:eastAsia="仿宋" w:cs="仿宋"/>
                <w:color w:val="000000"/>
                <w:sz w:val="24"/>
              </w:rPr>
            </w:pPr>
          </w:p>
        </w:tc>
      </w:tr>
      <w:tr w14:paraId="7E8EA0EC">
        <w:tblPrEx>
          <w:tblCellMar>
            <w:top w:w="0" w:type="dxa"/>
            <w:left w:w="108" w:type="dxa"/>
            <w:bottom w:w="0" w:type="dxa"/>
            <w:right w:w="108" w:type="dxa"/>
          </w:tblCellMar>
        </w:tblPrEx>
        <w:trPr>
          <w:trHeight w:val="330" w:hRule="atLeast"/>
        </w:trPr>
        <w:tc>
          <w:tcPr>
            <w:tcW w:w="1072" w:type="dxa"/>
            <w:vMerge w:val="continue"/>
            <w:tcBorders>
              <w:left w:val="single" w:color="000000" w:sz="8" w:space="0"/>
              <w:bottom w:val="single" w:color="000000" w:sz="8" w:space="0"/>
              <w:right w:val="single" w:color="000000" w:sz="8" w:space="0"/>
            </w:tcBorders>
            <w:shd w:val="clear" w:color="auto" w:fill="auto"/>
            <w:vAlign w:val="center"/>
          </w:tcPr>
          <w:p w14:paraId="37E89B08">
            <w:pPr>
              <w:widowControl/>
              <w:jc w:val="center"/>
              <w:textAlignment w:val="bottom"/>
              <w:rPr>
                <w:rFonts w:hint="eastAsia" w:ascii="仿宋" w:hAnsi="仿宋" w:eastAsia="仿宋" w:cs="仿宋"/>
                <w:color w:val="000000"/>
                <w:sz w:val="24"/>
              </w:rPr>
            </w:pPr>
          </w:p>
        </w:tc>
        <w:tc>
          <w:tcPr>
            <w:tcW w:w="1897" w:type="dxa"/>
            <w:vMerge w:val="continue"/>
            <w:tcBorders>
              <w:left w:val="single" w:color="000000" w:sz="8" w:space="0"/>
              <w:bottom w:val="single" w:color="000000" w:sz="8" w:space="0"/>
              <w:right w:val="single" w:color="000000" w:sz="8" w:space="0"/>
            </w:tcBorders>
            <w:shd w:val="clear" w:color="auto" w:fill="FFFFFF"/>
            <w:vAlign w:val="center"/>
          </w:tcPr>
          <w:p w14:paraId="71904890">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473CA12A">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危急值管理</w:t>
            </w:r>
          </w:p>
        </w:tc>
        <w:tc>
          <w:tcPr>
            <w:tcW w:w="1209" w:type="dxa"/>
            <w:tcBorders>
              <w:top w:val="nil"/>
              <w:left w:val="single" w:color="000000" w:sz="8" w:space="0"/>
              <w:bottom w:val="single" w:color="000000" w:sz="8" w:space="0"/>
              <w:right w:val="single" w:color="000000" w:sz="8" w:space="0"/>
            </w:tcBorders>
            <w:vAlign w:val="bottom"/>
          </w:tcPr>
          <w:p w14:paraId="7BFFB4FA">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1BCECA2B">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672E8419">
            <w:pPr>
              <w:jc w:val="center"/>
              <w:rPr>
                <w:rFonts w:hint="eastAsia" w:ascii="仿宋" w:hAnsi="仿宋" w:eastAsia="仿宋" w:cs="仿宋"/>
                <w:color w:val="000000"/>
                <w:sz w:val="24"/>
              </w:rPr>
            </w:pPr>
          </w:p>
        </w:tc>
      </w:tr>
      <w:tr w14:paraId="0CDE2E38">
        <w:tblPrEx>
          <w:tblCellMar>
            <w:top w:w="0" w:type="dxa"/>
            <w:left w:w="108" w:type="dxa"/>
            <w:bottom w:w="0" w:type="dxa"/>
            <w:right w:w="108" w:type="dxa"/>
          </w:tblCellMar>
        </w:tblPrEx>
        <w:trPr>
          <w:trHeight w:val="330" w:hRule="atLeast"/>
        </w:trPr>
        <w:tc>
          <w:tcPr>
            <w:tcW w:w="1072" w:type="dxa"/>
            <w:vMerge w:val="restart"/>
            <w:tcBorders>
              <w:top w:val="nil"/>
              <w:left w:val="single" w:color="000000" w:sz="8" w:space="0"/>
              <w:right w:val="single" w:color="000000" w:sz="8" w:space="0"/>
            </w:tcBorders>
            <w:shd w:val="clear" w:color="auto" w:fill="auto"/>
            <w:vAlign w:val="center"/>
          </w:tcPr>
          <w:p w14:paraId="40C088E0">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1897" w:type="dxa"/>
            <w:vMerge w:val="restart"/>
            <w:tcBorders>
              <w:top w:val="nil"/>
              <w:left w:val="single" w:color="000000" w:sz="8" w:space="0"/>
              <w:right w:val="single" w:color="000000" w:sz="8" w:space="0"/>
            </w:tcBorders>
            <w:shd w:val="clear" w:color="auto" w:fill="FFFFFF"/>
            <w:vAlign w:val="center"/>
          </w:tcPr>
          <w:p w14:paraId="354FDF0E">
            <w:pPr>
              <w:widowControl/>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电子病历</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系统升级</w:t>
            </w: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542CE238">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电子病历质控</w:t>
            </w:r>
          </w:p>
        </w:tc>
        <w:tc>
          <w:tcPr>
            <w:tcW w:w="1209" w:type="dxa"/>
            <w:tcBorders>
              <w:top w:val="nil"/>
              <w:left w:val="single" w:color="000000" w:sz="8" w:space="0"/>
              <w:bottom w:val="single" w:color="000000" w:sz="8" w:space="0"/>
              <w:right w:val="single" w:color="000000" w:sz="8" w:space="0"/>
            </w:tcBorders>
            <w:vAlign w:val="bottom"/>
          </w:tcPr>
          <w:p w14:paraId="58EF58C8">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712DD3B5">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061FCBE8">
            <w:pPr>
              <w:jc w:val="center"/>
              <w:rPr>
                <w:rFonts w:hint="eastAsia" w:ascii="仿宋" w:hAnsi="仿宋" w:eastAsia="仿宋" w:cs="仿宋"/>
                <w:color w:val="000000"/>
                <w:sz w:val="24"/>
              </w:rPr>
            </w:pPr>
          </w:p>
        </w:tc>
      </w:tr>
      <w:tr w14:paraId="6F5ED1D8">
        <w:tblPrEx>
          <w:tblCellMar>
            <w:top w:w="0" w:type="dxa"/>
            <w:left w:w="108" w:type="dxa"/>
            <w:bottom w:w="0" w:type="dxa"/>
            <w:right w:w="108" w:type="dxa"/>
          </w:tblCellMar>
        </w:tblPrEx>
        <w:trPr>
          <w:trHeight w:val="330" w:hRule="atLeast"/>
        </w:trPr>
        <w:tc>
          <w:tcPr>
            <w:tcW w:w="1072" w:type="dxa"/>
            <w:vMerge w:val="continue"/>
            <w:tcBorders>
              <w:left w:val="single" w:color="000000" w:sz="8" w:space="0"/>
              <w:bottom w:val="single" w:color="000000" w:sz="8" w:space="0"/>
              <w:right w:val="single" w:color="000000" w:sz="8" w:space="0"/>
            </w:tcBorders>
            <w:shd w:val="clear" w:color="auto" w:fill="auto"/>
            <w:vAlign w:val="center"/>
          </w:tcPr>
          <w:p w14:paraId="429FD0E4">
            <w:pPr>
              <w:widowControl/>
              <w:jc w:val="center"/>
              <w:textAlignment w:val="bottom"/>
              <w:rPr>
                <w:rFonts w:hint="eastAsia" w:ascii="仿宋" w:hAnsi="仿宋" w:eastAsia="仿宋" w:cs="仿宋"/>
                <w:color w:val="000000"/>
                <w:sz w:val="24"/>
              </w:rPr>
            </w:pPr>
          </w:p>
        </w:tc>
        <w:tc>
          <w:tcPr>
            <w:tcW w:w="1897" w:type="dxa"/>
            <w:vMerge w:val="continue"/>
            <w:tcBorders>
              <w:left w:val="single" w:color="000000" w:sz="8" w:space="0"/>
              <w:bottom w:val="single" w:color="000000" w:sz="8" w:space="0"/>
              <w:right w:val="single" w:color="000000" w:sz="8" w:space="0"/>
            </w:tcBorders>
            <w:shd w:val="clear" w:color="auto" w:fill="FFFFFF"/>
            <w:vAlign w:val="center"/>
          </w:tcPr>
          <w:p w14:paraId="081D9DAA">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73362645">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病历日常管理</w:t>
            </w:r>
          </w:p>
        </w:tc>
        <w:tc>
          <w:tcPr>
            <w:tcW w:w="1209" w:type="dxa"/>
            <w:tcBorders>
              <w:top w:val="nil"/>
              <w:left w:val="single" w:color="000000" w:sz="8" w:space="0"/>
              <w:bottom w:val="single" w:color="000000" w:sz="8" w:space="0"/>
              <w:right w:val="single" w:color="000000" w:sz="8" w:space="0"/>
            </w:tcBorders>
            <w:vAlign w:val="bottom"/>
          </w:tcPr>
          <w:p w14:paraId="7F672903">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339D5359">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35934F88">
            <w:pPr>
              <w:jc w:val="center"/>
              <w:rPr>
                <w:rFonts w:hint="eastAsia" w:ascii="仿宋" w:hAnsi="仿宋" w:eastAsia="仿宋" w:cs="仿宋"/>
                <w:color w:val="000000"/>
                <w:sz w:val="24"/>
              </w:rPr>
            </w:pPr>
          </w:p>
        </w:tc>
      </w:tr>
      <w:tr w14:paraId="26F06AB3">
        <w:tblPrEx>
          <w:tblCellMar>
            <w:top w:w="0" w:type="dxa"/>
            <w:left w:w="108" w:type="dxa"/>
            <w:bottom w:w="0" w:type="dxa"/>
            <w:right w:w="108" w:type="dxa"/>
          </w:tblCellMar>
        </w:tblPrEx>
        <w:trPr>
          <w:trHeight w:val="330" w:hRule="atLeast"/>
        </w:trPr>
        <w:tc>
          <w:tcPr>
            <w:tcW w:w="1072" w:type="dxa"/>
            <w:vMerge w:val="restart"/>
            <w:tcBorders>
              <w:top w:val="nil"/>
              <w:left w:val="single" w:color="000000" w:sz="8" w:space="0"/>
              <w:right w:val="single" w:color="000000" w:sz="8" w:space="0"/>
            </w:tcBorders>
            <w:shd w:val="clear" w:color="auto" w:fill="auto"/>
            <w:vAlign w:val="center"/>
          </w:tcPr>
          <w:p w14:paraId="23A54993">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1897" w:type="dxa"/>
            <w:vMerge w:val="restart"/>
            <w:tcBorders>
              <w:top w:val="nil"/>
              <w:left w:val="single" w:color="000000" w:sz="8" w:space="0"/>
              <w:right w:val="single" w:color="000000" w:sz="8" w:space="0"/>
            </w:tcBorders>
            <w:shd w:val="clear" w:color="auto" w:fill="FFFFFF"/>
            <w:vAlign w:val="center"/>
          </w:tcPr>
          <w:p w14:paraId="17045ADB">
            <w:pPr>
              <w:widowControl/>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移动临床</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系统建设</w:t>
            </w: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1D1E3DDB">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移动医生</w:t>
            </w:r>
          </w:p>
        </w:tc>
        <w:tc>
          <w:tcPr>
            <w:tcW w:w="1209" w:type="dxa"/>
            <w:tcBorders>
              <w:top w:val="nil"/>
              <w:left w:val="single" w:color="000000" w:sz="8" w:space="0"/>
              <w:bottom w:val="single" w:color="000000" w:sz="8" w:space="0"/>
              <w:right w:val="single" w:color="000000" w:sz="8" w:space="0"/>
            </w:tcBorders>
            <w:vAlign w:val="bottom"/>
          </w:tcPr>
          <w:p w14:paraId="2C37BA2D">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70EE0BFD">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774ED93A">
            <w:pPr>
              <w:jc w:val="center"/>
              <w:rPr>
                <w:rFonts w:hint="eastAsia" w:ascii="仿宋" w:hAnsi="仿宋" w:eastAsia="仿宋" w:cs="仿宋"/>
                <w:color w:val="000000"/>
                <w:sz w:val="24"/>
              </w:rPr>
            </w:pPr>
          </w:p>
        </w:tc>
      </w:tr>
      <w:tr w14:paraId="7E59A2C5">
        <w:tblPrEx>
          <w:tblCellMar>
            <w:top w:w="0" w:type="dxa"/>
            <w:left w:w="108" w:type="dxa"/>
            <w:bottom w:w="0" w:type="dxa"/>
            <w:right w:w="108" w:type="dxa"/>
          </w:tblCellMar>
        </w:tblPrEx>
        <w:trPr>
          <w:trHeight w:val="330" w:hRule="atLeast"/>
        </w:trPr>
        <w:tc>
          <w:tcPr>
            <w:tcW w:w="1072" w:type="dxa"/>
            <w:vMerge w:val="continue"/>
            <w:tcBorders>
              <w:left w:val="single" w:color="000000" w:sz="8" w:space="0"/>
              <w:right w:val="single" w:color="000000" w:sz="8" w:space="0"/>
            </w:tcBorders>
            <w:shd w:val="clear" w:color="auto" w:fill="auto"/>
            <w:vAlign w:val="center"/>
          </w:tcPr>
          <w:p w14:paraId="703A2CC4">
            <w:pPr>
              <w:jc w:val="center"/>
              <w:textAlignment w:val="bottom"/>
              <w:rPr>
                <w:rFonts w:hint="eastAsia" w:ascii="仿宋" w:hAnsi="仿宋" w:eastAsia="仿宋" w:cs="仿宋"/>
                <w:color w:val="000000"/>
                <w:sz w:val="24"/>
              </w:rPr>
            </w:pPr>
          </w:p>
        </w:tc>
        <w:tc>
          <w:tcPr>
            <w:tcW w:w="1897" w:type="dxa"/>
            <w:vMerge w:val="continue"/>
            <w:tcBorders>
              <w:left w:val="single" w:color="000000" w:sz="8" w:space="0"/>
              <w:right w:val="single" w:color="000000" w:sz="8" w:space="0"/>
            </w:tcBorders>
            <w:shd w:val="clear" w:color="auto" w:fill="FFFFFF"/>
            <w:vAlign w:val="center"/>
          </w:tcPr>
          <w:p w14:paraId="02D44FF2">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260BAA64">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移动护理</w:t>
            </w:r>
          </w:p>
        </w:tc>
        <w:tc>
          <w:tcPr>
            <w:tcW w:w="1209" w:type="dxa"/>
            <w:tcBorders>
              <w:top w:val="nil"/>
              <w:left w:val="single" w:color="000000" w:sz="8" w:space="0"/>
              <w:bottom w:val="single" w:color="000000" w:sz="8" w:space="0"/>
              <w:right w:val="single" w:color="000000" w:sz="8" w:space="0"/>
            </w:tcBorders>
            <w:vAlign w:val="bottom"/>
          </w:tcPr>
          <w:p w14:paraId="28949001">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66654064">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556427D9">
            <w:pPr>
              <w:jc w:val="center"/>
              <w:rPr>
                <w:rFonts w:hint="eastAsia" w:ascii="仿宋" w:hAnsi="仿宋" w:eastAsia="仿宋" w:cs="仿宋"/>
                <w:color w:val="000000"/>
                <w:sz w:val="24"/>
              </w:rPr>
            </w:pPr>
          </w:p>
        </w:tc>
      </w:tr>
      <w:tr w14:paraId="3CAE18A9">
        <w:tblPrEx>
          <w:tblCellMar>
            <w:top w:w="0" w:type="dxa"/>
            <w:left w:w="108" w:type="dxa"/>
            <w:bottom w:w="0" w:type="dxa"/>
            <w:right w:w="108" w:type="dxa"/>
          </w:tblCellMar>
        </w:tblPrEx>
        <w:trPr>
          <w:trHeight w:val="330" w:hRule="atLeast"/>
        </w:trPr>
        <w:tc>
          <w:tcPr>
            <w:tcW w:w="1072" w:type="dxa"/>
            <w:vMerge w:val="continue"/>
            <w:tcBorders>
              <w:left w:val="single" w:color="000000" w:sz="8" w:space="0"/>
              <w:bottom w:val="single" w:color="000000" w:sz="8" w:space="0"/>
              <w:right w:val="single" w:color="000000" w:sz="8" w:space="0"/>
            </w:tcBorders>
            <w:shd w:val="clear" w:color="auto" w:fill="auto"/>
            <w:vAlign w:val="center"/>
          </w:tcPr>
          <w:p w14:paraId="4FC651D5">
            <w:pPr>
              <w:widowControl/>
              <w:jc w:val="center"/>
              <w:textAlignment w:val="bottom"/>
              <w:rPr>
                <w:rFonts w:hint="eastAsia" w:ascii="仿宋" w:hAnsi="仿宋" w:eastAsia="仿宋" w:cs="仿宋"/>
                <w:color w:val="000000"/>
                <w:sz w:val="24"/>
              </w:rPr>
            </w:pPr>
          </w:p>
        </w:tc>
        <w:tc>
          <w:tcPr>
            <w:tcW w:w="1897" w:type="dxa"/>
            <w:vMerge w:val="continue"/>
            <w:tcBorders>
              <w:left w:val="single" w:color="000000" w:sz="8" w:space="0"/>
              <w:bottom w:val="single" w:color="000000" w:sz="8" w:space="0"/>
              <w:right w:val="single" w:color="000000" w:sz="8" w:space="0"/>
            </w:tcBorders>
            <w:shd w:val="clear" w:color="auto" w:fill="FFFFFF"/>
            <w:vAlign w:val="center"/>
          </w:tcPr>
          <w:p w14:paraId="063E325F">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1B1F1FC2">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一体化护理管理</w:t>
            </w:r>
          </w:p>
        </w:tc>
        <w:tc>
          <w:tcPr>
            <w:tcW w:w="1209" w:type="dxa"/>
            <w:tcBorders>
              <w:top w:val="nil"/>
              <w:left w:val="single" w:color="000000" w:sz="8" w:space="0"/>
              <w:bottom w:val="single" w:color="000000" w:sz="8" w:space="0"/>
              <w:right w:val="single" w:color="000000" w:sz="8" w:space="0"/>
            </w:tcBorders>
            <w:vAlign w:val="bottom"/>
          </w:tcPr>
          <w:p w14:paraId="141226A0">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1760971A">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6F918527">
            <w:pPr>
              <w:jc w:val="center"/>
              <w:rPr>
                <w:rFonts w:hint="eastAsia" w:ascii="仿宋" w:hAnsi="仿宋" w:eastAsia="仿宋" w:cs="仿宋"/>
                <w:color w:val="000000"/>
                <w:sz w:val="24"/>
              </w:rPr>
            </w:pPr>
          </w:p>
        </w:tc>
      </w:tr>
      <w:tr w14:paraId="2417F016">
        <w:tblPrEx>
          <w:tblCellMar>
            <w:top w:w="0" w:type="dxa"/>
            <w:left w:w="108" w:type="dxa"/>
            <w:bottom w:w="0" w:type="dxa"/>
            <w:right w:w="108" w:type="dxa"/>
          </w:tblCellMar>
        </w:tblPrEx>
        <w:trPr>
          <w:trHeight w:val="330" w:hRule="atLeast"/>
        </w:trPr>
        <w:tc>
          <w:tcPr>
            <w:tcW w:w="1072" w:type="dxa"/>
            <w:vMerge w:val="restart"/>
            <w:tcBorders>
              <w:top w:val="nil"/>
              <w:left w:val="single" w:color="000000" w:sz="8" w:space="0"/>
              <w:right w:val="single" w:color="000000" w:sz="8" w:space="0"/>
            </w:tcBorders>
            <w:shd w:val="clear" w:color="auto" w:fill="auto"/>
            <w:vAlign w:val="center"/>
          </w:tcPr>
          <w:p w14:paraId="7DF4F005">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1897" w:type="dxa"/>
            <w:vMerge w:val="restart"/>
            <w:tcBorders>
              <w:top w:val="nil"/>
              <w:left w:val="single" w:color="000000" w:sz="8" w:space="0"/>
              <w:right w:val="single" w:color="000000" w:sz="8" w:space="0"/>
            </w:tcBorders>
            <w:shd w:val="clear" w:color="auto" w:fill="FFFFFF"/>
            <w:vAlign w:val="center"/>
          </w:tcPr>
          <w:p w14:paraId="38A8EDD9">
            <w:pPr>
              <w:widowControl/>
              <w:jc w:val="center"/>
              <w:textAlignment w:val="bottom"/>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合理用药</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系统建设</w:t>
            </w: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43B96563">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合理用药监测</w:t>
            </w:r>
          </w:p>
        </w:tc>
        <w:tc>
          <w:tcPr>
            <w:tcW w:w="1209" w:type="dxa"/>
            <w:tcBorders>
              <w:top w:val="nil"/>
              <w:left w:val="single" w:color="000000" w:sz="8" w:space="0"/>
              <w:bottom w:val="single" w:color="000000" w:sz="8" w:space="0"/>
              <w:right w:val="single" w:color="000000" w:sz="8" w:space="0"/>
            </w:tcBorders>
            <w:vAlign w:val="bottom"/>
          </w:tcPr>
          <w:p w14:paraId="3A7372B6">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7A049198">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1C52807D">
            <w:pPr>
              <w:jc w:val="center"/>
              <w:rPr>
                <w:rFonts w:hint="eastAsia" w:ascii="仿宋" w:hAnsi="仿宋" w:eastAsia="仿宋" w:cs="仿宋"/>
                <w:color w:val="000000"/>
                <w:sz w:val="24"/>
              </w:rPr>
            </w:pPr>
          </w:p>
        </w:tc>
      </w:tr>
      <w:tr w14:paraId="1E600BB1">
        <w:tblPrEx>
          <w:tblCellMar>
            <w:top w:w="0" w:type="dxa"/>
            <w:left w:w="108" w:type="dxa"/>
            <w:bottom w:w="0" w:type="dxa"/>
            <w:right w:w="108" w:type="dxa"/>
          </w:tblCellMar>
        </w:tblPrEx>
        <w:trPr>
          <w:trHeight w:val="330" w:hRule="atLeast"/>
        </w:trPr>
        <w:tc>
          <w:tcPr>
            <w:tcW w:w="1072" w:type="dxa"/>
            <w:vMerge w:val="continue"/>
            <w:tcBorders>
              <w:left w:val="single" w:color="000000" w:sz="8" w:space="0"/>
              <w:right w:val="single" w:color="000000" w:sz="8" w:space="0"/>
            </w:tcBorders>
            <w:shd w:val="clear" w:color="auto" w:fill="auto"/>
            <w:vAlign w:val="bottom"/>
          </w:tcPr>
          <w:p w14:paraId="45624A11">
            <w:pPr>
              <w:jc w:val="center"/>
              <w:textAlignment w:val="bottom"/>
              <w:rPr>
                <w:rFonts w:hint="eastAsia" w:ascii="仿宋" w:hAnsi="仿宋" w:eastAsia="仿宋" w:cs="仿宋"/>
                <w:color w:val="000000"/>
                <w:sz w:val="24"/>
              </w:rPr>
            </w:pPr>
          </w:p>
        </w:tc>
        <w:tc>
          <w:tcPr>
            <w:tcW w:w="1897" w:type="dxa"/>
            <w:vMerge w:val="continue"/>
            <w:tcBorders>
              <w:left w:val="single" w:color="000000" w:sz="8" w:space="0"/>
              <w:right w:val="single" w:color="000000" w:sz="8" w:space="0"/>
            </w:tcBorders>
            <w:shd w:val="clear" w:color="auto" w:fill="FFFFFF"/>
            <w:vAlign w:val="bottom"/>
          </w:tcPr>
          <w:p w14:paraId="66C0525A">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7B244146">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临床药学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（处方点评）</w:t>
            </w:r>
          </w:p>
        </w:tc>
        <w:tc>
          <w:tcPr>
            <w:tcW w:w="1209" w:type="dxa"/>
            <w:tcBorders>
              <w:top w:val="nil"/>
              <w:left w:val="single" w:color="000000" w:sz="8" w:space="0"/>
              <w:bottom w:val="single" w:color="000000" w:sz="8" w:space="0"/>
              <w:right w:val="single" w:color="000000" w:sz="8" w:space="0"/>
            </w:tcBorders>
            <w:vAlign w:val="bottom"/>
          </w:tcPr>
          <w:p w14:paraId="38E920ED">
            <w:pPr>
              <w:widowControl/>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62A0FFBC">
            <w:pPr>
              <w:widowControl/>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557FAEC1">
            <w:pPr>
              <w:jc w:val="center"/>
              <w:rPr>
                <w:rFonts w:hint="eastAsia" w:ascii="仿宋" w:hAnsi="仿宋" w:eastAsia="仿宋" w:cs="仿宋"/>
                <w:color w:val="000000"/>
                <w:sz w:val="24"/>
              </w:rPr>
            </w:pPr>
          </w:p>
        </w:tc>
      </w:tr>
      <w:tr w14:paraId="176BFE47">
        <w:tblPrEx>
          <w:tblCellMar>
            <w:top w:w="0" w:type="dxa"/>
            <w:left w:w="108" w:type="dxa"/>
            <w:bottom w:w="0" w:type="dxa"/>
            <w:right w:w="108" w:type="dxa"/>
          </w:tblCellMar>
        </w:tblPrEx>
        <w:trPr>
          <w:trHeight w:val="330" w:hRule="atLeast"/>
        </w:trPr>
        <w:tc>
          <w:tcPr>
            <w:tcW w:w="1072" w:type="dxa"/>
            <w:vMerge w:val="continue"/>
            <w:tcBorders>
              <w:left w:val="single" w:color="000000" w:sz="8" w:space="0"/>
              <w:bottom w:val="single" w:color="000000" w:sz="8" w:space="0"/>
              <w:right w:val="single" w:color="000000" w:sz="8" w:space="0"/>
            </w:tcBorders>
            <w:shd w:val="clear" w:color="auto" w:fill="auto"/>
            <w:vAlign w:val="bottom"/>
          </w:tcPr>
          <w:p w14:paraId="65AD3627">
            <w:pPr>
              <w:widowControl/>
              <w:jc w:val="center"/>
              <w:textAlignment w:val="bottom"/>
              <w:rPr>
                <w:rFonts w:hint="eastAsia" w:ascii="仿宋" w:hAnsi="仿宋" w:eastAsia="仿宋" w:cs="仿宋"/>
                <w:color w:val="000000"/>
                <w:sz w:val="24"/>
              </w:rPr>
            </w:pPr>
          </w:p>
        </w:tc>
        <w:tc>
          <w:tcPr>
            <w:tcW w:w="1897" w:type="dxa"/>
            <w:vMerge w:val="continue"/>
            <w:tcBorders>
              <w:left w:val="single" w:color="000000" w:sz="8" w:space="0"/>
              <w:bottom w:val="single" w:color="000000" w:sz="8" w:space="0"/>
              <w:right w:val="single" w:color="000000" w:sz="8" w:space="0"/>
            </w:tcBorders>
            <w:shd w:val="clear" w:color="auto" w:fill="FFFFFF"/>
            <w:vAlign w:val="bottom"/>
          </w:tcPr>
          <w:p w14:paraId="4103607E">
            <w:pPr>
              <w:widowControl/>
              <w:jc w:val="center"/>
              <w:textAlignment w:val="bottom"/>
              <w:rPr>
                <w:rFonts w:hint="eastAsia" w:ascii="仿宋" w:hAnsi="仿宋" w:eastAsia="仿宋" w:cs="仿宋"/>
                <w:color w:val="000000"/>
                <w:kern w:val="0"/>
                <w:sz w:val="24"/>
                <w:lang w:bidi="ar"/>
              </w:rPr>
            </w:pPr>
          </w:p>
        </w:tc>
        <w:tc>
          <w:tcPr>
            <w:tcW w:w="2121" w:type="dxa"/>
            <w:tcBorders>
              <w:top w:val="nil"/>
              <w:left w:val="single" w:color="000000" w:sz="8" w:space="0"/>
              <w:bottom w:val="single" w:color="000000" w:sz="8" w:space="0"/>
              <w:right w:val="single" w:color="000000" w:sz="8" w:space="0"/>
            </w:tcBorders>
            <w:shd w:val="clear" w:color="auto" w:fill="FFFFFF"/>
            <w:vAlign w:val="bottom"/>
          </w:tcPr>
          <w:p w14:paraId="399991F3">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实时审方</w:t>
            </w:r>
          </w:p>
        </w:tc>
        <w:tc>
          <w:tcPr>
            <w:tcW w:w="1209" w:type="dxa"/>
            <w:tcBorders>
              <w:top w:val="nil"/>
              <w:left w:val="single" w:color="000000" w:sz="8" w:space="0"/>
              <w:bottom w:val="single" w:color="000000" w:sz="8" w:space="0"/>
              <w:right w:val="single" w:color="000000" w:sz="8" w:space="0"/>
            </w:tcBorders>
            <w:vAlign w:val="bottom"/>
          </w:tcPr>
          <w:p w14:paraId="5380D864">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10FA4840">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6CB28382">
            <w:pPr>
              <w:jc w:val="center"/>
              <w:rPr>
                <w:rFonts w:hint="eastAsia" w:ascii="仿宋" w:hAnsi="仿宋" w:eastAsia="仿宋" w:cs="仿宋"/>
                <w:color w:val="000000"/>
                <w:sz w:val="24"/>
              </w:rPr>
            </w:pPr>
          </w:p>
        </w:tc>
      </w:tr>
      <w:tr w14:paraId="0964B666">
        <w:tblPrEx>
          <w:tblCellMar>
            <w:top w:w="0" w:type="dxa"/>
            <w:left w:w="108" w:type="dxa"/>
            <w:bottom w:w="0" w:type="dxa"/>
            <w:right w:w="108" w:type="dxa"/>
          </w:tblCellMar>
        </w:tblPrEx>
        <w:trPr>
          <w:trHeight w:val="330" w:hRule="atLeast"/>
        </w:trPr>
        <w:tc>
          <w:tcPr>
            <w:tcW w:w="8560" w:type="dxa"/>
            <w:gridSpan w:val="6"/>
            <w:tcBorders>
              <w:top w:val="nil"/>
              <w:left w:val="single" w:color="000000" w:sz="8" w:space="0"/>
              <w:bottom w:val="single" w:color="000000" w:sz="8" w:space="0"/>
              <w:right w:val="single" w:color="000000" w:sz="8" w:space="0"/>
            </w:tcBorders>
            <w:vAlign w:val="bottom"/>
          </w:tcPr>
          <w:p w14:paraId="25069A93">
            <w:pPr>
              <w:jc w:val="left"/>
              <w:rPr>
                <w:rFonts w:hint="eastAsia" w:ascii="仿宋" w:hAnsi="仿宋" w:eastAsia="仿宋" w:cs="仿宋"/>
                <w:color w:val="000000"/>
                <w:sz w:val="24"/>
              </w:rPr>
            </w:pPr>
            <w:r>
              <w:rPr>
                <w:rFonts w:hint="eastAsia" w:ascii="仿宋" w:hAnsi="仿宋" w:eastAsia="仿宋" w:cs="仿宋"/>
                <w:color w:val="000000"/>
                <w:sz w:val="24"/>
              </w:rPr>
              <w:t>二、系统软硬件产品</w:t>
            </w:r>
          </w:p>
        </w:tc>
      </w:tr>
      <w:tr w14:paraId="0F4F0DD6">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77B614FC">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2.1</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1F4FEEA7">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服务器CPU扩容</w:t>
            </w:r>
          </w:p>
        </w:tc>
        <w:tc>
          <w:tcPr>
            <w:tcW w:w="1209" w:type="dxa"/>
            <w:tcBorders>
              <w:top w:val="nil"/>
              <w:left w:val="single" w:color="000000" w:sz="8" w:space="0"/>
              <w:bottom w:val="single" w:color="000000" w:sz="8" w:space="0"/>
              <w:right w:val="single" w:color="000000" w:sz="8" w:space="0"/>
            </w:tcBorders>
            <w:vAlign w:val="bottom"/>
          </w:tcPr>
          <w:p w14:paraId="58832DBF">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3B7ED141">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0B2E6E6D">
            <w:pPr>
              <w:widowControl/>
              <w:spacing w:line="360" w:lineRule="auto"/>
              <w:jc w:val="center"/>
              <w:rPr>
                <w:rFonts w:hint="eastAsia" w:ascii="仿宋" w:hAnsi="仿宋" w:eastAsia="仿宋" w:cs="仿宋"/>
                <w:color w:val="000000"/>
                <w:sz w:val="24"/>
              </w:rPr>
            </w:pPr>
          </w:p>
        </w:tc>
      </w:tr>
      <w:tr w14:paraId="39A03F88">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66D29418">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2.2</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37885641">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服务器内存扩容</w:t>
            </w:r>
          </w:p>
        </w:tc>
        <w:tc>
          <w:tcPr>
            <w:tcW w:w="1209" w:type="dxa"/>
            <w:tcBorders>
              <w:top w:val="nil"/>
              <w:left w:val="single" w:color="000000" w:sz="8" w:space="0"/>
              <w:bottom w:val="single" w:color="000000" w:sz="8" w:space="0"/>
              <w:right w:val="single" w:color="000000" w:sz="8" w:space="0"/>
            </w:tcBorders>
            <w:vAlign w:val="bottom"/>
          </w:tcPr>
          <w:p w14:paraId="0461C6EC">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3618EDE7">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756B8A29">
            <w:pPr>
              <w:widowControl/>
              <w:spacing w:line="360" w:lineRule="auto"/>
              <w:jc w:val="center"/>
              <w:rPr>
                <w:rFonts w:hint="eastAsia" w:ascii="仿宋" w:hAnsi="仿宋" w:eastAsia="仿宋" w:cs="仿宋"/>
                <w:color w:val="000000"/>
                <w:sz w:val="24"/>
              </w:rPr>
            </w:pPr>
          </w:p>
        </w:tc>
      </w:tr>
      <w:tr w14:paraId="521E80CB">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53B208F7">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2.3</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700ECD49">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服务器配件（扩展托盘）</w:t>
            </w:r>
          </w:p>
        </w:tc>
        <w:tc>
          <w:tcPr>
            <w:tcW w:w="1209" w:type="dxa"/>
            <w:tcBorders>
              <w:top w:val="nil"/>
              <w:left w:val="single" w:color="000000" w:sz="8" w:space="0"/>
              <w:bottom w:val="single" w:color="000000" w:sz="8" w:space="0"/>
              <w:right w:val="single" w:color="000000" w:sz="8" w:space="0"/>
            </w:tcBorders>
            <w:vAlign w:val="bottom"/>
          </w:tcPr>
          <w:p w14:paraId="02E65665">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598D1152">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13DE4C36">
            <w:pPr>
              <w:widowControl/>
              <w:spacing w:line="360" w:lineRule="auto"/>
              <w:jc w:val="center"/>
              <w:rPr>
                <w:rFonts w:hint="eastAsia" w:ascii="仿宋" w:hAnsi="仿宋" w:eastAsia="仿宋" w:cs="仿宋"/>
                <w:color w:val="000000"/>
                <w:sz w:val="24"/>
              </w:rPr>
            </w:pPr>
          </w:p>
        </w:tc>
      </w:tr>
      <w:tr w14:paraId="7CD40EA4">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773FC907">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2.4</w:t>
            </w:r>
          </w:p>
        </w:tc>
        <w:tc>
          <w:tcPr>
            <w:tcW w:w="4018" w:type="dxa"/>
            <w:gridSpan w:val="2"/>
            <w:tcBorders>
              <w:top w:val="nil"/>
              <w:left w:val="single" w:color="000000" w:sz="8" w:space="0"/>
              <w:bottom w:val="nil"/>
              <w:right w:val="single" w:color="000000" w:sz="8" w:space="0"/>
            </w:tcBorders>
            <w:shd w:val="clear" w:color="auto" w:fill="FFFFFF"/>
            <w:vAlign w:val="bottom"/>
          </w:tcPr>
          <w:p w14:paraId="65101737">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虚拟化存储扩盘</w:t>
            </w:r>
          </w:p>
        </w:tc>
        <w:tc>
          <w:tcPr>
            <w:tcW w:w="1209" w:type="dxa"/>
            <w:tcBorders>
              <w:top w:val="nil"/>
              <w:left w:val="single" w:color="000000" w:sz="8" w:space="0"/>
              <w:bottom w:val="single" w:color="000000" w:sz="8" w:space="0"/>
              <w:right w:val="single" w:color="000000" w:sz="8" w:space="0"/>
            </w:tcBorders>
            <w:vAlign w:val="bottom"/>
          </w:tcPr>
          <w:p w14:paraId="3557749E">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7721B0DB">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628AAB21">
            <w:pPr>
              <w:widowControl/>
              <w:spacing w:line="360" w:lineRule="auto"/>
              <w:jc w:val="center"/>
              <w:rPr>
                <w:rFonts w:hint="eastAsia" w:ascii="仿宋" w:hAnsi="仿宋" w:eastAsia="仿宋" w:cs="仿宋"/>
                <w:color w:val="000000"/>
                <w:sz w:val="24"/>
              </w:rPr>
            </w:pPr>
          </w:p>
        </w:tc>
      </w:tr>
      <w:tr w14:paraId="4F8610B9">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nil"/>
            </w:tcBorders>
            <w:shd w:val="clear" w:color="auto" w:fill="auto"/>
            <w:vAlign w:val="bottom"/>
          </w:tcPr>
          <w:p w14:paraId="6E429ADE">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2.5</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14:paraId="0C3C2911">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虚拟化软件（含授权及管理中心）</w:t>
            </w:r>
          </w:p>
        </w:tc>
        <w:tc>
          <w:tcPr>
            <w:tcW w:w="1209" w:type="dxa"/>
            <w:tcBorders>
              <w:top w:val="nil"/>
              <w:left w:val="single" w:color="000000" w:sz="8" w:space="0"/>
              <w:bottom w:val="single" w:color="000000" w:sz="8" w:space="0"/>
              <w:right w:val="single" w:color="000000" w:sz="8" w:space="0"/>
            </w:tcBorders>
            <w:vAlign w:val="bottom"/>
          </w:tcPr>
          <w:p w14:paraId="7B0032BC">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51A75407">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1B4F6298">
            <w:pPr>
              <w:widowControl/>
              <w:spacing w:line="360" w:lineRule="auto"/>
              <w:jc w:val="center"/>
              <w:rPr>
                <w:rFonts w:hint="eastAsia" w:ascii="仿宋" w:hAnsi="仿宋" w:eastAsia="仿宋" w:cs="仿宋"/>
                <w:color w:val="000000"/>
                <w:sz w:val="24"/>
              </w:rPr>
            </w:pPr>
          </w:p>
        </w:tc>
      </w:tr>
      <w:tr w14:paraId="7DE9E570">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nil"/>
            </w:tcBorders>
            <w:shd w:val="clear" w:color="auto" w:fill="auto"/>
            <w:vAlign w:val="bottom"/>
          </w:tcPr>
          <w:p w14:paraId="653C6930">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2.6</w:t>
            </w:r>
          </w:p>
        </w:tc>
        <w:tc>
          <w:tcPr>
            <w:tcW w:w="4018"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14:paraId="599C4A6D">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面板无线AP</w:t>
            </w:r>
          </w:p>
        </w:tc>
        <w:tc>
          <w:tcPr>
            <w:tcW w:w="1209" w:type="dxa"/>
            <w:tcBorders>
              <w:top w:val="nil"/>
              <w:left w:val="single" w:color="000000" w:sz="8" w:space="0"/>
              <w:bottom w:val="single" w:color="000000" w:sz="8" w:space="0"/>
              <w:right w:val="single" w:color="000000" w:sz="8" w:space="0"/>
            </w:tcBorders>
            <w:vAlign w:val="bottom"/>
          </w:tcPr>
          <w:p w14:paraId="5BE01854">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3F123B76">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397FFBC1">
            <w:pPr>
              <w:widowControl/>
              <w:spacing w:line="360" w:lineRule="auto"/>
              <w:jc w:val="center"/>
              <w:rPr>
                <w:rFonts w:hint="eastAsia" w:ascii="仿宋" w:hAnsi="仿宋" w:eastAsia="仿宋" w:cs="仿宋"/>
                <w:color w:val="000000"/>
                <w:sz w:val="24"/>
              </w:rPr>
            </w:pPr>
          </w:p>
        </w:tc>
      </w:tr>
      <w:tr w14:paraId="424FAB78">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11140116">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2.7</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477A6529">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放装无线AP</w:t>
            </w:r>
          </w:p>
        </w:tc>
        <w:tc>
          <w:tcPr>
            <w:tcW w:w="1209" w:type="dxa"/>
            <w:tcBorders>
              <w:top w:val="nil"/>
              <w:left w:val="single" w:color="000000" w:sz="8" w:space="0"/>
              <w:bottom w:val="single" w:color="000000" w:sz="8" w:space="0"/>
              <w:right w:val="single" w:color="000000" w:sz="8" w:space="0"/>
            </w:tcBorders>
            <w:vAlign w:val="bottom"/>
          </w:tcPr>
          <w:p w14:paraId="3D87AA44">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189BBA6A">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294B2177">
            <w:pPr>
              <w:widowControl/>
              <w:spacing w:line="360" w:lineRule="auto"/>
              <w:jc w:val="center"/>
              <w:rPr>
                <w:rFonts w:hint="eastAsia" w:ascii="仿宋" w:hAnsi="仿宋" w:eastAsia="仿宋" w:cs="仿宋"/>
                <w:color w:val="000000"/>
                <w:sz w:val="24"/>
              </w:rPr>
            </w:pPr>
          </w:p>
        </w:tc>
      </w:tr>
      <w:tr w14:paraId="47DB00B9">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05720140">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2.8</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01A6A1E3">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24口POE交换机</w:t>
            </w:r>
          </w:p>
        </w:tc>
        <w:tc>
          <w:tcPr>
            <w:tcW w:w="1209" w:type="dxa"/>
            <w:tcBorders>
              <w:top w:val="nil"/>
              <w:left w:val="single" w:color="000000" w:sz="8" w:space="0"/>
              <w:bottom w:val="single" w:color="000000" w:sz="8" w:space="0"/>
              <w:right w:val="single" w:color="000000" w:sz="8" w:space="0"/>
            </w:tcBorders>
            <w:vAlign w:val="bottom"/>
          </w:tcPr>
          <w:p w14:paraId="709D2654">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57D44C71">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06856E09">
            <w:pPr>
              <w:widowControl/>
              <w:spacing w:line="360" w:lineRule="auto"/>
              <w:jc w:val="center"/>
              <w:rPr>
                <w:rFonts w:hint="eastAsia" w:ascii="仿宋" w:hAnsi="仿宋" w:eastAsia="仿宋" w:cs="仿宋"/>
                <w:color w:val="000000"/>
                <w:sz w:val="24"/>
              </w:rPr>
            </w:pPr>
          </w:p>
        </w:tc>
      </w:tr>
      <w:tr w14:paraId="487C38BA">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37B78E8D">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2.9</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17E48CCB">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光模块</w:t>
            </w:r>
          </w:p>
        </w:tc>
        <w:tc>
          <w:tcPr>
            <w:tcW w:w="1209" w:type="dxa"/>
            <w:tcBorders>
              <w:top w:val="nil"/>
              <w:left w:val="single" w:color="000000" w:sz="8" w:space="0"/>
              <w:bottom w:val="single" w:color="000000" w:sz="8" w:space="0"/>
              <w:right w:val="single" w:color="000000" w:sz="8" w:space="0"/>
            </w:tcBorders>
            <w:vAlign w:val="bottom"/>
          </w:tcPr>
          <w:p w14:paraId="35FA0BDB">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54A5AEAB">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732AB55A">
            <w:pPr>
              <w:widowControl/>
              <w:spacing w:line="360" w:lineRule="auto"/>
              <w:jc w:val="center"/>
              <w:rPr>
                <w:rFonts w:hint="eastAsia" w:ascii="仿宋" w:hAnsi="仿宋" w:eastAsia="仿宋" w:cs="仿宋"/>
                <w:color w:val="000000"/>
                <w:sz w:val="24"/>
              </w:rPr>
            </w:pPr>
          </w:p>
        </w:tc>
      </w:tr>
      <w:tr w14:paraId="753918C0">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60991B4C">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2.10</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6CB929BE">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无线控制器</w:t>
            </w:r>
          </w:p>
        </w:tc>
        <w:tc>
          <w:tcPr>
            <w:tcW w:w="1209" w:type="dxa"/>
            <w:tcBorders>
              <w:top w:val="nil"/>
              <w:left w:val="single" w:color="000000" w:sz="8" w:space="0"/>
              <w:bottom w:val="single" w:color="000000" w:sz="8" w:space="0"/>
              <w:right w:val="single" w:color="000000" w:sz="8" w:space="0"/>
            </w:tcBorders>
            <w:vAlign w:val="bottom"/>
          </w:tcPr>
          <w:p w14:paraId="168356E3">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47A8F57E">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37DEB100">
            <w:pPr>
              <w:widowControl/>
              <w:spacing w:line="360" w:lineRule="auto"/>
              <w:jc w:val="center"/>
              <w:rPr>
                <w:rFonts w:hint="eastAsia" w:ascii="仿宋" w:hAnsi="仿宋" w:eastAsia="仿宋" w:cs="仿宋"/>
                <w:color w:val="000000"/>
                <w:sz w:val="24"/>
              </w:rPr>
            </w:pPr>
          </w:p>
        </w:tc>
      </w:tr>
      <w:tr w14:paraId="39B0F4D0">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2A777018">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2.11</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43140363">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交换能力扩容（交换机）</w:t>
            </w:r>
          </w:p>
        </w:tc>
        <w:tc>
          <w:tcPr>
            <w:tcW w:w="1209" w:type="dxa"/>
            <w:tcBorders>
              <w:top w:val="nil"/>
              <w:left w:val="single" w:color="000000" w:sz="8" w:space="0"/>
              <w:bottom w:val="single" w:color="000000" w:sz="8" w:space="0"/>
              <w:right w:val="single" w:color="000000" w:sz="8" w:space="0"/>
            </w:tcBorders>
            <w:vAlign w:val="bottom"/>
          </w:tcPr>
          <w:p w14:paraId="71D2CF6B">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3F6C2FA3">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346C4C1E">
            <w:pPr>
              <w:widowControl/>
              <w:spacing w:line="360" w:lineRule="auto"/>
              <w:jc w:val="center"/>
              <w:rPr>
                <w:rFonts w:hint="eastAsia" w:ascii="仿宋" w:hAnsi="仿宋" w:eastAsia="仿宋" w:cs="仿宋"/>
                <w:color w:val="000000"/>
                <w:sz w:val="24"/>
              </w:rPr>
            </w:pPr>
          </w:p>
        </w:tc>
      </w:tr>
      <w:tr w14:paraId="4080A8BF">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54ACA834">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2.12</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7EBDA828">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PDA（护士）</w:t>
            </w:r>
          </w:p>
        </w:tc>
        <w:tc>
          <w:tcPr>
            <w:tcW w:w="1209" w:type="dxa"/>
            <w:tcBorders>
              <w:top w:val="nil"/>
              <w:left w:val="single" w:color="000000" w:sz="8" w:space="0"/>
              <w:bottom w:val="single" w:color="000000" w:sz="8" w:space="0"/>
              <w:right w:val="single" w:color="000000" w:sz="8" w:space="0"/>
            </w:tcBorders>
            <w:vAlign w:val="bottom"/>
          </w:tcPr>
          <w:p w14:paraId="4CE8FB7E">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2104FF72">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57C876C1">
            <w:pPr>
              <w:widowControl/>
              <w:spacing w:line="360" w:lineRule="auto"/>
              <w:jc w:val="center"/>
              <w:rPr>
                <w:rFonts w:hint="eastAsia" w:ascii="仿宋" w:hAnsi="仿宋" w:eastAsia="仿宋" w:cs="仿宋"/>
                <w:color w:val="000000"/>
                <w:sz w:val="24"/>
              </w:rPr>
            </w:pPr>
          </w:p>
        </w:tc>
      </w:tr>
      <w:tr w14:paraId="609034D4">
        <w:tblPrEx>
          <w:tblCellMar>
            <w:top w:w="0" w:type="dxa"/>
            <w:left w:w="108" w:type="dxa"/>
            <w:bottom w:w="0" w:type="dxa"/>
            <w:right w:w="108" w:type="dxa"/>
          </w:tblCellMar>
        </w:tblPrEx>
        <w:trPr>
          <w:trHeight w:val="330"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22D6910A">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2.13</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1C86E475">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平板电脑（医生）</w:t>
            </w:r>
          </w:p>
        </w:tc>
        <w:tc>
          <w:tcPr>
            <w:tcW w:w="1209" w:type="dxa"/>
            <w:tcBorders>
              <w:top w:val="nil"/>
              <w:left w:val="single" w:color="000000" w:sz="8" w:space="0"/>
              <w:bottom w:val="single" w:color="000000" w:sz="8" w:space="0"/>
              <w:right w:val="single" w:color="000000" w:sz="8" w:space="0"/>
            </w:tcBorders>
            <w:vAlign w:val="bottom"/>
          </w:tcPr>
          <w:p w14:paraId="7DF71C57">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0C072C85">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center"/>
          </w:tcPr>
          <w:p w14:paraId="0A43A7FC">
            <w:pPr>
              <w:widowControl/>
              <w:spacing w:line="360" w:lineRule="auto"/>
              <w:jc w:val="center"/>
              <w:rPr>
                <w:rFonts w:hint="eastAsia" w:ascii="仿宋" w:hAnsi="仿宋" w:eastAsia="仿宋" w:cs="仿宋"/>
                <w:color w:val="000000"/>
                <w:sz w:val="24"/>
              </w:rPr>
            </w:pPr>
          </w:p>
        </w:tc>
      </w:tr>
      <w:tr w14:paraId="2FA18424">
        <w:tblPrEx>
          <w:tblCellMar>
            <w:top w:w="0" w:type="dxa"/>
            <w:left w:w="108" w:type="dxa"/>
            <w:bottom w:w="0" w:type="dxa"/>
            <w:right w:w="108" w:type="dxa"/>
          </w:tblCellMar>
        </w:tblPrEx>
        <w:trPr>
          <w:trHeight w:val="330" w:hRule="atLeast"/>
        </w:trPr>
        <w:tc>
          <w:tcPr>
            <w:tcW w:w="8560" w:type="dxa"/>
            <w:gridSpan w:val="6"/>
            <w:tcBorders>
              <w:top w:val="nil"/>
              <w:left w:val="single" w:color="000000" w:sz="8" w:space="0"/>
              <w:bottom w:val="single" w:color="000000" w:sz="8" w:space="0"/>
              <w:right w:val="single" w:color="000000" w:sz="8" w:space="0"/>
            </w:tcBorders>
            <w:vAlign w:val="bottom"/>
          </w:tcPr>
          <w:p w14:paraId="17479165">
            <w:pPr>
              <w:jc w:val="left"/>
              <w:rPr>
                <w:rFonts w:hint="eastAsia" w:ascii="仿宋" w:hAnsi="仿宋" w:eastAsia="仿宋" w:cs="仿宋"/>
                <w:color w:val="000000"/>
                <w:sz w:val="24"/>
              </w:rPr>
            </w:pPr>
            <w:r>
              <w:rPr>
                <w:rFonts w:hint="eastAsia" w:ascii="仿宋" w:hAnsi="仿宋" w:eastAsia="仿宋" w:cs="仿宋"/>
                <w:color w:val="000000"/>
                <w:sz w:val="24"/>
              </w:rPr>
              <w:t>三、系统集成服务</w:t>
            </w:r>
          </w:p>
        </w:tc>
      </w:tr>
      <w:tr w14:paraId="36908974">
        <w:tblPrEx>
          <w:tblCellMar>
            <w:top w:w="0" w:type="dxa"/>
            <w:left w:w="108" w:type="dxa"/>
            <w:bottom w:w="0" w:type="dxa"/>
            <w:right w:w="108" w:type="dxa"/>
          </w:tblCellMar>
        </w:tblPrEx>
        <w:trPr>
          <w:trHeight w:val="566" w:hRule="atLeast"/>
        </w:trPr>
        <w:tc>
          <w:tcPr>
            <w:tcW w:w="1072" w:type="dxa"/>
            <w:tcBorders>
              <w:top w:val="nil"/>
              <w:left w:val="single" w:color="000000" w:sz="8" w:space="0"/>
              <w:bottom w:val="single" w:color="000000" w:sz="8" w:space="0"/>
              <w:right w:val="single" w:color="000000" w:sz="8" w:space="0"/>
            </w:tcBorders>
            <w:shd w:val="clear" w:color="auto" w:fill="auto"/>
            <w:vAlign w:val="bottom"/>
          </w:tcPr>
          <w:p w14:paraId="6257389C">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sz w:val="24"/>
              </w:rPr>
              <w:t>3.1</w:t>
            </w:r>
          </w:p>
        </w:tc>
        <w:tc>
          <w:tcPr>
            <w:tcW w:w="4018" w:type="dxa"/>
            <w:gridSpan w:val="2"/>
            <w:tcBorders>
              <w:top w:val="nil"/>
              <w:left w:val="single" w:color="000000" w:sz="8" w:space="0"/>
              <w:bottom w:val="single" w:color="000000" w:sz="8" w:space="0"/>
              <w:right w:val="single" w:color="000000" w:sz="8" w:space="0"/>
            </w:tcBorders>
            <w:shd w:val="clear" w:color="auto" w:fill="FFFFFF"/>
            <w:vAlign w:val="bottom"/>
          </w:tcPr>
          <w:p w14:paraId="4723A937">
            <w:pPr>
              <w:widowControl/>
              <w:jc w:val="center"/>
              <w:textAlignment w:val="bottom"/>
              <w:rPr>
                <w:rFonts w:hint="eastAsia" w:ascii="仿宋" w:hAnsi="仿宋" w:eastAsia="仿宋" w:cs="仿宋"/>
                <w:color w:val="000000"/>
                <w:sz w:val="24"/>
              </w:rPr>
            </w:pPr>
            <w:r>
              <w:rPr>
                <w:rFonts w:hint="eastAsia" w:ascii="仿宋" w:hAnsi="仿宋" w:eastAsia="仿宋" w:cs="仿宋"/>
                <w:color w:val="000000"/>
                <w:kern w:val="0"/>
                <w:sz w:val="24"/>
                <w:lang w:bidi="ar"/>
              </w:rPr>
              <w:t>系统集成</w:t>
            </w:r>
          </w:p>
        </w:tc>
        <w:tc>
          <w:tcPr>
            <w:tcW w:w="1209" w:type="dxa"/>
            <w:tcBorders>
              <w:top w:val="nil"/>
              <w:left w:val="single" w:color="000000" w:sz="8" w:space="0"/>
              <w:bottom w:val="single" w:color="000000" w:sz="8" w:space="0"/>
              <w:right w:val="single" w:color="000000" w:sz="8" w:space="0"/>
            </w:tcBorders>
            <w:vAlign w:val="bottom"/>
          </w:tcPr>
          <w:p w14:paraId="3E1F7614">
            <w:pPr>
              <w:widowControl/>
              <w:ind w:left="420" w:hanging="420"/>
              <w:jc w:val="right"/>
              <w:textAlignment w:val="bottom"/>
              <w:rPr>
                <w:rFonts w:hint="eastAsia" w:ascii="仿宋" w:hAnsi="仿宋" w:eastAsia="仿宋" w:cs="仿宋"/>
                <w:color w:val="000000"/>
                <w:sz w:val="24"/>
              </w:rPr>
            </w:pPr>
          </w:p>
        </w:tc>
        <w:tc>
          <w:tcPr>
            <w:tcW w:w="1188" w:type="dxa"/>
            <w:tcBorders>
              <w:top w:val="nil"/>
              <w:left w:val="single" w:color="000000" w:sz="8" w:space="0"/>
              <w:bottom w:val="single" w:color="000000" w:sz="8" w:space="0"/>
              <w:right w:val="single" w:color="000000" w:sz="8" w:space="0"/>
            </w:tcBorders>
            <w:vAlign w:val="bottom"/>
          </w:tcPr>
          <w:p w14:paraId="5801A199">
            <w:pPr>
              <w:widowControl/>
              <w:ind w:left="420" w:hanging="420"/>
              <w:jc w:val="righ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51A15D99">
            <w:pPr>
              <w:jc w:val="center"/>
              <w:rPr>
                <w:rFonts w:hint="eastAsia" w:ascii="仿宋" w:hAnsi="仿宋" w:eastAsia="仿宋" w:cs="仿宋"/>
                <w:color w:val="000000"/>
                <w:sz w:val="24"/>
              </w:rPr>
            </w:pPr>
          </w:p>
        </w:tc>
      </w:tr>
      <w:tr w14:paraId="51876D8D">
        <w:tblPrEx>
          <w:tblCellMar>
            <w:top w:w="0" w:type="dxa"/>
            <w:left w:w="108" w:type="dxa"/>
            <w:bottom w:w="0" w:type="dxa"/>
            <w:right w:w="108" w:type="dxa"/>
          </w:tblCellMar>
        </w:tblPrEx>
        <w:trPr>
          <w:trHeight w:val="330" w:hRule="atLeast"/>
        </w:trPr>
        <w:tc>
          <w:tcPr>
            <w:tcW w:w="6299" w:type="dxa"/>
            <w:gridSpan w:val="4"/>
            <w:tcBorders>
              <w:top w:val="nil"/>
              <w:left w:val="single" w:color="000000" w:sz="8" w:space="0"/>
              <w:bottom w:val="single" w:color="000000" w:sz="8" w:space="0"/>
              <w:right w:val="single" w:color="000000" w:sz="8" w:space="0"/>
            </w:tcBorders>
            <w:vAlign w:val="bottom"/>
          </w:tcPr>
          <w:p w14:paraId="61F5FCEF">
            <w:pPr>
              <w:widowControl/>
              <w:jc w:val="righ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总价（元）</w:t>
            </w:r>
          </w:p>
        </w:tc>
        <w:tc>
          <w:tcPr>
            <w:tcW w:w="1188" w:type="dxa"/>
            <w:tcBorders>
              <w:top w:val="nil"/>
              <w:left w:val="single" w:color="000000" w:sz="8" w:space="0"/>
              <w:bottom w:val="single" w:color="000000" w:sz="8" w:space="0"/>
              <w:right w:val="single" w:color="000000" w:sz="8" w:space="0"/>
            </w:tcBorders>
            <w:vAlign w:val="bottom"/>
          </w:tcPr>
          <w:p w14:paraId="34F535D7">
            <w:pPr>
              <w:widowControl/>
              <w:jc w:val="left"/>
              <w:textAlignment w:val="bottom"/>
              <w:rPr>
                <w:rFonts w:hint="eastAsia" w:ascii="仿宋" w:hAnsi="仿宋" w:eastAsia="仿宋" w:cs="仿宋"/>
                <w:color w:val="000000"/>
                <w:sz w:val="24"/>
              </w:rPr>
            </w:pPr>
          </w:p>
        </w:tc>
        <w:tc>
          <w:tcPr>
            <w:tcW w:w="1073" w:type="dxa"/>
            <w:tcBorders>
              <w:top w:val="nil"/>
              <w:left w:val="single" w:color="000000" w:sz="8" w:space="0"/>
              <w:bottom w:val="single" w:color="000000" w:sz="8" w:space="0"/>
              <w:right w:val="single" w:color="000000" w:sz="8" w:space="0"/>
            </w:tcBorders>
            <w:vAlign w:val="bottom"/>
          </w:tcPr>
          <w:p w14:paraId="3E1F4ADA">
            <w:pPr>
              <w:rPr>
                <w:rFonts w:hint="eastAsia" w:ascii="仿宋" w:hAnsi="仿宋" w:eastAsia="仿宋" w:cs="仿宋"/>
                <w:color w:val="000000"/>
                <w:sz w:val="24"/>
              </w:rPr>
            </w:pPr>
          </w:p>
        </w:tc>
      </w:tr>
    </w:tbl>
    <w:p w14:paraId="5382AAB0">
      <w:pPr>
        <w:spacing w:before="120" w:line="360" w:lineRule="auto"/>
        <w:ind w:firstLine="480" w:firstLineChars="200"/>
        <w:rPr>
          <w:rFonts w:ascii="仿宋_GB2312" w:hAnsi="等线" w:eastAsia="仿宋_GB2312" w:cs="Times New Roman"/>
          <w:sz w:val="24"/>
          <w:szCs w:val="22"/>
        </w:rPr>
      </w:pPr>
    </w:p>
    <w:p w14:paraId="56DB146D">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四、付款方式</w:t>
      </w:r>
    </w:p>
    <w:p w14:paraId="2DAB886B">
      <w:pPr>
        <w:spacing w:before="120" w:line="360" w:lineRule="auto"/>
        <w:ind w:firstLine="480" w:firstLineChars="200"/>
        <w:rPr>
          <w:rFonts w:ascii="仿宋_GB2312" w:hAnsi="等线" w:eastAsia="仿宋_GB2312" w:cs="Times New Roman"/>
          <w:sz w:val="24"/>
          <w:szCs w:val="22"/>
        </w:rPr>
      </w:pPr>
      <w:r>
        <w:rPr>
          <w:rFonts w:hint="eastAsia" w:ascii="仿宋_GB2312" w:hAnsi="等线" w:eastAsia="仿宋_GB2312" w:cs="Times New Roman"/>
          <w:sz w:val="24"/>
          <w:szCs w:val="22"/>
        </w:rPr>
        <w:t>本合同的付款方式为：</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u w:val="single"/>
        </w:rPr>
        <w:t>　　</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　</w:t>
      </w:r>
    </w:p>
    <w:p w14:paraId="289D3D26">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五、服务期限</w:t>
      </w:r>
    </w:p>
    <w:p w14:paraId="333FB133">
      <w:pPr>
        <w:spacing w:before="120" w:line="520" w:lineRule="exact"/>
        <w:ind w:firstLine="460" w:firstLineChars="192"/>
        <w:rPr>
          <w:rFonts w:ascii="仿宋_GB2312" w:hAnsi="等线" w:eastAsia="仿宋_GB2312" w:cs="Times New Roman"/>
          <w:sz w:val="24"/>
        </w:rPr>
      </w:pPr>
      <w:r>
        <w:rPr>
          <w:rFonts w:hint="eastAsia" w:ascii="仿宋_GB2312" w:hAnsi="等线" w:eastAsia="仿宋_GB2312" w:cs="Times New Roman"/>
          <w:sz w:val="24"/>
          <w:u w:val="single"/>
        </w:rPr>
        <w:t>　　　　　　　　　　　　　　　</w:t>
      </w:r>
    </w:p>
    <w:p w14:paraId="2D7DB590">
      <w:pPr>
        <w:spacing w:before="360" w:after="240" w:line="360" w:lineRule="auto"/>
        <w:rPr>
          <w:rFonts w:ascii="仿宋_GB2312" w:hAnsi="等线" w:eastAsia="仿宋_GB2312" w:cs="Times New Roman"/>
          <w:b/>
          <w:sz w:val="24"/>
          <w:szCs w:val="22"/>
        </w:rPr>
      </w:pPr>
      <w:r>
        <w:rPr>
          <w:rFonts w:hint="eastAsia" w:ascii="仿宋_GB2312" w:hAnsi="等线" w:eastAsia="仿宋_GB2312" w:cs="Times New Roman"/>
          <w:b/>
          <w:sz w:val="24"/>
          <w:szCs w:val="22"/>
        </w:rPr>
        <w:t>六、合同的生效</w:t>
      </w:r>
    </w:p>
    <w:p w14:paraId="4AAB2C74">
      <w:pPr>
        <w:spacing w:before="120" w:line="360" w:lineRule="auto"/>
        <w:ind w:firstLine="480" w:firstLineChars="200"/>
        <w:rPr>
          <w:rFonts w:ascii="仿宋_GB2312" w:hAnsi="等线" w:eastAsia="仿宋_GB2312" w:cs="Times New Roman"/>
          <w:sz w:val="24"/>
          <w:szCs w:val="22"/>
        </w:rPr>
      </w:pPr>
      <w:r>
        <w:rPr>
          <w:rFonts w:hint="eastAsia" w:ascii="仿宋_GB2312" w:hAnsi="等线" w:eastAsia="仿宋_GB2312" w:cs="Times New Roman"/>
          <w:sz w:val="24"/>
          <w:szCs w:val="22"/>
        </w:rPr>
        <w:t>本合同经双方各自的授权代表签署、加盖单位公章或合同专用章之日起生效。</w:t>
      </w:r>
    </w:p>
    <w:p w14:paraId="23D5417F">
      <w:pPr>
        <w:widowControl/>
        <w:jc w:val="left"/>
        <w:rPr>
          <w:rFonts w:hint="eastAsia" w:ascii="仿宋_GB2312" w:hAnsi="等线" w:eastAsia="仿宋_GB2312" w:cs="Times New Roman"/>
          <w:sz w:val="28"/>
          <w:szCs w:val="22"/>
        </w:rPr>
      </w:pPr>
      <w:r>
        <w:rPr>
          <w:rFonts w:hint="eastAsia" w:ascii="仿宋_GB2312" w:hAnsi="等线" w:eastAsia="仿宋_GB2312" w:cs="Times New Roman"/>
          <w:sz w:val="28"/>
          <w:szCs w:val="22"/>
        </w:rPr>
        <w:br w:type="page"/>
      </w:r>
    </w:p>
    <w:p w14:paraId="42C55810">
      <w:pPr>
        <w:spacing w:before="120" w:line="360" w:lineRule="auto"/>
        <w:rPr>
          <w:rFonts w:ascii="仿宋_GB2312" w:hAnsi="等线" w:eastAsia="仿宋_GB2312" w:cs="Times New Roman"/>
          <w:sz w:val="24"/>
          <w:szCs w:val="22"/>
        </w:rPr>
      </w:pPr>
      <w:r>
        <w:rPr>
          <w:rFonts w:hint="eastAsia" w:ascii="仿宋_GB2312" w:hAnsi="等线" w:eastAsia="仿宋_GB2312" w:cs="Times New Roman"/>
          <w:sz w:val="24"/>
          <w:szCs w:val="22"/>
        </w:rPr>
        <w:t>采购人：</w:t>
      </w:r>
      <w:r>
        <w:rPr>
          <w:rFonts w:hint="eastAsia" w:ascii="仿宋_GB2312" w:hAnsi="等线" w:eastAsia="仿宋_GB2312" w:cs="Times New Roman"/>
          <w:sz w:val="24"/>
          <w:szCs w:val="22"/>
          <w:u w:val="single"/>
        </w:rPr>
        <w:t>北京市怀柔安佳医院</w:t>
      </w:r>
      <w:r>
        <w:rPr>
          <w:rFonts w:ascii="仿宋_GB2312" w:hAnsi="等线" w:eastAsia="仿宋_GB2312" w:cs="Times New Roman"/>
          <w:sz w:val="24"/>
          <w:szCs w:val="22"/>
        </w:rPr>
        <w:t xml:space="preserve"> </w:t>
      </w:r>
      <w:r>
        <w:rPr>
          <w:rFonts w:ascii="仿宋_GB2312" w:hAnsi="等线" w:eastAsia="仿宋_GB2312" w:cs="Times New Roman"/>
          <w:sz w:val="24"/>
          <w:szCs w:val="22"/>
        </w:rPr>
        <w:tab/>
      </w:r>
      <w:r>
        <w:rPr>
          <w:rFonts w:ascii="仿宋_GB2312" w:hAnsi="等线" w:eastAsia="仿宋_GB2312" w:cs="Times New Roman"/>
          <w:sz w:val="24"/>
          <w:szCs w:val="22"/>
        </w:rPr>
        <w:tab/>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 xml:space="preserve"> 中标人：</w:t>
      </w:r>
      <w:r>
        <w:rPr>
          <w:rFonts w:hint="eastAsia" w:ascii="仿宋_GB2312" w:hAnsi="等线" w:eastAsia="仿宋_GB2312" w:cs="Times New Roman"/>
          <w:sz w:val="24"/>
          <w:szCs w:val="22"/>
          <w:u w:val="single"/>
          <w:lang w:eastAsia="zh-CN"/>
        </w:rPr>
        <w:t>　　</w:t>
      </w:r>
      <w:r>
        <w:rPr>
          <w:rFonts w:ascii="仿宋_GB2312" w:hAnsi="等线" w:eastAsia="仿宋_GB2312" w:cs="Times New Roman"/>
          <w:sz w:val="24"/>
          <w:szCs w:val="22"/>
          <w:u w:val="single"/>
        </w:rPr>
        <w:t xml:space="preserve">                 </w:t>
      </w:r>
    </w:p>
    <w:p w14:paraId="27D03541">
      <w:pPr>
        <w:spacing w:before="120" w:line="360" w:lineRule="auto"/>
        <w:ind w:firstLine="120" w:firstLineChars="50"/>
        <w:rPr>
          <w:rFonts w:ascii="仿宋_GB2312" w:hAnsi="等线" w:eastAsia="仿宋_GB2312" w:cs="Times New Roman"/>
          <w:sz w:val="24"/>
          <w:szCs w:val="22"/>
        </w:rPr>
      </w:pPr>
      <w:r>
        <w:rPr>
          <w:rFonts w:hint="eastAsia" w:ascii="仿宋_GB2312" w:hAnsi="等线" w:eastAsia="仿宋_GB2312" w:cs="Times New Roman"/>
          <w:sz w:val="24"/>
          <w:szCs w:val="22"/>
        </w:rPr>
        <w:t>名称：</w:t>
      </w:r>
      <w:r>
        <w:rPr>
          <w:rFonts w:ascii="仿宋_GB2312" w:hAnsi="等线" w:eastAsia="仿宋_GB2312" w:cs="Times New Roman"/>
          <w:sz w:val="24"/>
          <w:szCs w:val="22"/>
        </w:rPr>
        <w:t>(</w:t>
      </w:r>
      <w:r>
        <w:rPr>
          <w:rFonts w:hint="eastAsia" w:ascii="仿宋_GB2312" w:hAnsi="等线" w:eastAsia="仿宋_GB2312" w:cs="Times New Roman"/>
          <w:sz w:val="24"/>
          <w:szCs w:val="22"/>
        </w:rPr>
        <w:t>印章</w:t>
      </w:r>
      <w:r>
        <w:rPr>
          <w:rFonts w:ascii="仿宋_GB2312" w:hAnsi="等线" w:eastAsia="仿宋_GB2312" w:cs="Times New Roman"/>
          <w:sz w:val="24"/>
          <w:szCs w:val="22"/>
        </w:rPr>
        <w:t>)</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　　　</w:t>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名称：</w:t>
      </w:r>
      <w:r>
        <w:rPr>
          <w:rFonts w:ascii="仿宋_GB2312" w:hAnsi="等线" w:eastAsia="仿宋_GB2312" w:cs="Times New Roman"/>
          <w:sz w:val="24"/>
          <w:szCs w:val="22"/>
        </w:rPr>
        <w:t>(</w:t>
      </w:r>
      <w:r>
        <w:rPr>
          <w:rFonts w:hint="eastAsia" w:ascii="仿宋_GB2312" w:hAnsi="等线" w:eastAsia="仿宋_GB2312" w:cs="Times New Roman"/>
          <w:sz w:val="24"/>
          <w:szCs w:val="22"/>
        </w:rPr>
        <w:t>印章</w:t>
      </w:r>
      <w:r>
        <w:rPr>
          <w:rFonts w:ascii="仿宋_GB2312" w:hAnsi="等线" w:eastAsia="仿宋_GB2312" w:cs="Times New Roman"/>
          <w:sz w:val="24"/>
          <w:szCs w:val="22"/>
        </w:rPr>
        <w:t>)</w:t>
      </w:r>
      <w:r>
        <w:rPr>
          <w:rFonts w:ascii="仿宋_GB2312" w:hAnsi="等线" w:eastAsia="仿宋_GB2312" w:cs="Times New Roman"/>
          <w:sz w:val="24"/>
          <w:szCs w:val="22"/>
          <w:u w:val="single"/>
        </w:rPr>
        <w:t xml:space="preserve">                   </w:t>
      </w:r>
    </w:p>
    <w:p w14:paraId="7997D77A">
      <w:pPr>
        <w:spacing w:before="120" w:line="360" w:lineRule="auto"/>
        <w:ind w:firstLine="360" w:firstLineChars="150"/>
        <w:rPr>
          <w:rFonts w:ascii="仿宋_GB2312" w:hAnsi="等线" w:eastAsia="仿宋_GB2312" w:cs="Times New Roman"/>
          <w:sz w:val="24"/>
          <w:szCs w:val="22"/>
          <w:u w:val="single"/>
        </w:rPr>
      </w:pPr>
    </w:p>
    <w:p w14:paraId="51324D7E">
      <w:pPr>
        <w:spacing w:before="120" w:line="360" w:lineRule="auto"/>
        <w:ind w:firstLine="240" w:firstLineChars="100"/>
        <w:rPr>
          <w:rFonts w:ascii="仿宋_GB2312" w:hAnsi="等线" w:eastAsia="仿宋_GB2312" w:cs="Times New Roman"/>
          <w:sz w:val="28"/>
          <w:szCs w:val="22"/>
        </w:rPr>
      </w:pPr>
      <w:r>
        <w:rPr>
          <w:rFonts w:hint="eastAsia" w:ascii="仿宋_GB2312" w:hAnsi="等线" w:eastAsia="仿宋_GB2312" w:cs="Times New Roman"/>
          <w:sz w:val="24"/>
          <w:szCs w:val="22"/>
          <w:u w:val="single"/>
        </w:rPr>
        <w:t>2025</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年</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月</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日　　　　　</w:t>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 xml:space="preserve">    </w:t>
      </w:r>
      <w:r>
        <w:rPr>
          <w:rFonts w:hint="eastAsia" w:ascii="仿宋_GB2312" w:hAnsi="等线" w:eastAsia="仿宋_GB2312" w:cs="Times New Roman"/>
          <w:sz w:val="24"/>
          <w:szCs w:val="22"/>
          <w:u w:val="single"/>
        </w:rPr>
        <w:t>2025</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年</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月</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日</w:t>
      </w:r>
    </w:p>
    <w:p w14:paraId="11D3C374">
      <w:pPr>
        <w:spacing w:before="120" w:line="360" w:lineRule="auto"/>
        <w:rPr>
          <w:rFonts w:ascii="仿宋_GB2312" w:hAnsi="等线" w:eastAsia="仿宋_GB2312" w:cs="Times New Roman"/>
          <w:sz w:val="24"/>
          <w:szCs w:val="22"/>
        </w:rPr>
      </w:pPr>
      <w:r>
        <w:rPr>
          <w:rFonts w:hint="eastAsia" w:ascii="仿宋_GB2312" w:hAnsi="等线" w:eastAsia="仿宋_GB2312" w:cs="Times New Roman"/>
          <w:sz w:val="28"/>
          <w:szCs w:val="22"/>
        </w:rPr>
        <w:t>　</w:t>
      </w:r>
      <w:r>
        <w:rPr>
          <w:rFonts w:hint="eastAsia" w:ascii="仿宋_GB2312" w:hAnsi="等线" w:eastAsia="仿宋_GB2312" w:cs="Times New Roman"/>
          <w:sz w:val="24"/>
          <w:szCs w:val="22"/>
        </w:rPr>
        <w:t>法定代表人或授权代表：          法定代表人或授权代表：</w:t>
      </w:r>
    </w:p>
    <w:p w14:paraId="03FDE31B">
      <w:pPr>
        <w:spacing w:before="120" w:line="360" w:lineRule="auto"/>
        <w:ind w:firstLine="240" w:firstLineChars="100"/>
        <w:rPr>
          <w:rFonts w:ascii="仿宋_GB2312" w:hAnsi="等线" w:eastAsia="仿宋_GB2312" w:cs="Times New Roman"/>
          <w:sz w:val="24"/>
          <w:szCs w:val="22"/>
          <w:u w:val="single"/>
        </w:rPr>
      </w:pPr>
      <w:r>
        <w:rPr>
          <w:rFonts w:ascii="仿宋_GB2312" w:hAnsi="等线" w:eastAsia="仿宋_GB2312" w:cs="Times New Roman"/>
          <w:sz w:val="24"/>
          <w:szCs w:val="22"/>
        </w:rPr>
        <w:t>(</w:t>
      </w:r>
      <w:r>
        <w:rPr>
          <w:rFonts w:hint="eastAsia" w:ascii="仿宋_GB2312" w:hAnsi="等线" w:eastAsia="仿宋_GB2312" w:cs="Times New Roman"/>
          <w:sz w:val="24"/>
          <w:szCs w:val="22"/>
        </w:rPr>
        <w:t>签字</w:t>
      </w:r>
      <w:r>
        <w:rPr>
          <w:rFonts w:ascii="仿宋_GB2312" w:hAnsi="等线" w:eastAsia="仿宋_GB2312" w:cs="Times New Roman"/>
          <w:sz w:val="24"/>
          <w:szCs w:val="22"/>
        </w:rPr>
        <w:t>)</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 xml:space="preserve">             </w:t>
      </w:r>
      <w:r>
        <w:rPr>
          <w:rFonts w:ascii="仿宋_GB2312" w:hAnsi="等线" w:eastAsia="仿宋_GB2312" w:cs="Times New Roman"/>
          <w:sz w:val="24"/>
          <w:szCs w:val="22"/>
        </w:rPr>
        <w:t>(</w:t>
      </w:r>
      <w:r>
        <w:rPr>
          <w:rFonts w:hint="eastAsia" w:ascii="仿宋_GB2312" w:hAnsi="等线" w:eastAsia="仿宋_GB2312" w:cs="Times New Roman"/>
          <w:sz w:val="24"/>
          <w:szCs w:val="22"/>
        </w:rPr>
        <w:t>签字</w:t>
      </w:r>
      <w:r>
        <w:rPr>
          <w:rFonts w:ascii="仿宋_GB2312" w:hAnsi="等线" w:eastAsia="仿宋_GB2312" w:cs="Times New Roman"/>
          <w:sz w:val="24"/>
          <w:szCs w:val="22"/>
        </w:rPr>
        <w:t>)</w:t>
      </w:r>
      <w:r>
        <w:rPr>
          <w:rFonts w:ascii="仿宋_GB2312" w:hAnsi="等线" w:eastAsia="仿宋_GB2312" w:cs="Times New Roman"/>
          <w:sz w:val="24"/>
          <w:szCs w:val="22"/>
          <w:u w:val="single"/>
        </w:rPr>
        <w:t xml:space="preserve">         </w:t>
      </w:r>
      <w:r>
        <w:rPr>
          <w:rFonts w:hint="eastAsia" w:ascii="仿宋_GB2312" w:hAnsi="等线" w:eastAsia="仿宋_GB2312" w:cs="Times New Roman"/>
          <w:sz w:val="24"/>
          <w:szCs w:val="22"/>
          <w:u w:val="single"/>
        </w:rPr>
        <w:t xml:space="preserve">     </w:t>
      </w:r>
      <w:r>
        <w:rPr>
          <w:rFonts w:hint="eastAsia" w:ascii="仿宋_GB2312" w:hAnsi="等线" w:eastAsia="仿宋_GB2312" w:cs="Times New Roman"/>
          <w:sz w:val="24"/>
          <w:szCs w:val="22"/>
        </w:rPr>
        <w:t xml:space="preserve"> </w:t>
      </w:r>
    </w:p>
    <w:p w14:paraId="3DFE2B7F">
      <w:pPr>
        <w:spacing w:before="120" w:line="360" w:lineRule="auto"/>
        <w:ind w:firstLine="240" w:firstLineChars="100"/>
        <w:rPr>
          <w:rFonts w:hint="default" w:ascii="仿宋_GB2312" w:hAnsi="等线" w:eastAsia="仿宋_GB2312" w:cs="Times New Roman"/>
          <w:sz w:val="24"/>
          <w:u w:val="single"/>
          <w:lang w:val="en-US" w:eastAsia="zh-CN"/>
        </w:rPr>
      </w:pPr>
      <w:r>
        <w:rPr>
          <w:rFonts w:hint="eastAsia" w:ascii="仿宋_GB2312" w:hAnsi="等线" w:eastAsia="仿宋_GB2312" w:cs="Times New Roman"/>
          <w:sz w:val="24"/>
          <w:szCs w:val="22"/>
        </w:rPr>
        <w:t>地址：</w:t>
      </w:r>
      <w:r>
        <w:rPr>
          <w:rFonts w:hint="eastAsia" w:ascii="仿宋_GB2312" w:hAnsi="等线" w:eastAsia="仿宋_GB2312" w:cs="Times New Roman"/>
          <w:sz w:val="24"/>
          <w:szCs w:val="22"/>
          <w:u w:val="single"/>
        </w:rPr>
        <w:t>北京市怀柔区怀北镇怀柔</w:t>
      </w:r>
      <w:r>
        <w:rPr>
          <w:rFonts w:ascii="仿宋_GB2312" w:hAnsi="等线" w:eastAsia="仿宋_GB2312" w:cs="Times New Roman"/>
          <w:sz w:val="24"/>
          <w:szCs w:val="22"/>
        </w:rPr>
        <w:tab/>
      </w:r>
      <w:r>
        <w:rPr>
          <w:rFonts w:ascii="仿宋_GB2312" w:hAnsi="等线" w:eastAsia="仿宋_GB2312" w:cs="Times New Roman"/>
          <w:sz w:val="24"/>
          <w:szCs w:val="22"/>
        </w:rPr>
        <w:tab/>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地址：</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p>
    <w:p w14:paraId="5AD772D0">
      <w:pPr>
        <w:spacing w:before="120" w:line="360" w:lineRule="auto"/>
        <w:ind w:firstLine="240" w:firstLineChars="100"/>
        <w:rPr>
          <w:rFonts w:hint="default" w:ascii="仿宋_GB2312" w:hAnsi="等线" w:eastAsia="仿宋_GB2312" w:cs="Times New Roman"/>
          <w:sz w:val="24"/>
          <w:szCs w:val="22"/>
          <w:u w:val="single"/>
          <w:lang w:val="en-US" w:eastAsia="zh-CN"/>
        </w:rPr>
      </w:pPr>
      <w:r>
        <w:rPr>
          <w:rFonts w:hint="eastAsia" w:ascii="仿宋_GB2312" w:hAnsi="等线" w:eastAsia="仿宋_GB2312" w:cs="Times New Roman"/>
          <w:sz w:val="24"/>
          <w:szCs w:val="22"/>
          <w:u w:val="single"/>
        </w:rPr>
        <w:t>北火车站路 1 区 23 号</w:t>
      </w:r>
      <w:r>
        <w:rPr>
          <w:rFonts w:hint="eastAsia" w:ascii="仿宋_GB2312" w:hAnsi="等线" w:eastAsia="仿宋_GB2312" w:cs="Times New Roman"/>
          <w:sz w:val="24"/>
          <w:szCs w:val="22"/>
        </w:rPr>
        <w:t xml:space="preserve">              </w:t>
      </w:r>
      <w:r>
        <w:rPr>
          <w:rFonts w:hint="eastAsia" w:ascii="仿宋" w:hAnsi="仿宋" w:eastAsia="仿宋"/>
          <w:sz w:val="24"/>
          <w:u w:val="single"/>
          <w:lang w:val="en-US" w:eastAsia="zh-CN"/>
        </w:rPr>
        <w:t xml:space="preserve">                          </w:t>
      </w:r>
    </w:p>
    <w:p w14:paraId="165C80F0">
      <w:pPr>
        <w:spacing w:before="120" w:line="360" w:lineRule="auto"/>
        <w:ind w:firstLine="240" w:firstLineChars="100"/>
        <w:rPr>
          <w:rFonts w:ascii="仿宋_GB2312" w:hAnsi="等线" w:eastAsia="仿宋_GB2312" w:cs="Times New Roman"/>
          <w:sz w:val="24"/>
          <w:szCs w:val="22"/>
          <w:u w:val="single"/>
        </w:rPr>
      </w:pPr>
      <w:r>
        <w:rPr>
          <w:rFonts w:hint="eastAsia" w:ascii="仿宋_GB2312" w:hAnsi="等线" w:eastAsia="仿宋_GB2312" w:cs="Times New Roman"/>
          <w:sz w:val="24"/>
          <w:szCs w:val="22"/>
        </w:rPr>
        <w:t>邮政编码：</w:t>
      </w:r>
      <w:r>
        <w:rPr>
          <w:rFonts w:hint="eastAsia" w:ascii="仿宋_GB2312" w:hAnsi="等线" w:eastAsia="仿宋_GB2312" w:cs="Times New Roman"/>
          <w:sz w:val="24"/>
          <w:szCs w:val="22"/>
          <w:u w:val="single"/>
        </w:rPr>
        <w:t>101408</w:t>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ab/>
      </w:r>
      <w:r>
        <w:rPr>
          <w:rFonts w:ascii="仿宋_GB2312" w:hAnsi="等线" w:eastAsia="仿宋_GB2312" w:cs="Times New Roman"/>
          <w:sz w:val="24"/>
          <w:szCs w:val="22"/>
        </w:rPr>
        <w:tab/>
      </w:r>
      <w:r>
        <w:rPr>
          <w:rFonts w:ascii="仿宋_GB2312" w:hAnsi="等线" w:eastAsia="仿宋_GB2312" w:cs="Times New Roman"/>
          <w:sz w:val="24"/>
          <w:szCs w:val="22"/>
        </w:rPr>
        <w:tab/>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 xml:space="preserve"> 邮政编码：</w:t>
      </w:r>
      <w:r>
        <w:rPr>
          <w:rFonts w:hint="eastAsia" w:ascii="仿宋_GB2312" w:hAnsi="等线" w:eastAsia="仿宋_GB2312" w:cs="Times New Roman"/>
          <w:sz w:val="24"/>
          <w:szCs w:val="22"/>
          <w:u w:val="single"/>
          <w:lang w:val="en-US" w:eastAsia="zh-CN"/>
        </w:rPr>
        <w:t xml:space="preserve">   </w:t>
      </w:r>
      <w:r>
        <w:rPr>
          <w:rFonts w:ascii="仿宋_GB2312" w:hAnsi="等线" w:eastAsia="仿宋_GB2312" w:cs="Times New Roman"/>
          <w:sz w:val="24"/>
          <w:szCs w:val="22"/>
          <w:u w:val="single"/>
        </w:rPr>
        <w:t xml:space="preserve">    </w:t>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 xml:space="preserve">   </w:t>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 xml:space="preserve">      </w:t>
      </w:r>
    </w:p>
    <w:p w14:paraId="75CB35D3">
      <w:pPr>
        <w:spacing w:before="120" w:line="360" w:lineRule="auto"/>
        <w:ind w:firstLine="240" w:firstLineChars="100"/>
        <w:rPr>
          <w:rFonts w:ascii="仿宋_GB2312" w:hAnsi="等线" w:eastAsia="仿宋_GB2312" w:cs="Times New Roman"/>
          <w:sz w:val="24"/>
          <w:szCs w:val="22"/>
          <w:u w:val="single"/>
        </w:rPr>
      </w:pPr>
      <w:r>
        <w:rPr>
          <w:rFonts w:hint="eastAsia" w:ascii="仿宋_GB2312" w:hAnsi="等线" w:eastAsia="仿宋_GB2312" w:cs="Times New Roman"/>
          <w:sz w:val="24"/>
          <w:szCs w:val="22"/>
        </w:rPr>
        <w:t>电话：</w:t>
      </w:r>
      <w:r>
        <w:rPr>
          <w:rFonts w:ascii="仿宋_GB2312" w:hAnsi="等线" w:eastAsia="仿宋_GB2312" w:cs="Times New Roman"/>
          <w:sz w:val="24"/>
          <w:szCs w:val="22"/>
          <w:u w:val="single"/>
        </w:rPr>
        <w:tab/>
      </w:r>
      <w:r>
        <w:rPr>
          <w:rFonts w:hint="eastAsia" w:ascii="仿宋_GB2312" w:hAnsi="等线" w:eastAsia="仿宋_GB2312" w:cs="Times New Roman"/>
          <w:sz w:val="24"/>
          <w:szCs w:val="22"/>
          <w:u w:val="single"/>
        </w:rPr>
        <w:t>010-61671028</w:t>
      </w:r>
      <w:r>
        <w:rPr>
          <w:rFonts w:ascii="仿宋_GB2312" w:hAnsi="等线" w:eastAsia="仿宋_GB2312" w:cs="Times New Roman"/>
          <w:sz w:val="24"/>
          <w:szCs w:val="22"/>
          <w:u w:val="single"/>
        </w:rPr>
        <w:t xml:space="preserve"> </w:t>
      </w:r>
      <w:r>
        <w:rPr>
          <w:rFonts w:ascii="仿宋_GB2312" w:hAnsi="等线" w:eastAsia="仿宋_GB2312" w:cs="Times New Roman"/>
          <w:sz w:val="24"/>
          <w:szCs w:val="22"/>
        </w:rPr>
        <w:tab/>
      </w:r>
      <w:r>
        <w:rPr>
          <w:rFonts w:ascii="仿宋_GB2312" w:hAnsi="等线" w:eastAsia="仿宋_GB2312" w:cs="Times New Roman"/>
          <w:sz w:val="24"/>
          <w:szCs w:val="22"/>
        </w:rPr>
        <w:tab/>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 xml:space="preserve">  电话：</w:t>
      </w:r>
      <w:r>
        <w:rPr>
          <w:rFonts w:hint="eastAsia" w:ascii="仿宋_GB2312" w:hAnsi="等线" w:eastAsia="仿宋_GB2312" w:cs="Times New Roman"/>
          <w:sz w:val="24"/>
          <w:szCs w:val="22"/>
          <w:u w:val="single"/>
          <w:lang w:val="en-US" w:eastAsia="zh-CN"/>
        </w:rPr>
        <w:t xml:space="preserve">       </w:t>
      </w:r>
      <w:r>
        <w:rPr>
          <w:rFonts w:ascii="仿宋_GB2312" w:hAnsi="等线" w:eastAsia="仿宋_GB2312" w:cs="Times New Roman"/>
          <w:sz w:val="24"/>
          <w:szCs w:val="22"/>
          <w:u w:val="single"/>
        </w:rPr>
        <w:t xml:space="preserve">        </w:t>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ab/>
      </w:r>
      <w:r>
        <w:rPr>
          <w:rFonts w:ascii="仿宋_GB2312" w:hAnsi="等线" w:eastAsia="仿宋_GB2312" w:cs="Times New Roman"/>
          <w:sz w:val="24"/>
          <w:szCs w:val="22"/>
          <w:u w:val="single"/>
        </w:rPr>
        <w:t xml:space="preserve">      </w:t>
      </w:r>
    </w:p>
    <w:p w14:paraId="0FDCDA2A">
      <w:pPr>
        <w:spacing w:before="120" w:line="360" w:lineRule="auto"/>
        <w:ind w:firstLine="240" w:firstLineChars="100"/>
        <w:rPr>
          <w:rFonts w:ascii="仿宋_GB2312" w:hAnsi="等线" w:eastAsia="仿宋_GB2312" w:cs="Times New Roman"/>
          <w:sz w:val="24"/>
          <w:szCs w:val="22"/>
          <w:u w:val="single"/>
        </w:rPr>
      </w:pPr>
      <w:r>
        <w:rPr>
          <w:rFonts w:hint="eastAsia" w:ascii="仿宋_GB2312" w:hAnsi="等线" w:eastAsia="仿宋_GB2312" w:cs="Times New Roman"/>
          <w:sz w:val="24"/>
          <w:szCs w:val="22"/>
        </w:rPr>
        <w:t>开户银行：</w:t>
      </w:r>
      <w:r>
        <w:rPr>
          <w:rFonts w:hint="eastAsia" w:ascii="仿宋_GB2312" w:hAnsi="等线" w:eastAsia="仿宋_GB2312" w:cs="Times New Roman"/>
          <w:sz w:val="24"/>
          <w:szCs w:val="22"/>
          <w:u w:val="single"/>
        </w:rPr>
        <w:t>农行北京雁栖开发区支行</w:t>
      </w:r>
      <w:r>
        <w:rPr>
          <w:rFonts w:ascii="仿宋_GB2312" w:hAnsi="等线" w:eastAsia="仿宋_GB2312" w:cs="Times New Roman"/>
          <w:sz w:val="24"/>
          <w:szCs w:val="22"/>
          <w:u w:val="single"/>
        </w:rPr>
        <w:tab/>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开户银行：</w:t>
      </w:r>
      <w:r>
        <w:rPr>
          <w:rFonts w:hint="eastAsia" w:ascii="仿宋_GB2312" w:hAnsi="等线" w:eastAsia="仿宋_GB2312" w:cs="Times New Roman"/>
          <w:sz w:val="24"/>
          <w:szCs w:val="22"/>
          <w:u w:val="single"/>
          <w:lang w:val="en-US" w:eastAsia="zh-CN"/>
        </w:rPr>
        <w:t xml:space="preserve">                    </w:t>
      </w:r>
      <w:r>
        <w:rPr>
          <w:rFonts w:ascii="仿宋_GB2312" w:hAnsi="等线" w:eastAsia="仿宋_GB2312" w:cs="Times New Roman"/>
          <w:sz w:val="24"/>
          <w:szCs w:val="22"/>
          <w:u w:val="single"/>
        </w:rPr>
        <w:t xml:space="preserve">     </w:t>
      </w:r>
    </w:p>
    <w:p w14:paraId="26AA3023">
      <w:pPr>
        <w:spacing w:before="120" w:line="360" w:lineRule="auto"/>
        <w:ind w:firstLine="240" w:firstLineChars="100"/>
        <w:rPr>
          <w:rFonts w:hint="default" w:ascii="仿宋_GB2312" w:hAnsi="等线" w:eastAsia="仿宋_GB2312" w:cs="Times New Roman"/>
          <w:sz w:val="24"/>
          <w:szCs w:val="22"/>
          <w:u w:val="single"/>
          <w:lang w:val="en-US" w:eastAsia="zh-CN"/>
        </w:rPr>
      </w:pPr>
      <w:r>
        <w:rPr>
          <w:rFonts w:hint="eastAsia" w:ascii="仿宋_GB2312" w:hAnsi="等线" w:eastAsia="仿宋_GB2312" w:cs="Times New Roman"/>
          <w:sz w:val="24"/>
          <w:szCs w:val="22"/>
        </w:rPr>
        <w:t>账号：</w:t>
      </w:r>
      <w:r>
        <w:rPr>
          <w:rFonts w:ascii="仿宋_GB2312" w:hAnsi="等线" w:eastAsia="仿宋_GB2312" w:cs="Times New Roman"/>
          <w:sz w:val="24"/>
          <w:szCs w:val="22"/>
          <w:u w:val="single"/>
        </w:rPr>
        <w:t>11150601040001904</w:t>
      </w:r>
      <w:r>
        <w:rPr>
          <w:rFonts w:ascii="仿宋_GB2312" w:hAnsi="等线" w:eastAsia="仿宋_GB2312" w:cs="Times New Roman"/>
          <w:sz w:val="24"/>
          <w:szCs w:val="22"/>
        </w:rPr>
        <w:tab/>
      </w:r>
      <w:r>
        <w:rPr>
          <w:rFonts w:ascii="仿宋_GB2312" w:hAnsi="等线" w:eastAsia="仿宋_GB2312" w:cs="Times New Roman"/>
          <w:sz w:val="24"/>
          <w:szCs w:val="22"/>
        </w:rPr>
        <w:tab/>
      </w:r>
      <w:r>
        <w:rPr>
          <w:rFonts w:hint="eastAsia" w:ascii="仿宋_GB2312" w:hAnsi="等线" w:eastAsia="仿宋_GB2312" w:cs="Times New Roman"/>
          <w:sz w:val="24"/>
          <w:szCs w:val="22"/>
        </w:rPr>
        <w:t xml:space="preserve">    </w:t>
      </w:r>
      <w:r>
        <w:rPr>
          <w:rFonts w:ascii="仿宋_GB2312" w:hAnsi="等线" w:eastAsia="仿宋_GB2312" w:cs="Times New Roman"/>
          <w:sz w:val="24"/>
          <w:szCs w:val="22"/>
        </w:rPr>
        <w:t xml:space="preserve"> </w:t>
      </w:r>
      <w:r>
        <w:rPr>
          <w:rFonts w:hint="eastAsia" w:ascii="仿宋_GB2312" w:hAnsi="等线" w:eastAsia="仿宋_GB2312" w:cs="Times New Roman"/>
          <w:sz w:val="24"/>
          <w:szCs w:val="22"/>
        </w:rPr>
        <w:t>账号：</w:t>
      </w:r>
      <w:r>
        <w:rPr>
          <w:rFonts w:hint="eastAsia" w:ascii="仿宋_GB2312" w:hAnsi="等线" w:eastAsia="仿宋_GB2312" w:cs="Times New Roman"/>
          <w:sz w:val="24"/>
          <w:szCs w:val="22"/>
          <w:u w:val="single"/>
          <w:lang w:val="en-US" w:eastAsia="zh-CN"/>
        </w:rPr>
        <w:t xml:space="preserve">                            </w:t>
      </w:r>
    </w:p>
    <w:p w14:paraId="6A056F00">
      <w:pPr>
        <w:spacing w:before="360" w:after="240" w:line="360" w:lineRule="auto"/>
        <w:jc w:val="center"/>
        <w:outlineLvl w:val="0"/>
        <w:rPr>
          <w:rFonts w:ascii="仿宋_GB2312" w:hAnsi="宋体" w:eastAsia="仿宋_GB2312" w:cs="Times New Roman"/>
          <w:b/>
          <w:sz w:val="24"/>
          <w:szCs w:val="22"/>
        </w:rPr>
      </w:pPr>
      <w:r>
        <w:rPr>
          <w:rFonts w:ascii="仿宋_GB2312" w:hAnsi="等线" w:eastAsia="仿宋_GB2312" w:cs="Times New Roman"/>
          <w:sz w:val="24"/>
          <w:szCs w:val="22"/>
          <w:u w:val="single"/>
        </w:rPr>
        <w:br w:type="page"/>
      </w:r>
      <w:bookmarkStart w:id="3" w:name="_Toc332808329"/>
      <w:bookmarkStart w:id="4" w:name="_Toc332808021"/>
      <w:r>
        <w:rPr>
          <w:rFonts w:hint="eastAsia" w:ascii="仿宋_GB2312" w:hAnsi="等线" w:eastAsia="仿宋_GB2312" w:cs="Times New Roman"/>
          <w:b/>
          <w:sz w:val="28"/>
          <w:szCs w:val="28"/>
        </w:rPr>
        <w:t>合同一般条款</w:t>
      </w:r>
      <w:bookmarkStart w:id="5" w:name="_Toc99437650"/>
    </w:p>
    <w:p w14:paraId="6D804D5B">
      <w:pPr>
        <w:spacing w:before="360" w:after="240" w:line="360" w:lineRule="auto"/>
        <w:outlineLvl w:val="1"/>
        <w:rPr>
          <w:rFonts w:ascii="仿宋_GB2312" w:hAnsi="宋体" w:eastAsia="仿宋_GB2312" w:cs="Times New Roman"/>
          <w:b/>
          <w:kern w:val="0"/>
          <w:sz w:val="24"/>
        </w:rPr>
      </w:pPr>
      <w:bookmarkStart w:id="6" w:name="_Toc332808312"/>
      <w:bookmarkStart w:id="7" w:name="_Toc332808004"/>
      <w:r>
        <w:rPr>
          <w:rFonts w:hint="eastAsia" w:ascii="仿宋_GB2312" w:hAnsi="宋体" w:eastAsia="仿宋_GB2312" w:cs="Times New Roman"/>
          <w:b/>
          <w:kern w:val="0"/>
          <w:sz w:val="24"/>
        </w:rPr>
        <w:t>第一条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委托事项及内容</w:t>
      </w:r>
      <w:bookmarkEnd w:id="5"/>
      <w:bookmarkEnd w:id="6"/>
      <w:bookmarkEnd w:id="7"/>
    </w:p>
    <w:p w14:paraId="6E248DA6">
      <w:pPr>
        <w:spacing w:before="120" w:after="0" w:line="360" w:lineRule="auto"/>
        <w:ind w:left="1074" w:leftChars="401" w:hanging="232" w:hangingChars="97"/>
        <w:rPr>
          <w:rFonts w:ascii="仿宋_GB2312" w:hAnsi="宋体" w:eastAsia="仿宋_GB2312" w:cs="Times New Roman"/>
          <w:sz w:val="24"/>
        </w:rPr>
      </w:pPr>
      <w:r>
        <w:rPr>
          <w:rFonts w:hint="eastAsia" w:ascii="仿宋_GB2312" w:hAnsi="宋体" w:eastAsia="仿宋_GB2312" w:cs="Times New Roman"/>
          <w:sz w:val="24"/>
        </w:rPr>
        <w:t>乙方为甲方所委托的</w:t>
      </w:r>
      <w:r>
        <w:rPr>
          <w:rFonts w:hint="eastAsia" w:ascii="仿宋_GB2312" w:hAnsi="等线" w:eastAsia="仿宋_GB2312" w:cs="Times New Roman"/>
          <w:sz w:val="24"/>
          <w:szCs w:val="22"/>
          <w:u w:val="single"/>
        </w:rPr>
        <w:t>北京市怀柔安佳医院信息化系统二期</w:t>
      </w:r>
      <w:r>
        <w:rPr>
          <w:rFonts w:hint="eastAsia" w:ascii="仿宋_GB2312" w:hAnsi="宋体" w:eastAsia="仿宋_GB2312" w:cs="Times New Roman"/>
          <w:sz w:val="24"/>
        </w:rPr>
        <w:t>项目提供如下服务，具体服务内容见采购要求：</w:t>
      </w:r>
      <w:r>
        <w:rPr>
          <w:rFonts w:ascii="仿宋_GB2312" w:hAnsi="宋体" w:eastAsia="仿宋_GB2312" w:cs="Times New Roman"/>
          <w:sz w:val="24"/>
        </w:rPr>
        <w:t xml:space="preserve">               </w:t>
      </w:r>
    </w:p>
    <w:p w14:paraId="0B5B013C">
      <w:pPr>
        <w:spacing w:before="360" w:after="240" w:line="360" w:lineRule="auto"/>
        <w:outlineLvl w:val="1"/>
        <w:rPr>
          <w:rFonts w:ascii="仿宋_GB2312" w:hAnsi="宋体" w:eastAsia="仿宋_GB2312" w:cs="Times New Roman"/>
          <w:b/>
          <w:kern w:val="0"/>
          <w:sz w:val="24"/>
        </w:rPr>
      </w:pPr>
      <w:bookmarkStart w:id="8" w:name="_Toc332808005"/>
      <w:bookmarkStart w:id="9" w:name="_Toc99437651"/>
      <w:bookmarkStart w:id="10" w:name="_Toc332808313"/>
      <w:r>
        <w:rPr>
          <w:rFonts w:hint="eastAsia" w:ascii="仿宋_GB2312" w:hAnsi="宋体" w:eastAsia="仿宋_GB2312" w:cs="Times New Roman"/>
          <w:b/>
          <w:kern w:val="0"/>
          <w:sz w:val="24"/>
        </w:rPr>
        <w:t>第二条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委托要求</w:t>
      </w:r>
      <w:bookmarkEnd w:id="8"/>
      <w:bookmarkEnd w:id="9"/>
      <w:bookmarkEnd w:id="10"/>
    </w:p>
    <w:p w14:paraId="3D4B0BE0">
      <w:pPr>
        <w:spacing w:after="120" w:line="520" w:lineRule="exact"/>
        <w:ind w:left="420" w:leftChars="200" w:firstLine="532" w:firstLineChars="222"/>
        <w:rPr>
          <w:rFonts w:ascii="仿宋_GB2312" w:hAnsi="宋体" w:eastAsia="仿宋_GB2312" w:cs="Times New Roman"/>
          <w:sz w:val="24"/>
        </w:rPr>
      </w:pPr>
      <w:r>
        <w:rPr>
          <w:rFonts w:hint="eastAsia" w:ascii="仿宋_GB2312" w:hAnsi="宋体" w:eastAsia="仿宋_GB2312" w:cs="Times New Roman"/>
          <w:sz w:val="24"/>
        </w:rPr>
        <w:t>乙方接受甲方委托所完成的工作成果应当遵循客观、科学、公平、公正原则，符合国家和相关部门、评估专家对该类项目内容和深度规定的要求及甲方的技术、质量要求，为甲方决策、评估提供政策、技术、经济、科学的依据。</w:t>
      </w:r>
    </w:p>
    <w:p w14:paraId="0313693E">
      <w:pPr>
        <w:spacing w:before="360" w:after="240" w:line="360" w:lineRule="auto"/>
        <w:outlineLvl w:val="1"/>
        <w:rPr>
          <w:rFonts w:ascii="仿宋_GB2312" w:hAnsi="宋体" w:eastAsia="仿宋_GB2312" w:cs="Times New Roman"/>
          <w:b/>
          <w:kern w:val="0"/>
          <w:sz w:val="24"/>
        </w:rPr>
      </w:pPr>
      <w:bookmarkStart w:id="11" w:name="_Toc332808314"/>
      <w:bookmarkStart w:id="12" w:name="_Toc332808006"/>
      <w:r>
        <w:rPr>
          <w:rFonts w:hint="eastAsia" w:ascii="仿宋_GB2312" w:hAnsi="宋体" w:eastAsia="仿宋_GB2312" w:cs="Times New Roman"/>
          <w:b/>
          <w:kern w:val="0"/>
          <w:sz w:val="24"/>
        </w:rPr>
        <w:t>第三条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委托事项完成期限</w:t>
      </w:r>
      <w:bookmarkEnd w:id="11"/>
      <w:bookmarkEnd w:id="12"/>
    </w:p>
    <w:p w14:paraId="1AB93356">
      <w:pPr>
        <w:spacing w:after="120" w:line="520" w:lineRule="exact"/>
        <w:ind w:left="420" w:leftChars="200" w:firstLine="482"/>
        <w:rPr>
          <w:rFonts w:hint="default" w:ascii="仿宋_GB2312" w:hAnsi="宋体" w:eastAsia="仿宋_GB2312" w:cs="Times New Roman"/>
          <w:sz w:val="24"/>
          <w:lang w:val="en-US" w:eastAsia="zh-CN"/>
        </w:rPr>
      </w:pPr>
      <w:r>
        <w:rPr>
          <w:rFonts w:hint="eastAsia" w:ascii="仿宋_GB2312" w:hAnsi="宋体" w:eastAsia="仿宋_GB2312" w:cs="Times New Roman"/>
          <w:sz w:val="24"/>
        </w:rPr>
        <w:t>本合同项下委托事项的完成期限为：</w:t>
      </w:r>
      <w:bookmarkStart w:id="13" w:name="_Toc99437653"/>
      <w:r>
        <w:rPr>
          <w:rFonts w:hint="eastAsia" w:ascii="仿宋_GB2312" w:hAnsi="等线" w:eastAsia="仿宋_GB2312" w:cs="Times New Roman"/>
          <w:sz w:val="24"/>
          <w:u w:val="single"/>
          <w:lang w:val="en-US" w:eastAsia="zh-CN"/>
        </w:rPr>
        <w:t xml:space="preserve">           </w:t>
      </w:r>
    </w:p>
    <w:p w14:paraId="4DF32C7B">
      <w:pPr>
        <w:spacing w:before="360" w:after="240" w:line="360" w:lineRule="auto"/>
        <w:outlineLvl w:val="1"/>
        <w:rPr>
          <w:rFonts w:ascii="仿宋_GB2312" w:hAnsi="宋体" w:eastAsia="仿宋_GB2312" w:cs="Times New Roman"/>
          <w:b/>
          <w:kern w:val="0"/>
          <w:sz w:val="24"/>
        </w:rPr>
      </w:pPr>
      <w:bookmarkStart w:id="14" w:name="_Toc332808315"/>
      <w:bookmarkStart w:id="15" w:name="_Toc332808007"/>
      <w:r>
        <w:rPr>
          <w:rFonts w:hint="eastAsia" w:ascii="仿宋_GB2312" w:hAnsi="宋体" w:eastAsia="仿宋_GB2312" w:cs="Times New Roman"/>
          <w:b/>
          <w:kern w:val="0"/>
          <w:sz w:val="24"/>
        </w:rPr>
        <w:t>第四条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委托事项履行地点</w:t>
      </w:r>
      <w:bookmarkEnd w:id="13"/>
      <w:bookmarkEnd w:id="14"/>
      <w:bookmarkEnd w:id="15"/>
    </w:p>
    <w:p w14:paraId="04FE4B0C">
      <w:pPr>
        <w:spacing w:after="120" w:line="520" w:lineRule="exact"/>
        <w:ind w:left="420" w:leftChars="200" w:firstLine="482"/>
        <w:rPr>
          <w:rFonts w:ascii="仿宋_GB2312" w:hAnsi="宋体" w:eastAsia="仿宋_GB2312" w:cs="Times New Roman"/>
          <w:sz w:val="24"/>
        </w:rPr>
      </w:pPr>
      <w:r>
        <w:rPr>
          <w:rFonts w:hint="eastAsia" w:ascii="仿宋_GB2312" w:hAnsi="宋体" w:eastAsia="仿宋_GB2312" w:cs="Times New Roman"/>
          <w:sz w:val="24"/>
        </w:rPr>
        <w:t>本合同项下的</w:t>
      </w:r>
      <w:bookmarkStart w:id="16" w:name="_Toc99437654"/>
      <w:bookmarkEnd w:id="16"/>
      <w:r>
        <w:rPr>
          <w:rFonts w:hint="eastAsia" w:ascii="仿宋_GB2312" w:hAnsi="宋体" w:eastAsia="仿宋_GB2312" w:cs="Times New Roman"/>
          <w:sz w:val="24"/>
        </w:rPr>
        <w:t>委托项目技术服务履行地点为</w:t>
      </w:r>
      <w:r>
        <w:rPr>
          <w:rFonts w:hint="eastAsia" w:ascii="仿宋_GB2312" w:hAnsi="宋体" w:eastAsia="仿宋_GB2312" w:cs="Times New Roman"/>
          <w:sz w:val="24"/>
          <w:u w:val="single"/>
        </w:rPr>
        <w:t>北京市怀柔安佳医院指定地点。</w:t>
      </w:r>
    </w:p>
    <w:p w14:paraId="2A91AF1A">
      <w:pPr>
        <w:spacing w:before="360" w:after="240" w:line="360" w:lineRule="auto"/>
        <w:outlineLvl w:val="1"/>
        <w:rPr>
          <w:rFonts w:ascii="仿宋_GB2312" w:hAnsi="宋体" w:eastAsia="仿宋_GB2312" w:cs="Times New Roman"/>
          <w:b/>
          <w:kern w:val="0"/>
          <w:sz w:val="24"/>
        </w:rPr>
      </w:pPr>
      <w:bookmarkStart w:id="17" w:name="_Toc332808008"/>
      <w:bookmarkStart w:id="18" w:name="_Toc332808316"/>
      <w:r>
        <w:rPr>
          <w:rFonts w:hint="eastAsia" w:ascii="仿宋_GB2312" w:hAnsi="宋体" w:eastAsia="仿宋_GB2312" w:cs="Times New Roman"/>
          <w:b/>
          <w:kern w:val="0"/>
          <w:sz w:val="24"/>
        </w:rPr>
        <w:t>第五条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委托报酬及支付方式</w:t>
      </w:r>
      <w:bookmarkEnd w:id="17"/>
      <w:bookmarkEnd w:id="18"/>
    </w:p>
    <w:p w14:paraId="31F74493">
      <w:pPr>
        <w:spacing w:after="120" w:line="520" w:lineRule="exact"/>
        <w:ind w:left="420" w:leftChars="20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、本合同项下委托报酬总额为人民币</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rPr>
        <w:t>元，大写：</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rPr>
        <w:t>。</w:t>
      </w:r>
    </w:p>
    <w:p w14:paraId="760E83DB">
      <w:pPr>
        <w:spacing w:after="120" w:line="520" w:lineRule="exact"/>
        <w:ind w:left="420" w:leftChars="20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、甲方将按以下第</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rPr>
        <w:t>（</w:t>
      </w:r>
      <w:r>
        <w:rPr>
          <w:rFonts w:ascii="仿宋_GB2312" w:hAnsi="等线" w:eastAsia="仿宋_GB2312" w:cs="Times New Roman"/>
          <w:sz w:val="24"/>
          <w:u w:val="single"/>
        </w:rPr>
        <w:t>2</w:t>
      </w:r>
      <w:r>
        <w:rPr>
          <w:rFonts w:hint="eastAsia" w:ascii="仿宋_GB2312" w:hAnsi="等线" w:eastAsia="仿宋_GB2312" w:cs="Times New Roman"/>
          <w:sz w:val="24"/>
          <w:u w:val="single"/>
        </w:rPr>
        <w:t>）</w:t>
      </w:r>
      <w:r>
        <w:rPr>
          <w:rFonts w:ascii="仿宋_GB2312" w:hAnsi="等线" w:eastAsia="仿宋_GB2312" w:cs="Times New Roman"/>
          <w:sz w:val="24"/>
          <w:u w:val="single"/>
        </w:rPr>
        <w:t xml:space="preserve">  </w:t>
      </w:r>
      <w:r>
        <w:rPr>
          <w:rFonts w:hint="eastAsia" w:ascii="仿宋_GB2312" w:hAnsi="宋体" w:eastAsia="仿宋_GB2312" w:cs="Times New Roman"/>
          <w:sz w:val="24"/>
        </w:rPr>
        <w:t>种方式向乙方支付委托报酬：</w:t>
      </w:r>
    </w:p>
    <w:p w14:paraId="25E55B33">
      <w:pPr>
        <w:spacing w:after="120" w:line="520" w:lineRule="exact"/>
        <w:ind w:left="1020" w:leftChars="200" w:hanging="600" w:hangingChars="250"/>
        <w:rPr>
          <w:rFonts w:ascii="仿宋_GB2312" w:hAnsi="宋体" w:eastAsia="仿宋_GB2312" w:cs="Times New Roman"/>
          <w:sz w:val="24"/>
        </w:rPr>
      </w:pPr>
      <w:r>
        <w:rPr>
          <w:rFonts w:hint="eastAsia" w:ascii="仿宋_GB2312" w:hAnsi="宋体" w:eastAsia="仿宋_GB2312" w:cs="Times New Roman"/>
          <w:sz w:val="24"/>
        </w:rPr>
        <w:t>（</w:t>
      </w:r>
      <w:r>
        <w:rPr>
          <w:rFonts w:ascii="仿宋_GB2312" w:hAnsi="宋体" w:eastAsia="仿宋_GB2312" w:cs="Times New Roman"/>
          <w:sz w:val="24"/>
        </w:rPr>
        <w:t>1</w:t>
      </w:r>
      <w:r>
        <w:rPr>
          <w:rFonts w:hint="eastAsia" w:ascii="仿宋_GB2312" w:hAnsi="宋体" w:eastAsia="仿宋_GB2312" w:cs="Times New Roman"/>
          <w:sz w:val="24"/>
        </w:rPr>
        <w:t>）一次性支付：甲方于本合同签署之日起</w:t>
      </w:r>
      <w:r>
        <w:rPr>
          <w:rFonts w:ascii="仿宋_GB2312" w:hAnsi="等线" w:eastAsia="仿宋_GB2312" w:cs="Times New Roman"/>
          <w:sz w:val="24"/>
          <w:u w:val="single"/>
        </w:rPr>
        <w:t xml:space="preserve">   </w:t>
      </w:r>
      <w:r>
        <w:rPr>
          <w:rFonts w:hint="eastAsia" w:ascii="仿宋_GB2312" w:hAnsi="宋体" w:eastAsia="仿宋_GB2312" w:cs="Times New Roman"/>
          <w:sz w:val="24"/>
        </w:rPr>
        <w:t>个工作日内，向乙方付清委托报酬。</w:t>
      </w:r>
    </w:p>
    <w:p w14:paraId="6AE88A11">
      <w:pPr>
        <w:spacing w:after="120" w:line="520" w:lineRule="exact"/>
        <w:ind w:left="1020" w:leftChars="200" w:hanging="600" w:hangingChars="250"/>
        <w:rPr>
          <w:rFonts w:ascii="仿宋_GB2312" w:hAnsi="宋体" w:eastAsia="仿宋_GB2312" w:cs="Times New Roman"/>
          <w:sz w:val="24"/>
        </w:rPr>
      </w:pPr>
      <w:r>
        <w:rPr>
          <w:rFonts w:hint="eastAsia" w:ascii="仿宋_GB2312" w:hAnsi="宋体" w:eastAsia="仿宋_GB2312" w:cs="Times New Roman"/>
          <w:sz w:val="24"/>
        </w:rPr>
        <w:t>（</w:t>
      </w:r>
      <w:r>
        <w:rPr>
          <w:rFonts w:ascii="仿宋_GB2312" w:hAnsi="宋体" w:eastAsia="仿宋_GB2312" w:cs="Times New Roman"/>
          <w:sz w:val="24"/>
        </w:rPr>
        <w:t>2</w:t>
      </w:r>
      <w:r>
        <w:rPr>
          <w:rFonts w:hint="eastAsia" w:ascii="仿宋_GB2312" w:hAnsi="宋体" w:eastAsia="仿宋_GB2312" w:cs="Times New Roman"/>
          <w:sz w:val="24"/>
        </w:rPr>
        <w:t>）分期支付：</w:t>
      </w:r>
    </w:p>
    <w:p w14:paraId="7605A682">
      <w:pPr>
        <w:spacing w:after="120" w:line="520" w:lineRule="exact"/>
        <w:ind w:left="1138" w:leftChars="542" w:firstLine="360" w:firstLineChars="150"/>
        <w:rPr>
          <w:rFonts w:ascii="仿宋_GB2312" w:hAnsi="宋体" w:eastAsia="仿宋_GB2312" w:cs="Times New Roman"/>
          <w:sz w:val="24"/>
        </w:rPr>
      </w:pPr>
      <w:r>
        <w:rPr>
          <w:rFonts w:hint="eastAsia" w:ascii="仿宋_GB2312" w:hAnsi="宋体" w:eastAsia="仿宋_GB2312" w:cs="Times New Roman"/>
          <w:sz w:val="24"/>
        </w:rPr>
        <w:t>合同签订后，合同签订后乙方向甲方开具合同总金额的60%增值税普通发票，甲方收到发票30天内付乙方相应合同款项，即人民币壹佰玖拾叁万肆仟贰佰伍拾元整（￥</w:t>
      </w:r>
      <w:r>
        <w:rPr>
          <w:rFonts w:hint="eastAsia" w:ascii="仿宋_GB2312" w:hAnsi="宋体" w:eastAsia="仿宋_GB2312" w:cs="Times New Roman"/>
          <w:sz w:val="24"/>
          <w:lang w:val="en-US" w:eastAsia="zh-CN"/>
        </w:rPr>
        <w:t xml:space="preserve">           </w:t>
      </w:r>
      <w:r>
        <w:rPr>
          <w:rFonts w:hint="eastAsia" w:ascii="仿宋_GB2312" w:hAnsi="宋体" w:eastAsia="仿宋_GB2312" w:cs="Times New Roman"/>
          <w:sz w:val="24"/>
        </w:rPr>
        <w:t>）；</w:t>
      </w:r>
    </w:p>
    <w:p w14:paraId="51D1BEA3">
      <w:pPr>
        <w:spacing w:after="120" w:line="520" w:lineRule="exact"/>
        <w:ind w:left="1138" w:leftChars="542" w:firstLine="360" w:firstLineChars="150"/>
        <w:rPr>
          <w:rFonts w:ascii="仿宋_GB2312" w:hAnsi="宋体" w:eastAsia="仿宋_GB2312" w:cs="Times New Roman"/>
          <w:sz w:val="24"/>
        </w:rPr>
      </w:pPr>
      <w:r>
        <w:rPr>
          <w:rFonts w:hint="eastAsia" w:ascii="仿宋_GB2312" w:hAnsi="宋体" w:eastAsia="仿宋_GB2312" w:cs="Times New Roman"/>
          <w:sz w:val="24"/>
        </w:rPr>
        <w:t>项目最终验收后乙方向甲方开具合同总金额的40%增值税普通发票，甲方收到发票30天内付乙方相应款项，即人民币壹佰贰拾捌万玖仟伍佰元整（￥</w:t>
      </w:r>
      <w:r>
        <w:rPr>
          <w:rFonts w:hint="eastAsia" w:ascii="仿宋_GB2312" w:hAnsi="宋体" w:eastAsia="仿宋_GB2312" w:cs="Times New Roman"/>
          <w:sz w:val="24"/>
          <w:lang w:val="en-US" w:eastAsia="zh-CN"/>
        </w:rPr>
        <w:t xml:space="preserve">            </w:t>
      </w:r>
      <w:r>
        <w:rPr>
          <w:rFonts w:hint="eastAsia" w:ascii="仿宋_GB2312" w:hAnsi="宋体" w:eastAsia="仿宋_GB2312" w:cs="Times New Roman"/>
          <w:sz w:val="24"/>
        </w:rPr>
        <w:t>）；</w:t>
      </w:r>
    </w:p>
    <w:p w14:paraId="768B6554">
      <w:pPr>
        <w:spacing w:after="120" w:line="520" w:lineRule="exact"/>
        <w:ind w:left="1138" w:leftChars="542" w:firstLine="360" w:firstLineChars="150"/>
        <w:rPr>
          <w:rFonts w:ascii="仿宋_GB2312" w:hAnsi="宋体" w:eastAsia="仿宋_GB2312" w:cs="Times New Roman"/>
          <w:sz w:val="24"/>
        </w:rPr>
      </w:pPr>
      <w:r>
        <w:rPr>
          <w:rFonts w:hint="eastAsia" w:ascii="仿宋_GB2312" w:hAnsi="宋体" w:eastAsia="仿宋_GB2312" w:cs="Times New Roman"/>
          <w:sz w:val="24"/>
        </w:rPr>
        <w:t>终验结束后15天内，乙方向甲方以保函（保函期限一年）形式提供合同总价5%的履约保证金，一年质保期结束后30天内，甲方将把履约保证金退还乙方。</w:t>
      </w:r>
    </w:p>
    <w:p w14:paraId="5CBB39DB">
      <w:pPr>
        <w:spacing w:after="120" w:line="520" w:lineRule="exact"/>
        <w:ind w:left="900" w:leftChars="257" w:hanging="360" w:hangingChars="150"/>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、甲方不应当支付除委托报酬以外的任何其它费用，乙方也不得要求改变报酬总额。</w:t>
      </w:r>
      <w:r>
        <w:rPr>
          <w:rFonts w:ascii="仿宋_GB2312" w:hAnsi="宋体" w:eastAsia="仿宋_GB2312" w:cs="Times New Roman"/>
          <w:sz w:val="24"/>
        </w:rPr>
        <w:t xml:space="preserve">                                    </w:t>
      </w:r>
      <w:r>
        <w:rPr>
          <w:rFonts w:ascii="仿宋_GB2312" w:hAnsi="Arial" w:eastAsia="仿宋_GB2312" w:cs="Arial"/>
          <w:kern w:val="0"/>
          <w:sz w:val="24"/>
        </w:rPr>
        <w:t xml:space="preserve">  </w:t>
      </w:r>
      <w:bookmarkStart w:id="19" w:name="_Toc332808010"/>
      <w:bookmarkStart w:id="20" w:name="_Toc332808318"/>
    </w:p>
    <w:p w14:paraId="15A76798">
      <w:pPr>
        <w:spacing w:before="360" w:after="240" w:line="360" w:lineRule="auto"/>
        <w:outlineLvl w:val="1"/>
        <w:rPr>
          <w:rFonts w:ascii="仿宋_GB2312" w:hAnsi="宋体" w:eastAsia="仿宋_GB2312" w:cs="Times New Roman"/>
          <w:b/>
          <w:kern w:val="0"/>
          <w:sz w:val="24"/>
        </w:rPr>
      </w:pPr>
      <w:r>
        <w:rPr>
          <w:rFonts w:hint="eastAsia" w:ascii="仿宋_GB2312" w:hAnsi="宋体" w:eastAsia="仿宋_GB2312" w:cs="Times New Roman"/>
          <w:b/>
          <w:kern w:val="0"/>
          <w:sz w:val="24"/>
        </w:rPr>
        <w:t>第六条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甲方权利义务</w:t>
      </w:r>
      <w:bookmarkEnd w:id="19"/>
      <w:bookmarkEnd w:id="20"/>
    </w:p>
    <w:p w14:paraId="523DEE4F">
      <w:pPr>
        <w:spacing w:after="120" w:line="520" w:lineRule="exact"/>
        <w:ind w:left="-397" w:leftChars="-189" w:firstLine="960" w:firstLineChars="40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、接受乙方提交的符合本合同约定条件的工作成果或者相关文件；</w:t>
      </w:r>
    </w:p>
    <w:p w14:paraId="2CEC4077">
      <w:pPr>
        <w:spacing w:after="120" w:line="520" w:lineRule="exact"/>
        <w:ind w:left="-397" w:leftChars="-189" w:firstLine="960" w:firstLineChars="40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、审定乙方提交的委托项目工作方案和配套工作计划；</w:t>
      </w:r>
    </w:p>
    <w:p w14:paraId="7E71E10E">
      <w:pPr>
        <w:spacing w:after="120" w:line="520" w:lineRule="exact"/>
        <w:ind w:left="-397" w:leftChars="-189" w:firstLine="960" w:firstLineChars="400"/>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、检查监督乙方完成委托项目工作的进度；</w:t>
      </w:r>
    </w:p>
    <w:p w14:paraId="71D3CF64">
      <w:pPr>
        <w:spacing w:after="120" w:line="520" w:lineRule="exact"/>
        <w:ind w:left="898" w:leftChars="256" w:hanging="360" w:hangingChars="150"/>
        <w:rPr>
          <w:rFonts w:ascii="仿宋_GB2312" w:hAnsi="宋体" w:eastAsia="仿宋_GB2312" w:cs="Times New Roman"/>
          <w:sz w:val="24"/>
        </w:rPr>
      </w:pPr>
      <w:r>
        <w:rPr>
          <w:rFonts w:ascii="仿宋_GB2312" w:hAnsi="宋体" w:eastAsia="仿宋_GB2312" w:cs="Times New Roman"/>
          <w:sz w:val="24"/>
        </w:rPr>
        <w:t>4</w:t>
      </w:r>
      <w:r>
        <w:rPr>
          <w:rFonts w:hint="eastAsia" w:ascii="仿宋_GB2312" w:hAnsi="宋体" w:eastAsia="仿宋_GB2312" w:cs="Times New Roman"/>
          <w:sz w:val="24"/>
        </w:rPr>
        <w:t>、组织专家或者通过评估，对乙方提交的委托项目工作成果的质量进行评审和验收；</w:t>
      </w:r>
    </w:p>
    <w:p w14:paraId="65C83287">
      <w:pPr>
        <w:spacing w:after="120" w:line="520" w:lineRule="exact"/>
        <w:ind w:left="948" w:leftChars="280" w:hanging="360" w:hangingChars="150"/>
        <w:rPr>
          <w:rFonts w:ascii="仿宋_GB2312" w:hAnsi="宋体" w:eastAsia="仿宋_GB2312" w:cs="Times New Roman"/>
          <w:sz w:val="24"/>
        </w:rPr>
      </w:pPr>
      <w:r>
        <w:rPr>
          <w:rFonts w:ascii="仿宋_GB2312" w:hAnsi="宋体" w:eastAsia="仿宋_GB2312" w:cs="Times New Roman"/>
          <w:sz w:val="24"/>
        </w:rPr>
        <w:t>5</w:t>
      </w:r>
      <w:r>
        <w:rPr>
          <w:rFonts w:hint="eastAsia" w:ascii="仿宋_GB2312" w:hAnsi="宋体" w:eastAsia="仿宋_GB2312" w:cs="Times New Roman"/>
          <w:sz w:val="24"/>
        </w:rPr>
        <w:t>、乙方自接到甲方提供的所委托项目的技术资料和数据之日起</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r>
        <w:rPr>
          <w:rFonts w:ascii="仿宋_GB2312" w:hAnsi="等线" w:eastAsia="仿宋_GB2312" w:cs="Times New Roman"/>
          <w:sz w:val="24"/>
          <w:u w:val="single"/>
        </w:rPr>
        <w:t xml:space="preserve">  </w:t>
      </w:r>
      <w:r>
        <w:rPr>
          <w:rFonts w:hint="eastAsia" w:ascii="仿宋_GB2312" w:hAnsi="宋体" w:eastAsia="仿宋_GB2312" w:cs="Times New Roman"/>
          <w:sz w:val="24"/>
        </w:rPr>
        <w:t>日内，不进行调查论证的，甲方有权单方决定取消对该项目的委托。</w:t>
      </w:r>
    </w:p>
    <w:p w14:paraId="4C4740FB">
      <w:pPr>
        <w:spacing w:after="120" w:line="520" w:lineRule="exact"/>
        <w:ind w:left="1005" w:leftChars="307" w:hanging="360" w:hangingChars="150"/>
        <w:rPr>
          <w:rFonts w:ascii="仿宋_GB2312" w:hAnsi="宋体" w:eastAsia="仿宋_GB2312" w:cs="Times New Roman"/>
          <w:sz w:val="24"/>
        </w:rPr>
      </w:pPr>
      <w:r>
        <w:rPr>
          <w:rFonts w:ascii="仿宋_GB2312" w:hAnsi="宋体" w:eastAsia="仿宋_GB2312" w:cs="Times New Roman"/>
          <w:sz w:val="24"/>
        </w:rPr>
        <w:t>6</w:t>
      </w:r>
      <w:r>
        <w:rPr>
          <w:rFonts w:hint="eastAsia" w:ascii="仿宋_GB2312" w:hAnsi="宋体" w:eastAsia="仿宋_GB2312" w:cs="Times New Roman"/>
          <w:sz w:val="24"/>
        </w:rPr>
        <w:t>、为保证乙方工作顺利进行，甲方须及时向乙方提供完成委托事项所必须的技术资料和工作条件。</w:t>
      </w:r>
    </w:p>
    <w:p w14:paraId="6494B226">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7</w:t>
      </w:r>
      <w:r>
        <w:rPr>
          <w:rFonts w:hint="eastAsia" w:ascii="仿宋_GB2312" w:hAnsi="宋体" w:eastAsia="仿宋_GB2312" w:cs="Times New Roman"/>
          <w:sz w:val="24"/>
        </w:rPr>
        <w:t>、负责按照合同约定收集、整理与委托事项有关的项目背景资料及相关技术资料和数据并提供给乙方；</w:t>
      </w:r>
    </w:p>
    <w:p w14:paraId="37835B42">
      <w:pPr>
        <w:spacing w:line="520" w:lineRule="exact"/>
        <w:ind w:firstLine="720" w:firstLineChars="300"/>
        <w:rPr>
          <w:rFonts w:ascii="仿宋_GB2312" w:hAnsi="宋体" w:eastAsia="仿宋_GB2312" w:cs="Times New Roman"/>
          <w:sz w:val="24"/>
        </w:rPr>
      </w:pPr>
      <w:r>
        <w:rPr>
          <w:rFonts w:ascii="仿宋_GB2312" w:hAnsi="宋体" w:eastAsia="仿宋_GB2312" w:cs="Times New Roman"/>
          <w:sz w:val="24"/>
        </w:rPr>
        <w:t>8</w:t>
      </w:r>
      <w:r>
        <w:rPr>
          <w:rFonts w:hint="eastAsia" w:ascii="仿宋_GB2312" w:hAnsi="宋体" w:eastAsia="仿宋_GB2312" w:cs="Times New Roman"/>
          <w:sz w:val="24"/>
        </w:rPr>
        <w:t>、负责委托项目所涉及的、与甲方有关的外部联系和协调工作。</w:t>
      </w:r>
    </w:p>
    <w:p w14:paraId="4550CBB1">
      <w:pPr>
        <w:spacing w:before="360" w:after="240" w:line="360" w:lineRule="auto"/>
        <w:outlineLvl w:val="1"/>
        <w:rPr>
          <w:rFonts w:ascii="仿宋_GB2312" w:hAnsi="宋体" w:eastAsia="仿宋_GB2312" w:cs="Times New Roman"/>
          <w:b/>
          <w:kern w:val="0"/>
          <w:sz w:val="24"/>
        </w:rPr>
      </w:pPr>
      <w:bookmarkStart w:id="21" w:name="_Toc332808011"/>
      <w:bookmarkStart w:id="22" w:name="_Toc332808319"/>
      <w:r>
        <w:rPr>
          <w:rFonts w:hint="eastAsia" w:ascii="仿宋_GB2312" w:hAnsi="宋体" w:eastAsia="仿宋_GB2312" w:cs="Times New Roman"/>
          <w:b/>
          <w:kern w:val="0"/>
          <w:sz w:val="24"/>
        </w:rPr>
        <w:t>第七条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乙方权利义务</w:t>
      </w:r>
      <w:bookmarkEnd w:id="21"/>
      <w:bookmarkEnd w:id="22"/>
    </w:p>
    <w:p w14:paraId="47A3218A">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、有权接受甲方按照合同约定支付的委托报酬；</w:t>
      </w:r>
    </w:p>
    <w:p w14:paraId="584A759C">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、乙方发现甲方提供的技术资料、数据有明显错误和缺陷的，有权于收到上述资料后</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r>
        <w:rPr>
          <w:rFonts w:ascii="仿宋_GB2312" w:hAnsi="等线" w:eastAsia="仿宋_GB2312" w:cs="Times New Roman"/>
          <w:sz w:val="24"/>
          <w:u w:val="single"/>
        </w:rPr>
        <w:t xml:space="preserve">  </w:t>
      </w:r>
      <w:r>
        <w:rPr>
          <w:rFonts w:hint="eastAsia" w:ascii="仿宋_GB2312" w:hAnsi="宋体" w:eastAsia="仿宋_GB2312" w:cs="Times New Roman"/>
          <w:sz w:val="24"/>
        </w:rPr>
        <w:t>日内书面通知甲方进行补充、修改。如逾期未提出异议的，则视为甲方提交的资料、数据符合合同约定的条件；</w:t>
      </w:r>
    </w:p>
    <w:p w14:paraId="3B8ED0A4">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、乙方在其资格证书许可的范围内，依本合同的约定向甲方提供专业的技术服务，并在规定的委托项目工作时间期限内完成委托项目的工作；</w:t>
      </w:r>
    </w:p>
    <w:p w14:paraId="70E6FDCA">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4</w:t>
      </w:r>
      <w:r>
        <w:rPr>
          <w:rFonts w:hint="eastAsia" w:ascii="仿宋_GB2312" w:hAnsi="宋体" w:eastAsia="仿宋_GB2312" w:cs="Times New Roman"/>
          <w:sz w:val="24"/>
        </w:rPr>
        <w:t>、乙方应当高效和经济地按国家或行业内承认的技术和惯例，以及技术服务标准提供技术服务；</w:t>
      </w:r>
    </w:p>
    <w:p w14:paraId="68A322E5">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5</w:t>
      </w:r>
      <w:r>
        <w:rPr>
          <w:rFonts w:hint="eastAsia" w:ascii="仿宋_GB2312" w:hAnsi="宋体" w:eastAsia="仿宋_GB2312" w:cs="Times New Roman"/>
          <w:sz w:val="24"/>
        </w:rPr>
        <w:t>、乙方应当遵守国家法律、法规和行业行为准则为甲方完成委托项目的工作；乙方提交的工作成果必须达到合同约定的要求，并对其完成的委托项目工作成果的真实性和准确性全面负责；</w:t>
      </w:r>
    </w:p>
    <w:p w14:paraId="557E966A">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6</w:t>
      </w:r>
      <w:r>
        <w:rPr>
          <w:rFonts w:hint="eastAsia" w:ascii="仿宋_GB2312" w:hAnsi="宋体" w:eastAsia="仿宋_GB2312" w:cs="Times New Roman"/>
          <w:sz w:val="24"/>
        </w:rPr>
        <w:t>、乙方应当认真按照合同要求完成委托项目工作，随时接受甲方的检查监督，并为检查监督提供便利条件；</w:t>
      </w:r>
    </w:p>
    <w:p w14:paraId="745D3792">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7</w:t>
      </w:r>
      <w:r>
        <w:rPr>
          <w:rFonts w:hint="eastAsia" w:ascii="仿宋_GB2312" w:hAnsi="宋体" w:eastAsia="仿宋_GB2312" w:cs="Times New Roman"/>
          <w:sz w:val="24"/>
        </w:rPr>
        <w:t>、甲方对乙方提交的委托项目工作成果提出质疑或者要求乙方答复时，乙方须在收到甲方的质疑后</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r>
        <w:rPr>
          <w:rFonts w:ascii="仿宋_GB2312" w:hAnsi="等线" w:eastAsia="仿宋_GB2312" w:cs="Times New Roman"/>
          <w:sz w:val="24"/>
          <w:u w:val="single"/>
        </w:rPr>
        <w:t xml:space="preserve">  </w:t>
      </w:r>
      <w:r>
        <w:rPr>
          <w:rFonts w:hint="eastAsia" w:ascii="仿宋_GB2312" w:hAnsi="宋体" w:eastAsia="仿宋_GB2312" w:cs="Times New Roman"/>
          <w:sz w:val="24"/>
        </w:rPr>
        <w:t>日内给予书面解释或者答复；</w:t>
      </w:r>
    </w:p>
    <w:p w14:paraId="3729DECA">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8</w:t>
      </w:r>
      <w:r>
        <w:rPr>
          <w:rFonts w:hint="eastAsia" w:ascii="仿宋_GB2312" w:hAnsi="宋体" w:eastAsia="仿宋_GB2312" w:cs="Times New Roman"/>
          <w:sz w:val="24"/>
        </w:rPr>
        <w:t>、除双方另有约定外，为本项目进行调查研究、分析论证、试验测定以及到外地进行调研、收集资料所发生的费用，由乙方自行承担；乙方自行负担因履行本合同产生的各项税负；</w:t>
      </w:r>
    </w:p>
    <w:p w14:paraId="5C54C3DF">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9</w:t>
      </w:r>
      <w:r>
        <w:rPr>
          <w:rFonts w:hint="eastAsia" w:ascii="仿宋_GB2312" w:hAnsi="宋体" w:eastAsia="仿宋_GB2312" w:cs="Times New Roman"/>
          <w:sz w:val="24"/>
        </w:rPr>
        <w:t>、未经甲方的书面许可，乙方不得以任何形式将其在本合同项下的权利义务转让给任何第三方；</w:t>
      </w:r>
    </w:p>
    <w:p w14:paraId="3AEB2FB5">
      <w:pPr>
        <w:spacing w:line="520" w:lineRule="exact"/>
        <w:ind w:left="1076" w:leftChars="341" w:hanging="360" w:hangingChars="150"/>
        <w:rPr>
          <w:rFonts w:ascii="仿宋_GB2312" w:hAnsi="宋体" w:eastAsia="仿宋_GB2312" w:cs="Times New Roman"/>
          <w:sz w:val="24"/>
        </w:rPr>
      </w:pPr>
      <w:r>
        <w:rPr>
          <w:rFonts w:ascii="仿宋_GB2312" w:hAnsi="宋体" w:eastAsia="仿宋_GB2312" w:cs="Times New Roman"/>
          <w:sz w:val="24"/>
        </w:rPr>
        <w:t>10</w:t>
      </w:r>
      <w:r>
        <w:rPr>
          <w:rFonts w:hint="eastAsia" w:ascii="仿宋_GB2312" w:hAnsi="宋体" w:eastAsia="仿宋_GB2312" w:cs="Times New Roman"/>
          <w:sz w:val="24"/>
        </w:rPr>
        <w:t>、乙方在履行合同期间使用的由甲方提供或者支付费用的设备设施，属于甲方的财产，乙方在完成委托项目并向甲方提交工作成果时，应当将设备设施归还给甲方。</w:t>
      </w:r>
    </w:p>
    <w:p w14:paraId="6B920998">
      <w:pPr>
        <w:spacing w:before="360" w:after="240" w:line="360" w:lineRule="auto"/>
        <w:outlineLvl w:val="1"/>
        <w:rPr>
          <w:rFonts w:ascii="仿宋_GB2312" w:hAnsi="宋体" w:eastAsia="仿宋_GB2312" w:cs="Times New Roman"/>
          <w:b/>
          <w:kern w:val="0"/>
          <w:sz w:val="24"/>
        </w:rPr>
      </w:pPr>
      <w:bookmarkStart w:id="23" w:name="_Toc332808012"/>
      <w:bookmarkStart w:id="24" w:name="_Toc332808320"/>
      <w:bookmarkStart w:id="25" w:name="_Toc99437661"/>
      <w:r>
        <w:rPr>
          <w:rFonts w:hint="eastAsia" w:ascii="仿宋_GB2312" w:hAnsi="宋体" w:eastAsia="仿宋_GB2312" w:cs="Times New Roman"/>
          <w:b/>
          <w:kern w:val="0"/>
          <w:sz w:val="24"/>
        </w:rPr>
        <w:t>第八条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项目管理小组及技术人员要求</w:t>
      </w:r>
      <w:bookmarkEnd w:id="23"/>
      <w:bookmarkEnd w:id="24"/>
    </w:p>
    <w:p w14:paraId="5C86FA10">
      <w:pPr>
        <w:spacing w:line="520" w:lineRule="exact"/>
        <w:ind w:left="1196" w:leftChars="398" w:hanging="360" w:hangingChars="15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、双方各指派一名代表作为本项目负责人，项目负责人职责范围包括：</w:t>
      </w:r>
      <w:r>
        <w:rPr>
          <w:rFonts w:hint="eastAsia" w:ascii="仿宋_GB2312" w:hAnsi="等线" w:eastAsia="仿宋_GB2312" w:cs="Times New Roman"/>
          <w:sz w:val="24"/>
          <w:u w:val="single"/>
        </w:rPr>
        <w:t>　项目实施沟通、进度及质量控制</w:t>
      </w:r>
      <w:r>
        <w:rPr>
          <w:rFonts w:ascii="仿宋_GB2312" w:hAnsi="等线" w:eastAsia="仿宋_GB2312" w:cs="Times New Roman"/>
          <w:sz w:val="24"/>
          <w:u w:val="single"/>
        </w:rPr>
        <w:t xml:space="preserve"> </w:t>
      </w:r>
      <w:r>
        <w:rPr>
          <w:rFonts w:hint="eastAsia" w:ascii="仿宋_GB2312" w:hAnsi="等线" w:eastAsia="仿宋_GB2312" w:cs="Times New Roman"/>
          <w:sz w:val="24"/>
          <w:u w:val="single"/>
        </w:rPr>
        <w:t>、文档整理、项目验收等工作内容</w:t>
      </w:r>
      <w:r>
        <w:rPr>
          <w:rFonts w:ascii="仿宋_GB2312" w:hAnsi="等线" w:eastAsia="仿宋_GB2312" w:cs="Times New Roman"/>
          <w:sz w:val="24"/>
          <w:u w:val="single"/>
        </w:rPr>
        <w:t xml:space="preserve"> </w:t>
      </w:r>
      <w:r>
        <w:rPr>
          <w:rFonts w:ascii="仿宋_GB2312" w:hAnsi="宋体" w:eastAsia="仿宋_GB2312" w:cs="Times New Roman"/>
          <w:sz w:val="24"/>
        </w:rPr>
        <w:t xml:space="preserve"> </w:t>
      </w:r>
      <w:r>
        <w:rPr>
          <w:rFonts w:hint="eastAsia" w:ascii="仿宋_GB2312" w:hAnsi="宋体" w:eastAsia="仿宋_GB2312" w:cs="Times New Roman"/>
          <w:sz w:val="24"/>
        </w:rPr>
        <w:t>。</w:t>
      </w:r>
    </w:p>
    <w:p w14:paraId="41341CBE">
      <w:pPr>
        <w:spacing w:line="520" w:lineRule="exact"/>
        <w:ind w:left="1076" w:leftChars="398" w:hanging="240" w:hangingChars="10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、项目技术人员资格</w:t>
      </w:r>
    </w:p>
    <w:p w14:paraId="073F7234">
      <w:pPr>
        <w:spacing w:line="520" w:lineRule="exact"/>
        <w:ind w:left="1195" w:leftChars="569"/>
        <w:rPr>
          <w:rFonts w:ascii="仿宋_GB2312" w:hAnsi="宋体" w:eastAsia="仿宋_GB2312" w:cs="Times New Roman"/>
          <w:sz w:val="24"/>
        </w:rPr>
      </w:pPr>
      <w:r>
        <w:rPr>
          <w:rFonts w:hint="eastAsia" w:ascii="仿宋_GB2312" w:hAnsi="宋体" w:eastAsia="仿宋_GB2312" w:cs="Times New Roman"/>
          <w:sz w:val="24"/>
        </w:rPr>
        <w:t>乙方须根据项目要求安排具备相应资质的专业技术人员，并确保项目实施队伍的稳定（项目技术人员名单见附件二）。项目实施过程中，乙方如因正当理由需要调整项目技术人员的，应当提前</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r>
        <w:rPr>
          <w:rFonts w:ascii="仿宋_GB2312" w:hAnsi="等线" w:eastAsia="仿宋_GB2312" w:cs="Times New Roman"/>
          <w:sz w:val="24"/>
          <w:u w:val="single"/>
        </w:rPr>
        <w:t xml:space="preserve">  </w:t>
      </w:r>
      <w:r>
        <w:rPr>
          <w:rFonts w:hint="eastAsia" w:ascii="仿宋_GB2312" w:hAnsi="宋体" w:eastAsia="仿宋_GB2312" w:cs="Times New Roman"/>
          <w:sz w:val="24"/>
        </w:rPr>
        <w:t>日通知甲方，获得甲方书面同意后方可进行。</w:t>
      </w:r>
      <w:bookmarkEnd w:id="25"/>
      <w:r>
        <w:rPr>
          <w:rFonts w:ascii="仿宋_GB2312" w:hAnsi="宋体" w:eastAsia="仿宋_GB2312" w:cs="Times New Roman"/>
          <w:sz w:val="24"/>
        </w:rPr>
        <w:t xml:space="preserve"> </w:t>
      </w:r>
      <w:bookmarkStart w:id="26" w:name="_Hlt99444598"/>
      <w:bookmarkEnd w:id="26"/>
    </w:p>
    <w:p w14:paraId="280CEBD1">
      <w:pPr>
        <w:spacing w:before="360" w:after="240" w:line="360" w:lineRule="auto"/>
        <w:outlineLvl w:val="1"/>
        <w:rPr>
          <w:rFonts w:ascii="仿宋_GB2312" w:hAnsi="宋体" w:eastAsia="仿宋_GB2312" w:cs="Times New Roman"/>
          <w:b/>
          <w:kern w:val="0"/>
          <w:sz w:val="24"/>
        </w:rPr>
      </w:pPr>
      <w:bookmarkStart w:id="27" w:name="_Toc332808013"/>
      <w:bookmarkStart w:id="28" w:name="_Toc332808321"/>
      <w:r>
        <w:rPr>
          <w:rFonts w:hint="eastAsia" w:ascii="仿宋_GB2312" w:hAnsi="宋体" w:eastAsia="仿宋_GB2312" w:cs="Times New Roman"/>
          <w:b/>
          <w:kern w:val="0"/>
          <w:sz w:val="24"/>
        </w:rPr>
        <w:t>第九条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委托项目工作成果的评价、验收</w:t>
      </w:r>
      <w:bookmarkEnd w:id="27"/>
      <w:bookmarkEnd w:id="28"/>
    </w:p>
    <w:p w14:paraId="12BF69E0">
      <w:pPr>
        <w:spacing w:line="520" w:lineRule="exact"/>
        <w:ind w:left="1318" w:leftChars="456" w:hanging="360" w:hangingChars="15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、乙方向甲方提交完整的委托项目工作成果后，应当在甲方指定的地点接受甲方聘请的专家对其工作成果进行质量评审。</w:t>
      </w:r>
    </w:p>
    <w:p w14:paraId="544D6BA6">
      <w:pPr>
        <w:spacing w:line="520" w:lineRule="exact"/>
        <w:ind w:left="1438" w:leftChars="456" w:hanging="480" w:hangingChars="20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、乙方项目负责人应当对工作情况做出必要说明，并可以对质量评审结论申述意见。</w:t>
      </w:r>
    </w:p>
    <w:p w14:paraId="39279EC4">
      <w:pPr>
        <w:spacing w:line="520" w:lineRule="exact"/>
        <w:ind w:left="1318" w:leftChars="456" w:hanging="360" w:hangingChars="150"/>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如乙方提交的工作成果未通过质量评审的，乙方应当在甲方规定的期限内进行修改并承担修改费用，并重新申请进行评审验收；如乙方未在甲方规定的期限内完成修改工作或者经修改后仍未能通过质量评审的，乙方应当承担违约责任并赔偿由此给甲方造成的全部损失。</w:t>
      </w:r>
    </w:p>
    <w:p w14:paraId="4002886A">
      <w:pPr>
        <w:spacing w:line="520" w:lineRule="exact"/>
        <w:ind w:left="1318" w:leftChars="456" w:hanging="360" w:hangingChars="150"/>
        <w:rPr>
          <w:rFonts w:ascii="仿宋_GB2312" w:hAnsi="宋体" w:eastAsia="仿宋_GB2312" w:cs="Times New Roman"/>
          <w:sz w:val="24"/>
        </w:rPr>
      </w:pPr>
      <w:r>
        <w:rPr>
          <w:rFonts w:ascii="仿宋_GB2312" w:hAnsi="宋体" w:eastAsia="仿宋_GB2312" w:cs="Times New Roman"/>
          <w:sz w:val="24"/>
        </w:rPr>
        <w:t>4</w:t>
      </w:r>
      <w:r>
        <w:rPr>
          <w:rFonts w:hint="eastAsia" w:ascii="仿宋_GB2312" w:hAnsi="宋体" w:eastAsia="仿宋_GB2312" w:cs="Times New Roman"/>
          <w:sz w:val="24"/>
        </w:rPr>
        <w:t>、乙方提交的委托项目工作成果通过质量评审的，经双方授权代表签字确认后，作为委托项目工作成果验收合格的依据。</w:t>
      </w:r>
    </w:p>
    <w:p w14:paraId="3C3821BA">
      <w:pPr>
        <w:spacing w:before="360" w:after="240" w:line="360" w:lineRule="auto"/>
        <w:outlineLvl w:val="1"/>
        <w:rPr>
          <w:rFonts w:ascii="仿宋_GB2312" w:hAnsi="宋体" w:eastAsia="仿宋_GB2312" w:cs="Times New Roman"/>
          <w:b/>
          <w:kern w:val="0"/>
          <w:sz w:val="24"/>
        </w:rPr>
      </w:pPr>
      <w:bookmarkStart w:id="29" w:name="_Toc332808322"/>
      <w:bookmarkStart w:id="30" w:name="_Toc332808014"/>
      <w:r>
        <w:rPr>
          <w:rFonts w:hint="eastAsia" w:ascii="仿宋_GB2312" w:hAnsi="宋体" w:eastAsia="仿宋_GB2312" w:cs="Times New Roman"/>
          <w:b/>
          <w:kern w:val="0"/>
          <w:sz w:val="24"/>
        </w:rPr>
        <w:t>第十条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保密义务</w:t>
      </w:r>
      <w:bookmarkEnd w:id="29"/>
      <w:bookmarkEnd w:id="30"/>
    </w:p>
    <w:p w14:paraId="5072A088">
      <w:pPr>
        <w:spacing w:after="120" w:line="520" w:lineRule="exact"/>
        <w:ind w:left="1339" w:leftChars="466" w:hanging="360" w:hangingChars="15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、乙方对其在履行合同过程中所知悉的甲方项目技术秘密和商业秘密承担保密义务。</w:t>
      </w:r>
    </w:p>
    <w:p w14:paraId="58855194">
      <w:pPr>
        <w:spacing w:after="120" w:line="520" w:lineRule="exact"/>
        <w:ind w:left="1339" w:leftChars="466" w:hanging="360" w:hangingChars="15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eastAsia" w:ascii="仿宋_GB2312" w:hAnsi="等线" w:eastAsia="仿宋_GB2312" w:cs="Times New Roman"/>
          <w:sz w:val="24"/>
          <w:u w:val="single"/>
        </w:rPr>
        <w:t>　</w:t>
      </w:r>
      <w:r>
        <w:rPr>
          <w:rFonts w:hint="eastAsia" w:ascii="仿宋_GB2312" w:hAnsi="等线" w:eastAsia="仿宋_GB2312" w:cs="Times New Roman"/>
          <w:sz w:val="24"/>
          <w:u w:val="single"/>
          <w:lang w:val="en-US" w:eastAsia="zh-CN"/>
        </w:rPr>
        <w:t xml:space="preserve"> </w:t>
      </w:r>
      <w:bookmarkStart w:id="43" w:name="_GoBack"/>
      <w:bookmarkEnd w:id="43"/>
      <w:r>
        <w:rPr>
          <w:rFonts w:ascii="仿宋_GB2312" w:hAnsi="等线" w:eastAsia="仿宋_GB2312" w:cs="Times New Roman"/>
          <w:sz w:val="24"/>
          <w:u w:val="single"/>
        </w:rPr>
        <w:t xml:space="preserve">  </w:t>
      </w:r>
      <w:r>
        <w:rPr>
          <w:rFonts w:hint="eastAsia" w:ascii="仿宋_GB2312" w:hAnsi="宋体" w:eastAsia="仿宋_GB2312" w:cs="Times New Roman"/>
          <w:sz w:val="24"/>
        </w:rPr>
        <w:t>日内将收到的含有保密信息的所有文件或者其他资料归还甲方。</w:t>
      </w:r>
    </w:p>
    <w:p w14:paraId="0D97823F">
      <w:pPr>
        <w:spacing w:after="120" w:line="520" w:lineRule="exact"/>
        <w:ind w:left="1339" w:leftChars="466" w:hanging="360" w:hangingChars="150"/>
        <w:rPr>
          <w:rFonts w:ascii="仿宋_GB2312" w:hAnsi="宋体" w:eastAsia="仿宋_GB2312" w:cs="Times New Roman"/>
          <w:sz w:val="24"/>
        </w:rPr>
      </w:pPr>
      <w:r>
        <w:rPr>
          <w:rFonts w:ascii="仿宋_GB2312" w:hAnsi="宋体" w:eastAsia="仿宋_GB2312" w:cs="Times New Roman"/>
          <w:sz w:val="24"/>
        </w:rPr>
        <w:t>3</w:t>
      </w:r>
      <w:r>
        <w:rPr>
          <w:rFonts w:hint="eastAsia" w:ascii="仿宋_GB2312" w:hAnsi="宋体" w:eastAsia="仿宋_GB2312" w:cs="Times New Roman"/>
          <w:sz w:val="24"/>
        </w:rPr>
        <w:t>、非经甲方特别授权，甲方向乙方提供的任何保密信息并不包括授予乙方该保密信息包含的任何专利权、商标权、著作权、商业秘密或者其它类型的知识产权。</w:t>
      </w:r>
    </w:p>
    <w:p w14:paraId="086C5872">
      <w:pPr>
        <w:spacing w:before="360" w:after="240" w:line="360" w:lineRule="auto"/>
        <w:outlineLvl w:val="1"/>
        <w:rPr>
          <w:rFonts w:ascii="仿宋_GB2312" w:hAnsi="宋体" w:eastAsia="仿宋_GB2312" w:cs="Times New Roman"/>
          <w:b/>
          <w:kern w:val="0"/>
          <w:sz w:val="24"/>
        </w:rPr>
      </w:pPr>
      <w:bookmarkStart w:id="31" w:name="_Toc332808015"/>
      <w:bookmarkStart w:id="32" w:name="_Toc332808323"/>
      <w:r>
        <w:rPr>
          <w:rFonts w:hint="eastAsia" w:ascii="仿宋_GB2312" w:hAnsi="宋体" w:eastAsia="仿宋_GB2312" w:cs="Times New Roman"/>
          <w:b/>
          <w:kern w:val="0"/>
          <w:sz w:val="24"/>
        </w:rPr>
        <w:t>第十一条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知识产权</w:t>
      </w:r>
      <w:bookmarkEnd w:id="31"/>
      <w:bookmarkEnd w:id="32"/>
    </w:p>
    <w:p w14:paraId="3F89D1AD">
      <w:pPr>
        <w:spacing w:after="120" w:line="520" w:lineRule="exact"/>
        <w:ind w:left="1339" w:leftChars="466" w:hanging="360" w:hangingChars="150"/>
        <w:rPr>
          <w:rFonts w:ascii="仿宋_GB2312" w:hAnsi="宋体" w:eastAsia="仿宋_GB2312" w:cs="Times New Roman"/>
          <w:sz w:val="24"/>
        </w:rPr>
      </w:pPr>
      <w:r>
        <w:rPr>
          <w:rFonts w:ascii="仿宋_GB2312" w:hAnsi="宋体" w:eastAsia="仿宋_GB2312" w:cs="Times New Roman"/>
          <w:sz w:val="24"/>
        </w:rPr>
        <w:t>1</w:t>
      </w:r>
      <w:r>
        <w:rPr>
          <w:rFonts w:hint="eastAsia" w:ascii="仿宋_GB2312" w:hAnsi="宋体" w:eastAsia="仿宋_GB2312" w:cs="Times New Roman"/>
          <w:sz w:val="24"/>
        </w:rPr>
        <w:t>、在本合同有效期内，乙方利用甲方提供的技术资料和工作条件所完成的新的技术成果，归</w:t>
      </w:r>
      <w:r>
        <w:rPr>
          <w:rFonts w:hint="eastAsia" w:ascii="仿宋_GB2312" w:hAnsi="等线" w:eastAsia="仿宋_GB2312" w:cs="Times New Roman"/>
          <w:sz w:val="24"/>
          <w:u w:val="single"/>
        </w:rPr>
        <w:t>　甲乙双方共同</w:t>
      </w:r>
      <w:r>
        <w:rPr>
          <w:rFonts w:ascii="仿宋_GB2312" w:hAnsi="等线" w:eastAsia="仿宋_GB2312" w:cs="Times New Roman"/>
          <w:sz w:val="24"/>
          <w:u w:val="single"/>
        </w:rPr>
        <w:t xml:space="preserve">  </w:t>
      </w:r>
      <w:r>
        <w:rPr>
          <w:rFonts w:hint="eastAsia" w:ascii="仿宋_GB2312" w:hAnsi="宋体" w:eastAsia="仿宋_GB2312" w:cs="Times New Roman"/>
          <w:sz w:val="24"/>
        </w:rPr>
        <w:t>所有；合同有效期内，甲方利用乙方提交的技术咨询工作成果所完成的新的技术成果，归甲方所有。</w:t>
      </w:r>
    </w:p>
    <w:p w14:paraId="253D9F88">
      <w:pPr>
        <w:spacing w:after="120" w:line="520" w:lineRule="exact"/>
        <w:ind w:left="1339" w:leftChars="466" w:hanging="360" w:hangingChars="150"/>
        <w:rPr>
          <w:rFonts w:ascii="仿宋_GB2312" w:hAnsi="宋体" w:eastAsia="仿宋_GB2312" w:cs="Times New Roman"/>
          <w:sz w:val="24"/>
        </w:rPr>
      </w:pPr>
      <w:r>
        <w:rPr>
          <w:rFonts w:ascii="仿宋_GB2312" w:hAnsi="宋体" w:eastAsia="仿宋_GB2312" w:cs="Times New Roman"/>
          <w:sz w:val="24"/>
        </w:rPr>
        <w:t>2</w:t>
      </w:r>
      <w:r>
        <w:rPr>
          <w:rFonts w:hint="eastAsia" w:ascii="仿宋_GB2312" w:hAnsi="宋体" w:eastAsia="仿宋_GB2312" w:cs="Times New Roman"/>
          <w:sz w:val="24"/>
        </w:rPr>
        <w:t>、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法院或者仲裁机构最终裁定的侵权赔偿费用及甲方承担其他侵权责任所造成的经济损失等。</w:t>
      </w:r>
      <w:bookmarkStart w:id="33" w:name="_Hlt99159731"/>
      <w:bookmarkEnd w:id="33"/>
    </w:p>
    <w:p w14:paraId="481DFB66">
      <w:pPr>
        <w:spacing w:before="360" w:after="240" w:line="360" w:lineRule="auto"/>
        <w:outlineLvl w:val="1"/>
        <w:rPr>
          <w:rFonts w:ascii="仿宋_GB2312" w:hAnsi="宋体" w:eastAsia="仿宋_GB2312" w:cs="Times New Roman"/>
          <w:b/>
          <w:kern w:val="0"/>
          <w:sz w:val="24"/>
        </w:rPr>
      </w:pPr>
      <w:bookmarkStart w:id="34" w:name="_Toc332808324"/>
      <w:bookmarkStart w:id="35" w:name="_Toc332808016"/>
      <w:r>
        <w:rPr>
          <w:rFonts w:hint="eastAsia" w:ascii="仿宋_GB2312" w:hAnsi="宋体" w:eastAsia="仿宋_GB2312" w:cs="Times New Roman"/>
          <w:b/>
          <w:kern w:val="0"/>
          <w:sz w:val="24"/>
        </w:rPr>
        <w:t>第十二条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违约责任</w:t>
      </w:r>
      <w:bookmarkEnd w:id="34"/>
      <w:bookmarkEnd w:id="35"/>
    </w:p>
    <w:p w14:paraId="41424D79">
      <w:pPr>
        <w:adjustRightInd w:val="0"/>
        <w:snapToGrid w:val="0"/>
        <w:spacing w:line="520" w:lineRule="exact"/>
        <w:ind w:left="619" w:leftChars="295" w:firstLine="480" w:firstLineChars="200"/>
        <w:rPr>
          <w:rFonts w:ascii="仿宋_GB2312" w:hAnsi="宋体" w:eastAsia="仿宋_GB2312" w:cs="Times New Roman"/>
          <w:sz w:val="24"/>
        </w:rPr>
      </w:pPr>
      <w:bookmarkStart w:id="36" w:name="_Toc332808325"/>
      <w:bookmarkStart w:id="37" w:name="_Toc332808017"/>
      <w:r>
        <w:rPr>
          <w:rFonts w:hint="eastAsia" w:ascii="仿宋_GB2312" w:hAnsi="宋体" w:eastAsia="仿宋_GB2312" w:cs="Times New Roman"/>
          <w:sz w:val="24"/>
        </w:rPr>
        <w:t>除不可抗拒条件，如果中标人没有按照合同规定的时间交货提供服务，采购人可以要求中标人支付违约金。违约金按每周迟交货物或未提供服务交货价的0.5%计收。但违约金的最高限额为迟交货物或没有提供服务的合同价的5%。一周按7天计算，不足7天按一周计算。如果达到最高限额，采购人有权解除合同。</w:t>
      </w:r>
    </w:p>
    <w:p w14:paraId="27A2F77F">
      <w:pPr>
        <w:spacing w:before="360" w:after="240" w:line="360" w:lineRule="auto"/>
        <w:outlineLvl w:val="1"/>
        <w:rPr>
          <w:rFonts w:ascii="仿宋_GB2312" w:hAnsi="宋体" w:eastAsia="仿宋_GB2312" w:cs="Times New Roman"/>
          <w:b/>
          <w:kern w:val="0"/>
          <w:sz w:val="24"/>
        </w:rPr>
      </w:pPr>
      <w:r>
        <w:rPr>
          <w:rFonts w:hint="eastAsia" w:ascii="仿宋_GB2312" w:hAnsi="宋体" w:eastAsia="仿宋_GB2312" w:cs="Times New Roman"/>
          <w:b/>
          <w:kern w:val="0"/>
          <w:sz w:val="24"/>
        </w:rPr>
        <w:t>第十三条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争议的解决</w:t>
      </w:r>
      <w:bookmarkEnd w:id="36"/>
      <w:bookmarkEnd w:id="37"/>
    </w:p>
    <w:p w14:paraId="31FD8320">
      <w:pPr>
        <w:adjustRightInd w:val="0"/>
        <w:snapToGrid w:val="0"/>
        <w:spacing w:line="520" w:lineRule="exact"/>
        <w:ind w:left="619" w:leftChars="295" w:firstLine="480" w:firstLineChars="200"/>
        <w:rPr>
          <w:rFonts w:ascii="仿宋_GB2312" w:hAnsi="宋体" w:eastAsia="仿宋_GB2312" w:cs="Times New Roman"/>
          <w:sz w:val="24"/>
        </w:rPr>
      </w:pPr>
      <w:bookmarkStart w:id="38" w:name="_Toc99437670"/>
      <w:r>
        <w:rPr>
          <w:rFonts w:ascii="仿宋_GB2312" w:hAnsi="宋体" w:eastAsia="仿宋_GB2312" w:cs="Times New Roman"/>
          <w:sz w:val="24"/>
        </w:rPr>
        <w:t xml:space="preserve"> </w:t>
      </w:r>
      <w:r>
        <w:rPr>
          <w:rFonts w:hint="eastAsia" w:ascii="仿宋_GB2312" w:hAnsi="宋体" w:eastAsia="仿宋_GB2312" w:cs="Times New Roman"/>
          <w:sz w:val="24"/>
        </w:rPr>
        <w:t>因履行合同所发生的一切争议，双方应当友好协商解决，协商不成的，</w:t>
      </w:r>
    </w:p>
    <w:p w14:paraId="659C411C">
      <w:pPr>
        <w:adjustRightInd w:val="0"/>
        <w:snapToGrid w:val="0"/>
        <w:spacing w:line="520" w:lineRule="exact"/>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按下列第</w:t>
      </w:r>
      <w:r>
        <w:rPr>
          <w:rFonts w:hint="eastAsia" w:ascii="仿宋_GB2312" w:hAnsi="等线" w:eastAsia="仿宋_GB2312" w:cs="Times New Roman"/>
          <w:sz w:val="24"/>
          <w:u w:val="single"/>
        </w:rPr>
        <w:t>　2</w:t>
      </w:r>
      <w:r>
        <w:rPr>
          <w:rFonts w:ascii="仿宋_GB2312" w:hAnsi="等线" w:eastAsia="仿宋_GB2312" w:cs="Times New Roman"/>
          <w:sz w:val="24"/>
          <w:u w:val="single"/>
        </w:rPr>
        <w:t xml:space="preserve">  </w:t>
      </w:r>
      <w:r>
        <w:rPr>
          <w:rFonts w:hint="eastAsia" w:ascii="仿宋_GB2312" w:hAnsi="宋体" w:eastAsia="仿宋_GB2312" w:cs="Times New Roman"/>
          <w:sz w:val="24"/>
        </w:rPr>
        <w:t>种方式解决：</w:t>
      </w:r>
    </w:p>
    <w:p w14:paraId="367AAAE3">
      <w:pPr>
        <w:spacing w:line="520" w:lineRule="exact"/>
        <w:ind w:left="23" w:leftChars="11" w:firstLine="1080" w:firstLineChars="450"/>
        <w:rPr>
          <w:rFonts w:ascii="仿宋_GB2312" w:hAnsi="宋体" w:eastAsia="仿宋_GB2312" w:cs="Times New Roman"/>
          <w:sz w:val="24"/>
        </w:rPr>
      </w:pPr>
      <w:r>
        <w:rPr>
          <w:rFonts w:ascii="仿宋_GB2312" w:hAnsi="宋体" w:eastAsia="仿宋_GB2312" w:cs="Times New Roman"/>
          <w:sz w:val="24"/>
        </w:rPr>
        <w:t xml:space="preserve"> 1</w:t>
      </w:r>
      <w:r>
        <w:rPr>
          <w:rFonts w:hint="eastAsia" w:ascii="仿宋_GB2312" w:hAnsi="宋体" w:eastAsia="仿宋_GB2312" w:cs="Times New Roman"/>
          <w:sz w:val="24"/>
        </w:rPr>
        <w:t>、提交</w:t>
      </w:r>
      <w:r>
        <w:rPr>
          <w:rFonts w:hint="eastAsia" w:ascii="仿宋_GB2312" w:hAnsi="等线" w:eastAsia="仿宋_GB2312" w:cs="Times New Roman"/>
          <w:sz w:val="24"/>
          <w:u w:val="single"/>
        </w:rPr>
        <w:t>　</w:t>
      </w:r>
      <w:r>
        <w:rPr>
          <w:rFonts w:ascii="仿宋_GB2312" w:hAnsi="等线" w:eastAsia="仿宋_GB2312" w:cs="Times New Roman"/>
          <w:sz w:val="24"/>
          <w:u w:val="single"/>
        </w:rPr>
        <w:t xml:space="preserve">  </w:t>
      </w:r>
      <w:r>
        <w:rPr>
          <w:rFonts w:hint="eastAsia" w:ascii="仿宋_GB2312" w:hAnsi="宋体" w:eastAsia="仿宋_GB2312" w:cs="Times New Roman"/>
          <w:sz w:val="24"/>
        </w:rPr>
        <w:t>仲裁委员会仲裁，仲裁裁决为终局裁决；</w:t>
      </w:r>
    </w:p>
    <w:p w14:paraId="1AFA8688">
      <w:pPr>
        <w:spacing w:line="520" w:lineRule="exact"/>
        <w:ind w:left="23" w:leftChars="11" w:firstLine="1080" w:firstLineChars="450"/>
        <w:rPr>
          <w:rFonts w:ascii="仿宋_GB2312" w:hAnsi="宋体" w:eastAsia="仿宋_GB2312" w:cs="Times New Roman"/>
          <w:sz w:val="24"/>
        </w:rPr>
      </w:pPr>
      <w:r>
        <w:rPr>
          <w:rFonts w:ascii="仿宋_GB2312" w:hAnsi="宋体" w:eastAsia="仿宋_GB2312" w:cs="Times New Roman"/>
          <w:sz w:val="24"/>
        </w:rPr>
        <w:t xml:space="preserve"> 2</w:t>
      </w:r>
      <w:r>
        <w:rPr>
          <w:rFonts w:hint="eastAsia" w:ascii="仿宋_GB2312" w:hAnsi="宋体" w:eastAsia="仿宋_GB2312" w:cs="Times New Roman"/>
          <w:sz w:val="24"/>
        </w:rPr>
        <w:t>、依法向</w:t>
      </w:r>
      <w:r>
        <w:rPr>
          <w:rFonts w:hint="eastAsia" w:ascii="仿宋_GB2312" w:hAnsi="等线" w:eastAsia="仿宋_GB2312" w:cs="Times New Roman"/>
          <w:sz w:val="24"/>
          <w:u w:val="single"/>
        </w:rPr>
        <w:t>甲方所在地</w:t>
      </w:r>
      <w:r>
        <w:rPr>
          <w:rFonts w:hint="eastAsia" w:ascii="仿宋_GB2312" w:hAnsi="宋体" w:eastAsia="仿宋_GB2312" w:cs="Times New Roman"/>
          <w:sz w:val="24"/>
        </w:rPr>
        <w:t>人民法院起诉。</w:t>
      </w:r>
      <w:bookmarkEnd w:id="38"/>
    </w:p>
    <w:p w14:paraId="1807CE80">
      <w:pPr>
        <w:spacing w:before="360" w:after="240" w:line="360" w:lineRule="auto"/>
        <w:outlineLvl w:val="1"/>
        <w:rPr>
          <w:rFonts w:ascii="仿宋_GB2312" w:hAnsi="宋体" w:eastAsia="仿宋_GB2312" w:cs="Times New Roman"/>
          <w:b/>
          <w:kern w:val="0"/>
          <w:sz w:val="24"/>
        </w:rPr>
      </w:pPr>
      <w:bookmarkStart w:id="39" w:name="_Toc332808018"/>
      <w:bookmarkStart w:id="40" w:name="_Toc332808326"/>
      <w:r>
        <w:rPr>
          <w:rFonts w:hint="eastAsia" w:ascii="仿宋_GB2312" w:hAnsi="宋体" w:eastAsia="仿宋_GB2312" w:cs="Times New Roman"/>
          <w:b/>
          <w:kern w:val="0"/>
          <w:sz w:val="24"/>
        </w:rPr>
        <w:t>第十四条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廉政承诺</w:t>
      </w:r>
      <w:bookmarkEnd w:id="39"/>
      <w:bookmarkEnd w:id="40"/>
    </w:p>
    <w:p w14:paraId="7E89B5B9">
      <w:pPr>
        <w:spacing w:line="520" w:lineRule="exact"/>
        <w:ind w:left="23"/>
        <w:rPr>
          <w:rFonts w:ascii="仿宋_GB2312" w:hAnsi="Arial" w:eastAsia="仿宋_GB2312" w:cs="Arial"/>
          <w:kern w:val="0"/>
          <w:sz w:val="24"/>
        </w:rPr>
      </w:pPr>
      <w:r>
        <w:rPr>
          <w:rFonts w:ascii="仿宋_GB2312" w:hAnsi="Arial" w:eastAsia="仿宋_GB2312" w:cs="Arial"/>
          <w:kern w:val="0"/>
          <w:sz w:val="24"/>
        </w:rPr>
        <w:t xml:space="preserve">         </w:t>
      </w:r>
      <w:r>
        <w:rPr>
          <w:rFonts w:hint="eastAsia" w:ascii="仿宋_GB2312" w:hAnsi="宋体" w:eastAsia="仿宋_GB2312" w:cs="Times New Roman"/>
          <w:sz w:val="24"/>
        </w:rPr>
        <w:t>合同双方承诺共同加强廉洁自律、反对商业贿赂。</w:t>
      </w:r>
      <w:r>
        <w:rPr>
          <w:rFonts w:ascii="仿宋_GB2312" w:hAnsi="宋体" w:eastAsia="仿宋_GB2312" w:cs="Times New Roman"/>
          <w:sz w:val="24"/>
        </w:rPr>
        <w:t xml:space="preserve">  </w:t>
      </w:r>
      <w:r>
        <w:rPr>
          <w:rFonts w:ascii="仿宋_GB2312" w:hAnsi="Arial" w:eastAsia="仿宋_GB2312" w:cs="Arial"/>
          <w:kern w:val="0"/>
          <w:sz w:val="24"/>
        </w:rPr>
        <w:t xml:space="preserve"> </w:t>
      </w:r>
    </w:p>
    <w:p w14:paraId="040D8760">
      <w:pPr>
        <w:spacing w:before="360" w:after="240" w:line="360" w:lineRule="auto"/>
        <w:outlineLvl w:val="1"/>
        <w:rPr>
          <w:rFonts w:ascii="仿宋_GB2312" w:hAnsi="宋体" w:eastAsia="仿宋_GB2312" w:cs="Times New Roman"/>
          <w:sz w:val="24"/>
        </w:rPr>
      </w:pPr>
      <w:bookmarkStart w:id="41" w:name="_Toc332808327"/>
      <w:bookmarkStart w:id="42" w:name="_Toc332808019"/>
      <w:r>
        <w:rPr>
          <w:rFonts w:hint="eastAsia" w:ascii="仿宋_GB2312" w:hAnsi="宋体" w:eastAsia="仿宋_GB2312" w:cs="Times New Roman"/>
          <w:b/>
          <w:kern w:val="0"/>
          <w:sz w:val="24"/>
        </w:rPr>
        <w:t>第十五条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其他</w:t>
      </w:r>
      <w:bookmarkEnd w:id="41"/>
      <w:bookmarkEnd w:id="42"/>
    </w:p>
    <w:p w14:paraId="160F2972">
      <w:pPr>
        <w:adjustRightInd w:val="0"/>
        <w:snapToGrid w:val="0"/>
        <w:spacing w:line="520" w:lineRule="exact"/>
        <w:ind w:left="1078" w:leftChars="285" w:hanging="480" w:hangingChars="200"/>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1、未尽事宜，经双方协商一致，签订补充协议，补充协议与本合同</w:t>
      </w:r>
    </w:p>
    <w:p w14:paraId="5EB5BD66">
      <w:pPr>
        <w:adjustRightInd w:val="0"/>
        <w:snapToGrid w:val="0"/>
        <w:spacing w:line="520" w:lineRule="exact"/>
        <w:ind w:left="1078" w:leftChars="285" w:hanging="480" w:hangingChars="200"/>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具有同等法律效力。</w:t>
      </w:r>
    </w:p>
    <w:p w14:paraId="7D2FDABA">
      <w:pPr>
        <w:adjustRightInd w:val="0"/>
        <w:snapToGrid w:val="0"/>
        <w:spacing w:line="520" w:lineRule="exact"/>
        <w:ind w:left="1078" w:leftChars="342" w:hanging="360" w:hangingChars="150"/>
        <w:rPr>
          <w:rFonts w:ascii="仿宋_GB2312" w:hAnsi="宋体" w:eastAsia="仿宋_GB2312" w:cs="Times New Roman"/>
          <w:sz w:val="24"/>
        </w:rPr>
      </w:pPr>
      <w:r>
        <w:rPr>
          <w:rFonts w:ascii="仿宋_GB2312" w:hAnsi="宋体" w:eastAsia="仿宋_GB2312" w:cs="Times New Roman"/>
          <w:sz w:val="24"/>
        </w:rPr>
        <w:t xml:space="preserve">    </w:t>
      </w:r>
      <w:r>
        <w:rPr>
          <w:rFonts w:hint="eastAsia" w:ascii="仿宋_GB2312" w:hAnsi="宋体" w:eastAsia="仿宋_GB2312" w:cs="Times New Roman"/>
          <w:sz w:val="24"/>
        </w:rPr>
        <w:t>2、本合同一式</w:t>
      </w:r>
      <w:r>
        <w:rPr>
          <w:rFonts w:hint="eastAsia" w:ascii="仿宋_GB2312" w:hAnsi="等线" w:eastAsia="仿宋_GB2312" w:cs="Times New Roman"/>
          <w:sz w:val="24"/>
          <w:u w:val="single"/>
        </w:rPr>
        <w:t>　</w:t>
      </w:r>
      <w:r>
        <w:rPr>
          <w:rFonts w:hint="eastAsia" w:ascii="宋体" w:hAnsi="宋体" w:cs="宋体"/>
          <w:sz w:val="24"/>
          <w:u w:val="single"/>
        </w:rPr>
        <w:t>肆</w:t>
      </w:r>
      <w:r>
        <w:rPr>
          <w:rFonts w:ascii="仿宋_GB2312" w:hAnsi="等线" w:eastAsia="仿宋_GB2312" w:cs="Times New Roman"/>
          <w:sz w:val="24"/>
          <w:u w:val="single"/>
        </w:rPr>
        <w:t xml:space="preserve">  </w:t>
      </w:r>
      <w:r>
        <w:rPr>
          <w:rFonts w:hint="eastAsia" w:ascii="仿宋_GB2312" w:hAnsi="宋体" w:eastAsia="仿宋_GB2312" w:cs="Times New Roman"/>
          <w:sz w:val="24"/>
        </w:rPr>
        <w:t>份，甲、乙双方各执</w:t>
      </w:r>
      <w:r>
        <w:rPr>
          <w:rFonts w:hint="eastAsia" w:ascii="仿宋_GB2312" w:hAnsi="等线" w:eastAsia="仿宋_GB2312" w:cs="Times New Roman"/>
          <w:sz w:val="24"/>
          <w:u w:val="single"/>
        </w:rPr>
        <w:t>　贰</w:t>
      </w:r>
      <w:r>
        <w:rPr>
          <w:rFonts w:ascii="仿宋_GB2312" w:hAnsi="等线" w:eastAsia="仿宋_GB2312" w:cs="Times New Roman"/>
          <w:sz w:val="24"/>
          <w:u w:val="single"/>
        </w:rPr>
        <w:t xml:space="preserve">  </w:t>
      </w:r>
      <w:r>
        <w:rPr>
          <w:rFonts w:hint="eastAsia" w:ascii="仿宋_GB2312" w:hAnsi="宋体" w:eastAsia="仿宋_GB2312" w:cs="Times New Roman"/>
          <w:sz w:val="24"/>
        </w:rPr>
        <w:t>份，具有同等法律效力。</w:t>
      </w:r>
    </w:p>
    <w:p w14:paraId="2FE70842">
      <w:pPr>
        <w:rPr>
          <w:rFonts w:ascii="仿宋_GB2312" w:hAnsi="宋体" w:eastAsia="仿宋_GB2312" w:cs="Times New Roman"/>
          <w:sz w:val="24"/>
        </w:rPr>
      </w:pPr>
      <w:r>
        <w:rPr>
          <w:rFonts w:hint="eastAsia" w:ascii="仿宋_GB2312" w:hAnsi="宋体" w:eastAsia="仿宋_GB2312" w:cs="Times New Roman"/>
          <w:sz w:val="24"/>
        </w:rPr>
        <w:br w:type="page"/>
      </w:r>
    </w:p>
    <w:p w14:paraId="4D349B07">
      <w:pPr>
        <w:spacing w:before="360" w:after="240" w:line="360" w:lineRule="auto"/>
        <w:jc w:val="center"/>
        <w:outlineLvl w:val="0"/>
        <w:rPr>
          <w:rFonts w:ascii="仿宋_GB2312" w:hAnsi="宋体" w:eastAsia="仿宋_GB2312" w:cs="Times New Roman"/>
          <w:b/>
          <w:sz w:val="24"/>
          <w:szCs w:val="22"/>
        </w:rPr>
      </w:pPr>
      <w:r>
        <w:rPr>
          <w:rFonts w:hint="eastAsia" w:ascii="仿宋_GB2312" w:hAnsi="等线" w:eastAsia="仿宋_GB2312" w:cs="Times New Roman"/>
          <w:b/>
          <w:sz w:val="28"/>
          <w:szCs w:val="28"/>
        </w:rPr>
        <w:t>合同特殊条款</w:t>
      </w:r>
    </w:p>
    <w:p w14:paraId="762C2738">
      <w:pPr>
        <w:spacing w:before="360" w:after="240" w:line="360" w:lineRule="auto"/>
        <w:outlineLvl w:val="1"/>
        <w:rPr>
          <w:rFonts w:ascii="仿宋_GB2312" w:hAnsi="宋体" w:eastAsia="仿宋_GB2312" w:cs="Times New Roman"/>
          <w:b/>
          <w:kern w:val="0"/>
          <w:sz w:val="24"/>
        </w:rPr>
      </w:pPr>
      <w:r>
        <w:rPr>
          <w:rFonts w:hint="eastAsia" w:ascii="仿宋_GB2312" w:hAnsi="宋体" w:eastAsia="仿宋_GB2312" w:cs="Times New Roman"/>
          <w:b/>
          <w:kern w:val="0"/>
          <w:sz w:val="24"/>
        </w:rPr>
        <w:t>第一条</w:t>
      </w:r>
      <w:r>
        <w:rPr>
          <w:rFonts w:ascii="仿宋_GB2312" w:hAnsi="宋体" w:eastAsia="仿宋_GB2312" w:cs="Times New Roman"/>
          <w:b/>
          <w:kern w:val="0"/>
          <w:sz w:val="24"/>
        </w:rPr>
        <w:t xml:space="preserve"> </w:t>
      </w:r>
      <w:r>
        <w:rPr>
          <w:rFonts w:hint="eastAsia" w:ascii="仿宋_GB2312" w:hAnsi="宋体" w:eastAsia="仿宋_GB2312" w:cs="Times New Roman"/>
          <w:b/>
          <w:kern w:val="0"/>
          <w:sz w:val="24"/>
        </w:rPr>
        <w:t>项目实施服务</w:t>
      </w:r>
    </w:p>
    <w:p w14:paraId="16E97AB8">
      <w:pPr>
        <w:adjustRightInd w:val="0"/>
        <w:snapToGrid w:val="0"/>
        <w:spacing w:line="520" w:lineRule="exact"/>
        <w:ind w:left="619" w:leftChars="295" w:firstLine="480" w:firstLineChars="200"/>
        <w:rPr>
          <w:rFonts w:ascii="仿宋_GB2312" w:hAnsi="宋体" w:eastAsia="仿宋_GB2312" w:cs="Times New Roman"/>
          <w:sz w:val="24"/>
        </w:rPr>
      </w:pPr>
      <w:r>
        <w:rPr>
          <w:rFonts w:hint="eastAsia" w:ascii="仿宋_GB2312" w:hAnsi="宋体" w:eastAsia="仿宋_GB2312" w:cs="Times New Roman"/>
          <w:sz w:val="24"/>
        </w:rPr>
        <w:t>在项目实施过程中，乙方根据甲方需求在系统现有模块内进行定制调整的，包含在本服务合同内。</w:t>
      </w:r>
    </w:p>
    <w:p w14:paraId="1615A390">
      <w:pPr>
        <w:widowControl/>
        <w:jc w:val="left"/>
        <w:rPr>
          <w:rFonts w:ascii="仿宋_GB2312" w:hAnsi="等线" w:eastAsia="仿宋_GB2312" w:cs="Times New Roman"/>
          <w:sz w:val="24"/>
          <w:szCs w:val="22"/>
        </w:rPr>
      </w:pPr>
    </w:p>
    <w:p w14:paraId="1DBCD925">
      <w:pPr>
        <w:widowControl/>
        <w:jc w:val="left"/>
        <w:rPr>
          <w:rFonts w:ascii="仿宋_GB2312" w:hAnsi="等线" w:eastAsia="仿宋_GB2312" w:cs="Times New Roman"/>
          <w:sz w:val="24"/>
          <w:szCs w:val="22"/>
        </w:rPr>
      </w:pPr>
    </w:p>
    <w:bookmarkEnd w:id="3"/>
    <w:bookmarkEnd w:id="4"/>
    <w:p w14:paraId="43A9245A"/>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593852"/>
      <w:docPartObj>
        <w:docPartGallery w:val="AutoText"/>
      </w:docPartObj>
    </w:sdtPr>
    <w:sdtContent>
      <w:p w14:paraId="573098EF">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7C85BDF6">
    <w:pPr>
      <w:pStyle w:val="6"/>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EFB61"/>
    <w:multiLevelType w:val="multilevel"/>
    <w:tmpl w:val="AB3EFB61"/>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680D73"/>
    <w:rsid w:val="000450EA"/>
    <w:rsid w:val="002C2DAC"/>
    <w:rsid w:val="003637C1"/>
    <w:rsid w:val="00D63E5E"/>
    <w:rsid w:val="29680D73"/>
    <w:rsid w:val="2D961A5A"/>
    <w:rsid w:val="40703642"/>
    <w:rsid w:val="498F78EC"/>
    <w:rsid w:val="4C9743B6"/>
    <w:rsid w:val="6FE1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numPr>
        <w:ilvl w:val="1"/>
        <w:numId w:val="1"/>
      </w:numPr>
      <w:tabs>
        <w:tab w:val="left" w:pos="420"/>
      </w:tabs>
      <w:kinsoku w:val="0"/>
      <w:autoSpaceDE w:val="0"/>
      <w:autoSpaceDN w:val="0"/>
      <w:adjustRightInd w:val="0"/>
      <w:snapToGrid w:val="0"/>
      <w:spacing w:before="260" w:after="260" w:line="416" w:lineRule="auto"/>
      <w:jc w:val="left"/>
      <w:textAlignment w:val="baseline"/>
      <w:outlineLvl w:val="1"/>
    </w:pPr>
    <w:rPr>
      <w:rFonts w:ascii="Arial" w:hAnsi="Arial" w:eastAsia="黑体" w:cs="Arial"/>
      <w:b/>
      <w:bCs/>
      <w:snapToGrid w:val="0"/>
      <w:color w:val="000000"/>
      <w:kern w:val="0"/>
      <w:sz w:val="32"/>
      <w:szCs w:val="32"/>
      <w:lang w:eastAsia="en-US"/>
    </w:rPr>
  </w:style>
  <w:style w:type="paragraph" w:styleId="3">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itle"/>
    <w:basedOn w:val="1"/>
    <w:qFormat/>
    <w:uiPriority w:val="0"/>
    <w:pPr>
      <w:jc w:val="center"/>
      <w:outlineLvl w:val="0"/>
    </w:pPr>
    <w:rPr>
      <w:b/>
      <w:sz w:val="32"/>
      <w:szCs w:val="20"/>
    </w:rPr>
  </w:style>
  <w:style w:type="paragraph" w:styleId="9">
    <w:name w:val="annotation subject"/>
    <w:basedOn w:val="4"/>
    <w:next w:val="4"/>
    <w:link w:val="20"/>
    <w:qFormat/>
    <w:uiPriority w:val="0"/>
    <w:rPr>
      <w:b/>
      <w:bCs/>
    </w:rPr>
  </w:style>
  <w:style w:type="table" w:styleId="11">
    <w:name w:val="Table Grid"/>
    <w:basedOn w:val="1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b/>
      <w:bCs/>
      <w:color w:val="000000"/>
      <w:sz w:val="24"/>
      <w:szCs w:val="24"/>
      <w:u w:val="none"/>
    </w:rPr>
  </w:style>
  <w:style w:type="character" w:customStyle="1" w:styleId="15">
    <w:name w:val="font41"/>
    <w:basedOn w:val="12"/>
    <w:qFormat/>
    <w:uiPriority w:val="0"/>
    <w:rPr>
      <w:rFonts w:hint="default" w:ascii="Times New Roman" w:hAnsi="Times New Roman" w:cs="Times New Roman"/>
      <w:b/>
      <w:bCs/>
      <w:color w:val="000000"/>
      <w:sz w:val="24"/>
      <w:szCs w:val="24"/>
      <w:u w:val="none"/>
    </w:rPr>
  </w:style>
  <w:style w:type="paragraph" w:customStyle="1" w:styleId="16">
    <w:name w:val="列表段落1"/>
    <w:basedOn w:val="1"/>
    <w:qFormat/>
    <w:uiPriority w:val="34"/>
    <w:pPr>
      <w:ind w:firstLine="420" w:firstLineChars="200"/>
    </w:pPr>
    <w:rPr>
      <w:rFonts w:ascii="Calibri" w:hAnsi="Calibri"/>
      <w:szCs w:val="22"/>
    </w:rPr>
  </w:style>
  <w:style w:type="paragraph" w:customStyle="1" w:styleId="17">
    <w:name w:val="01.方案正文"/>
    <w:basedOn w:val="1"/>
    <w:qFormat/>
    <w:uiPriority w:val="0"/>
    <w:pPr>
      <w:spacing w:before="120" w:beforeLines="50" w:line="360" w:lineRule="auto"/>
      <w:ind w:firstLine="480" w:firstLineChars="200"/>
      <w:jc w:val="left"/>
    </w:pPr>
    <w:rPr>
      <w:rFonts w:ascii="仿宋" w:hAnsi="仿宋"/>
      <w:sz w:val="24"/>
    </w:rPr>
  </w:style>
  <w:style w:type="paragraph" w:customStyle="1" w:styleId="18">
    <w:name w:val="ZB-表格正文"/>
    <w:basedOn w:val="1"/>
    <w:qFormat/>
    <w:uiPriority w:val="0"/>
    <w:pPr>
      <w:jc w:val="left"/>
    </w:pPr>
    <w:rPr>
      <w:rFonts w:ascii="宋体" w:hAnsi="宋体" w:cs="宋体"/>
      <w:kern w:val="0"/>
      <w:szCs w:val="20"/>
    </w:rPr>
  </w:style>
  <w:style w:type="character" w:customStyle="1" w:styleId="19">
    <w:name w:val="批注文字 字符"/>
    <w:basedOn w:val="12"/>
    <w:link w:val="4"/>
    <w:qFormat/>
    <w:uiPriority w:val="0"/>
    <w:rPr>
      <w:kern w:val="2"/>
      <w:sz w:val="21"/>
      <w:szCs w:val="24"/>
    </w:rPr>
  </w:style>
  <w:style w:type="character" w:customStyle="1" w:styleId="20">
    <w:name w:val="批注主题 字符"/>
    <w:basedOn w:val="19"/>
    <w:link w:val="9"/>
    <w:qFormat/>
    <w:uiPriority w:val="0"/>
    <w:rPr>
      <w:b/>
      <w:bCs/>
      <w:kern w:val="2"/>
      <w:sz w:val="21"/>
      <w:szCs w:val="24"/>
    </w:rPr>
  </w:style>
  <w:style w:type="character" w:customStyle="1" w:styleId="21">
    <w:name w:val="页脚 字符"/>
    <w:basedOn w:val="12"/>
    <w:link w:val="6"/>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4115</Words>
  <Characters>4559</Characters>
  <Lines>39</Lines>
  <Paragraphs>11</Paragraphs>
  <TotalTime>2</TotalTime>
  <ScaleCrop>false</ScaleCrop>
  <LinksUpToDate>false</LinksUpToDate>
  <CharactersWithSpaces>5223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2025-06-26T03:24:00Z</dcterms:created>
  <dc:creator>黄琳</dc:creator>
  <cp:lastModifiedBy>Desperado</cp:lastModifiedBy>
  <dcterms:modified xsi:type="dcterms:W3CDTF">2025-06-30T03:47:08Z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0ACC66AD803648ACB2B63772365CEAE5_13</vt:lpwstr>
  </property>
  <property fmtid="{D5CDD505-2E9C-101B-9397-08002B2CF9AE}" pid="4" name="KSOTemplateDocerSaveRecord">
    <vt:lpwstr>eyJoZGlkIjoiZDE4OTk5ZDlhMzUyYmRkY2IwZWNjYmIyMGQ4YjIwMmUiLCJ1c2VySWQiOiIyNzA1NTg4NTgifQ==</vt:lpwstr>
  </property>
</Properties>
</file>