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71"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58"/>
        <w:gridCol w:w="717"/>
        <w:gridCol w:w="1843"/>
        <w:gridCol w:w="5953"/>
      </w:tblGrid>
      <w:tr w:rsidR="006255C6" w:rsidRPr="006255C6" w14:paraId="079A523D" w14:textId="77777777" w:rsidTr="00C81861">
        <w:trPr>
          <w:trHeight w:val="331"/>
        </w:trPr>
        <w:tc>
          <w:tcPr>
            <w:tcW w:w="758" w:type="dxa"/>
            <w:vAlign w:val="center"/>
          </w:tcPr>
          <w:p w14:paraId="3CA6BF67" w14:textId="77777777" w:rsidR="006255C6" w:rsidRPr="006255C6" w:rsidRDefault="006255C6" w:rsidP="00C81861">
            <w:pPr>
              <w:widowControl/>
              <w:spacing w:after="0" w:line="240" w:lineRule="auto"/>
              <w:jc w:val="center"/>
              <w:rPr>
                <w:rFonts w:ascii="宋体" w:hAnsi="宋体" w:cs="宋体" w:hint="eastAsia"/>
                <w:b/>
                <w:color w:val="000000"/>
                <w:kern w:val="0"/>
                <w:sz w:val="24"/>
              </w:rPr>
            </w:pPr>
            <w:r w:rsidRPr="006255C6">
              <w:rPr>
                <w:rFonts w:ascii="宋体" w:hAnsi="宋体" w:cs="宋体" w:hint="eastAsia"/>
                <w:b/>
                <w:color w:val="000000"/>
                <w:kern w:val="0"/>
                <w:sz w:val="24"/>
              </w:rPr>
              <w:t>内容</w:t>
            </w:r>
          </w:p>
        </w:tc>
        <w:tc>
          <w:tcPr>
            <w:tcW w:w="717" w:type="dxa"/>
            <w:vAlign w:val="center"/>
          </w:tcPr>
          <w:p w14:paraId="6409B59F" w14:textId="77777777" w:rsidR="006255C6" w:rsidRPr="006255C6" w:rsidRDefault="006255C6" w:rsidP="00C81861">
            <w:pPr>
              <w:widowControl/>
              <w:spacing w:after="0" w:line="240" w:lineRule="auto"/>
              <w:jc w:val="center"/>
              <w:rPr>
                <w:rFonts w:ascii="宋体" w:hAnsi="宋体" w:cs="宋体" w:hint="eastAsia"/>
                <w:b/>
                <w:color w:val="000000"/>
                <w:kern w:val="0"/>
                <w:sz w:val="24"/>
              </w:rPr>
            </w:pPr>
            <w:r w:rsidRPr="006255C6">
              <w:rPr>
                <w:rFonts w:ascii="宋体" w:hAnsi="宋体" w:cs="宋体" w:hint="eastAsia"/>
                <w:b/>
                <w:color w:val="000000"/>
                <w:kern w:val="0"/>
                <w:sz w:val="24"/>
              </w:rPr>
              <w:t>分值</w:t>
            </w:r>
          </w:p>
        </w:tc>
        <w:tc>
          <w:tcPr>
            <w:tcW w:w="1843" w:type="dxa"/>
            <w:vAlign w:val="center"/>
          </w:tcPr>
          <w:p w14:paraId="6389817B" w14:textId="77777777" w:rsidR="006255C6" w:rsidRPr="006255C6" w:rsidRDefault="006255C6" w:rsidP="00C81861">
            <w:pPr>
              <w:widowControl/>
              <w:spacing w:after="0" w:line="240" w:lineRule="auto"/>
              <w:jc w:val="center"/>
              <w:rPr>
                <w:rFonts w:ascii="宋体" w:hAnsi="宋体" w:cs="宋体" w:hint="eastAsia"/>
                <w:b/>
                <w:color w:val="000000"/>
                <w:kern w:val="0"/>
                <w:sz w:val="24"/>
              </w:rPr>
            </w:pPr>
            <w:r w:rsidRPr="006255C6">
              <w:rPr>
                <w:rFonts w:ascii="宋体" w:hAnsi="宋体" w:cs="宋体" w:hint="eastAsia"/>
                <w:b/>
                <w:color w:val="000000"/>
                <w:kern w:val="0"/>
                <w:sz w:val="24"/>
              </w:rPr>
              <w:t>评分因素分项</w:t>
            </w:r>
          </w:p>
        </w:tc>
        <w:tc>
          <w:tcPr>
            <w:tcW w:w="5953" w:type="dxa"/>
            <w:vAlign w:val="center"/>
          </w:tcPr>
          <w:p w14:paraId="2D393B07" w14:textId="77777777" w:rsidR="006255C6" w:rsidRPr="006255C6" w:rsidRDefault="006255C6" w:rsidP="00C81861">
            <w:pPr>
              <w:widowControl/>
              <w:spacing w:after="0" w:line="240" w:lineRule="auto"/>
              <w:jc w:val="center"/>
              <w:rPr>
                <w:rFonts w:ascii="宋体" w:hAnsi="宋体" w:cs="宋体" w:hint="eastAsia"/>
                <w:b/>
                <w:color w:val="000000"/>
                <w:kern w:val="0"/>
                <w:sz w:val="24"/>
              </w:rPr>
            </w:pPr>
            <w:r w:rsidRPr="006255C6">
              <w:rPr>
                <w:rFonts w:ascii="宋体" w:hAnsi="宋体" w:cs="宋体" w:hint="eastAsia"/>
                <w:b/>
                <w:color w:val="000000"/>
                <w:kern w:val="0"/>
                <w:sz w:val="24"/>
              </w:rPr>
              <w:t>评分标准</w:t>
            </w:r>
          </w:p>
        </w:tc>
      </w:tr>
      <w:tr w:rsidR="006255C6" w:rsidRPr="006255C6" w14:paraId="11CA5834" w14:textId="77777777" w:rsidTr="00C81861">
        <w:trPr>
          <w:trHeight w:val="331"/>
        </w:trPr>
        <w:tc>
          <w:tcPr>
            <w:tcW w:w="758" w:type="dxa"/>
            <w:vAlign w:val="center"/>
          </w:tcPr>
          <w:p w14:paraId="4651A7B4" w14:textId="77777777" w:rsidR="006255C6" w:rsidRPr="006255C6" w:rsidRDefault="006255C6" w:rsidP="00C81861">
            <w:pPr>
              <w:widowControl/>
              <w:spacing w:after="0" w:line="240" w:lineRule="auto"/>
              <w:jc w:val="left"/>
              <w:rPr>
                <w:rFonts w:ascii="宋体" w:hAnsi="宋体" w:cs="宋体" w:hint="eastAsia"/>
                <w:color w:val="000000"/>
                <w:kern w:val="0"/>
                <w:sz w:val="24"/>
              </w:rPr>
            </w:pPr>
            <w:r w:rsidRPr="006255C6">
              <w:rPr>
                <w:rFonts w:ascii="宋体" w:hAnsi="宋体" w:cs="宋体" w:hint="eastAsia"/>
                <w:color w:val="000000"/>
                <w:kern w:val="0"/>
                <w:sz w:val="24"/>
              </w:rPr>
              <w:t>价格部分</w:t>
            </w:r>
          </w:p>
        </w:tc>
        <w:tc>
          <w:tcPr>
            <w:tcW w:w="717" w:type="dxa"/>
            <w:vAlign w:val="center"/>
          </w:tcPr>
          <w:p w14:paraId="459B9169" w14:textId="77777777" w:rsidR="006255C6" w:rsidRPr="006255C6" w:rsidRDefault="006255C6" w:rsidP="00C81861">
            <w:pPr>
              <w:widowControl/>
              <w:spacing w:after="0" w:line="240" w:lineRule="auto"/>
              <w:jc w:val="center"/>
              <w:rPr>
                <w:rFonts w:ascii="宋体" w:hAnsi="宋体" w:cs="宋体" w:hint="eastAsia"/>
                <w:color w:val="000000"/>
                <w:kern w:val="0"/>
                <w:sz w:val="24"/>
              </w:rPr>
            </w:pPr>
            <w:r w:rsidRPr="006255C6">
              <w:rPr>
                <w:rFonts w:ascii="宋体" w:hAnsi="宋体" w:cs="宋体" w:hint="eastAsia"/>
                <w:color w:val="000000"/>
                <w:kern w:val="0"/>
                <w:sz w:val="24"/>
              </w:rPr>
              <w:t>10</w:t>
            </w:r>
          </w:p>
        </w:tc>
        <w:tc>
          <w:tcPr>
            <w:tcW w:w="1843" w:type="dxa"/>
            <w:vAlign w:val="center"/>
          </w:tcPr>
          <w:p w14:paraId="7C264DFF" w14:textId="77777777" w:rsidR="006255C6" w:rsidRPr="006255C6" w:rsidRDefault="006255C6" w:rsidP="00C81861">
            <w:pPr>
              <w:widowControl/>
              <w:spacing w:after="0" w:line="240" w:lineRule="auto"/>
              <w:rPr>
                <w:rFonts w:ascii="宋体" w:hAnsi="宋体" w:cs="宋体" w:hint="eastAsia"/>
                <w:color w:val="000000"/>
                <w:kern w:val="0"/>
                <w:sz w:val="24"/>
              </w:rPr>
            </w:pPr>
            <w:r w:rsidRPr="006255C6">
              <w:rPr>
                <w:rFonts w:ascii="宋体" w:hAnsi="宋体" w:cs="宋体" w:hint="eastAsia"/>
                <w:color w:val="000000"/>
                <w:kern w:val="0"/>
                <w:sz w:val="24"/>
              </w:rPr>
              <w:t>评标价格</w:t>
            </w:r>
          </w:p>
        </w:tc>
        <w:tc>
          <w:tcPr>
            <w:tcW w:w="5953" w:type="dxa"/>
            <w:vAlign w:val="center"/>
          </w:tcPr>
          <w:p w14:paraId="648B1C35" w14:textId="77777777" w:rsidR="006255C6" w:rsidRPr="006255C6" w:rsidRDefault="006255C6" w:rsidP="00C81861">
            <w:pPr>
              <w:widowControl/>
              <w:spacing w:after="0" w:line="240" w:lineRule="auto"/>
              <w:rPr>
                <w:rFonts w:ascii="宋体" w:hAnsi="宋体" w:cs="宋体" w:hint="eastAsia"/>
                <w:color w:val="000000"/>
                <w:kern w:val="0"/>
                <w:sz w:val="24"/>
              </w:rPr>
            </w:pPr>
            <w:r w:rsidRPr="006255C6">
              <w:rPr>
                <w:rFonts w:ascii="宋体" w:hAnsi="宋体" w:cs="宋体" w:hint="eastAsia"/>
                <w:color w:val="000000"/>
                <w:kern w:val="0"/>
                <w:sz w:val="24"/>
              </w:rPr>
              <w:t>评标价格分数=（评标基准价/投标报价）×价格权重（10%）×100</w:t>
            </w:r>
          </w:p>
          <w:p w14:paraId="47C5FEBC" w14:textId="77777777" w:rsidR="006255C6" w:rsidRPr="006255C6" w:rsidRDefault="006255C6" w:rsidP="00C81861">
            <w:pPr>
              <w:widowControl/>
              <w:spacing w:after="0" w:line="240" w:lineRule="auto"/>
              <w:rPr>
                <w:rFonts w:ascii="宋体" w:hAnsi="宋体" w:cs="宋体" w:hint="eastAsia"/>
                <w:color w:val="000000"/>
                <w:kern w:val="0"/>
                <w:sz w:val="24"/>
              </w:rPr>
            </w:pPr>
            <w:r w:rsidRPr="006255C6">
              <w:rPr>
                <w:rFonts w:ascii="宋体" w:hAnsi="宋体" w:cs="宋体" w:hint="eastAsia"/>
                <w:color w:val="000000"/>
                <w:kern w:val="0"/>
                <w:sz w:val="24"/>
              </w:rPr>
              <w:t xml:space="preserve">备注：实质性响应招标文件要求且价格最低的投标报价为评标基准价。 </w:t>
            </w:r>
          </w:p>
        </w:tc>
      </w:tr>
      <w:tr w:rsidR="006255C6" w:rsidRPr="006255C6" w14:paraId="0EF32A6D" w14:textId="77777777" w:rsidTr="00C81861">
        <w:trPr>
          <w:trHeight w:val="496"/>
        </w:trPr>
        <w:tc>
          <w:tcPr>
            <w:tcW w:w="758" w:type="dxa"/>
            <w:vMerge w:val="restart"/>
            <w:vAlign w:val="center"/>
          </w:tcPr>
          <w:p w14:paraId="1AA67791" w14:textId="77777777" w:rsidR="006255C6" w:rsidRPr="006255C6" w:rsidRDefault="006255C6" w:rsidP="00C81861">
            <w:pPr>
              <w:widowControl/>
              <w:spacing w:after="0" w:line="240" w:lineRule="auto"/>
              <w:jc w:val="center"/>
              <w:rPr>
                <w:rFonts w:ascii="宋体" w:hAnsi="宋体" w:cs="宋体" w:hint="eastAsia"/>
                <w:color w:val="000000"/>
                <w:kern w:val="0"/>
                <w:sz w:val="24"/>
              </w:rPr>
            </w:pPr>
            <w:r w:rsidRPr="006255C6">
              <w:rPr>
                <w:rFonts w:ascii="宋体" w:hAnsi="宋体" w:cs="宋体" w:hint="eastAsia"/>
                <w:color w:val="000000"/>
                <w:kern w:val="0"/>
                <w:sz w:val="24"/>
              </w:rPr>
              <w:t>商务部分</w:t>
            </w:r>
          </w:p>
        </w:tc>
        <w:tc>
          <w:tcPr>
            <w:tcW w:w="717" w:type="dxa"/>
            <w:vMerge w:val="restart"/>
            <w:vAlign w:val="center"/>
          </w:tcPr>
          <w:p w14:paraId="7F45C3BF" w14:textId="4DB52555" w:rsidR="006255C6" w:rsidRPr="006255C6" w:rsidRDefault="006255C6" w:rsidP="00C81861">
            <w:pPr>
              <w:widowControl/>
              <w:spacing w:after="0" w:line="240" w:lineRule="auto"/>
              <w:jc w:val="center"/>
              <w:rPr>
                <w:rFonts w:ascii="宋体" w:hAnsi="宋体" w:cs="宋体" w:hint="eastAsia"/>
                <w:color w:val="000000"/>
                <w:kern w:val="0"/>
                <w:sz w:val="24"/>
              </w:rPr>
            </w:pPr>
            <w:r>
              <w:rPr>
                <w:rFonts w:ascii="宋体" w:hAnsi="宋体" w:cs="宋体" w:hint="eastAsia"/>
                <w:color w:val="000000"/>
                <w:kern w:val="0"/>
                <w:sz w:val="24"/>
              </w:rPr>
              <w:t>4</w:t>
            </w:r>
          </w:p>
        </w:tc>
        <w:tc>
          <w:tcPr>
            <w:tcW w:w="1843" w:type="dxa"/>
            <w:vAlign w:val="center"/>
          </w:tcPr>
          <w:p w14:paraId="327380EE" w14:textId="77777777" w:rsidR="006255C6" w:rsidRPr="006255C6" w:rsidRDefault="006255C6" w:rsidP="00C81861">
            <w:pPr>
              <w:widowControl/>
              <w:spacing w:after="0" w:line="240" w:lineRule="auto"/>
              <w:rPr>
                <w:rFonts w:ascii="宋体" w:hAnsi="宋体" w:cs="宋体" w:hint="eastAsia"/>
                <w:color w:val="000000"/>
                <w:kern w:val="0"/>
                <w:sz w:val="24"/>
                <w:u w:val="single"/>
              </w:rPr>
            </w:pPr>
            <w:r w:rsidRPr="006255C6">
              <w:rPr>
                <w:rFonts w:ascii="宋体" w:hAnsi="宋体" w:cs="宋体" w:hint="eastAsia"/>
                <w:color w:val="000000"/>
                <w:kern w:val="0"/>
                <w:sz w:val="24"/>
              </w:rPr>
              <w:t>对投标人认证证书评价（1分）</w:t>
            </w:r>
          </w:p>
        </w:tc>
        <w:tc>
          <w:tcPr>
            <w:tcW w:w="5953" w:type="dxa"/>
            <w:vAlign w:val="center"/>
          </w:tcPr>
          <w:p w14:paraId="1425FEC2" w14:textId="77777777" w:rsidR="006255C6" w:rsidRPr="006255C6" w:rsidRDefault="006255C6" w:rsidP="00C81861">
            <w:pPr>
              <w:pStyle w:val="ae"/>
              <w:spacing w:after="0" w:line="240" w:lineRule="auto"/>
              <w:rPr>
                <w:rFonts w:hAnsi="宋体" w:hint="eastAsia"/>
                <w:sz w:val="24"/>
                <w:szCs w:val="24"/>
              </w:rPr>
            </w:pPr>
            <w:r w:rsidRPr="006255C6">
              <w:rPr>
                <w:rFonts w:hAnsi="宋体"/>
                <w:sz w:val="24"/>
                <w:szCs w:val="24"/>
              </w:rPr>
              <w:t>投标人具有ISO9001认证证书得1分。</w:t>
            </w:r>
          </w:p>
          <w:p w14:paraId="10AB1938" w14:textId="77777777" w:rsidR="006255C6" w:rsidRPr="006255C6" w:rsidRDefault="006255C6" w:rsidP="00C81861">
            <w:pPr>
              <w:widowControl/>
              <w:spacing w:after="0" w:line="240" w:lineRule="auto"/>
              <w:rPr>
                <w:rFonts w:ascii="宋体" w:hAnsi="宋体" w:cs="宋体" w:hint="eastAsia"/>
                <w:sz w:val="24"/>
              </w:rPr>
            </w:pPr>
            <w:r w:rsidRPr="006255C6">
              <w:rPr>
                <w:rFonts w:ascii="宋体" w:hAnsi="宋体" w:cs="宋体" w:hint="eastAsia"/>
                <w:color w:val="000000"/>
                <w:kern w:val="0"/>
                <w:sz w:val="24"/>
              </w:rPr>
              <w:t>注：须提供证书复印件并加盖公章。</w:t>
            </w:r>
          </w:p>
        </w:tc>
      </w:tr>
      <w:tr w:rsidR="006255C6" w:rsidRPr="006255C6" w14:paraId="360874FC" w14:textId="77777777" w:rsidTr="00C81861">
        <w:trPr>
          <w:trHeight w:val="575"/>
        </w:trPr>
        <w:tc>
          <w:tcPr>
            <w:tcW w:w="758" w:type="dxa"/>
            <w:vMerge/>
            <w:vAlign w:val="center"/>
          </w:tcPr>
          <w:p w14:paraId="21AF4A1A" w14:textId="77777777" w:rsidR="006255C6" w:rsidRPr="006255C6" w:rsidRDefault="006255C6" w:rsidP="00C81861">
            <w:pPr>
              <w:widowControl/>
              <w:spacing w:after="0" w:line="240" w:lineRule="auto"/>
              <w:jc w:val="center"/>
              <w:rPr>
                <w:rFonts w:ascii="宋体" w:hAnsi="宋体" w:cs="宋体" w:hint="eastAsia"/>
                <w:color w:val="000000"/>
                <w:kern w:val="0"/>
                <w:sz w:val="24"/>
              </w:rPr>
            </w:pPr>
          </w:p>
        </w:tc>
        <w:tc>
          <w:tcPr>
            <w:tcW w:w="717" w:type="dxa"/>
            <w:vMerge/>
            <w:vAlign w:val="center"/>
          </w:tcPr>
          <w:p w14:paraId="5CBA8B41" w14:textId="77777777" w:rsidR="006255C6" w:rsidRPr="006255C6" w:rsidRDefault="006255C6" w:rsidP="00C81861">
            <w:pPr>
              <w:widowControl/>
              <w:spacing w:after="0" w:line="240" w:lineRule="auto"/>
              <w:jc w:val="center"/>
              <w:rPr>
                <w:rFonts w:ascii="宋体" w:hAnsi="宋体" w:cs="宋体" w:hint="eastAsia"/>
                <w:color w:val="000000"/>
                <w:kern w:val="0"/>
                <w:sz w:val="24"/>
              </w:rPr>
            </w:pPr>
          </w:p>
        </w:tc>
        <w:tc>
          <w:tcPr>
            <w:tcW w:w="1843" w:type="dxa"/>
            <w:vAlign w:val="center"/>
          </w:tcPr>
          <w:p w14:paraId="7B7D2536" w14:textId="08CDCC56" w:rsidR="006255C6" w:rsidRPr="006255C6" w:rsidRDefault="006255C6" w:rsidP="00C81861">
            <w:pPr>
              <w:widowControl/>
              <w:spacing w:after="0" w:line="240" w:lineRule="auto"/>
              <w:rPr>
                <w:rFonts w:ascii="宋体" w:hAnsi="宋体" w:cs="宋体" w:hint="eastAsia"/>
                <w:color w:val="000000"/>
                <w:kern w:val="0"/>
                <w:sz w:val="24"/>
              </w:rPr>
            </w:pPr>
            <w:r w:rsidRPr="006255C6">
              <w:rPr>
                <w:rFonts w:ascii="宋体" w:hAnsi="宋体" w:cs="宋体" w:hint="eastAsia"/>
                <w:color w:val="000000"/>
                <w:kern w:val="0"/>
                <w:sz w:val="24"/>
              </w:rPr>
              <w:t>对投标人服务业绩评价（</w:t>
            </w:r>
            <w:r>
              <w:rPr>
                <w:rFonts w:ascii="宋体" w:hAnsi="宋体" w:cs="宋体" w:hint="eastAsia"/>
                <w:color w:val="000000"/>
                <w:kern w:val="0"/>
                <w:sz w:val="24"/>
              </w:rPr>
              <w:t>3</w:t>
            </w:r>
            <w:r w:rsidRPr="006255C6">
              <w:rPr>
                <w:rFonts w:ascii="宋体" w:hAnsi="宋体" w:cs="宋体" w:hint="eastAsia"/>
                <w:color w:val="000000"/>
                <w:kern w:val="0"/>
                <w:sz w:val="24"/>
              </w:rPr>
              <w:t>分）</w:t>
            </w:r>
          </w:p>
        </w:tc>
        <w:tc>
          <w:tcPr>
            <w:tcW w:w="5953" w:type="dxa"/>
            <w:vAlign w:val="center"/>
          </w:tcPr>
          <w:p w14:paraId="0B097857" w14:textId="1D7160DD" w:rsidR="006255C6" w:rsidRPr="006255C6" w:rsidRDefault="006255C6" w:rsidP="00C81861">
            <w:pPr>
              <w:widowControl/>
              <w:spacing w:after="0" w:line="240" w:lineRule="auto"/>
              <w:rPr>
                <w:rFonts w:ascii="宋体" w:hAnsi="宋体" w:cs="宋体" w:hint="eastAsia"/>
                <w:color w:val="000000"/>
                <w:kern w:val="0"/>
                <w:sz w:val="24"/>
              </w:rPr>
            </w:pPr>
            <w:r w:rsidRPr="006255C6">
              <w:rPr>
                <w:rFonts w:ascii="宋体" w:hAnsi="宋体" w:cs="宋体" w:hint="eastAsia"/>
                <w:color w:val="000000"/>
                <w:kern w:val="0"/>
                <w:sz w:val="24"/>
              </w:rPr>
              <w:t>根据投标人在中国境内近三年（2022年6月至投标截止期）承担类似项目业绩进行评价，一个业绩得1分，最高得</w:t>
            </w:r>
            <w:r>
              <w:rPr>
                <w:rFonts w:ascii="宋体" w:hAnsi="宋体" w:cs="宋体" w:hint="eastAsia"/>
                <w:color w:val="000000"/>
                <w:kern w:val="0"/>
                <w:sz w:val="24"/>
              </w:rPr>
              <w:t>3</w:t>
            </w:r>
            <w:r w:rsidRPr="006255C6">
              <w:rPr>
                <w:rFonts w:ascii="宋体" w:hAnsi="宋体" w:cs="宋体" w:hint="eastAsia"/>
                <w:color w:val="000000"/>
                <w:kern w:val="0"/>
                <w:sz w:val="24"/>
              </w:rPr>
              <w:t>分。</w:t>
            </w:r>
          </w:p>
          <w:p w14:paraId="055A4E7E" w14:textId="77777777" w:rsidR="006255C6" w:rsidRPr="006255C6" w:rsidRDefault="006255C6" w:rsidP="00C81861">
            <w:pPr>
              <w:widowControl/>
              <w:spacing w:after="0" w:line="240" w:lineRule="auto"/>
              <w:rPr>
                <w:rFonts w:ascii="宋体" w:hAnsi="宋体" w:cs="宋体" w:hint="eastAsia"/>
                <w:color w:val="000000"/>
                <w:kern w:val="0"/>
                <w:sz w:val="24"/>
              </w:rPr>
            </w:pPr>
            <w:r w:rsidRPr="006255C6">
              <w:rPr>
                <w:rFonts w:ascii="宋体" w:hAnsi="宋体" w:cs="宋体" w:hint="eastAsia"/>
                <w:color w:val="000000"/>
                <w:kern w:val="0"/>
                <w:sz w:val="24"/>
              </w:rPr>
              <w:t>注：1、类似项目业绩指与本项目维保服务设备同类设备的设备维保服务项目。</w:t>
            </w:r>
          </w:p>
          <w:p w14:paraId="7481E3AE" w14:textId="77777777" w:rsidR="006255C6" w:rsidRPr="006255C6" w:rsidRDefault="006255C6" w:rsidP="00C81861">
            <w:pPr>
              <w:widowControl/>
              <w:spacing w:after="0" w:line="240" w:lineRule="auto"/>
              <w:rPr>
                <w:rFonts w:ascii="宋体" w:hAnsi="宋体" w:cs="宋体" w:hint="eastAsia"/>
                <w:color w:val="000000"/>
                <w:kern w:val="0"/>
                <w:sz w:val="24"/>
              </w:rPr>
            </w:pPr>
            <w:r w:rsidRPr="006255C6">
              <w:rPr>
                <w:rFonts w:ascii="宋体" w:hAnsi="宋体" w:cs="宋体" w:hint="eastAsia"/>
                <w:color w:val="000000"/>
                <w:kern w:val="0"/>
                <w:sz w:val="24"/>
              </w:rPr>
              <w:t>2、投标人需提供采购合同（含首页、采购设备品牌型号、金额数量页、签字页、维保时间）复印件，说明维保服务状态等，否则业绩不予认可。</w:t>
            </w:r>
          </w:p>
        </w:tc>
      </w:tr>
      <w:tr w:rsidR="006255C6" w:rsidRPr="006255C6" w14:paraId="0B684355" w14:textId="77777777" w:rsidTr="00C81861">
        <w:trPr>
          <w:trHeight w:val="1017"/>
        </w:trPr>
        <w:tc>
          <w:tcPr>
            <w:tcW w:w="758" w:type="dxa"/>
            <w:vMerge w:val="restart"/>
            <w:vAlign w:val="center"/>
          </w:tcPr>
          <w:p w14:paraId="7D7CBB3D" w14:textId="77777777" w:rsidR="006255C6" w:rsidRPr="006255C6" w:rsidRDefault="006255C6" w:rsidP="00C81861">
            <w:pPr>
              <w:widowControl/>
              <w:spacing w:after="0" w:line="240" w:lineRule="auto"/>
              <w:jc w:val="center"/>
              <w:rPr>
                <w:rFonts w:ascii="宋体" w:hAnsi="宋体" w:cs="宋体" w:hint="eastAsia"/>
                <w:color w:val="000000"/>
                <w:kern w:val="0"/>
                <w:sz w:val="24"/>
              </w:rPr>
            </w:pPr>
            <w:r w:rsidRPr="006255C6">
              <w:rPr>
                <w:rFonts w:ascii="宋体" w:hAnsi="宋体" w:cs="宋体" w:hint="eastAsia"/>
                <w:color w:val="000000"/>
                <w:kern w:val="0"/>
                <w:sz w:val="24"/>
              </w:rPr>
              <w:t>技术部分</w:t>
            </w:r>
          </w:p>
        </w:tc>
        <w:tc>
          <w:tcPr>
            <w:tcW w:w="717" w:type="dxa"/>
            <w:vMerge w:val="restart"/>
            <w:vAlign w:val="center"/>
          </w:tcPr>
          <w:p w14:paraId="35280F3E" w14:textId="4B13BCAE" w:rsidR="006255C6" w:rsidRPr="006255C6" w:rsidRDefault="006255C6" w:rsidP="00C81861">
            <w:pPr>
              <w:widowControl/>
              <w:spacing w:after="0" w:line="240" w:lineRule="auto"/>
              <w:jc w:val="center"/>
              <w:rPr>
                <w:rFonts w:ascii="宋体" w:hAnsi="宋体" w:cs="宋体" w:hint="eastAsia"/>
                <w:color w:val="000000"/>
                <w:kern w:val="0"/>
                <w:sz w:val="24"/>
              </w:rPr>
            </w:pPr>
            <w:r w:rsidRPr="006255C6">
              <w:rPr>
                <w:rFonts w:ascii="宋体" w:hAnsi="宋体" w:cs="宋体" w:hint="eastAsia"/>
                <w:color w:val="000000"/>
                <w:kern w:val="0"/>
                <w:sz w:val="24"/>
              </w:rPr>
              <w:t>8</w:t>
            </w:r>
            <w:r>
              <w:rPr>
                <w:rFonts w:ascii="宋体" w:hAnsi="宋体" w:cs="宋体" w:hint="eastAsia"/>
                <w:color w:val="000000"/>
                <w:kern w:val="0"/>
                <w:sz w:val="24"/>
              </w:rPr>
              <w:t>6</w:t>
            </w:r>
          </w:p>
        </w:tc>
        <w:tc>
          <w:tcPr>
            <w:tcW w:w="1843" w:type="dxa"/>
            <w:vAlign w:val="center"/>
          </w:tcPr>
          <w:p w14:paraId="5CDD8F92" w14:textId="0343363F" w:rsidR="006255C6" w:rsidRPr="006255C6" w:rsidRDefault="006255C6" w:rsidP="00C81861">
            <w:pPr>
              <w:widowControl/>
              <w:spacing w:after="0" w:line="240" w:lineRule="auto"/>
              <w:rPr>
                <w:rFonts w:ascii="宋体" w:hAnsi="宋体" w:cs="宋体" w:hint="eastAsia"/>
                <w:color w:val="000000"/>
                <w:kern w:val="0"/>
                <w:sz w:val="24"/>
              </w:rPr>
            </w:pPr>
            <w:r w:rsidRPr="006255C6">
              <w:rPr>
                <w:rFonts w:ascii="宋体" w:hAnsi="宋体" w:cs="宋体" w:hint="eastAsia"/>
                <w:color w:val="000000"/>
                <w:kern w:val="0"/>
                <w:sz w:val="24"/>
              </w:rPr>
              <w:t>对维护内容的响应评价（4</w:t>
            </w:r>
            <w:r w:rsidR="001F57A3">
              <w:rPr>
                <w:rFonts w:ascii="宋体" w:hAnsi="宋体" w:cs="宋体" w:hint="eastAsia"/>
                <w:color w:val="000000"/>
                <w:kern w:val="0"/>
                <w:sz w:val="24"/>
              </w:rPr>
              <w:t>0</w:t>
            </w:r>
            <w:r w:rsidRPr="006255C6">
              <w:rPr>
                <w:rFonts w:ascii="宋体" w:hAnsi="宋体" w:cs="宋体" w:hint="eastAsia"/>
                <w:color w:val="000000"/>
                <w:kern w:val="0"/>
                <w:sz w:val="24"/>
              </w:rPr>
              <w:t>分）</w:t>
            </w:r>
          </w:p>
        </w:tc>
        <w:tc>
          <w:tcPr>
            <w:tcW w:w="5953" w:type="dxa"/>
            <w:vAlign w:val="center"/>
          </w:tcPr>
          <w:p w14:paraId="3AD9A9E8" w14:textId="36619188" w:rsidR="006255C6" w:rsidRPr="006255C6" w:rsidRDefault="006255C6" w:rsidP="00C81861">
            <w:pPr>
              <w:widowControl/>
              <w:spacing w:after="0" w:line="240" w:lineRule="auto"/>
              <w:rPr>
                <w:rFonts w:ascii="宋体" w:hAnsi="宋体" w:hint="eastAsia"/>
                <w:bCs/>
                <w:sz w:val="24"/>
              </w:rPr>
            </w:pPr>
            <w:r w:rsidRPr="006255C6">
              <w:rPr>
                <w:rFonts w:ascii="宋体" w:hAnsi="宋体" w:hint="eastAsia"/>
                <w:bCs/>
                <w:sz w:val="24"/>
              </w:rPr>
              <w:t>根据投标人对招标文件技术部分的响应情况进行综合评审，最高得4</w:t>
            </w:r>
            <w:r w:rsidR="001F57A3">
              <w:rPr>
                <w:rFonts w:ascii="宋体" w:hAnsi="宋体" w:hint="eastAsia"/>
                <w:bCs/>
                <w:sz w:val="24"/>
              </w:rPr>
              <w:t>0</w:t>
            </w:r>
            <w:r w:rsidRPr="006255C6">
              <w:rPr>
                <w:rFonts w:ascii="宋体" w:hAnsi="宋体" w:hint="eastAsia"/>
                <w:bCs/>
                <w:sz w:val="24"/>
              </w:rPr>
              <w:t>分，一条“</w:t>
            </w:r>
            <w:r w:rsidRPr="006255C6">
              <w:rPr>
                <w:rFonts w:ascii="宋体" w:hAnsi="宋体" w:hint="eastAsia"/>
                <w:szCs w:val="21"/>
              </w:rPr>
              <w:t>#</w:t>
            </w:r>
            <w:r w:rsidRPr="006255C6">
              <w:rPr>
                <w:rFonts w:ascii="宋体" w:hAnsi="宋体" w:hint="eastAsia"/>
                <w:bCs/>
                <w:sz w:val="24"/>
              </w:rPr>
              <w:t>”指标不满足扣 5 分，一条一般指标不满足扣减1分，最低得分 0 分。</w:t>
            </w:r>
          </w:p>
          <w:p w14:paraId="4B580944" w14:textId="77777777" w:rsidR="006255C6" w:rsidRPr="006255C6" w:rsidRDefault="006255C6" w:rsidP="00C81861">
            <w:pPr>
              <w:widowControl/>
              <w:spacing w:after="0" w:line="240" w:lineRule="auto"/>
              <w:rPr>
                <w:rFonts w:ascii="宋体" w:hAnsi="宋体" w:hint="eastAsia"/>
                <w:b/>
                <w:sz w:val="24"/>
              </w:rPr>
            </w:pPr>
            <w:r w:rsidRPr="006255C6">
              <w:rPr>
                <w:rFonts w:ascii="宋体" w:hAnsi="宋体" w:hint="eastAsia"/>
                <w:b/>
                <w:sz w:val="24"/>
              </w:rPr>
              <w:t>注：最低得分为 0 分时将按照无效投标处理，予以拒绝。</w:t>
            </w:r>
          </w:p>
        </w:tc>
      </w:tr>
      <w:tr w:rsidR="006255C6" w:rsidRPr="006255C6" w14:paraId="63D9D242" w14:textId="77777777" w:rsidTr="00C81861">
        <w:trPr>
          <w:trHeight w:val="1686"/>
        </w:trPr>
        <w:tc>
          <w:tcPr>
            <w:tcW w:w="758" w:type="dxa"/>
            <w:vMerge/>
            <w:vAlign w:val="center"/>
          </w:tcPr>
          <w:p w14:paraId="39EBCE40" w14:textId="77777777" w:rsidR="006255C6" w:rsidRPr="006255C6" w:rsidRDefault="006255C6" w:rsidP="00C81861">
            <w:pPr>
              <w:pStyle w:val="ae"/>
              <w:spacing w:after="0" w:line="240" w:lineRule="auto"/>
              <w:rPr>
                <w:rFonts w:hAnsi="宋体" w:cs="宋体" w:hint="eastAsia"/>
                <w:color w:val="000000"/>
                <w:kern w:val="0"/>
                <w:sz w:val="24"/>
                <w:szCs w:val="24"/>
              </w:rPr>
            </w:pPr>
          </w:p>
        </w:tc>
        <w:tc>
          <w:tcPr>
            <w:tcW w:w="717" w:type="dxa"/>
            <w:vMerge/>
            <w:vAlign w:val="center"/>
          </w:tcPr>
          <w:p w14:paraId="265433D6" w14:textId="77777777" w:rsidR="006255C6" w:rsidRPr="006255C6" w:rsidRDefault="006255C6" w:rsidP="00C81861">
            <w:pPr>
              <w:widowControl/>
              <w:spacing w:after="0" w:line="240" w:lineRule="auto"/>
              <w:jc w:val="center"/>
              <w:rPr>
                <w:rFonts w:ascii="宋体" w:hAnsi="宋体" w:cs="宋体" w:hint="eastAsia"/>
                <w:color w:val="000000"/>
                <w:kern w:val="0"/>
                <w:sz w:val="24"/>
              </w:rPr>
            </w:pPr>
          </w:p>
        </w:tc>
        <w:tc>
          <w:tcPr>
            <w:tcW w:w="1843" w:type="dxa"/>
            <w:vAlign w:val="center"/>
          </w:tcPr>
          <w:p w14:paraId="07555045" w14:textId="74CE9B41"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对投标人提供的整体服务方案进行评价（</w:t>
            </w:r>
            <w:r w:rsidR="001F57A3">
              <w:rPr>
                <w:rFonts w:ascii="宋体" w:hAnsi="宋体" w:hint="eastAsia"/>
                <w:kern w:val="0"/>
                <w:sz w:val="24"/>
              </w:rPr>
              <w:t>8</w:t>
            </w:r>
            <w:r w:rsidRPr="006255C6">
              <w:rPr>
                <w:rFonts w:ascii="宋体" w:hAnsi="宋体" w:hint="eastAsia"/>
                <w:kern w:val="0"/>
                <w:sz w:val="24"/>
              </w:rPr>
              <w:t>分）</w:t>
            </w:r>
          </w:p>
        </w:tc>
        <w:tc>
          <w:tcPr>
            <w:tcW w:w="5953" w:type="dxa"/>
            <w:vAlign w:val="center"/>
          </w:tcPr>
          <w:p w14:paraId="6EF50B08"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对投标人提供的整体服务方案，包括维护服务流程、服务标准、服务管理、服务措施、安全保障措施等方面进行综合评价，其中：</w:t>
            </w:r>
          </w:p>
          <w:p w14:paraId="49B512F0" w14:textId="35EA0243"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 xml:space="preserve">（1）整体服务方案完整、具体，能够完全满足招标文件要求的得 </w:t>
            </w:r>
            <w:r w:rsidR="001F57A3">
              <w:rPr>
                <w:rFonts w:ascii="宋体" w:hAnsi="宋体" w:hint="eastAsia"/>
                <w:kern w:val="0"/>
                <w:sz w:val="24"/>
              </w:rPr>
              <w:t>8</w:t>
            </w:r>
            <w:r w:rsidRPr="006255C6">
              <w:rPr>
                <w:rFonts w:ascii="宋体" w:hAnsi="宋体" w:hint="eastAsia"/>
                <w:kern w:val="0"/>
                <w:sz w:val="24"/>
              </w:rPr>
              <w:t xml:space="preserve"> 分；</w:t>
            </w:r>
          </w:p>
          <w:p w14:paraId="42A463B8" w14:textId="6A86E984"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 xml:space="preserve">（2）整体服务方案不够完整和具体，只能基本满足招标文件要求的得 </w:t>
            </w:r>
            <w:r w:rsidR="001F57A3">
              <w:rPr>
                <w:rFonts w:ascii="宋体" w:hAnsi="宋体" w:hint="eastAsia"/>
                <w:kern w:val="0"/>
                <w:sz w:val="24"/>
              </w:rPr>
              <w:t>5</w:t>
            </w:r>
            <w:r w:rsidRPr="006255C6">
              <w:rPr>
                <w:rFonts w:ascii="宋体" w:hAnsi="宋体" w:hint="eastAsia"/>
                <w:kern w:val="0"/>
                <w:sz w:val="24"/>
              </w:rPr>
              <w:t xml:space="preserve"> 分；</w:t>
            </w:r>
          </w:p>
          <w:p w14:paraId="37925E37" w14:textId="65A0CB9A"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 xml:space="preserve">（3）整体服务方案不够完整和具体，只能部分满足招标文件要求的得 </w:t>
            </w:r>
            <w:r w:rsidR="001F57A3">
              <w:rPr>
                <w:rFonts w:ascii="宋体" w:hAnsi="宋体" w:hint="eastAsia"/>
                <w:kern w:val="0"/>
                <w:sz w:val="24"/>
              </w:rPr>
              <w:t>2</w:t>
            </w:r>
            <w:r w:rsidRPr="006255C6">
              <w:rPr>
                <w:rFonts w:ascii="宋体" w:hAnsi="宋体" w:hint="eastAsia"/>
                <w:kern w:val="0"/>
                <w:sz w:val="24"/>
              </w:rPr>
              <w:t xml:space="preserve"> 分；</w:t>
            </w:r>
          </w:p>
          <w:p w14:paraId="05352BB1"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（4）未提供整体服务方案或方案不能满足招标文件要求的得 0分。</w:t>
            </w:r>
          </w:p>
        </w:tc>
      </w:tr>
      <w:tr w:rsidR="006255C6" w:rsidRPr="006255C6" w14:paraId="4D4DD87C" w14:textId="77777777" w:rsidTr="006255C6">
        <w:trPr>
          <w:trHeight w:val="1687"/>
        </w:trPr>
        <w:tc>
          <w:tcPr>
            <w:tcW w:w="758" w:type="dxa"/>
            <w:vMerge/>
            <w:vAlign w:val="center"/>
          </w:tcPr>
          <w:p w14:paraId="36640738" w14:textId="77777777" w:rsidR="006255C6" w:rsidRPr="006255C6" w:rsidRDefault="006255C6" w:rsidP="00C81861">
            <w:pPr>
              <w:pStyle w:val="ae"/>
              <w:spacing w:after="0" w:line="240" w:lineRule="auto"/>
              <w:rPr>
                <w:rFonts w:hAnsi="宋体" w:cs="宋体" w:hint="eastAsia"/>
                <w:color w:val="000000"/>
                <w:kern w:val="0"/>
                <w:sz w:val="24"/>
                <w:szCs w:val="24"/>
              </w:rPr>
            </w:pPr>
          </w:p>
        </w:tc>
        <w:tc>
          <w:tcPr>
            <w:tcW w:w="717" w:type="dxa"/>
            <w:vMerge/>
            <w:vAlign w:val="center"/>
          </w:tcPr>
          <w:p w14:paraId="3675AFA2" w14:textId="77777777" w:rsidR="006255C6" w:rsidRPr="006255C6" w:rsidRDefault="006255C6" w:rsidP="00C81861">
            <w:pPr>
              <w:widowControl/>
              <w:spacing w:after="0" w:line="240" w:lineRule="auto"/>
              <w:jc w:val="center"/>
              <w:rPr>
                <w:rFonts w:ascii="宋体" w:hAnsi="宋体" w:cs="宋体" w:hint="eastAsia"/>
                <w:color w:val="000000"/>
                <w:kern w:val="0"/>
                <w:sz w:val="24"/>
              </w:rPr>
            </w:pPr>
          </w:p>
        </w:tc>
        <w:tc>
          <w:tcPr>
            <w:tcW w:w="1843" w:type="dxa"/>
            <w:vMerge w:val="restart"/>
            <w:vAlign w:val="center"/>
          </w:tcPr>
          <w:p w14:paraId="5BDFADD8" w14:textId="45C04772" w:rsidR="006255C6" w:rsidRPr="006255C6" w:rsidRDefault="006255C6" w:rsidP="00C81861">
            <w:pPr>
              <w:widowControl/>
              <w:spacing w:after="0" w:line="240" w:lineRule="auto"/>
              <w:rPr>
                <w:rFonts w:ascii="宋体" w:hAnsi="宋体" w:hint="eastAsia"/>
                <w:kern w:val="0"/>
                <w:sz w:val="24"/>
              </w:rPr>
            </w:pPr>
            <w:proofErr w:type="gramStart"/>
            <w:r w:rsidRPr="006255C6">
              <w:rPr>
                <w:rFonts w:ascii="宋体" w:hAnsi="宋体" w:hint="eastAsia"/>
                <w:kern w:val="0"/>
                <w:sz w:val="24"/>
              </w:rPr>
              <w:t>整体维保方案</w:t>
            </w:r>
            <w:proofErr w:type="gramEnd"/>
            <w:r w:rsidRPr="006255C6">
              <w:rPr>
                <w:rFonts w:ascii="宋体" w:hAnsi="宋体" w:hint="eastAsia"/>
                <w:kern w:val="0"/>
                <w:sz w:val="24"/>
              </w:rPr>
              <w:t>（2</w:t>
            </w:r>
            <w:r w:rsidR="001F57A3">
              <w:rPr>
                <w:rFonts w:ascii="宋体" w:hAnsi="宋体" w:hint="eastAsia"/>
                <w:kern w:val="0"/>
                <w:sz w:val="24"/>
              </w:rPr>
              <w:t>2</w:t>
            </w:r>
            <w:r w:rsidRPr="006255C6">
              <w:rPr>
                <w:rFonts w:ascii="宋体" w:hAnsi="宋体" w:hint="eastAsia"/>
                <w:kern w:val="0"/>
                <w:sz w:val="24"/>
              </w:rPr>
              <w:t>分）</w:t>
            </w:r>
          </w:p>
        </w:tc>
        <w:tc>
          <w:tcPr>
            <w:tcW w:w="5953" w:type="dxa"/>
            <w:vAlign w:val="center"/>
          </w:tcPr>
          <w:p w14:paraId="2F1D2910"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根据投标人对项目需求的理解程度，运行维保方案等进行综合评审：</w:t>
            </w:r>
          </w:p>
          <w:p w14:paraId="0CBD0C61"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（1）能正确理解采购人所购买服务的目的，并能详细的描述所保修设备的应用状况和使用特点，维保方案能够完全满足招标文件要求且合理性、科学性、针对性高，得 8分；</w:t>
            </w:r>
          </w:p>
          <w:p w14:paraId="4B90963E"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（2）能基本正确理解采购人所购买服务的目的，并能基本详细的描述所保修设备的应用状况和使用特点，维保方案基本满足招标文件要求且合理性、科学性、针对性较高，得 5 分；</w:t>
            </w:r>
          </w:p>
          <w:p w14:paraId="04E09A6D"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（3）能部分理解采购人所购买服务的目的，并能部分描述所保修设备的应用状况和使用特点，维保方案只能部</w:t>
            </w:r>
            <w:r w:rsidRPr="006255C6">
              <w:rPr>
                <w:rFonts w:ascii="宋体" w:hAnsi="宋体" w:hint="eastAsia"/>
                <w:kern w:val="0"/>
                <w:sz w:val="24"/>
              </w:rPr>
              <w:lastRenderedPageBreak/>
              <w:t>分满足招标文件要求且合理性、科学性、针对性一般，得2 分；</w:t>
            </w:r>
          </w:p>
          <w:p w14:paraId="3790E92B"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（4）不能正确理解采购人所购买服务的目的，并不能描述所保修设备的应用状况和使用特点，维保方案不满足招标文件要求或未提供的得 0 分；</w:t>
            </w:r>
          </w:p>
        </w:tc>
      </w:tr>
      <w:tr w:rsidR="006255C6" w:rsidRPr="006255C6" w14:paraId="54C53629" w14:textId="77777777" w:rsidTr="00C81861">
        <w:trPr>
          <w:trHeight w:val="1709"/>
        </w:trPr>
        <w:tc>
          <w:tcPr>
            <w:tcW w:w="758" w:type="dxa"/>
            <w:vMerge/>
            <w:vAlign w:val="center"/>
          </w:tcPr>
          <w:p w14:paraId="3E76D9EC" w14:textId="77777777" w:rsidR="006255C6" w:rsidRPr="006255C6" w:rsidRDefault="006255C6" w:rsidP="00C81861">
            <w:pPr>
              <w:widowControl/>
              <w:spacing w:after="0" w:line="240" w:lineRule="auto"/>
              <w:jc w:val="center"/>
              <w:rPr>
                <w:rFonts w:ascii="宋体" w:hAnsi="宋体" w:cs="宋体" w:hint="eastAsia"/>
                <w:color w:val="000000"/>
                <w:kern w:val="0"/>
                <w:sz w:val="24"/>
              </w:rPr>
            </w:pPr>
          </w:p>
        </w:tc>
        <w:tc>
          <w:tcPr>
            <w:tcW w:w="717" w:type="dxa"/>
            <w:vMerge/>
            <w:vAlign w:val="center"/>
          </w:tcPr>
          <w:p w14:paraId="70931A82" w14:textId="77777777" w:rsidR="006255C6" w:rsidRPr="006255C6" w:rsidRDefault="006255C6" w:rsidP="00C81861">
            <w:pPr>
              <w:widowControl/>
              <w:spacing w:after="0" w:line="240" w:lineRule="auto"/>
              <w:jc w:val="center"/>
              <w:rPr>
                <w:rFonts w:ascii="宋体" w:hAnsi="宋体" w:cs="宋体" w:hint="eastAsia"/>
                <w:color w:val="000000"/>
                <w:kern w:val="0"/>
                <w:sz w:val="24"/>
              </w:rPr>
            </w:pPr>
          </w:p>
        </w:tc>
        <w:tc>
          <w:tcPr>
            <w:tcW w:w="1843" w:type="dxa"/>
            <w:vMerge/>
            <w:vAlign w:val="center"/>
          </w:tcPr>
          <w:p w14:paraId="566CDD05" w14:textId="77777777" w:rsidR="006255C6" w:rsidRPr="006255C6" w:rsidRDefault="006255C6" w:rsidP="00C81861">
            <w:pPr>
              <w:widowControl/>
              <w:spacing w:after="0" w:line="240" w:lineRule="auto"/>
              <w:rPr>
                <w:rFonts w:ascii="宋体" w:hAnsi="宋体" w:hint="eastAsia"/>
                <w:kern w:val="0"/>
                <w:sz w:val="24"/>
              </w:rPr>
            </w:pPr>
          </w:p>
        </w:tc>
        <w:tc>
          <w:tcPr>
            <w:tcW w:w="5953" w:type="dxa"/>
            <w:vAlign w:val="center"/>
          </w:tcPr>
          <w:p w14:paraId="2967E2F5"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根据投标人提供的专业维修工具的情况进行综合评审：</w:t>
            </w:r>
          </w:p>
          <w:p w14:paraId="117A9830"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（1）维修工具专业、齐全、先进得8分；</w:t>
            </w:r>
          </w:p>
          <w:p w14:paraId="272D3258"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（2）维修工具较专业、较齐全、较先进得 5 分；</w:t>
            </w:r>
          </w:p>
          <w:p w14:paraId="0BF129B2"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（3）维修工具一般业、齐全、先进得 2分；</w:t>
            </w:r>
          </w:p>
          <w:p w14:paraId="3DD94F55"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（4）维修工具专业性较差、不够齐全、比较落后或未提供的得0分。</w:t>
            </w:r>
          </w:p>
        </w:tc>
      </w:tr>
      <w:tr w:rsidR="006255C6" w:rsidRPr="006255C6" w14:paraId="14091B97" w14:textId="77777777" w:rsidTr="00C81861">
        <w:trPr>
          <w:trHeight w:val="1447"/>
        </w:trPr>
        <w:tc>
          <w:tcPr>
            <w:tcW w:w="758" w:type="dxa"/>
            <w:vMerge/>
            <w:vAlign w:val="center"/>
          </w:tcPr>
          <w:p w14:paraId="2CBBAB45" w14:textId="77777777" w:rsidR="006255C6" w:rsidRPr="006255C6" w:rsidRDefault="006255C6" w:rsidP="00C81861">
            <w:pPr>
              <w:widowControl/>
              <w:spacing w:after="0" w:line="240" w:lineRule="auto"/>
              <w:jc w:val="center"/>
              <w:rPr>
                <w:rFonts w:ascii="宋体" w:hAnsi="宋体" w:cs="宋体" w:hint="eastAsia"/>
                <w:color w:val="000000"/>
                <w:kern w:val="0"/>
                <w:sz w:val="24"/>
              </w:rPr>
            </w:pPr>
          </w:p>
        </w:tc>
        <w:tc>
          <w:tcPr>
            <w:tcW w:w="717" w:type="dxa"/>
            <w:vMerge/>
            <w:vAlign w:val="center"/>
          </w:tcPr>
          <w:p w14:paraId="36A650E1" w14:textId="77777777" w:rsidR="006255C6" w:rsidRPr="006255C6" w:rsidRDefault="006255C6" w:rsidP="00C81861">
            <w:pPr>
              <w:widowControl/>
              <w:spacing w:after="0" w:line="240" w:lineRule="auto"/>
              <w:jc w:val="center"/>
              <w:rPr>
                <w:rFonts w:ascii="宋体" w:hAnsi="宋体" w:cs="宋体" w:hint="eastAsia"/>
                <w:color w:val="000000"/>
                <w:kern w:val="0"/>
                <w:sz w:val="24"/>
              </w:rPr>
            </w:pPr>
          </w:p>
        </w:tc>
        <w:tc>
          <w:tcPr>
            <w:tcW w:w="1843" w:type="dxa"/>
            <w:vMerge/>
            <w:vAlign w:val="center"/>
          </w:tcPr>
          <w:p w14:paraId="2579A746" w14:textId="77777777" w:rsidR="006255C6" w:rsidRPr="006255C6" w:rsidRDefault="006255C6" w:rsidP="00C81861">
            <w:pPr>
              <w:widowControl/>
              <w:spacing w:after="0" w:line="240" w:lineRule="auto"/>
              <w:rPr>
                <w:rFonts w:ascii="宋体" w:hAnsi="宋体" w:hint="eastAsia"/>
                <w:kern w:val="0"/>
                <w:sz w:val="24"/>
              </w:rPr>
            </w:pPr>
          </w:p>
        </w:tc>
        <w:tc>
          <w:tcPr>
            <w:tcW w:w="5953" w:type="dxa"/>
            <w:vAlign w:val="center"/>
          </w:tcPr>
          <w:p w14:paraId="4712F29C"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根据投标人提供的应急维修合理化建议进行综合评审：</w:t>
            </w:r>
          </w:p>
          <w:p w14:paraId="3CF21DC5" w14:textId="2627FB86"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 xml:space="preserve">（1）投标人提供的应急维修方案合理化建议完善、可行性强得 </w:t>
            </w:r>
            <w:r w:rsidR="001F57A3">
              <w:rPr>
                <w:rFonts w:ascii="宋体" w:hAnsi="宋体" w:hint="eastAsia"/>
                <w:kern w:val="0"/>
                <w:sz w:val="24"/>
              </w:rPr>
              <w:t>6</w:t>
            </w:r>
            <w:r w:rsidRPr="006255C6">
              <w:rPr>
                <w:rFonts w:ascii="宋体" w:hAnsi="宋体" w:hint="eastAsia"/>
                <w:kern w:val="0"/>
                <w:sz w:val="24"/>
              </w:rPr>
              <w:t xml:space="preserve"> 分；</w:t>
            </w:r>
          </w:p>
          <w:p w14:paraId="2F6CD2E7" w14:textId="14CB6F46"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 xml:space="preserve">（2）投标人提供的应急维修方案合理化建议较完善、可行性较强得 </w:t>
            </w:r>
            <w:r w:rsidR="001F57A3">
              <w:rPr>
                <w:rFonts w:ascii="宋体" w:hAnsi="宋体" w:hint="eastAsia"/>
                <w:kern w:val="0"/>
                <w:sz w:val="24"/>
              </w:rPr>
              <w:t>4</w:t>
            </w:r>
            <w:r w:rsidRPr="006255C6">
              <w:rPr>
                <w:rFonts w:ascii="宋体" w:hAnsi="宋体" w:hint="eastAsia"/>
                <w:kern w:val="0"/>
                <w:sz w:val="24"/>
              </w:rPr>
              <w:t xml:space="preserve"> 分；</w:t>
            </w:r>
          </w:p>
          <w:p w14:paraId="7CE3B491"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（3）投标人提供的应急维修方案合理化建议一般完善、可行性一般得 2 分；</w:t>
            </w:r>
          </w:p>
          <w:p w14:paraId="469317E9"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（4）未提供不得分。</w:t>
            </w:r>
          </w:p>
        </w:tc>
      </w:tr>
      <w:tr w:rsidR="006255C6" w:rsidRPr="006255C6" w14:paraId="64DC1748" w14:textId="77777777" w:rsidTr="00C81861">
        <w:trPr>
          <w:trHeight w:val="2484"/>
        </w:trPr>
        <w:tc>
          <w:tcPr>
            <w:tcW w:w="758" w:type="dxa"/>
            <w:vMerge/>
            <w:vAlign w:val="center"/>
          </w:tcPr>
          <w:p w14:paraId="3C743072" w14:textId="77777777" w:rsidR="006255C6" w:rsidRPr="006255C6" w:rsidRDefault="006255C6" w:rsidP="00C81861">
            <w:pPr>
              <w:widowControl/>
              <w:spacing w:after="0" w:line="240" w:lineRule="auto"/>
              <w:jc w:val="center"/>
              <w:rPr>
                <w:rFonts w:ascii="宋体" w:hAnsi="宋体" w:cs="宋体" w:hint="eastAsia"/>
                <w:color w:val="000000"/>
                <w:kern w:val="0"/>
                <w:szCs w:val="21"/>
              </w:rPr>
            </w:pPr>
          </w:p>
        </w:tc>
        <w:tc>
          <w:tcPr>
            <w:tcW w:w="717" w:type="dxa"/>
            <w:vMerge/>
            <w:vAlign w:val="center"/>
          </w:tcPr>
          <w:p w14:paraId="50734EEB" w14:textId="77777777" w:rsidR="006255C6" w:rsidRPr="006255C6" w:rsidRDefault="006255C6" w:rsidP="00C81861">
            <w:pPr>
              <w:widowControl/>
              <w:spacing w:after="0" w:line="240" w:lineRule="auto"/>
              <w:jc w:val="center"/>
              <w:rPr>
                <w:rFonts w:ascii="宋体" w:hAnsi="宋体" w:cs="宋体" w:hint="eastAsia"/>
                <w:color w:val="000000"/>
                <w:kern w:val="0"/>
                <w:szCs w:val="21"/>
              </w:rPr>
            </w:pPr>
          </w:p>
        </w:tc>
        <w:tc>
          <w:tcPr>
            <w:tcW w:w="1843" w:type="dxa"/>
            <w:vAlign w:val="center"/>
          </w:tcPr>
          <w:p w14:paraId="72A76E7A"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对投标人拟投入项目团队的评价</w:t>
            </w:r>
          </w:p>
          <w:p w14:paraId="1C4627BF" w14:textId="3F01A256"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w:t>
            </w:r>
            <w:r w:rsidR="001F57A3">
              <w:rPr>
                <w:rFonts w:ascii="宋体" w:hAnsi="宋体" w:hint="eastAsia"/>
                <w:kern w:val="0"/>
                <w:sz w:val="24"/>
              </w:rPr>
              <w:t>8</w:t>
            </w:r>
            <w:r w:rsidRPr="006255C6">
              <w:rPr>
                <w:rFonts w:ascii="宋体" w:hAnsi="宋体" w:hint="eastAsia"/>
                <w:kern w:val="0"/>
                <w:sz w:val="24"/>
              </w:rPr>
              <w:t>分）</w:t>
            </w:r>
          </w:p>
        </w:tc>
        <w:tc>
          <w:tcPr>
            <w:tcW w:w="5953" w:type="dxa"/>
            <w:vAlign w:val="center"/>
          </w:tcPr>
          <w:p w14:paraId="4A6F93BE" w14:textId="77777777" w:rsidR="006255C6" w:rsidRPr="006255C6" w:rsidRDefault="006255C6" w:rsidP="00C81861">
            <w:pPr>
              <w:widowControl/>
              <w:spacing w:after="0" w:line="240" w:lineRule="auto"/>
              <w:rPr>
                <w:rFonts w:ascii="宋体" w:hAnsi="宋体" w:hint="eastAsia"/>
                <w:sz w:val="24"/>
              </w:rPr>
            </w:pPr>
            <w:r w:rsidRPr="006255C6">
              <w:rPr>
                <w:rFonts w:ascii="宋体" w:hAnsi="宋体" w:hint="eastAsia"/>
                <w:sz w:val="24"/>
              </w:rPr>
              <w:t>根据拟派本项目的项目经理及团队成员的学历、资格证书、工作经验等进行综合评审：</w:t>
            </w:r>
          </w:p>
          <w:p w14:paraId="3583B332" w14:textId="51CCA19E" w:rsidR="006255C6" w:rsidRPr="006255C6" w:rsidRDefault="006255C6" w:rsidP="00C81861">
            <w:pPr>
              <w:widowControl/>
              <w:spacing w:after="0" w:line="240" w:lineRule="auto"/>
              <w:rPr>
                <w:rFonts w:ascii="宋体" w:hAnsi="宋体" w:hint="eastAsia"/>
                <w:sz w:val="24"/>
              </w:rPr>
            </w:pPr>
            <w:r w:rsidRPr="006255C6">
              <w:rPr>
                <w:rFonts w:ascii="宋体" w:hAnsi="宋体" w:hint="eastAsia"/>
                <w:sz w:val="24"/>
              </w:rPr>
              <w:t xml:space="preserve">（1）人员配备能够满足招标文件要求，构成比例合理、专业齐备，人员经验丰富得 </w:t>
            </w:r>
            <w:r w:rsidR="001F57A3">
              <w:rPr>
                <w:rFonts w:ascii="宋体" w:hAnsi="宋体" w:hint="eastAsia"/>
                <w:sz w:val="24"/>
              </w:rPr>
              <w:t>8</w:t>
            </w:r>
            <w:r w:rsidRPr="006255C6">
              <w:rPr>
                <w:rFonts w:ascii="宋体" w:hAnsi="宋体" w:hint="eastAsia"/>
                <w:sz w:val="24"/>
              </w:rPr>
              <w:t xml:space="preserve"> 分；</w:t>
            </w:r>
          </w:p>
          <w:p w14:paraId="187E5078" w14:textId="4FAD012B" w:rsidR="006255C6" w:rsidRPr="006255C6" w:rsidRDefault="006255C6" w:rsidP="00C81861">
            <w:pPr>
              <w:widowControl/>
              <w:spacing w:after="0" w:line="240" w:lineRule="auto"/>
              <w:rPr>
                <w:rFonts w:ascii="宋体" w:hAnsi="宋体" w:hint="eastAsia"/>
                <w:sz w:val="24"/>
              </w:rPr>
            </w:pPr>
            <w:r w:rsidRPr="006255C6">
              <w:rPr>
                <w:rFonts w:ascii="宋体" w:hAnsi="宋体" w:hint="eastAsia"/>
                <w:sz w:val="24"/>
              </w:rPr>
              <w:t xml:space="preserve">（2）人员配备能够满足招标文件要求，构成比例较合理、专业较齐备，人员经验较丰富得 </w:t>
            </w:r>
            <w:r w:rsidR="001F57A3">
              <w:rPr>
                <w:rFonts w:ascii="宋体" w:hAnsi="宋体" w:hint="eastAsia"/>
                <w:sz w:val="24"/>
              </w:rPr>
              <w:t>5</w:t>
            </w:r>
            <w:r w:rsidRPr="006255C6">
              <w:rPr>
                <w:rFonts w:ascii="宋体" w:hAnsi="宋体" w:hint="eastAsia"/>
                <w:sz w:val="24"/>
              </w:rPr>
              <w:t xml:space="preserve"> 分；</w:t>
            </w:r>
          </w:p>
          <w:p w14:paraId="40E1D420" w14:textId="54A1F660" w:rsidR="006255C6" w:rsidRPr="006255C6" w:rsidRDefault="006255C6" w:rsidP="00C81861">
            <w:pPr>
              <w:widowControl/>
              <w:spacing w:after="0" w:line="240" w:lineRule="auto"/>
              <w:rPr>
                <w:rFonts w:ascii="宋体" w:hAnsi="宋体" w:hint="eastAsia"/>
                <w:sz w:val="24"/>
              </w:rPr>
            </w:pPr>
            <w:r w:rsidRPr="006255C6">
              <w:rPr>
                <w:rFonts w:ascii="宋体" w:hAnsi="宋体" w:hint="eastAsia"/>
                <w:sz w:val="24"/>
              </w:rPr>
              <w:t xml:space="preserve">（3）人员配备基本能够满足招标文件要求，构成比例合理性一般、专业齐备性一般，人员经验一般得 </w:t>
            </w:r>
            <w:r w:rsidR="001F57A3">
              <w:rPr>
                <w:rFonts w:ascii="宋体" w:hAnsi="宋体" w:hint="eastAsia"/>
                <w:sz w:val="24"/>
              </w:rPr>
              <w:t>2</w:t>
            </w:r>
            <w:r w:rsidRPr="006255C6">
              <w:rPr>
                <w:rFonts w:ascii="宋体" w:hAnsi="宋体" w:hint="eastAsia"/>
                <w:sz w:val="24"/>
              </w:rPr>
              <w:t>分；</w:t>
            </w:r>
          </w:p>
          <w:p w14:paraId="3293A2DF" w14:textId="77777777" w:rsidR="006255C6" w:rsidRPr="006255C6" w:rsidRDefault="006255C6" w:rsidP="00C81861">
            <w:pPr>
              <w:widowControl/>
              <w:spacing w:after="0" w:line="240" w:lineRule="auto"/>
              <w:rPr>
                <w:rFonts w:ascii="宋体" w:hAnsi="宋体" w:hint="eastAsia"/>
                <w:sz w:val="24"/>
              </w:rPr>
            </w:pPr>
            <w:r w:rsidRPr="006255C6">
              <w:rPr>
                <w:rFonts w:ascii="宋体" w:hAnsi="宋体" w:hint="eastAsia"/>
                <w:sz w:val="24"/>
              </w:rPr>
              <w:t>（4）未提供不得分。</w:t>
            </w:r>
          </w:p>
        </w:tc>
      </w:tr>
      <w:tr w:rsidR="006255C6" w:rsidRPr="006255C6" w14:paraId="53D181D0" w14:textId="77777777" w:rsidTr="00C81861">
        <w:trPr>
          <w:trHeight w:val="1388"/>
        </w:trPr>
        <w:tc>
          <w:tcPr>
            <w:tcW w:w="758" w:type="dxa"/>
            <w:vMerge/>
            <w:vAlign w:val="center"/>
          </w:tcPr>
          <w:p w14:paraId="6A760FED" w14:textId="77777777" w:rsidR="006255C6" w:rsidRPr="006255C6" w:rsidRDefault="006255C6" w:rsidP="00C81861">
            <w:pPr>
              <w:widowControl/>
              <w:spacing w:after="0" w:line="240" w:lineRule="auto"/>
              <w:jc w:val="center"/>
              <w:rPr>
                <w:rFonts w:ascii="宋体" w:hAnsi="宋体" w:cs="宋体" w:hint="eastAsia"/>
                <w:color w:val="000000"/>
                <w:kern w:val="0"/>
                <w:szCs w:val="21"/>
              </w:rPr>
            </w:pPr>
          </w:p>
        </w:tc>
        <w:tc>
          <w:tcPr>
            <w:tcW w:w="717" w:type="dxa"/>
            <w:vMerge/>
            <w:vAlign w:val="center"/>
          </w:tcPr>
          <w:p w14:paraId="4E4DF115" w14:textId="77777777" w:rsidR="006255C6" w:rsidRPr="006255C6" w:rsidRDefault="006255C6" w:rsidP="00C81861">
            <w:pPr>
              <w:widowControl/>
              <w:spacing w:after="0" w:line="240" w:lineRule="auto"/>
              <w:jc w:val="center"/>
              <w:rPr>
                <w:rFonts w:ascii="宋体" w:hAnsi="宋体" w:cs="宋体" w:hint="eastAsia"/>
                <w:color w:val="000000"/>
                <w:kern w:val="0"/>
                <w:szCs w:val="21"/>
              </w:rPr>
            </w:pPr>
          </w:p>
        </w:tc>
        <w:tc>
          <w:tcPr>
            <w:tcW w:w="1843" w:type="dxa"/>
            <w:vAlign w:val="center"/>
          </w:tcPr>
          <w:p w14:paraId="1F268162"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备品备件</w:t>
            </w:r>
          </w:p>
          <w:p w14:paraId="233E3C68"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（8 分）</w:t>
            </w:r>
          </w:p>
        </w:tc>
        <w:tc>
          <w:tcPr>
            <w:tcW w:w="5953" w:type="dxa"/>
            <w:vAlign w:val="center"/>
          </w:tcPr>
          <w:p w14:paraId="25A03747"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根据投标人提供的备品备件的渠道来源、质量保证等进行综合评审：</w:t>
            </w:r>
          </w:p>
          <w:p w14:paraId="0E755BF0"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（1）投标人提供的原厂备品备件，质量能够完全满足用户使用需求得 8 分；</w:t>
            </w:r>
          </w:p>
          <w:p w14:paraId="4754C20E"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（2）投标人提供的备品备件为其他渠道来源，来源合理，质量能够满足用户使用要求的得 5 分；</w:t>
            </w:r>
          </w:p>
          <w:p w14:paraId="19A571F3"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（3）投标人提供的备品备件来源合理，质量基本满足用户使用要求的得 2分；</w:t>
            </w:r>
          </w:p>
          <w:p w14:paraId="7B11291A"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kern w:val="0"/>
                <w:sz w:val="24"/>
              </w:rPr>
              <w:t>（4）未提供渠道来源或未提供备品备件不得分。</w:t>
            </w:r>
          </w:p>
          <w:p w14:paraId="5C62C2A1" w14:textId="77777777" w:rsidR="006255C6" w:rsidRPr="006255C6" w:rsidRDefault="006255C6" w:rsidP="00C81861">
            <w:pPr>
              <w:widowControl/>
              <w:spacing w:after="0" w:line="240" w:lineRule="auto"/>
              <w:rPr>
                <w:rFonts w:ascii="宋体" w:hAnsi="宋体" w:hint="eastAsia"/>
                <w:kern w:val="0"/>
                <w:sz w:val="24"/>
              </w:rPr>
            </w:pPr>
            <w:r w:rsidRPr="006255C6">
              <w:rPr>
                <w:rFonts w:ascii="宋体" w:hAnsi="宋体" w:hint="eastAsia"/>
                <w:b/>
                <w:bCs/>
                <w:kern w:val="0"/>
                <w:sz w:val="24"/>
              </w:rPr>
              <w:t>注：投标文件中应提供相关证明文件，否则评标委员会有权不予认可。</w:t>
            </w:r>
          </w:p>
        </w:tc>
      </w:tr>
    </w:tbl>
    <w:p w14:paraId="5DE09BBC" w14:textId="77777777" w:rsidR="006255C6" w:rsidRPr="006255C6" w:rsidRDefault="006255C6"/>
    <w:sectPr w:rsidR="006255C6" w:rsidRPr="00625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C6"/>
    <w:rsid w:val="001F57A3"/>
    <w:rsid w:val="006255C6"/>
    <w:rsid w:val="00AC4150"/>
    <w:rsid w:val="00BE24CC"/>
    <w:rsid w:val="00E27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32CB"/>
  <w15:chartTrackingRefBased/>
  <w15:docId w15:val="{2FFC2D6F-4F88-4510-A386-D7F37281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5C6"/>
    <w:pPr>
      <w:widowControl w:val="0"/>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6255C6"/>
    <w:pPr>
      <w:keepNext/>
      <w:keepLines/>
      <w:spacing w:before="480" w:after="80"/>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6255C6"/>
    <w:pPr>
      <w:keepNext/>
      <w:keepLines/>
      <w:spacing w:before="160" w:after="80"/>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6255C6"/>
    <w:pPr>
      <w:keepNext/>
      <w:keepLines/>
      <w:spacing w:before="160" w:after="80"/>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6255C6"/>
    <w:pPr>
      <w:keepNext/>
      <w:keepLines/>
      <w:spacing w:before="80" w:after="40"/>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6255C6"/>
    <w:pPr>
      <w:keepNext/>
      <w:keepLines/>
      <w:spacing w:before="80" w:after="40"/>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6255C6"/>
    <w:pPr>
      <w:keepNext/>
      <w:keepLines/>
      <w:spacing w:before="40" w:after="0"/>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6255C6"/>
    <w:pPr>
      <w:keepNext/>
      <w:keepLines/>
      <w:spacing w:before="40" w:after="0"/>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6255C6"/>
    <w:pPr>
      <w:keepNext/>
      <w:keepLines/>
      <w:spacing w:after="0"/>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6255C6"/>
    <w:pPr>
      <w:keepNext/>
      <w:keepLines/>
      <w:spacing w:after="0"/>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5C6"/>
    <w:rPr>
      <w:rFonts w:cstheme="majorBidi"/>
      <w:color w:val="2F5496" w:themeColor="accent1" w:themeShade="BF"/>
      <w:sz w:val="28"/>
      <w:szCs w:val="28"/>
    </w:rPr>
  </w:style>
  <w:style w:type="character" w:customStyle="1" w:styleId="50">
    <w:name w:val="标题 5 字符"/>
    <w:basedOn w:val="a0"/>
    <w:link w:val="5"/>
    <w:uiPriority w:val="9"/>
    <w:semiHidden/>
    <w:rsid w:val="006255C6"/>
    <w:rPr>
      <w:rFonts w:cstheme="majorBidi"/>
      <w:color w:val="2F5496" w:themeColor="accent1" w:themeShade="BF"/>
      <w:sz w:val="24"/>
    </w:rPr>
  </w:style>
  <w:style w:type="character" w:customStyle="1" w:styleId="60">
    <w:name w:val="标题 6 字符"/>
    <w:basedOn w:val="a0"/>
    <w:link w:val="6"/>
    <w:uiPriority w:val="9"/>
    <w:semiHidden/>
    <w:rsid w:val="006255C6"/>
    <w:rPr>
      <w:rFonts w:cstheme="majorBidi"/>
      <w:b/>
      <w:bCs/>
      <w:color w:val="2F5496" w:themeColor="accent1" w:themeShade="BF"/>
    </w:rPr>
  </w:style>
  <w:style w:type="character" w:customStyle="1" w:styleId="70">
    <w:name w:val="标题 7 字符"/>
    <w:basedOn w:val="a0"/>
    <w:link w:val="7"/>
    <w:uiPriority w:val="9"/>
    <w:semiHidden/>
    <w:rsid w:val="006255C6"/>
    <w:rPr>
      <w:rFonts w:cstheme="majorBidi"/>
      <w:b/>
      <w:bCs/>
      <w:color w:val="595959" w:themeColor="text1" w:themeTint="A6"/>
    </w:rPr>
  </w:style>
  <w:style w:type="character" w:customStyle="1" w:styleId="80">
    <w:name w:val="标题 8 字符"/>
    <w:basedOn w:val="a0"/>
    <w:link w:val="8"/>
    <w:uiPriority w:val="9"/>
    <w:semiHidden/>
    <w:rsid w:val="006255C6"/>
    <w:rPr>
      <w:rFonts w:cstheme="majorBidi"/>
      <w:color w:val="595959" w:themeColor="text1" w:themeTint="A6"/>
    </w:rPr>
  </w:style>
  <w:style w:type="character" w:customStyle="1" w:styleId="90">
    <w:name w:val="标题 9 字符"/>
    <w:basedOn w:val="a0"/>
    <w:link w:val="9"/>
    <w:uiPriority w:val="9"/>
    <w:semiHidden/>
    <w:rsid w:val="006255C6"/>
    <w:rPr>
      <w:rFonts w:eastAsiaTheme="majorEastAsia" w:cstheme="majorBidi"/>
      <w:color w:val="595959" w:themeColor="text1" w:themeTint="A6"/>
    </w:rPr>
  </w:style>
  <w:style w:type="paragraph" w:styleId="a3">
    <w:name w:val="Title"/>
    <w:basedOn w:val="a"/>
    <w:next w:val="a"/>
    <w:link w:val="a4"/>
    <w:uiPriority w:val="10"/>
    <w:qFormat/>
    <w:rsid w:val="006255C6"/>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625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5C6"/>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625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5C6"/>
    <w:pPr>
      <w:spacing w:before="160"/>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6255C6"/>
    <w:rPr>
      <w:i/>
      <w:iCs/>
      <w:color w:val="404040" w:themeColor="text1" w:themeTint="BF"/>
    </w:rPr>
  </w:style>
  <w:style w:type="paragraph" w:styleId="a9">
    <w:name w:val="List Paragraph"/>
    <w:basedOn w:val="a"/>
    <w:uiPriority w:val="34"/>
    <w:qFormat/>
    <w:rsid w:val="006255C6"/>
    <w:pPr>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6255C6"/>
    <w:rPr>
      <w:i/>
      <w:iCs/>
      <w:color w:val="2F5496" w:themeColor="accent1" w:themeShade="BF"/>
    </w:rPr>
  </w:style>
  <w:style w:type="paragraph" w:styleId="ab">
    <w:name w:val="Intense Quote"/>
    <w:basedOn w:val="a"/>
    <w:next w:val="a"/>
    <w:link w:val="ac"/>
    <w:uiPriority w:val="30"/>
    <w:qFormat/>
    <w:rsid w:val="006255C6"/>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6255C6"/>
    <w:rPr>
      <w:i/>
      <w:iCs/>
      <w:color w:val="2F5496" w:themeColor="accent1" w:themeShade="BF"/>
    </w:rPr>
  </w:style>
  <w:style w:type="character" w:styleId="ad">
    <w:name w:val="Intense Reference"/>
    <w:basedOn w:val="a0"/>
    <w:uiPriority w:val="32"/>
    <w:qFormat/>
    <w:rsid w:val="006255C6"/>
    <w:rPr>
      <w:b/>
      <w:bCs/>
      <w:smallCaps/>
      <w:color w:val="2F5496" w:themeColor="accent1" w:themeShade="BF"/>
      <w:spacing w:val="5"/>
    </w:rPr>
  </w:style>
  <w:style w:type="paragraph" w:styleId="ae">
    <w:name w:val="Plain Text"/>
    <w:basedOn w:val="a"/>
    <w:link w:val="11"/>
    <w:qFormat/>
    <w:rsid w:val="006255C6"/>
    <w:rPr>
      <w:rFonts w:ascii="宋体" w:hAnsi="Courier New"/>
      <w:szCs w:val="20"/>
    </w:rPr>
  </w:style>
  <w:style w:type="character" w:customStyle="1" w:styleId="af">
    <w:name w:val="纯文本 字符"/>
    <w:basedOn w:val="a0"/>
    <w:uiPriority w:val="99"/>
    <w:semiHidden/>
    <w:rsid w:val="006255C6"/>
    <w:rPr>
      <w:rFonts w:asciiTheme="minorEastAsia" w:hAnsi="Courier New" w:cs="Courier New"/>
      <w:sz w:val="21"/>
      <w14:ligatures w14:val="none"/>
    </w:rPr>
  </w:style>
  <w:style w:type="character" w:customStyle="1" w:styleId="11">
    <w:name w:val="纯文本 字符1"/>
    <w:basedOn w:val="a0"/>
    <w:link w:val="ae"/>
    <w:qFormat/>
    <w:rsid w:val="006255C6"/>
    <w:rPr>
      <w:rFonts w:ascii="宋体" w:eastAsia="宋体" w:hAnsi="Courier New"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璐璐</dc:creator>
  <cp:keywords/>
  <dc:description/>
  <cp:lastModifiedBy>刘 璐璐</cp:lastModifiedBy>
  <cp:revision>2</cp:revision>
  <dcterms:created xsi:type="dcterms:W3CDTF">2025-07-02T09:30:00Z</dcterms:created>
  <dcterms:modified xsi:type="dcterms:W3CDTF">2025-07-03T01:57:00Z</dcterms:modified>
</cp:coreProperties>
</file>