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711CB">
      <w:pPr>
        <w:pStyle w:val="2"/>
        <w:rPr>
          <w:rFonts w:hint="eastAsia"/>
          <w:lang w:val="en-US" w:eastAsia="zh-CN"/>
        </w:rPr>
      </w:pPr>
      <w:bookmarkStart w:id="54" w:name="_GoBack"/>
      <w:bookmarkEnd w:id="54"/>
      <w:r>
        <w:rPr>
          <w:rFonts w:hint="eastAsia"/>
          <w:lang w:val="en-US" w:eastAsia="zh-CN"/>
        </w:rPr>
        <w:t>附件：采购合同</w:t>
      </w:r>
    </w:p>
    <w:p w14:paraId="3B3412EA">
      <w:pPr>
        <w:pStyle w:val="2"/>
        <w:rPr>
          <w:rFonts w:hint="eastAsia"/>
          <w:lang w:val="en-US" w:eastAsia="zh-CN"/>
        </w:rPr>
      </w:pPr>
    </w:p>
    <w:p w14:paraId="3CB1688C">
      <w:pPr>
        <w:spacing w:line="480" w:lineRule="exact"/>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城市副中心重点文旅活动传播工作项目投放合作协议</w:t>
      </w:r>
    </w:p>
    <w:p w14:paraId="7D0486BE">
      <w:pPr>
        <w:spacing w:line="480" w:lineRule="exact"/>
        <w:rPr>
          <w:color w:val="000000" w:themeColor="text1"/>
          <w:sz w:val="24"/>
          <w14:textFill>
            <w14:solidFill>
              <w14:schemeClr w14:val="tx1"/>
            </w14:solidFill>
          </w14:textFill>
        </w:rPr>
      </w:pPr>
    </w:p>
    <w:p w14:paraId="26E4378F">
      <w:pPr>
        <w:spacing w:line="480" w:lineRule="exact"/>
        <w:ind w:firstLine="482" w:firstLineChars="200"/>
        <w:rPr>
          <w:b/>
          <w:bCs/>
          <w:color w:val="000000" w:themeColor="text1"/>
          <w:sz w:val="24"/>
          <w14:textFill>
            <w14:solidFill>
              <w14:schemeClr w14:val="tx1"/>
            </w14:solidFill>
          </w14:textFill>
        </w:rPr>
      </w:pPr>
      <w:bookmarkStart w:id="0" w:name="tip_risk_bookmark_1"/>
      <w:r>
        <w:rPr>
          <w:rFonts w:hint="eastAsia"/>
          <w:b/>
          <w:bCs/>
          <w:color w:val="000000" w:themeColor="text1"/>
          <w:sz w:val="24"/>
          <w14:textFill>
            <w14:solidFill>
              <w14:schemeClr w14:val="tx1"/>
            </w14:solidFill>
          </w14:textFill>
        </w:rPr>
        <w:t>甲方：【】</w:t>
      </w:r>
      <w:bookmarkStart w:id="1" w:name="_Hlk196297287"/>
      <w:r>
        <w:rPr>
          <w:rFonts w:hint="eastAsia" w:ascii="宋体" w:hAnsi="宋体"/>
          <w:b/>
          <w:bCs/>
          <w:color w:val="000000" w:themeColor="text1"/>
          <w:sz w:val="24"/>
          <w14:textFill>
            <w14:solidFill>
              <w14:schemeClr w14:val="tx1"/>
            </w14:solidFill>
          </w14:textFill>
        </w:rPr>
        <w:t>（以下简称“甲方”）</w:t>
      </w:r>
      <w:bookmarkEnd w:id="0"/>
      <w:bookmarkEnd w:id="1"/>
    </w:p>
    <w:p w14:paraId="1C342C9D">
      <w:pPr>
        <w:spacing w:line="480" w:lineRule="exact"/>
        <w:ind w:firstLine="480" w:firstLineChars="200"/>
        <w:rPr>
          <w:color w:val="000000" w:themeColor="text1"/>
          <w:sz w:val="24"/>
          <w14:textFill>
            <w14:solidFill>
              <w14:schemeClr w14:val="tx1"/>
            </w14:solidFill>
          </w14:textFill>
        </w:rPr>
      </w:pPr>
      <w:bookmarkStart w:id="2" w:name="tip_risk_bookmark_2"/>
      <w:r>
        <w:rPr>
          <w:rFonts w:hint="eastAsia"/>
          <w:color w:val="000000" w:themeColor="text1"/>
          <w:sz w:val="24"/>
          <w14:textFill>
            <w14:solidFill>
              <w14:schemeClr w14:val="tx1"/>
            </w14:solidFill>
          </w14:textFill>
        </w:rPr>
        <w:t>联系地</w:t>
      </w:r>
      <w:r>
        <w:rPr>
          <w:color w:val="000000" w:themeColor="text1"/>
          <w:sz w:val="24"/>
          <w14:textFill>
            <w14:solidFill>
              <w14:schemeClr w14:val="tx1"/>
            </w14:solidFill>
          </w14:textFill>
        </w:rPr>
        <w:t>址：</w:t>
      </w:r>
    </w:p>
    <w:p w14:paraId="18A03756">
      <w:pPr>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联</w:t>
      </w:r>
      <w:r>
        <w:rPr>
          <w:color w:val="000000" w:themeColor="text1"/>
          <w:sz w:val="24"/>
          <w14:textFill>
            <w14:solidFill>
              <w14:schemeClr w14:val="tx1"/>
            </w14:solidFill>
          </w14:textFill>
        </w:rPr>
        <w:t>系人：</w:t>
      </w:r>
    </w:p>
    <w:p w14:paraId="5577AFD7">
      <w:pPr>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联系电话：</w:t>
      </w:r>
      <w:r>
        <w:rPr>
          <w:color w:val="000000" w:themeColor="text1"/>
          <w:sz w:val="24"/>
          <w14:textFill>
            <w14:solidFill>
              <w14:schemeClr w14:val="tx1"/>
            </w14:solidFill>
          </w14:textFill>
        </w:rPr>
        <w:t xml:space="preserve"> </w:t>
      </w:r>
    </w:p>
    <w:p w14:paraId="6BA19D86">
      <w:pPr>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w:t>
      </w:r>
      <w:r>
        <w:rPr>
          <w:color w:val="000000" w:themeColor="text1"/>
          <w:sz w:val="24"/>
          <w14:textFill>
            <w14:solidFill>
              <w14:schemeClr w14:val="tx1"/>
            </w14:solidFill>
          </w14:textFill>
        </w:rPr>
        <w:t>邮箱：</w:t>
      </w:r>
      <w:bookmarkEnd w:id="2"/>
      <w:r>
        <w:rPr>
          <w:color w:val="000000" w:themeColor="text1"/>
          <w:sz w:val="24"/>
          <w14:textFill>
            <w14:solidFill>
              <w14:schemeClr w14:val="tx1"/>
            </w14:solidFill>
          </w14:textFill>
        </w:rPr>
        <w:t xml:space="preserve"> </w:t>
      </w:r>
    </w:p>
    <w:p w14:paraId="53D8C5C8">
      <w:pPr>
        <w:spacing w:line="480" w:lineRule="exact"/>
        <w:ind w:firstLine="480" w:firstLineChars="200"/>
        <w:rPr>
          <w:b/>
          <w:bCs/>
          <w:color w:val="000000" w:themeColor="text1"/>
          <w:sz w:val="24"/>
          <w14:textFill>
            <w14:solidFill>
              <w14:schemeClr w14:val="tx1"/>
            </w14:solidFill>
          </w14:textFill>
        </w:rPr>
      </w:pPr>
      <w:bookmarkStart w:id="3" w:name="tip_risk_bookmark_3"/>
      <w:r>
        <w:rPr>
          <w:rFonts w:hint="eastAsia"/>
          <w:color w:val="000000" w:themeColor="text1"/>
          <w:sz w:val="24"/>
          <w14:textFill>
            <w14:solidFill>
              <w14:schemeClr w14:val="tx1"/>
            </w14:solidFill>
          </w14:textFill>
        </w:rPr>
        <w:t>乙方</w:t>
      </w:r>
      <w:r>
        <w:rPr>
          <w:rFonts w:hint="eastAsia"/>
          <w:b/>
          <w:bCs/>
          <w:color w:val="000000" w:themeColor="text1"/>
          <w:sz w:val="24"/>
          <w14:textFill>
            <w14:solidFill>
              <w14:schemeClr w14:val="tx1"/>
            </w14:solidFill>
          </w14:textFill>
        </w:rPr>
        <w:t>：</w:t>
      </w:r>
      <w:bookmarkStart w:id="4" w:name="_Hlk191372107"/>
      <w:r>
        <w:rPr>
          <w:rFonts w:hint="eastAsia"/>
          <w:b/>
          <w:bCs/>
          <w:color w:val="000000" w:themeColor="text1"/>
          <w:sz w:val="24"/>
          <w14:textFill>
            <w14:solidFill>
              <w14:schemeClr w14:val="tx1"/>
            </w14:solidFill>
          </w14:textFill>
        </w:rPr>
        <w:t>【】</w:t>
      </w:r>
      <w:bookmarkEnd w:id="4"/>
      <w:bookmarkStart w:id="5" w:name="_Hlk196297300"/>
      <w:r>
        <w:rPr>
          <w:rFonts w:hint="eastAsia" w:ascii="宋体" w:hAnsi="宋体"/>
          <w:b/>
          <w:bCs/>
          <w:color w:val="000000" w:themeColor="text1"/>
          <w:sz w:val="24"/>
          <w14:textFill>
            <w14:solidFill>
              <w14:schemeClr w14:val="tx1"/>
            </w14:solidFill>
          </w14:textFill>
        </w:rPr>
        <w:t>（以下简称“乙方”）</w:t>
      </w:r>
      <w:bookmarkEnd w:id="3"/>
      <w:bookmarkEnd w:id="5"/>
    </w:p>
    <w:p w14:paraId="3E286020">
      <w:pPr>
        <w:spacing w:line="480" w:lineRule="exact"/>
        <w:ind w:firstLine="480" w:firstLineChars="200"/>
        <w:rPr>
          <w:color w:val="000000" w:themeColor="text1"/>
          <w:sz w:val="24"/>
          <w14:textFill>
            <w14:solidFill>
              <w14:schemeClr w14:val="tx1"/>
            </w14:solidFill>
          </w14:textFill>
        </w:rPr>
      </w:pPr>
      <w:bookmarkStart w:id="6" w:name="tip_risk_bookmark_4"/>
      <w:r>
        <w:rPr>
          <w:rFonts w:hint="eastAsia"/>
          <w:color w:val="000000" w:themeColor="text1"/>
          <w:sz w:val="24"/>
          <w14:textFill>
            <w14:solidFill>
              <w14:schemeClr w14:val="tx1"/>
            </w14:solidFill>
          </w14:textFill>
        </w:rPr>
        <w:t>联系地</w:t>
      </w:r>
      <w:r>
        <w:rPr>
          <w:color w:val="000000" w:themeColor="text1"/>
          <w:sz w:val="24"/>
          <w14:textFill>
            <w14:solidFill>
              <w14:schemeClr w14:val="tx1"/>
            </w14:solidFill>
          </w14:textFill>
        </w:rPr>
        <w:t>址：</w:t>
      </w:r>
    </w:p>
    <w:p w14:paraId="2DFC76A1">
      <w:pPr>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联系人：</w:t>
      </w:r>
    </w:p>
    <w:p w14:paraId="495FD182">
      <w:pPr>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联系电话：</w:t>
      </w:r>
    </w:p>
    <w:p w14:paraId="7BF54BF4">
      <w:pPr>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w:t>
      </w:r>
      <w:r>
        <w:rPr>
          <w:color w:val="000000" w:themeColor="text1"/>
          <w:sz w:val="24"/>
          <w14:textFill>
            <w14:solidFill>
              <w14:schemeClr w14:val="tx1"/>
            </w14:solidFill>
          </w14:textFill>
        </w:rPr>
        <w:t>邮箱：</w:t>
      </w:r>
      <w:bookmarkEnd w:id="6"/>
    </w:p>
    <w:p w14:paraId="0C6FC6C8">
      <w:pPr>
        <w:spacing w:line="480" w:lineRule="exact"/>
        <w:ind w:firstLine="480" w:firstLineChars="200"/>
        <w:rPr>
          <w:color w:val="000000" w:themeColor="text1"/>
          <w:sz w:val="24"/>
          <w14:textFill>
            <w14:solidFill>
              <w14:schemeClr w14:val="tx1"/>
            </w14:solidFill>
          </w14:textFill>
        </w:rPr>
      </w:pPr>
    </w:p>
    <w:p w14:paraId="372992F1">
      <w:pPr>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甲方和乙方以下合称为“</w:t>
      </w:r>
      <w:r>
        <w:rPr>
          <w:rFonts w:hint="eastAsia"/>
          <w:b/>
          <w:color w:val="000000" w:themeColor="text1"/>
          <w:sz w:val="24"/>
          <w14:textFill>
            <w14:solidFill>
              <w14:schemeClr w14:val="tx1"/>
            </w14:solidFill>
          </w14:textFill>
        </w:rPr>
        <w:t>双方</w:t>
      </w:r>
      <w:r>
        <w:rPr>
          <w:rFonts w:hint="eastAsia"/>
          <w:color w:val="000000" w:themeColor="text1"/>
          <w:sz w:val="24"/>
          <w14:textFill>
            <w14:solidFill>
              <w14:schemeClr w14:val="tx1"/>
            </w14:solidFill>
          </w14:textFill>
        </w:rPr>
        <w:t>”，单独称为“</w:t>
      </w:r>
      <w:r>
        <w:rPr>
          <w:rFonts w:hint="eastAsia"/>
          <w:b/>
          <w:color w:val="000000" w:themeColor="text1"/>
          <w:sz w:val="24"/>
          <w14:textFill>
            <w14:solidFill>
              <w14:schemeClr w14:val="tx1"/>
            </w14:solidFill>
          </w14:textFill>
        </w:rPr>
        <w:t>一方</w:t>
      </w:r>
      <w:r>
        <w:rPr>
          <w:rFonts w:hint="eastAsia"/>
          <w:color w:val="000000" w:themeColor="text1"/>
          <w:sz w:val="24"/>
          <w14:textFill>
            <w14:solidFill>
              <w14:schemeClr w14:val="tx1"/>
            </w14:solidFill>
          </w14:textFill>
        </w:rPr>
        <w:t>”。</w:t>
      </w:r>
    </w:p>
    <w:p w14:paraId="2B3FF611">
      <w:pPr>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鉴于：</w:t>
      </w:r>
    </w:p>
    <w:p w14:paraId="6F3E0F08">
      <w:pPr>
        <w:spacing w:line="480" w:lineRule="exact"/>
        <w:ind w:firstLine="480" w:firstLineChars="200"/>
        <w:rPr>
          <w:color w:val="000000" w:themeColor="text1"/>
          <w:sz w:val="24"/>
          <w14:textFill>
            <w14:solidFill>
              <w14:schemeClr w14:val="tx1"/>
            </w14:solidFill>
          </w14:textFill>
        </w:rPr>
      </w:pPr>
      <w:bookmarkStart w:id="7" w:name="auto_fouce_5"/>
      <w:r>
        <w:rPr>
          <w:rFonts w:hint="eastAsia"/>
          <w:color w:val="000000" w:themeColor="text1"/>
          <w:sz w:val="24"/>
          <w14:textFill>
            <w14:solidFill>
              <w14:schemeClr w14:val="tx1"/>
            </w14:solidFill>
          </w14:textFill>
        </w:rPr>
        <w:t>乙方系经中央广播电视总台（下称“</w:t>
      </w:r>
      <w:r>
        <w:rPr>
          <w:rFonts w:hint="eastAsia"/>
          <w:b/>
          <w:bCs/>
          <w:color w:val="000000" w:themeColor="text1"/>
          <w:sz w:val="24"/>
          <w14:textFill>
            <w14:solidFill>
              <w14:schemeClr w14:val="tx1"/>
            </w14:solidFill>
          </w14:textFill>
        </w:rPr>
        <w:t>总台</w:t>
      </w:r>
      <w:r>
        <w:rPr>
          <w:rFonts w:hint="eastAsia"/>
          <w:color w:val="000000" w:themeColor="text1"/>
          <w:sz w:val="24"/>
          <w14:textFill>
            <w14:solidFill>
              <w14:schemeClr w14:val="tx1"/>
            </w14:solidFill>
          </w14:textFill>
        </w:rPr>
        <w:t>”）授权代理新媒体广告业务的公司，甲方拟在【】新媒体平台上投放广告（以下统称为“</w:t>
      </w:r>
      <w:r>
        <w:rPr>
          <w:rFonts w:hint="eastAsia"/>
          <w:b/>
          <w:bCs/>
          <w:color w:val="000000" w:themeColor="text1"/>
          <w:sz w:val="24"/>
          <w14:textFill>
            <w14:solidFill>
              <w14:schemeClr w14:val="tx1"/>
            </w14:solidFill>
          </w14:textFill>
        </w:rPr>
        <w:t>新媒体平台</w:t>
      </w:r>
      <w:r>
        <w:rPr>
          <w:rFonts w:hint="eastAsia"/>
          <w:color w:val="000000" w:themeColor="text1"/>
          <w:sz w:val="24"/>
          <w14:textFill>
            <w14:solidFill>
              <w14:schemeClr w14:val="tx1"/>
            </w14:solidFill>
          </w14:textFill>
        </w:rPr>
        <w:t>”），现就该等事宜，根据《中华人民共和国民法典》《中华人民共和国广告法》等相关法律法规规定，双方本着平等互利、诚实守信的原则，通过友好协商达成以下条款，以资共同遵守：</w:t>
      </w:r>
      <w:bookmarkEnd w:id="7"/>
    </w:p>
    <w:p w14:paraId="3AD38777">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合同期限</w:t>
      </w:r>
    </w:p>
    <w:p w14:paraId="140F3752">
      <w:pPr>
        <w:pStyle w:val="13"/>
        <w:spacing w:line="480" w:lineRule="exact"/>
        <w:ind w:left="567" w:firstLine="0"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自本协议签订之日起至本协议项下甲乙双方的权利义务全部履行完毕之日止。</w:t>
      </w:r>
    </w:p>
    <w:p w14:paraId="6EEB33E5">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广告发布概况</w:t>
      </w:r>
    </w:p>
    <w:p w14:paraId="5493C42A">
      <w:pPr>
        <w:pStyle w:val="13"/>
        <w:numPr>
          <w:ilvl w:val="0"/>
          <w:numId w:val="2"/>
        </w:numPr>
        <w:spacing w:line="480" w:lineRule="exact"/>
        <w:ind w:firstLineChars="0"/>
        <w:rPr>
          <w:color w:val="000000" w:themeColor="text1"/>
          <w:sz w:val="24"/>
          <w14:textFill>
            <w14:solidFill>
              <w14:schemeClr w14:val="tx1"/>
            </w14:solidFill>
          </w14:textFill>
        </w:rPr>
      </w:pPr>
      <w:bookmarkStart w:id="8" w:name="tip_risk_bookmark_6"/>
      <w:r>
        <w:rPr>
          <w:rFonts w:hint="eastAsia"/>
          <w:color w:val="000000" w:themeColor="text1"/>
          <w:sz w:val="24"/>
          <w14:textFill>
            <w14:solidFill>
              <w14:schemeClr w14:val="tx1"/>
            </w14:solidFill>
          </w14:textFill>
        </w:rPr>
        <w:t>广告回报期：【】</w:t>
      </w:r>
      <w:r>
        <w:rPr>
          <w:color w:val="000000" w:themeColor="text1"/>
          <w:sz w:val="24"/>
          <w14:textFill>
            <w14:solidFill>
              <w14:schemeClr w14:val="tx1"/>
            </w14:solidFill>
          </w14:textFill>
        </w:rPr>
        <w:t>，如无特殊情况，广告回报权益应在回报期内执行完毕</w:t>
      </w:r>
      <w:r>
        <w:rPr>
          <w:rFonts w:hint="eastAsia"/>
          <w:color w:val="000000" w:themeColor="text1"/>
          <w:sz w:val="24"/>
          <w14:textFill>
            <w14:solidFill>
              <w14:schemeClr w14:val="tx1"/>
            </w14:solidFill>
          </w14:textFill>
        </w:rPr>
        <w:t>。</w:t>
      </w:r>
      <w:bookmarkEnd w:id="8"/>
    </w:p>
    <w:p w14:paraId="263216EF">
      <w:pPr>
        <w:pStyle w:val="13"/>
        <w:numPr>
          <w:ilvl w:val="0"/>
          <w:numId w:val="2"/>
        </w:numPr>
        <w:spacing w:line="480" w:lineRule="exact"/>
        <w:ind w:firstLineChars="0"/>
        <w:rPr>
          <w:color w:val="000000" w:themeColor="text1"/>
          <w:sz w:val="24"/>
          <w14:textFill>
            <w14:solidFill>
              <w14:schemeClr w14:val="tx1"/>
            </w14:solidFill>
          </w14:textFill>
        </w:rPr>
      </w:pPr>
      <w:bookmarkStart w:id="9" w:name="tip_risk_bookmark_7"/>
      <w:r>
        <w:rPr>
          <w:rFonts w:hint="eastAsia"/>
          <w:color w:val="000000" w:themeColor="text1"/>
          <w:sz w:val="24"/>
          <w14:textFill>
            <w14:solidFill>
              <w14:schemeClr w14:val="tx1"/>
            </w14:solidFill>
          </w14:textFill>
        </w:rPr>
        <w:t>广告发布的内容、时间、发布平台、发布频次等相关信息由甲方与乙方协商确认，最终版本作为本协议的附件【即附件一】。</w:t>
      </w:r>
      <w:bookmarkEnd w:id="9"/>
    </w:p>
    <w:p w14:paraId="2009926C">
      <w:pPr>
        <w:pStyle w:val="13"/>
        <w:numPr>
          <w:ilvl w:val="0"/>
          <w:numId w:val="2"/>
        </w:numPr>
        <w:spacing w:line="480" w:lineRule="exact"/>
        <w:ind w:firstLineChars="0"/>
        <w:rPr>
          <w:color w:val="000000" w:themeColor="text1"/>
          <w:sz w:val="24"/>
          <w14:textFill>
            <w14:solidFill>
              <w14:schemeClr w14:val="tx1"/>
            </w14:solidFill>
          </w14:textFill>
        </w:rPr>
      </w:pPr>
      <w:bookmarkStart w:id="10" w:name="_Hlk106703940"/>
      <w:r>
        <w:rPr>
          <w:rFonts w:hint="eastAsia"/>
          <w:color w:val="000000" w:themeColor="text1"/>
          <w:sz w:val="24"/>
          <w14:textFill>
            <w14:solidFill>
              <w14:schemeClr w14:val="tx1"/>
            </w14:solidFill>
          </w14:textFill>
        </w:rPr>
        <w:t>合作期内，乙方应按本协议及附件一的约定在约定新媒体平台上发布广告。实际发布起始日期推迟的，截止日期相应顺延</w:t>
      </w:r>
      <w:bookmarkEnd w:id="10"/>
      <w:r>
        <w:rPr>
          <w:rFonts w:hint="eastAsia"/>
          <w:color w:val="000000" w:themeColor="text1"/>
          <w:sz w:val="24"/>
          <w14:textFill>
            <w14:solidFill>
              <w14:schemeClr w14:val="tx1"/>
            </w14:solidFill>
          </w14:textFill>
        </w:rPr>
        <w:t>。</w:t>
      </w:r>
    </w:p>
    <w:p w14:paraId="359C5E58">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广告内容</w:t>
      </w:r>
    </w:p>
    <w:p w14:paraId="1100F380">
      <w:pPr>
        <w:pStyle w:val="13"/>
        <w:numPr>
          <w:ilvl w:val="0"/>
          <w:numId w:val="3"/>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广告内容（包括但不限于广告样稿）由甲方提供，甲方需在广告投放前【15】个工作日，将广告内容提供给乙方，乙方依照本协议的约定对上述材料的内容和表现形式进行审查。</w:t>
      </w:r>
    </w:p>
    <w:p w14:paraId="2663617C">
      <w:pPr>
        <w:pStyle w:val="13"/>
        <w:numPr>
          <w:ilvl w:val="0"/>
          <w:numId w:val="3"/>
        </w:numPr>
        <w:spacing w:line="480" w:lineRule="exact"/>
        <w:ind w:firstLineChars="0"/>
        <w:rPr>
          <w:color w:val="000000" w:themeColor="text1"/>
          <w:sz w:val="24"/>
          <w14:textFill>
            <w14:solidFill>
              <w14:schemeClr w14:val="tx1"/>
            </w14:solidFill>
          </w14:textFill>
        </w:rPr>
      </w:pPr>
      <w:bookmarkStart w:id="11" w:name="_Hlk109836133"/>
      <w:bookmarkStart w:id="12" w:name="auto_fouce_9"/>
      <w:r>
        <w:rPr>
          <w:rFonts w:hint="eastAsia"/>
          <w:color w:val="000000" w:themeColor="text1"/>
          <w:sz w:val="24"/>
          <w14:textFill>
            <w14:solidFill>
              <w14:schemeClr w14:val="tx1"/>
            </w14:solidFill>
          </w14:textFill>
        </w:rPr>
        <w:t>广告内容和排期确定后双方均不得随意变更。如甲方确需变更的，甲方须在不少于广告内容发布前【1</w:t>
      </w:r>
      <w:r>
        <w:rPr>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】日书面通知乙方，经乙方同意后方可变更。如由此导致发布费用增加的，甲方应另行补足增加的费用，并按照更换前广告排期的费用标准弥补乙方广告位空档期间的直接损失</w:t>
      </w:r>
      <w:bookmarkEnd w:id="11"/>
      <w:r>
        <w:rPr>
          <w:rFonts w:hint="eastAsia"/>
          <w:color w:val="000000" w:themeColor="text1"/>
          <w:sz w:val="24"/>
          <w14:textFill>
            <w14:solidFill>
              <w14:schemeClr w14:val="tx1"/>
            </w14:solidFill>
          </w14:textFill>
        </w:rPr>
        <w:t>。</w:t>
      </w:r>
      <w:bookmarkEnd w:id="12"/>
      <w:r>
        <w:rPr>
          <w:rFonts w:hint="eastAsia"/>
          <w:color w:val="000000" w:themeColor="text1"/>
          <w:sz w:val="24"/>
          <w14:textFill>
            <w14:solidFill>
              <w14:schemeClr w14:val="tx1"/>
            </w14:solidFill>
          </w14:textFill>
        </w:rPr>
        <w:t xml:space="preserve"> </w:t>
      </w:r>
    </w:p>
    <w:p w14:paraId="11ADAC77">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合同费用及付款方式</w:t>
      </w:r>
    </w:p>
    <w:p w14:paraId="4EBE1291">
      <w:pPr>
        <w:pStyle w:val="13"/>
        <w:spacing w:line="480" w:lineRule="exact"/>
        <w:ind w:left="567" w:firstLine="0" w:firstLineChars="0"/>
        <w:rPr>
          <w:color w:val="000000" w:themeColor="text1"/>
          <w:sz w:val="24"/>
          <w14:textFill>
            <w14:solidFill>
              <w14:schemeClr w14:val="tx1"/>
            </w14:solidFill>
          </w14:textFill>
        </w:rPr>
      </w:pPr>
      <w:bookmarkStart w:id="13" w:name="tip_risk_bookmark_11"/>
      <w:r>
        <w:rPr>
          <w:rFonts w:hint="eastAsia"/>
          <w:color w:val="000000" w:themeColor="text1"/>
          <w:sz w:val="24"/>
          <w14:textFill>
            <w14:solidFill>
              <w14:schemeClr w14:val="tx1"/>
            </w14:solidFill>
          </w14:textFill>
        </w:rPr>
        <w:t>为本协议之目的，甲方应向乙方支付的合同费用总额为含税人民币【】元（大写：【】</w:t>
      </w:r>
      <w:r>
        <w:rPr>
          <w:rFonts w:hint="eastAsia"/>
          <w:color w:val="000000" w:themeColor="text1"/>
          <w:sz w:val="24"/>
          <w:u w:val="single"/>
          <w14:textFill>
            <w14:solidFill>
              <w14:schemeClr w14:val="tx1"/>
            </w14:solidFill>
          </w14:textFill>
        </w:rPr>
        <w:t>元整</w:t>
      </w:r>
      <w:r>
        <w:rPr>
          <w:rFonts w:hint="eastAsia"/>
          <w:color w:val="000000" w:themeColor="text1"/>
          <w:sz w:val="24"/>
          <w14:textFill>
            <w14:solidFill>
              <w14:schemeClr w14:val="tx1"/>
            </w14:solidFill>
          </w14:textFill>
        </w:rPr>
        <w:t>），不含税金额为【】元</w:t>
      </w:r>
      <w:bookmarkStart w:id="14" w:name="_Hlk196295005"/>
      <w:r>
        <w:rPr>
          <w:rFonts w:hint="eastAsia"/>
          <w:color w:val="000000" w:themeColor="text1"/>
          <w:sz w:val="24"/>
          <w14:textFill>
            <w14:solidFill>
              <w14:schemeClr w14:val="tx1"/>
            </w14:solidFill>
          </w14:textFill>
        </w:rPr>
        <w:t>（大写：【】），税额为【】元</w:t>
      </w:r>
      <w:bookmarkEnd w:id="14"/>
      <w:r>
        <w:rPr>
          <w:rFonts w:hint="eastAsia"/>
          <w:color w:val="000000" w:themeColor="text1"/>
          <w:sz w:val="24"/>
          <w14:textFill>
            <w14:solidFill>
              <w14:schemeClr w14:val="tx1"/>
            </w14:solidFill>
          </w14:textFill>
        </w:rPr>
        <w:t>（大写：【】），税率为6%，费用明细见附件一，由甲方按照下述方式向乙方支付：</w:t>
      </w:r>
      <w:bookmarkEnd w:id="13"/>
    </w:p>
    <w:p w14:paraId="2F6D65C3">
      <w:pPr>
        <w:pStyle w:val="13"/>
        <w:numPr>
          <w:ilvl w:val="0"/>
          <w:numId w:val="0"/>
        </w:numPr>
        <w:spacing w:line="480" w:lineRule="exact"/>
        <w:ind w:left="927" w:hanging="360" w:firstLineChars="0"/>
        <w:rPr>
          <w:color w:val="000000" w:themeColor="text1"/>
          <w:sz w:val="24"/>
          <w14:textFill>
            <w14:solidFill>
              <w14:schemeClr w14:val="tx1"/>
            </w14:solidFill>
          </w14:textFill>
        </w:rPr>
      </w:pPr>
      <w:bookmarkStart w:id="15" w:name="auto_fouce_12"/>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付款日期及比例：</w:t>
      </w:r>
      <w:bookmarkEnd w:id="15"/>
    </w:p>
    <w:p w14:paraId="12E5B0CD">
      <w:pPr>
        <w:pStyle w:val="13"/>
        <w:spacing w:line="480" w:lineRule="exact"/>
        <w:ind w:left="718" w:leftChars="342" w:firstLine="0"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本协议签订后【7】个工作日内（且不得晚于广告首次发布之日），甲方应当向乙方支付合同费用总额的【50】%，即含税人民币【】元（大写：【】</w:t>
      </w:r>
      <w:r>
        <w:rPr>
          <w:rFonts w:hint="eastAsia"/>
          <w:color w:val="000000" w:themeColor="text1"/>
          <w:sz w:val="24"/>
          <w:u w:val="single"/>
          <w14:textFill>
            <w14:solidFill>
              <w14:schemeClr w14:val="tx1"/>
            </w14:solidFill>
          </w14:textFill>
        </w:rPr>
        <w:t>元整</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本协议签订</w:t>
      </w:r>
      <w:r>
        <w:rPr>
          <w:rFonts w:hint="eastAsia"/>
          <w:color w:val="000000" w:themeColor="text1"/>
          <w:sz w:val="24"/>
          <w14:textFill>
            <w14:solidFill>
              <w14:schemeClr w14:val="tx1"/>
            </w14:solidFill>
          </w14:textFill>
        </w:rPr>
        <w:t>后【30】日内，甲方应当向乙方支付合同费用总额的【30】%，即含税人民币【】元（大写：【】</w:t>
      </w:r>
      <w:r>
        <w:rPr>
          <w:rFonts w:hint="eastAsia"/>
          <w:color w:val="000000" w:themeColor="text1"/>
          <w:sz w:val="24"/>
          <w:u w:val="single"/>
          <w14:textFill>
            <w14:solidFill>
              <w14:schemeClr w14:val="tx1"/>
            </w14:solidFill>
          </w14:textFill>
        </w:rPr>
        <w:t>元整</w:t>
      </w:r>
      <w:r>
        <w:rPr>
          <w:rFonts w:hint="eastAsia"/>
          <w:color w:val="000000" w:themeColor="text1"/>
          <w:sz w:val="24"/>
          <w14:textFill>
            <w14:solidFill>
              <w14:schemeClr w14:val="tx1"/>
            </w14:solidFill>
          </w14:textFill>
        </w:rPr>
        <w:t>）；本协议签订后【60】日内，甲方应当向乙方支付合同费用总额的【20】%，即含税人民币【】元（大写：【】</w:t>
      </w:r>
      <w:r>
        <w:rPr>
          <w:rFonts w:hint="eastAsia"/>
          <w:color w:val="000000" w:themeColor="text1"/>
          <w:sz w:val="24"/>
          <w:u w:val="single"/>
          <w14:textFill>
            <w14:solidFill>
              <w14:schemeClr w14:val="tx1"/>
            </w14:solidFill>
          </w14:textFill>
        </w:rPr>
        <w:t>元整</w:t>
      </w:r>
      <w:r>
        <w:rPr>
          <w:rFonts w:hint="eastAsia"/>
          <w:color w:val="000000" w:themeColor="text1"/>
          <w:sz w:val="24"/>
          <w14:textFill>
            <w14:solidFill>
              <w14:schemeClr w14:val="tx1"/>
            </w14:solidFill>
          </w14:textFill>
        </w:rPr>
        <w:t>）。</w:t>
      </w:r>
    </w:p>
    <w:p w14:paraId="25346A0C">
      <w:pPr>
        <w:pStyle w:val="13"/>
        <w:numPr>
          <w:ilvl w:val="0"/>
          <w:numId w:val="0"/>
        </w:numPr>
        <w:spacing w:line="480" w:lineRule="exact"/>
        <w:ind w:left="927" w:hanging="360"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乙方指定收款账户：</w:t>
      </w:r>
    </w:p>
    <w:p w14:paraId="7431098E">
      <w:pPr>
        <w:pStyle w:val="13"/>
        <w:spacing w:line="480" w:lineRule="exact"/>
        <w:ind w:left="927" w:firstLine="0" w:firstLineChars="0"/>
        <w:rPr>
          <w:color w:val="000000" w:themeColor="text1"/>
          <w:sz w:val="24"/>
          <w14:textFill>
            <w14:solidFill>
              <w14:schemeClr w14:val="tx1"/>
            </w14:solidFill>
          </w14:textFill>
        </w:rPr>
      </w:pPr>
      <w:bookmarkStart w:id="16" w:name="tip_risk_bookmark_15"/>
      <w:bookmarkStart w:id="17" w:name="OLE_LINK1"/>
      <w:r>
        <w:rPr>
          <w:rFonts w:hint="eastAsia"/>
          <w:color w:val="000000" w:themeColor="text1"/>
          <w:sz w:val="24"/>
          <w14:textFill>
            <w14:solidFill>
              <w14:schemeClr w14:val="tx1"/>
            </w14:solidFill>
          </w14:textFill>
        </w:rPr>
        <w:t>户名：</w:t>
      </w:r>
    </w:p>
    <w:p w14:paraId="161010C5">
      <w:pPr>
        <w:pStyle w:val="13"/>
        <w:spacing w:line="480" w:lineRule="exact"/>
        <w:ind w:left="927" w:firstLine="0"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开户银行：</w:t>
      </w:r>
      <w:r>
        <w:rPr>
          <w:color w:val="000000" w:themeColor="text1"/>
          <w:sz w:val="24"/>
          <w14:textFill>
            <w14:solidFill>
              <w14:schemeClr w14:val="tx1"/>
            </w14:solidFill>
          </w14:textFill>
        </w:rPr>
        <w:br w:type="textWrapping"/>
      </w:r>
      <w:r>
        <w:rPr>
          <w:rFonts w:hint="eastAsia"/>
          <w:color w:val="000000" w:themeColor="text1"/>
          <w:sz w:val="24"/>
          <w14:textFill>
            <w14:solidFill>
              <w14:schemeClr w14:val="tx1"/>
            </w14:solidFill>
          </w14:textFill>
        </w:rPr>
        <w:t>银行账号：</w:t>
      </w:r>
      <w:bookmarkEnd w:id="16"/>
      <w:bookmarkEnd w:id="17"/>
    </w:p>
    <w:p w14:paraId="5C395D50">
      <w:pPr>
        <w:pStyle w:val="13"/>
        <w:numPr>
          <w:ilvl w:val="0"/>
          <w:numId w:val="0"/>
        </w:numPr>
        <w:spacing w:line="480" w:lineRule="exact"/>
        <w:ind w:left="927" w:hanging="360"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甲方付款前，乙方应向甲方开具与甲方应付款金额等额的合法有效的增值税</w:t>
      </w:r>
      <w:r>
        <w:rPr>
          <w:rFonts w:hint="eastAsia"/>
          <w:color w:val="000000" w:themeColor="text1"/>
          <w:sz w:val="24"/>
          <w:lang w:val="en-US" w:eastAsia="zh-CN"/>
          <w14:textFill>
            <w14:solidFill>
              <w14:schemeClr w14:val="tx1"/>
            </w14:solidFill>
          </w14:textFill>
        </w:rPr>
        <w:t>普通</w:t>
      </w:r>
      <w:r>
        <w:rPr>
          <w:rFonts w:hint="eastAsia"/>
          <w:color w:val="000000" w:themeColor="text1"/>
          <w:sz w:val="24"/>
          <w14:textFill>
            <w14:solidFill>
              <w14:schemeClr w14:val="tx1"/>
            </w14:solidFill>
          </w14:textFill>
        </w:rPr>
        <w:t>发票，税率6</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w:t>
      </w:r>
    </w:p>
    <w:p w14:paraId="2B213AE9">
      <w:pPr>
        <w:pStyle w:val="13"/>
        <w:numPr>
          <w:ilvl w:val="0"/>
          <w:numId w:val="0"/>
        </w:numPr>
        <w:spacing w:line="480" w:lineRule="exact"/>
        <w:ind w:left="927" w:hanging="360"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甲方开票信息：</w:t>
      </w:r>
    </w:p>
    <w:p w14:paraId="743EAF1B">
      <w:pPr>
        <w:spacing w:line="480" w:lineRule="exact"/>
        <w:ind w:firstLine="900" w:firstLineChars="375"/>
        <w:rPr>
          <w:color w:val="000000" w:themeColor="text1"/>
          <w:sz w:val="24"/>
          <w14:textFill>
            <w14:solidFill>
              <w14:schemeClr w14:val="tx1"/>
            </w14:solidFill>
          </w14:textFill>
        </w:rPr>
      </w:pPr>
      <w:bookmarkStart w:id="18" w:name="tip_risk_bookmark_16"/>
      <w:r>
        <w:rPr>
          <w:rFonts w:hint="eastAsia"/>
          <w:color w:val="000000" w:themeColor="text1"/>
          <w:sz w:val="24"/>
          <w14:textFill>
            <w14:solidFill>
              <w14:schemeClr w14:val="tx1"/>
            </w14:solidFill>
          </w14:textFill>
        </w:rPr>
        <w:t xml:space="preserve">单位名称： </w:t>
      </w:r>
    </w:p>
    <w:p w14:paraId="1D80CD4E">
      <w:pPr>
        <w:pStyle w:val="13"/>
        <w:spacing w:line="480" w:lineRule="exact"/>
        <w:ind w:left="927" w:firstLine="0"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统一社会信用代码：</w:t>
      </w:r>
      <w:bookmarkEnd w:id="18"/>
    </w:p>
    <w:p w14:paraId="7E6FA52B">
      <w:pPr>
        <w:pStyle w:val="13"/>
        <w:numPr>
          <w:ilvl w:val="0"/>
          <w:numId w:val="0"/>
        </w:numPr>
        <w:spacing w:line="480" w:lineRule="exact"/>
        <w:ind w:left="927" w:hanging="360" w:firstLineChars="0"/>
        <w:rPr>
          <w:color w:val="000000" w:themeColor="text1"/>
          <w:sz w:val="24"/>
          <w14:textFill>
            <w14:solidFill>
              <w14:schemeClr w14:val="tx1"/>
            </w14:solidFill>
          </w14:textFill>
        </w:rPr>
      </w:pPr>
      <w:bookmarkStart w:id="19" w:name="auto_fouce_17"/>
      <w:r>
        <w:rPr>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如甲方未能按时支付乙方费用的，乙方有权延迟发布广告，直至甲方付款之日；广告排期因此发生变化的，乙方应尽合理努力予以调整，甲方承担因其逾期付款导致的排期变更后果。</w:t>
      </w:r>
      <w:bookmarkEnd w:id="19"/>
    </w:p>
    <w:p w14:paraId="6C791F7C">
      <w:pPr>
        <w:spacing w:line="600" w:lineRule="exact"/>
        <w:ind w:firstLine="638" w:firstLineChars="266"/>
        <w:rPr>
          <w:rFonts w:hint="eastAsia" w:ascii="Times New Roman" w:hAnsi="Times New Roman" w:cs="Times New Roman (正文 CS 字体)"/>
          <w:color w:val="000000" w:themeColor="text1"/>
          <w:sz w:val="24"/>
          <w:szCs w:val="24"/>
          <w14:textFill>
            <w14:solidFill>
              <w14:schemeClr w14:val="tx1"/>
            </w14:solidFill>
          </w14:textFill>
        </w:rPr>
      </w:pPr>
      <w:bookmarkStart w:id="20" w:name="auto_fouce_8"/>
      <w:bookmarkStart w:id="21" w:name="auto_fouce_18"/>
      <w:r>
        <w:rPr>
          <w:color w:val="000000" w:themeColor="text1"/>
          <w:sz w:val="24"/>
          <w14:textFill>
            <w14:solidFill>
              <w14:schemeClr w14:val="tx1"/>
            </w14:solidFill>
          </w14:textFill>
        </w:rPr>
        <w:t>6.</w:t>
      </w:r>
      <w:r>
        <w:rPr>
          <w:rFonts w:hint="eastAsia" w:ascii="Times New Roman" w:hAnsi="Times New Roman" w:cs="Times New Roman (正文 CS 字体)"/>
          <w:color w:val="000000" w:themeColor="text1"/>
          <w:spacing w:val="0"/>
          <w:sz w:val="24"/>
          <w:szCs w:val="24"/>
          <w14:textFill>
            <w14:solidFill>
              <w14:schemeClr w14:val="tx1"/>
            </w14:solidFill>
          </w14:textFill>
        </w:rPr>
        <w:t>涉及政府财政性资金支付的约定</w:t>
      </w:r>
    </w:p>
    <w:p w14:paraId="5D7F0F2E">
      <w:pPr>
        <w:spacing w:line="600" w:lineRule="exact"/>
        <w:ind w:left="958" w:leftChars="456" w:firstLine="0" w:firstLineChars="0"/>
        <w:rPr>
          <w:rFonts w:hint="eastAsia" w:ascii="Times New Roman" w:hAnsi="Times New Roman" w:cs="Times New Roman (正文 CS 字体)"/>
          <w:color w:val="000000" w:themeColor="text1"/>
          <w:spacing w:val="0"/>
          <w:sz w:val="24"/>
          <w:szCs w:val="24"/>
          <w14:textFill>
            <w14:solidFill>
              <w14:schemeClr w14:val="tx1"/>
            </w14:solidFill>
          </w14:textFill>
        </w:rPr>
      </w:pPr>
      <w:r>
        <w:rPr>
          <w:rFonts w:hint="eastAsia" w:ascii="Times New Roman" w:hAnsi="Times New Roman" w:cs="Times New Roman (正文 CS 字体)"/>
          <w:color w:val="000000" w:themeColor="text1"/>
          <w:spacing w:val="0"/>
          <w:sz w:val="24"/>
          <w:szCs w:val="24"/>
          <w14:textFill>
            <w14:solidFill>
              <w14:schemeClr w14:val="tx1"/>
            </w14:solidFill>
          </w14:textFill>
        </w:rPr>
        <w:t>本项目的资金来源于政府财政性资金，甲、乙双方对本合同的付款条件达成共识并做出如下约定：甲方在收到政府专项拨款后应及时按照合同的约定向乙方支付合同价款，但因政府财政性资金拨付延迟而导致甲方不能按照合同的约定及时向乙方支付合同价款时，</w:t>
      </w:r>
      <w:r>
        <w:rPr>
          <w:rFonts w:hint="eastAsia"/>
          <w:color w:val="000000" w:themeColor="text1"/>
          <w:sz w:val="24"/>
          <w14:textFill>
            <w14:solidFill>
              <w14:schemeClr w14:val="tx1"/>
            </w14:solidFill>
          </w14:textFill>
        </w:rPr>
        <w:t>在甲方提供相应证明材料的前提下，前述未及时支付合同价款的行为可不视为甲方违约</w:t>
      </w:r>
      <w:r>
        <w:rPr>
          <w:rFonts w:hint="eastAsia" w:ascii="Times New Roman" w:hAnsi="Times New Roman" w:cs="Times New Roman (正文 CS 字体)"/>
          <w:color w:val="000000" w:themeColor="text1"/>
          <w:spacing w:val="0"/>
          <w:sz w:val="24"/>
          <w:szCs w:val="24"/>
          <w14:textFill>
            <w14:solidFill>
              <w14:schemeClr w14:val="tx1"/>
            </w14:solidFill>
          </w14:textFill>
        </w:rPr>
        <w:t>。</w:t>
      </w:r>
      <w:bookmarkEnd w:id="20"/>
    </w:p>
    <w:p w14:paraId="1131411F">
      <w:pPr>
        <w:pStyle w:val="13"/>
        <w:numPr>
          <w:ilvl w:val="0"/>
          <w:numId w:val="0"/>
        </w:numPr>
        <w:spacing w:line="480" w:lineRule="exact"/>
        <w:ind w:left="927" w:hanging="360"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7.</w:t>
      </w:r>
      <w:r>
        <w:rPr>
          <w:rFonts w:hint="eastAsia"/>
          <w:color w:val="000000" w:themeColor="text1"/>
          <w:sz w:val="24"/>
          <w14:textFill>
            <w14:solidFill>
              <w14:schemeClr w14:val="tx1"/>
            </w14:solidFill>
          </w14:textFill>
        </w:rPr>
        <w:t>验收：乙方完成本协议及附件约定的全部服务后向甲方提供服务报告，甲方应在收到乙方提供的服务报告后【3】个工作日内进行验收。甲方对服务内容有异议的，双方依照本协议的约定协商解决；如甲方逾期未完成验收或未通知乙方验收是否合格，视为乙方提供的服务通过验收，甲方应依照本协议第四条之约定支付乙方全部费用。如甲乙双方对部分验收内容存在分歧，双方协商解决；对甲方验收合格的部分，甲方应支付乙方该合格部分对应的合同费用。</w:t>
      </w:r>
      <w:bookmarkEnd w:id="21"/>
    </w:p>
    <w:p w14:paraId="4BB17B44">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甲方权利与义务</w:t>
      </w:r>
    </w:p>
    <w:p w14:paraId="72D2B50B">
      <w:pPr>
        <w:pStyle w:val="13"/>
        <w:numPr>
          <w:ilvl w:val="0"/>
          <w:numId w:val="4"/>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方拟在新媒体平台账号投放的广告必须严格遵守《中华人民共和国广告法》、《中央电视台广告审查暂行标准》及其他相关适用法律法规的相关规定。甲方提供的广告内容必须真实合法，不得弄虚作假，不得欺骗或误导消费者，不得违反中华人民共和国的各项法律、法规、规章、规范性文件以及公共道德准则，不得以新闻报道形式发布广告，不得侵害任何第三方的合法权益。</w:t>
      </w:r>
    </w:p>
    <w:p w14:paraId="5D7808B8">
      <w:pPr>
        <w:pStyle w:val="13"/>
        <w:numPr>
          <w:ilvl w:val="0"/>
          <w:numId w:val="4"/>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如广告内容属于特殊广告的，在发布前应由广告审查机关对广告内容进行审查，甲方应在广告发布前依法申请广告审查并向乙方提供相关证明文件。如因甲方未通过前述审查导致任何后果的，由甲方全部承担，甲方亦应承担因此给乙方造成的全部损失。</w:t>
      </w:r>
    </w:p>
    <w:p w14:paraId="10F48563">
      <w:pPr>
        <w:pStyle w:val="13"/>
        <w:numPr>
          <w:ilvl w:val="0"/>
          <w:numId w:val="4"/>
        </w:numPr>
        <w:spacing w:line="480" w:lineRule="exact"/>
        <w:ind w:firstLineChars="0"/>
        <w:rPr>
          <w:color w:val="000000" w:themeColor="text1"/>
          <w:sz w:val="24"/>
          <w14:textFill>
            <w14:solidFill>
              <w14:schemeClr w14:val="tx1"/>
            </w14:solidFill>
          </w14:textFill>
        </w:rPr>
      </w:pPr>
      <w:bookmarkStart w:id="22" w:name="_Hlk109836428"/>
      <w:r>
        <w:rPr>
          <w:rFonts w:hint="eastAsia"/>
          <w:color w:val="000000" w:themeColor="text1"/>
          <w:sz w:val="24"/>
          <w14:textFill>
            <w14:solidFill>
              <w14:schemeClr w14:val="tx1"/>
            </w14:solidFill>
          </w14:textFill>
        </w:rPr>
        <w:t>甲方理解并认可，乙方在新媒体广告投放业务上需接受总台的管理及内容审查，总台有权对甲方拟投放的广告进行最终审核。乙方对甲方提供的广告的审定不代表该广告已获得总台的播放许可，如乙方审定甲方提供的广告后未获得总台的广告播放、投放许可，甲方应配合总台的要求对广告内容进行修改，甲方同意按总台要求提供相关证明文件（例如资质证明、技术证明、承诺函、免责声明等，具体内容及形式以总台要求为准）。如甲方不配合修改或不配合提供证明文件导致广告不能发布或延迟发布的，不视为乙方违约，乙方及总台均不承担任何责任</w:t>
      </w:r>
      <w:bookmarkEnd w:id="22"/>
      <w:r>
        <w:rPr>
          <w:rFonts w:hint="eastAsia"/>
          <w:color w:val="000000" w:themeColor="text1"/>
          <w:sz w:val="24"/>
          <w14:textFill>
            <w14:solidFill>
              <w14:schemeClr w14:val="tx1"/>
            </w14:solidFill>
          </w14:textFill>
        </w:rPr>
        <w:t>。</w:t>
      </w:r>
    </w:p>
    <w:p w14:paraId="74BF0FD1">
      <w:pPr>
        <w:pStyle w:val="13"/>
        <w:numPr>
          <w:ilvl w:val="0"/>
          <w:numId w:val="4"/>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甲方应按时足额向乙方支付广告费用。</w:t>
      </w:r>
    </w:p>
    <w:p w14:paraId="60CEC0B5">
      <w:pPr>
        <w:pStyle w:val="13"/>
        <w:numPr>
          <w:ilvl w:val="0"/>
          <w:numId w:val="4"/>
        </w:numPr>
        <w:spacing w:line="480" w:lineRule="exact"/>
        <w:ind w:firstLineChars="0"/>
        <w:rPr>
          <w:color w:val="000000" w:themeColor="text1"/>
          <w:sz w:val="24"/>
          <w14:textFill>
            <w14:solidFill>
              <w14:schemeClr w14:val="tx1"/>
            </w14:solidFill>
          </w14:textFill>
        </w:rPr>
      </w:pPr>
      <w:bookmarkStart w:id="23" w:name="tip_risk_bookmark_21"/>
      <w:r>
        <w:rPr>
          <w:rFonts w:hint="eastAsia"/>
          <w:color w:val="000000" w:themeColor="text1"/>
          <w:sz w:val="24"/>
          <w14:textFill>
            <w14:solidFill>
              <w14:schemeClr w14:val="tx1"/>
            </w14:solidFill>
          </w14:textFill>
        </w:rPr>
        <w:t>为本协议之目的，甲方需指派1名工作人员（姓名:【】指定邮箱:【】联系电话:【】）与乙方进行工作沟通和协调。</w:t>
      </w:r>
      <w:bookmarkEnd w:id="23"/>
    </w:p>
    <w:p w14:paraId="76C3BC4A">
      <w:pPr>
        <w:pStyle w:val="13"/>
        <w:numPr>
          <w:ilvl w:val="0"/>
          <w:numId w:val="4"/>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如因甲方未按本协议约定提前向乙方提供拟投放的广告及相关物料，或存在甲方提供的广告不完整、非法、不真实等瑕疵，造成乙方设计、制作、发布广告迟延或无法发布广告的，乙方不承担任何责任。</w:t>
      </w:r>
    </w:p>
    <w:p w14:paraId="4E1B493C">
      <w:pPr>
        <w:pStyle w:val="13"/>
        <w:numPr>
          <w:ilvl w:val="0"/>
          <w:numId w:val="4"/>
        </w:numPr>
        <w:spacing w:line="480" w:lineRule="exact"/>
        <w:ind w:firstLineChars="0"/>
        <w:rPr>
          <w:color w:val="000000" w:themeColor="text1"/>
          <w:sz w:val="24"/>
          <w14:textFill>
            <w14:solidFill>
              <w14:schemeClr w14:val="tx1"/>
            </w14:solidFill>
          </w14:textFill>
        </w:rPr>
      </w:pPr>
      <w:bookmarkStart w:id="24" w:name="_Hlk109836599"/>
      <w:bookmarkStart w:id="25" w:name="auto_fouce_22"/>
      <w:r>
        <w:rPr>
          <w:rFonts w:hint="eastAsia"/>
          <w:color w:val="000000" w:themeColor="text1"/>
          <w:sz w:val="24"/>
          <w14:textFill>
            <w14:solidFill>
              <w14:schemeClr w14:val="tx1"/>
            </w14:solidFill>
          </w14:textFill>
        </w:rPr>
        <w:t>甲方如对广告的投放情况存在异议（包括认为存在错播、漏播），甲方应在收到乙方提供的对应投放记录或服务报告发布后3日内以书面方式向乙方提出，否则视为乙方已按照本协议约定履行了其全部义务。甲方在前述期限内提出书面异议的，经总台确认存在错播、漏播情况的，乙方应按错播、漏播的时长或频次对应比例为甲方安排补播。</w:t>
      </w:r>
      <w:bookmarkEnd w:id="24"/>
      <w:bookmarkEnd w:id="25"/>
    </w:p>
    <w:p w14:paraId="2007A29D">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乙方权利与义务</w:t>
      </w:r>
    </w:p>
    <w:p w14:paraId="5FF618DB">
      <w:pPr>
        <w:pStyle w:val="13"/>
        <w:numPr>
          <w:ilvl w:val="0"/>
          <w:numId w:val="5"/>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乙方有权审查甲方拟在新媒体平台账号上投放的广告内容、广告形式及相关广告物料，有权要求甲方作出修改，甲方拒不修改的，乙方有权拒绝发布，因此造成的广告延期播出或无法播出及相应损失由甲方自行承担。</w:t>
      </w:r>
    </w:p>
    <w:p w14:paraId="7F246FC2">
      <w:pPr>
        <w:pStyle w:val="13"/>
        <w:numPr>
          <w:ilvl w:val="0"/>
          <w:numId w:val="5"/>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乙方应严格按照本协议【附件一】约定，于本协议期限内在新媒体平台账号上完成广告播放，因甲方原因导致服务内容未完成的，视为甲方放弃相关权益。</w:t>
      </w:r>
    </w:p>
    <w:p w14:paraId="0A07829E">
      <w:pPr>
        <w:pStyle w:val="13"/>
        <w:numPr>
          <w:ilvl w:val="0"/>
          <w:numId w:val="5"/>
        </w:numPr>
        <w:spacing w:line="480" w:lineRule="exact"/>
        <w:ind w:firstLineChars="0"/>
        <w:rPr>
          <w:color w:val="000000" w:themeColor="text1"/>
          <w:sz w:val="24"/>
          <w14:textFill>
            <w14:solidFill>
              <w14:schemeClr w14:val="tx1"/>
            </w14:solidFill>
          </w14:textFill>
        </w:rPr>
      </w:pPr>
      <w:bookmarkStart w:id="26" w:name="tip_risk_bookmark_24"/>
      <w:r>
        <w:rPr>
          <w:rFonts w:hint="eastAsia"/>
          <w:color w:val="000000" w:themeColor="text1"/>
          <w:sz w:val="24"/>
          <w14:textFill>
            <w14:solidFill>
              <w14:schemeClr w14:val="tx1"/>
            </w14:solidFill>
          </w14:textFill>
        </w:rPr>
        <w:t>为本协议之目的，乙方需指派1名工作人员（姓名:【】指定邮箱:【】联系电话:【】）与甲方进行工作沟通和协调。</w:t>
      </w:r>
      <w:bookmarkEnd w:id="26"/>
      <w:r>
        <w:rPr>
          <w:color w:val="000000" w:themeColor="text1"/>
          <w:sz w:val="24"/>
          <w14:textFill>
            <w14:solidFill>
              <w14:schemeClr w14:val="tx1"/>
            </w14:solidFill>
          </w14:textFill>
        </w:rPr>
        <w:t xml:space="preserve"> </w:t>
      </w:r>
    </w:p>
    <w:p w14:paraId="73E8470B">
      <w:pPr>
        <w:pStyle w:val="13"/>
        <w:numPr>
          <w:ilvl w:val="0"/>
          <w:numId w:val="5"/>
        </w:numPr>
        <w:spacing w:line="480" w:lineRule="exact"/>
        <w:ind w:firstLineChars="0"/>
        <w:rPr>
          <w:color w:val="000000" w:themeColor="text1"/>
          <w:sz w:val="24"/>
          <w14:textFill>
            <w14:solidFill>
              <w14:schemeClr w14:val="tx1"/>
            </w14:solidFill>
          </w14:textFill>
        </w:rPr>
      </w:pPr>
      <w:bookmarkStart w:id="27" w:name="tip_risk_bookmark_25"/>
      <w:r>
        <w:rPr>
          <w:rFonts w:hint="eastAsia"/>
          <w:color w:val="000000" w:themeColor="text1"/>
          <w:sz w:val="24"/>
          <w14:textFill>
            <w14:solidFill>
              <w14:schemeClr w14:val="tx1"/>
            </w14:solidFill>
          </w14:textFill>
        </w:rPr>
        <w:t>总台新媒体账号只负责发布，如平台方依据其相关商业规则进行屏蔽或限流，不视为乙方违约。</w:t>
      </w:r>
      <w:bookmarkEnd w:id="27"/>
    </w:p>
    <w:p w14:paraId="3A9FD7EB">
      <w:pPr>
        <w:pStyle w:val="14"/>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声明与保证</w:t>
      </w:r>
    </w:p>
    <w:p w14:paraId="212B2CBD">
      <w:pPr>
        <w:pStyle w:val="14"/>
        <w:spacing w:before="156" w:beforeLines="50" w:after="156" w:afterLines="50" w:line="480" w:lineRule="exact"/>
        <w:ind w:left="567" w:firstLine="0"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甲乙双方分别向对方声明与保证如下：</w:t>
      </w:r>
    </w:p>
    <w:p w14:paraId="10600463">
      <w:pPr>
        <w:pStyle w:val="14"/>
        <w:numPr>
          <w:ilvl w:val="0"/>
          <w:numId w:val="6"/>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其具有完全、独立的法律地位和法律能力签署、交付并履行本协议；</w:t>
      </w:r>
    </w:p>
    <w:p w14:paraId="4E950682">
      <w:pPr>
        <w:pStyle w:val="14"/>
        <w:numPr>
          <w:ilvl w:val="0"/>
          <w:numId w:val="6"/>
        </w:numPr>
        <w:spacing w:line="480" w:lineRule="exact"/>
        <w:ind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其有资格从事本协议项下之交易，而该等交易符合其经营范围之规定</w:t>
      </w:r>
      <w:r>
        <w:rPr>
          <w:rFonts w:hint="eastAsia"/>
          <w:color w:val="000000" w:themeColor="text1"/>
          <w:sz w:val="24"/>
          <w14:textFill>
            <w14:solidFill>
              <w14:schemeClr w14:val="tx1"/>
            </w14:solidFill>
          </w14:textFill>
        </w:rPr>
        <w:t>；</w:t>
      </w:r>
    </w:p>
    <w:p w14:paraId="46277A13">
      <w:pPr>
        <w:pStyle w:val="14"/>
        <w:numPr>
          <w:ilvl w:val="0"/>
          <w:numId w:val="6"/>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其授权代表拥有充分授权代表其签署本协议，本协议一经签署即对其具有法律约束力；</w:t>
      </w:r>
    </w:p>
    <w:p w14:paraId="7383045D">
      <w:pPr>
        <w:pStyle w:val="14"/>
        <w:numPr>
          <w:ilvl w:val="0"/>
          <w:numId w:val="6"/>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其签署和履行本协议并不会导致违反中国适用法律的规定，也不违反对其具有约束力的任何合同性文件的规定，或者与之有利益冲突；</w:t>
      </w:r>
    </w:p>
    <w:p w14:paraId="044B5F59">
      <w:pPr>
        <w:pStyle w:val="14"/>
        <w:numPr>
          <w:ilvl w:val="0"/>
          <w:numId w:val="6"/>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应乙方要求，甲</w:t>
      </w:r>
      <w:r>
        <w:rPr>
          <w:color w:val="000000" w:themeColor="text1"/>
          <w:sz w:val="24"/>
          <w14:textFill>
            <w14:solidFill>
              <w14:schemeClr w14:val="tx1"/>
            </w14:solidFill>
          </w14:textFill>
        </w:rPr>
        <w:t>方应提供其营业执照</w:t>
      </w:r>
      <w:r>
        <w:rPr>
          <w:rFonts w:hint="eastAsia"/>
          <w:color w:val="000000" w:themeColor="text1"/>
          <w:sz w:val="24"/>
          <w14:textFill>
            <w14:solidFill>
              <w14:schemeClr w14:val="tx1"/>
            </w14:solidFill>
          </w14:textFill>
        </w:rPr>
        <w:t>、甲方与其代理的客户签订的广告发布授权书（如有）及其他根据法律法规要求应当具备的资质证明文件复印件</w:t>
      </w:r>
      <w:r>
        <w:rPr>
          <w:color w:val="000000" w:themeColor="text1"/>
          <w:sz w:val="24"/>
          <w14:textFill>
            <w14:solidFill>
              <w14:schemeClr w14:val="tx1"/>
            </w14:solidFill>
          </w14:textFill>
        </w:rPr>
        <w:t>（须加盖公章）</w:t>
      </w:r>
      <w:r>
        <w:rPr>
          <w:rFonts w:hint="eastAsia"/>
          <w:color w:val="000000" w:themeColor="text1"/>
          <w:sz w:val="24"/>
          <w14:textFill>
            <w14:solidFill>
              <w14:schemeClr w14:val="tx1"/>
            </w14:solidFill>
          </w14:textFill>
        </w:rPr>
        <w:t>，并提供原件备查。</w:t>
      </w:r>
    </w:p>
    <w:p w14:paraId="338AF187">
      <w:pPr>
        <w:pStyle w:val="14"/>
        <w:numPr>
          <w:ilvl w:val="0"/>
          <w:numId w:val="6"/>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如甲方系代理应确保已获得合法授权，如甲方未取得广告主之合法有效授权或提供虚假材料的，即属于严重违约，甲方应</w:t>
      </w:r>
      <w:r>
        <w:rPr>
          <w:color w:val="000000" w:themeColor="text1"/>
          <w:sz w:val="24"/>
          <w14:textFill>
            <w14:solidFill>
              <w14:schemeClr w14:val="tx1"/>
            </w14:solidFill>
          </w14:textFill>
        </w:rPr>
        <w:t>向乙方支付本协议总金额</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20%</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的违约金，违约金不足以弥补乙方全部损失的，甲方</w:t>
      </w:r>
      <w:r>
        <w:rPr>
          <w:rFonts w:hint="eastAsia"/>
          <w:color w:val="000000" w:themeColor="text1"/>
          <w:sz w:val="24"/>
          <w14:textFill>
            <w14:solidFill>
              <w14:schemeClr w14:val="tx1"/>
            </w14:solidFill>
          </w14:textFill>
        </w:rPr>
        <w:t>应按损失金额足额赔偿乙方。同时，乙方有权解除本协议并立即下线甲方投放的广告。</w:t>
      </w:r>
    </w:p>
    <w:p w14:paraId="14CF6DEC">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bookmarkStart w:id="28" w:name="auto_fouce_26"/>
      <w:r>
        <w:rPr>
          <w:rFonts w:hint="eastAsia"/>
          <w:b/>
          <w:bCs/>
          <w:color w:val="000000" w:themeColor="text1"/>
          <w:sz w:val="24"/>
          <w14:textFill>
            <w14:solidFill>
              <w14:schemeClr w14:val="tx1"/>
            </w14:solidFill>
          </w14:textFill>
        </w:rPr>
        <w:t>违约责任</w:t>
      </w:r>
      <w:bookmarkEnd w:id="28"/>
    </w:p>
    <w:p w14:paraId="6D945233">
      <w:pPr>
        <w:pStyle w:val="13"/>
        <w:numPr>
          <w:ilvl w:val="0"/>
          <w:numId w:val="7"/>
        </w:numPr>
        <w:spacing w:line="480" w:lineRule="exact"/>
        <w:ind w:firstLineChars="0"/>
        <w:rPr>
          <w:color w:val="000000" w:themeColor="text1"/>
          <w:sz w:val="24"/>
          <w14:textFill>
            <w14:solidFill>
              <w14:schemeClr w14:val="tx1"/>
            </w14:solidFill>
          </w14:textFill>
        </w:rPr>
      </w:pPr>
      <w:bookmarkStart w:id="29" w:name="auto_fouce_27"/>
      <w:r>
        <w:rPr>
          <w:rFonts w:hint="eastAsia"/>
          <w:color w:val="000000" w:themeColor="text1"/>
          <w:sz w:val="24"/>
          <w14:textFill>
            <w14:solidFill>
              <w14:schemeClr w14:val="tx1"/>
            </w14:solidFill>
          </w14:textFill>
        </w:rPr>
        <w:t>甲方理解并认可，中国相关法律法规对广告发布有严格的规定，且新媒体平台账号及相关内容发布应接受总台的严格审查。如因甲方提供的广告用语、广告设计等内容或形式不符合法律法规的规定或总台的审查规定，导致乙方未能发布甲方提供的广告、因发布甲方提供的广告被有关政府部门批评、处罚或有关部门勒令停止发布该等广告的，乙方有权立即停止发布广告和/或终止本协议，且无需承担任何违约责任，但乙方应将处罚情况及时通知甲方。如乙方遭受任何处罚的，甲方有义务就乙方遭受的处罚向乙方作出同等金额的赔偿，甲方应在接到乙方通知后</w:t>
      </w:r>
      <w:r>
        <w:rPr>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日内将相关款项支付给乙方。</w:t>
      </w:r>
      <w:bookmarkEnd w:id="29"/>
    </w:p>
    <w:p w14:paraId="6E224E0F">
      <w:pPr>
        <w:pStyle w:val="13"/>
        <w:numPr>
          <w:ilvl w:val="0"/>
          <w:numId w:val="7"/>
        </w:numPr>
        <w:spacing w:line="480" w:lineRule="exact"/>
        <w:ind w:firstLineChars="0"/>
        <w:rPr>
          <w:color w:val="000000" w:themeColor="text1"/>
          <w:sz w:val="24"/>
          <w14:textFill>
            <w14:solidFill>
              <w14:schemeClr w14:val="tx1"/>
            </w14:solidFill>
          </w14:textFill>
        </w:rPr>
      </w:pPr>
      <w:bookmarkStart w:id="30" w:name="_Hlk109837155"/>
      <w:bookmarkStart w:id="31" w:name="auto_fouce_28"/>
      <w:bookmarkStart w:id="32" w:name="tip_risk_bookmark_29"/>
      <w:r>
        <w:rPr>
          <w:rFonts w:hint="eastAsia"/>
          <w:color w:val="000000" w:themeColor="text1"/>
          <w:sz w:val="24"/>
          <w14:textFill>
            <w14:solidFill>
              <w14:schemeClr w14:val="tx1"/>
            </w14:solidFill>
          </w14:textFill>
        </w:rPr>
        <w:t>如甲方逾期支付本协议项下广告费用，则每逾期1日，甲方应向乙方支付相当于逾期未付款项【0</w:t>
      </w:r>
      <w:r>
        <w:rPr>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的违约金。甲方逾期付款超过【10】日，乙方有权停止发布并撤回全部已发布的广告；甲方逾期付款超过【15】日，乙方有权单方面终止本协议，并要求甲方支付本协议总金额【20%】的违约金，且甲方应支付乙方已经履行的服务的全部费用</w:t>
      </w:r>
      <w:bookmarkEnd w:id="30"/>
      <w:r>
        <w:rPr>
          <w:rFonts w:hint="eastAsia"/>
          <w:color w:val="000000" w:themeColor="text1"/>
          <w:sz w:val="24"/>
          <w14:textFill>
            <w14:solidFill>
              <w14:schemeClr w14:val="tx1"/>
            </w14:solidFill>
          </w14:textFill>
        </w:rPr>
        <w:t>。</w:t>
      </w:r>
      <w:bookmarkEnd w:id="31"/>
      <w:bookmarkEnd w:id="32"/>
    </w:p>
    <w:p w14:paraId="20FAE15A">
      <w:pPr>
        <w:pStyle w:val="14"/>
        <w:numPr>
          <w:ilvl w:val="0"/>
          <w:numId w:val="7"/>
        </w:numPr>
        <w:spacing w:line="480" w:lineRule="exact"/>
        <w:ind w:firstLineChars="0"/>
        <w:rPr>
          <w:color w:val="000000" w:themeColor="text1"/>
          <w:sz w:val="24"/>
          <w14:textFill>
            <w14:solidFill>
              <w14:schemeClr w14:val="tx1"/>
            </w14:solidFill>
          </w14:textFill>
        </w:rPr>
      </w:pPr>
      <w:bookmarkStart w:id="33" w:name="auto_fouce_30"/>
      <w:r>
        <w:rPr>
          <w:rFonts w:hint="eastAsia"/>
          <w:color w:val="000000" w:themeColor="text1"/>
          <w:sz w:val="24"/>
          <w14:textFill>
            <w14:solidFill>
              <w14:schemeClr w14:val="tx1"/>
            </w14:solidFill>
          </w14:textFill>
        </w:rPr>
        <w:t>如甲方或甲方代理的客户（如有）出现</w:t>
      </w:r>
      <w:r>
        <w:rPr>
          <w:color w:val="000000" w:themeColor="text1"/>
          <w:sz w:val="24"/>
          <w14:textFill>
            <w14:solidFill>
              <w14:schemeClr w14:val="tx1"/>
            </w14:solidFill>
          </w14:textFill>
        </w:rPr>
        <w:t>著作权、</w:t>
      </w:r>
      <w:r>
        <w:rPr>
          <w:rFonts w:hint="eastAsia"/>
          <w:color w:val="000000" w:themeColor="text1"/>
          <w:sz w:val="24"/>
          <w14:textFill>
            <w14:solidFill>
              <w14:schemeClr w14:val="tx1"/>
            </w14:solidFill>
          </w14:textFill>
        </w:rPr>
        <w:t>商标权、</w:t>
      </w:r>
      <w:r>
        <w:rPr>
          <w:color w:val="000000" w:themeColor="text1"/>
          <w:sz w:val="24"/>
          <w14:textFill>
            <w14:solidFill>
              <w14:schemeClr w14:val="tx1"/>
            </w14:solidFill>
          </w14:textFill>
        </w:rPr>
        <w:t>肖像权、姓名权、名誉权</w:t>
      </w:r>
      <w:r>
        <w:rPr>
          <w:rFonts w:hint="eastAsia"/>
          <w:color w:val="000000" w:themeColor="text1"/>
          <w:sz w:val="24"/>
          <w14:textFill>
            <w14:solidFill>
              <w14:schemeClr w14:val="tx1"/>
            </w14:solidFill>
          </w14:textFill>
        </w:rPr>
        <w:t>、产品质量问题</w:t>
      </w:r>
      <w:r>
        <w:rPr>
          <w:color w:val="000000" w:themeColor="text1"/>
          <w:sz w:val="24"/>
          <w14:textFill>
            <w14:solidFill>
              <w14:schemeClr w14:val="tx1"/>
            </w14:solidFill>
          </w14:textFill>
        </w:rPr>
        <w:t>等纠纷，或者误导、欺骗公众和消费者</w:t>
      </w:r>
      <w:r>
        <w:rPr>
          <w:rFonts w:hint="eastAsia"/>
          <w:color w:val="000000" w:themeColor="text1"/>
          <w:sz w:val="24"/>
          <w14:textFill>
            <w14:solidFill>
              <w14:schemeClr w14:val="tx1"/>
            </w14:solidFill>
          </w14:textFill>
        </w:rPr>
        <w:t>，或者违反国家宣传政策和舆论导向，或出现其他任何违法违规行为，或出现任何负面新闻的，乙方有权立即下线相关广告。因上述原因使乙方</w:t>
      </w:r>
      <w:r>
        <w:rPr>
          <w:color w:val="000000" w:themeColor="text1"/>
          <w:sz w:val="24"/>
          <w14:textFill>
            <w14:solidFill>
              <w14:schemeClr w14:val="tx1"/>
            </w14:solidFill>
          </w14:textFill>
        </w:rPr>
        <w:t>遭受</w:t>
      </w:r>
      <w:r>
        <w:rPr>
          <w:rFonts w:hint="eastAsia"/>
          <w:color w:val="000000" w:themeColor="text1"/>
          <w:sz w:val="24"/>
          <w14:textFill>
            <w14:solidFill>
              <w14:schemeClr w14:val="tx1"/>
            </w14:solidFill>
          </w14:textFill>
        </w:rPr>
        <w:t>投诉、</w:t>
      </w:r>
      <w:r>
        <w:rPr>
          <w:color w:val="000000" w:themeColor="text1"/>
          <w:sz w:val="24"/>
          <w14:textFill>
            <w14:solidFill>
              <w14:schemeClr w14:val="tx1"/>
            </w14:solidFill>
          </w14:textFill>
        </w:rPr>
        <w:t>行政处罚和司法追究</w:t>
      </w:r>
      <w:r>
        <w:rPr>
          <w:rFonts w:hint="eastAsia"/>
          <w:color w:val="000000" w:themeColor="text1"/>
          <w:sz w:val="24"/>
          <w14:textFill>
            <w14:solidFill>
              <w14:schemeClr w14:val="tx1"/>
            </w14:solidFill>
          </w14:textFill>
        </w:rPr>
        <w:t>的</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由</w:t>
      </w:r>
      <w:r>
        <w:rPr>
          <w:color w:val="000000" w:themeColor="text1"/>
          <w:sz w:val="24"/>
          <w14:textFill>
            <w14:solidFill>
              <w14:schemeClr w14:val="tx1"/>
            </w14:solidFill>
          </w14:textFill>
        </w:rPr>
        <w:t>甲方</w:t>
      </w:r>
      <w:r>
        <w:rPr>
          <w:rFonts w:hint="eastAsia"/>
          <w:color w:val="000000" w:themeColor="text1"/>
          <w:sz w:val="24"/>
          <w14:textFill>
            <w14:solidFill>
              <w14:schemeClr w14:val="tx1"/>
            </w14:solidFill>
          </w14:textFill>
        </w:rPr>
        <w:t>承担全部责任，甲方有义务就乙方遭受的处罚或乙方支付给第三方的赔偿向乙方作出同等金额的赔偿，甲方应在接到乙方通知后</w:t>
      </w:r>
      <w:r>
        <w:rPr>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日内将相关款项支付给乙方。</w:t>
      </w:r>
      <w:bookmarkEnd w:id="33"/>
    </w:p>
    <w:p w14:paraId="35198611">
      <w:pPr>
        <w:pStyle w:val="13"/>
        <w:numPr>
          <w:ilvl w:val="0"/>
          <w:numId w:val="7"/>
        </w:numPr>
        <w:spacing w:line="480" w:lineRule="exact"/>
        <w:ind w:firstLineChars="0"/>
        <w:rPr>
          <w:color w:val="000000" w:themeColor="text1"/>
          <w:sz w:val="24"/>
          <w14:textFill>
            <w14:solidFill>
              <w14:schemeClr w14:val="tx1"/>
            </w14:solidFill>
          </w14:textFill>
        </w:rPr>
      </w:pPr>
      <w:bookmarkStart w:id="34" w:name="auto_fouce_31"/>
      <w:r>
        <w:rPr>
          <w:rFonts w:hint="eastAsia"/>
          <w:color w:val="000000" w:themeColor="text1"/>
          <w:sz w:val="24"/>
          <w14:textFill>
            <w14:solidFill>
              <w14:schemeClr w14:val="tx1"/>
            </w14:solidFill>
          </w14:textFill>
        </w:rPr>
        <w:t>本协议签订后，甲方不得无正当理由单方解除本协议；如乙方存在根本违约行为（即乙方</w:t>
      </w:r>
      <w:r>
        <w:rPr>
          <w:color w:val="000000" w:themeColor="text1"/>
          <w:sz w:val="24"/>
          <w14:textFill>
            <w14:solidFill>
              <w14:schemeClr w14:val="tx1"/>
            </w14:solidFill>
          </w14:textFill>
        </w:rPr>
        <w:t>未按约定</w:t>
      </w:r>
      <w:r>
        <w:rPr>
          <w:rFonts w:hint="eastAsia"/>
          <w:color w:val="000000" w:themeColor="text1"/>
          <w:sz w:val="24"/>
          <w14:textFill>
            <w14:solidFill>
              <w14:schemeClr w14:val="tx1"/>
            </w14:solidFill>
          </w14:textFill>
        </w:rPr>
        <w:t>向总台报播甲方的</w:t>
      </w:r>
      <w:r>
        <w:rPr>
          <w:color w:val="000000" w:themeColor="text1"/>
          <w:sz w:val="24"/>
          <w14:textFill>
            <w14:solidFill>
              <w14:schemeClr w14:val="tx1"/>
            </w14:solidFill>
          </w14:textFill>
        </w:rPr>
        <w:t>广告且无正当理由的</w:t>
      </w:r>
      <w:r>
        <w:rPr>
          <w:rFonts w:hint="eastAsia"/>
          <w:color w:val="000000" w:themeColor="text1"/>
          <w:sz w:val="24"/>
          <w14:textFill>
            <w14:solidFill>
              <w14:schemeClr w14:val="tx1"/>
            </w14:solidFill>
          </w14:textFill>
        </w:rPr>
        <w:t>），甲方有权要求乙方退还未履行部分对应的费用。协议解除后，甲方仅需支付乙方已实际完成且经甲方验收合格部分对应的广告投放费用；如甲方无正当理由单方解除，乙方有权要求甲方支付已履行服务对应的费用及合理违约金。</w:t>
      </w:r>
      <w:bookmarkEnd w:id="34"/>
    </w:p>
    <w:p w14:paraId="2F391451">
      <w:pPr>
        <w:pStyle w:val="13"/>
        <w:numPr>
          <w:ilvl w:val="0"/>
          <w:numId w:val="7"/>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双方应当严格按照合同履行，任何一方违约，在收到守约方书面要求其履行其义务的通知后 15 日内仍拒不履行或不予采取补救措施的，守约方可通过向该违约方发出书面通知的方式单方终止本合同，并且违约方应赔偿守约方遭受的全部损失，包括但不限于直接损失、间接损失以及为主张权利而支出的诉讼费、律师费、公证费、保全费、差旅费等维权成本及</w:t>
      </w:r>
      <w:r>
        <w:rPr>
          <w:color w:val="000000" w:themeColor="text1"/>
          <w:sz w:val="24"/>
          <w14:textFill>
            <w14:solidFill>
              <w14:schemeClr w14:val="tx1"/>
            </w14:solidFill>
          </w14:textFill>
        </w:rPr>
        <w:t>费用</w:t>
      </w:r>
      <w:r>
        <w:rPr>
          <w:rFonts w:hint="eastAsia"/>
          <w:color w:val="000000" w:themeColor="text1"/>
          <w:sz w:val="24"/>
          <w14:textFill>
            <w14:solidFill>
              <w14:schemeClr w14:val="tx1"/>
            </w14:solidFill>
          </w14:textFill>
        </w:rPr>
        <w:t>。</w:t>
      </w:r>
      <w:bookmarkStart w:id="35" w:name="auto_fouce_32"/>
    </w:p>
    <w:p w14:paraId="32097C31">
      <w:pPr>
        <w:pStyle w:val="13"/>
        <w:numPr>
          <w:ilvl w:val="0"/>
          <w:numId w:val="7"/>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乙方未按附件一约定发布广告的，每发生一次错播、漏播，且甲方有权要求乙方在合理期限内补发；乙方逾期无故未补发的，甲方有权解除合同，并要求乙方退还甲方已支付的未履行部分的对应费用。</w:t>
      </w:r>
      <w:bookmarkEnd w:id="35"/>
    </w:p>
    <w:p w14:paraId="78104DBE">
      <w:pPr>
        <w:pStyle w:val="14"/>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免责条款</w:t>
      </w:r>
    </w:p>
    <w:p w14:paraId="24836A6F">
      <w:pPr>
        <w:spacing w:line="480" w:lineRule="exact"/>
        <w:ind w:firstLine="600" w:firstLineChars="2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双方同意，就下列情形，甲方认可不视为乙方违约：</w:t>
      </w:r>
    </w:p>
    <w:p w14:paraId="6096FA44">
      <w:pPr>
        <w:pStyle w:val="14"/>
        <w:numPr>
          <w:ilvl w:val="0"/>
          <w:numId w:val="8"/>
        </w:numPr>
        <w:spacing w:line="480" w:lineRule="exact"/>
        <w:ind w:firstLineChars="0"/>
        <w:rPr>
          <w:color w:val="000000" w:themeColor="text1"/>
          <w:sz w:val="24"/>
          <w14:textFill>
            <w14:solidFill>
              <w14:schemeClr w14:val="tx1"/>
            </w14:solidFill>
          </w14:textFill>
        </w:rPr>
      </w:pPr>
      <w:bookmarkStart w:id="36" w:name="auto_fouce_33"/>
      <w:r>
        <w:rPr>
          <w:rFonts w:hint="eastAsia"/>
          <w:color w:val="000000" w:themeColor="text1"/>
          <w:sz w:val="24"/>
          <w14:textFill>
            <w14:solidFill>
              <w14:schemeClr w14:val="tx1"/>
            </w14:solidFill>
          </w14:textFill>
        </w:rPr>
        <w:t>甲方理解，基于政府主管部门、总台的宣传政策或乙方经营工作整体利益考虑，新媒体平台账号的内容、版面布局、页面设计等有关方面如需进行调整而影响本协议项下广告内容的发布（包括但不限于发布位置和</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或发布期限等），</w:t>
      </w:r>
      <w:r>
        <w:rPr>
          <w:color w:val="000000" w:themeColor="text1"/>
          <w:sz w:val="24"/>
          <w14:textFill>
            <w14:solidFill>
              <w14:schemeClr w14:val="tx1"/>
            </w14:solidFill>
          </w14:textFill>
        </w:rPr>
        <w:t>不视为</w:t>
      </w:r>
      <w:r>
        <w:rPr>
          <w:rFonts w:hint="eastAsia"/>
          <w:color w:val="000000" w:themeColor="text1"/>
          <w:sz w:val="24"/>
          <w14:textFill>
            <w14:solidFill>
              <w14:schemeClr w14:val="tx1"/>
            </w14:solidFill>
          </w14:textFill>
        </w:rPr>
        <w:t>乙</w:t>
      </w:r>
      <w:r>
        <w:rPr>
          <w:color w:val="000000" w:themeColor="text1"/>
          <w:sz w:val="24"/>
          <w14:textFill>
            <w14:solidFill>
              <w14:schemeClr w14:val="tx1"/>
            </w14:solidFill>
          </w14:textFill>
        </w:rPr>
        <w:t>方违约，</w:t>
      </w:r>
      <w:r>
        <w:rPr>
          <w:rFonts w:hint="eastAsia"/>
          <w:color w:val="000000" w:themeColor="text1"/>
          <w:sz w:val="24"/>
          <w14:textFill>
            <w14:solidFill>
              <w14:schemeClr w14:val="tx1"/>
            </w14:solidFill>
          </w14:textFill>
        </w:rPr>
        <w:t>但乙方应尽可能将上述影响降低至最低程度，并尽快通知甲方。</w:t>
      </w:r>
      <w:bookmarkEnd w:id="36"/>
    </w:p>
    <w:p w14:paraId="1B0BE9A8">
      <w:pPr>
        <w:pStyle w:val="14"/>
        <w:numPr>
          <w:ilvl w:val="0"/>
          <w:numId w:val="8"/>
        </w:numPr>
        <w:spacing w:line="480" w:lineRule="exact"/>
        <w:ind w:firstLineChars="0"/>
        <w:rPr>
          <w:color w:val="000000" w:themeColor="text1"/>
          <w:sz w:val="24"/>
          <w14:textFill>
            <w14:solidFill>
              <w14:schemeClr w14:val="tx1"/>
            </w14:solidFill>
          </w14:textFill>
        </w:rPr>
      </w:pPr>
      <w:bookmarkStart w:id="37" w:name="auto_fouce_34"/>
      <w:r>
        <w:rPr>
          <w:color w:val="000000" w:themeColor="text1"/>
          <w:sz w:val="24"/>
          <w14:textFill>
            <w14:solidFill>
              <w14:schemeClr w14:val="tx1"/>
            </w14:solidFill>
          </w14:textFill>
        </w:rPr>
        <w:t>甲方理解，</w:t>
      </w:r>
      <w:r>
        <w:rPr>
          <w:rFonts w:hint="eastAsia"/>
          <w:color w:val="000000" w:themeColor="text1"/>
          <w:sz w:val="24"/>
          <w14:textFill>
            <w14:solidFill>
              <w14:schemeClr w14:val="tx1"/>
            </w14:solidFill>
          </w14:textFill>
        </w:rPr>
        <w:t>鉴于计算机及互联网的特殊性，因电信部门技术调整</w:t>
      </w:r>
      <w:r>
        <w:rPr>
          <w:color w:val="000000" w:themeColor="text1"/>
          <w:sz w:val="24"/>
          <w14:textFill>
            <w14:solidFill>
              <w14:schemeClr w14:val="tx1"/>
            </w14:solidFill>
          </w14:textFill>
        </w:rPr>
        <w:t>及第三方平台原因</w:t>
      </w:r>
      <w:r>
        <w:rPr>
          <w:rFonts w:hint="eastAsia"/>
          <w:color w:val="000000" w:themeColor="text1"/>
          <w:sz w:val="24"/>
          <w14:textFill>
            <w14:solidFill>
              <w14:schemeClr w14:val="tx1"/>
            </w14:solidFill>
          </w14:textFill>
        </w:rPr>
        <w:t>等引致的服务中断或其他影响本协议履行的情形，</w:t>
      </w:r>
      <w:r>
        <w:rPr>
          <w:color w:val="000000" w:themeColor="text1"/>
          <w:sz w:val="24"/>
          <w14:textFill>
            <w14:solidFill>
              <w14:schemeClr w14:val="tx1"/>
            </w14:solidFill>
          </w14:textFill>
        </w:rPr>
        <w:t>不视为</w:t>
      </w:r>
      <w:r>
        <w:rPr>
          <w:rFonts w:hint="eastAsia"/>
          <w:color w:val="000000" w:themeColor="text1"/>
          <w:sz w:val="24"/>
          <w14:textFill>
            <w14:solidFill>
              <w14:schemeClr w14:val="tx1"/>
            </w14:solidFill>
          </w14:textFill>
        </w:rPr>
        <w:t>乙</w:t>
      </w:r>
      <w:r>
        <w:rPr>
          <w:color w:val="000000" w:themeColor="text1"/>
          <w:sz w:val="24"/>
          <w14:textFill>
            <w14:solidFill>
              <w14:schemeClr w14:val="tx1"/>
            </w14:solidFill>
          </w14:textFill>
        </w:rPr>
        <w:t>方违约，</w:t>
      </w:r>
      <w:r>
        <w:rPr>
          <w:rFonts w:hint="eastAsia"/>
          <w:color w:val="000000" w:themeColor="text1"/>
          <w:sz w:val="24"/>
          <w14:textFill>
            <w14:solidFill>
              <w14:schemeClr w14:val="tx1"/>
            </w14:solidFill>
          </w14:textFill>
        </w:rPr>
        <w:t>但</w:t>
      </w:r>
      <w:r>
        <w:rPr>
          <w:color w:val="000000" w:themeColor="text1"/>
          <w:sz w:val="24"/>
          <w14:textFill>
            <w14:solidFill>
              <w14:schemeClr w14:val="tx1"/>
            </w14:solidFill>
          </w14:textFill>
        </w:rPr>
        <w:t>乙方</w:t>
      </w:r>
      <w:r>
        <w:rPr>
          <w:rFonts w:hint="eastAsia"/>
          <w:color w:val="000000" w:themeColor="text1"/>
          <w:sz w:val="24"/>
          <w14:textFill>
            <w14:solidFill>
              <w14:schemeClr w14:val="tx1"/>
            </w14:solidFill>
          </w14:textFill>
        </w:rPr>
        <w:t>应在</w:t>
      </w:r>
      <w:r>
        <w:rPr>
          <w:color w:val="000000" w:themeColor="text1"/>
          <w:sz w:val="24"/>
          <w14:textFill>
            <w14:solidFill>
              <w14:schemeClr w14:val="tx1"/>
            </w14:solidFill>
          </w14:textFill>
        </w:rPr>
        <w:t>中断</w:t>
      </w:r>
      <w:r>
        <w:rPr>
          <w:rFonts w:hint="eastAsia"/>
          <w:color w:val="000000" w:themeColor="text1"/>
          <w:sz w:val="24"/>
          <w14:textFill>
            <w14:solidFill>
              <w14:schemeClr w14:val="tx1"/>
            </w14:solidFill>
          </w14:textFill>
        </w:rPr>
        <w:t>发生后24小</w:t>
      </w:r>
      <w:r>
        <w:rPr>
          <w:color w:val="000000" w:themeColor="text1"/>
          <w:sz w:val="24"/>
          <w14:textFill>
            <w14:solidFill>
              <w14:schemeClr w14:val="tx1"/>
            </w14:solidFill>
          </w14:textFill>
        </w:rPr>
        <w:t>时内</w:t>
      </w:r>
      <w:r>
        <w:rPr>
          <w:rFonts w:hint="eastAsia"/>
          <w:color w:val="000000" w:themeColor="text1"/>
          <w:sz w:val="24"/>
          <w14:textFill>
            <w14:solidFill>
              <w14:schemeClr w14:val="tx1"/>
            </w14:solidFill>
          </w14:textFill>
        </w:rPr>
        <w:t>通知甲方，若中断累计超过【3】日，甲方有权要求顺延发布。</w:t>
      </w:r>
      <w:bookmarkEnd w:id="37"/>
    </w:p>
    <w:p w14:paraId="1101BFBF">
      <w:pPr>
        <w:pStyle w:val="14"/>
        <w:numPr>
          <w:ilvl w:val="0"/>
          <w:numId w:val="8"/>
        </w:numPr>
        <w:spacing w:line="480" w:lineRule="exact"/>
        <w:ind w:firstLineChars="0"/>
        <w:rPr>
          <w:color w:val="000000" w:themeColor="text1"/>
          <w:sz w:val="24"/>
          <w14:textFill>
            <w14:solidFill>
              <w14:schemeClr w14:val="tx1"/>
            </w14:solidFill>
          </w14:textFill>
        </w:rPr>
      </w:pPr>
      <w:bookmarkStart w:id="38" w:name="auto_fouce_36"/>
      <w:r>
        <w:rPr>
          <w:rFonts w:hint="eastAsia"/>
          <w:color w:val="000000" w:themeColor="text1"/>
          <w:sz w:val="24"/>
          <w14:textFill>
            <w14:solidFill>
              <w14:schemeClr w14:val="tx1"/>
            </w14:solidFill>
          </w14:textFill>
        </w:rPr>
        <w:t>甲</w:t>
      </w:r>
      <w:r>
        <w:rPr>
          <w:color w:val="000000" w:themeColor="text1"/>
          <w:sz w:val="24"/>
          <w14:textFill>
            <w14:solidFill>
              <w14:schemeClr w14:val="tx1"/>
            </w14:solidFill>
          </w14:textFill>
        </w:rPr>
        <w:t>方理解，</w:t>
      </w:r>
      <w:r>
        <w:rPr>
          <w:rFonts w:hint="eastAsia"/>
          <w:color w:val="000000" w:themeColor="text1"/>
          <w:sz w:val="24"/>
          <w14:textFill>
            <w14:solidFill>
              <w14:schemeClr w14:val="tx1"/>
            </w14:solidFill>
          </w14:textFill>
        </w:rPr>
        <w:t>如涉及广告在第三方平台发布的情形时，</w:t>
      </w:r>
      <w:r>
        <w:rPr>
          <w:color w:val="000000" w:themeColor="text1"/>
          <w:sz w:val="24"/>
          <w14:textFill>
            <w14:solidFill>
              <w14:schemeClr w14:val="tx1"/>
            </w14:solidFill>
          </w14:textFill>
        </w:rPr>
        <w:t>由于第三方平台原因或者由于</w:t>
      </w:r>
      <w:r>
        <w:rPr>
          <w:rFonts w:hint="eastAsia"/>
          <w:color w:val="000000" w:themeColor="text1"/>
          <w:sz w:val="24"/>
          <w14:textFill>
            <w14:solidFill>
              <w14:schemeClr w14:val="tx1"/>
            </w14:solidFill>
          </w14:textFill>
        </w:rPr>
        <w:t>广告内容</w:t>
      </w:r>
      <w:r>
        <w:rPr>
          <w:color w:val="000000" w:themeColor="text1"/>
          <w:sz w:val="24"/>
          <w14:textFill>
            <w14:solidFill>
              <w14:schemeClr w14:val="tx1"/>
            </w14:solidFill>
          </w14:textFill>
        </w:rPr>
        <w:t>不符合第三方平台要求导致广告无法发布或迟延发布等情况，不视为</w:t>
      </w:r>
      <w:r>
        <w:rPr>
          <w:rFonts w:hint="eastAsia"/>
          <w:color w:val="000000" w:themeColor="text1"/>
          <w:sz w:val="24"/>
          <w14:textFill>
            <w14:solidFill>
              <w14:schemeClr w14:val="tx1"/>
            </w14:solidFill>
          </w14:textFill>
        </w:rPr>
        <w:t>乙</w:t>
      </w:r>
      <w:r>
        <w:rPr>
          <w:color w:val="000000" w:themeColor="text1"/>
          <w:sz w:val="24"/>
          <w14:textFill>
            <w14:solidFill>
              <w14:schemeClr w14:val="tx1"/>
            </w14:solidFill>
          </w14:textFill>
        </w:rPr>
        <w:t>方违约，</w:t>
      </w:r>
      <w:r>
        <w:rPr>
          <w:rFonts w:hint="eastAsia"/>
          <w:color w:val="000000" w:themeColor="text1"/>
          <w:sz w:val="24"/>
          <w14:textFill>
            <w14:solidFill>
              <w14:schemeClr w14:val="tx1"/>
            </w14:solidFill>
          </w14:textFill>
        </w:rPr>
        <w:t>但乙</w:t>
      </w:r>
      <w:r>
        <w:rPr>
          <w:color w:val="000000" w:themeColor="text1"/>
          <w:sz w:val="24"/>
          <w14:textFill>
            <w14:solidFill>
              <w14:schemeClr w14:val="tx1"/>
            </w14:solidFill>
          </w14:textFill>
        </w:rPr>
        <w:t>方</w:t>
      </w:r>
      <w:r>
        <w:rPr>
          <w:rFonts w:hint="eastAsia"/>
          <w:color w:val="000000" w:themeColor="text1"/>
          <w:sz w:val="24"/>
          <w14:textFill>
            <w14:solidFill>
              <w14:schemeClr w14:val="tx1"/>
            </w14:solidFill>
          </w14:textFill>
        </w:rPr>
        <w:t>应</w:t>
      </w:r>
      <w:r>
        <w:rPr>
          <w:color w:val="000000" w:themeColor="text1"/>
          <w:sz w:val="24"/>
          <w14:textFill>
            <w14:solidFill>
              <w14:schemeClr w14:val="tx1"/>
            </w14:solidFill>
          </w14:textFill>
        </w:rPr>
        <w:t>尽可能将上述影响</w:t>
      </w:r>
      <w:r>
        <w:rPr>
          <w:rFonts w:hint="eastAsia"/>
          <w:color w:val="000000" w:themeColor="text1"/>
          <w:sz w:val="24"/>
          <w14:textFill>
            <w14:solidFill>
              <w14:schemeClr w14:val="tx1"/>
            </w14:solidFill>
          </w14:textFill>
        </w:rPr>
        <w:t>降低至</w:t>
      </w:r>
      <w:r>
        <w:rPr>
          <w:color w:val="000000" w:themeColor="text1"/>
          <w:sz w:val="24"/>
          <w14:textFill>
            <w14:solidFill>
              <w14:schemeClr w14:val="tx1"/>
            </w14:solidFill>
          </w14:textFill>
        </w:rPr>
        <w:t>最低程度，并</w:t>
      </w:r>
      <w:r>
        <w:rPr>
          <w:rFonts w:hint="eastAsia"/>
          <w:color w:val="000000" w:themeColor="text1"/>
          <w:sz w:val="24"/>
          <w14:textFill>
            <w14:solidFill>
              <w14:schemeClr w14:val="tx1"/>
            </w14:solidFill>
          </w14:textFill>
        </w:rPr>
        <w:t>尽快</w:t>
      </w:r>
      <w:r>
        <w:rPr>
          <w:color w:val="000000" w:themeColor="text1"/>
          <w:sz w:val="24"/>
          <w14:textFill>
            <w14:solidFill>
              <w14:schemeClr w14:val="tx1"/>
            </w14:solidFill>
          </w14:textFill>
        </w:rPr>
        <w:t>通知</w:t>
      </w:r>
      <w:r>
        <w:rPr>
          <w:rFonts w:hint="eastAsia"/>
          <w:color w:val="000000" w:themeColor="text1"/>
          <w:sz w:val="24"/>
          <w14:textFill>
            <w14:solidFill>
              <w14:schemeClr w14:val="tx1"/>
            </w14:solidFill>
          </w14:textFill>
        </w:rPr>
        <w:t>甲</w:t>
      </w:r>
      <w:r>
        <w:rPr>
          <w:color w:val="000000" w:themeColor="text1"/>
          <w:sz w:val="24"/>
          <w14:textFill>
            <w14:solidFill>
              <w14:schemeClr w14:val="tx1"/>
            </w14:solidFill>
          </w14:textFill>
        </w:rPr>
        <w:t>方</w:t>
      </w:r>
      <w:r>
        <w:rPr>
          <w:rFonts w:hint="eastAsia"/>
          <w:color w:val="000000" w:themeColor="text1"/>
          <w:sz w:val="24"/>
          <w14:textFill>
            <w14:solidFill>
              <w14:schemeClr w14:val="tx1"/>
            </w14:solidFill>
          </w14:textFill>
        </w:rPr>
        <w:t>。</w:t>
      </w:r>
      <w:bookmarkEnd w:id="38"/>
      <w:r>
        <w:rPr>
          <w:rFonts w:hint="eastAsia"/>
          <w:color w:val="000000" w:themeColor="text1"/>
          <w:sz w:val="24"/>
          <w14:textFill>
            <w14:solidFill>
              <w14:schemeClr w14:val="tx1"/>
            </w14:solidFill>
          </w14:textFill>
        </w:rPr>
        <w:t xml:space="preserve"> </w:t>
      </w:r>
    </w:p>
    <w:p w14:paraId="4981DF94">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不可抗力</w:t>
      </w:r>
    </w:p>
    <w:p w14:paraId="166B007E">
      <w:pPr>
        <w:pStyle w:val="13"/>
        <w:numPr>
          <w:ilvl w:val="0"/>
          <w:numId w:val="9"/>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不可抗力”是指本协议双方不能预见、不能避免并不能克服的客观情况，且该等情况妨碍、影响或延误任何一方根据本协议履行其全部或部分义务。不可抗力事件包括但不限于政府法令、疫情管控、自然灾害、战争、网络堵塞或中断、黑客袭击、上级主管部门要求、中央广播电视总台要求或任何其它类似非乙方可控制的事件。</w:t>
      </w:r>
    </w:p>
    <w:p w14:paraId="21FE9F71">
      <w:pPr>
        <w:pStyle w:val="13"/>
        <w:numPr>
          <w:ilvl w:val="0"/>
          <w:numId w:val="9"/>
        </w:numPr>
        <w:spacing w:line="480" w:lineRule="exact"/>
        <w:ind w:firstLineChars="0"/>
        <w:rPr>
          <w:color w:val="000000" w:themeColor="text1"/>
          <w:sz w:val="24"/>
          <w14:textFill>
            <w14:solidFill>
              <w14:schemeClr w14:val="tx1"/>
            </w14:solidFill>
          </w14:textFill>
        </w:rPr>
      </w:pPr>
      <w:bookmarkStart w:id="39" w:name="auto_fouce_37"/>
      <w:r>
        <w:rPr>
          <w:rFonts w:hint="eastAsia"/>
          <w:color w:val="000000" w:themeColor="text1"/>
          <w:sz w:val="24"/>
          <w14:textFill>
            <w14:solidFill>
              <w14:schemeClr w14:val="tx1"/>
            </w14:solidFill>
          </w14:textFill>
        </w:rPr>
        <w:t>遭受不可抗力事件的一方应立即通知相对方不可抗力事件的具体情形并提供相应证明文件，该方有权中止履行本协议项下的义务，直至不可抗力事件的影响消除为止，该方无需为此承担违约责任；但该方应尽最大努力及时采取有效措施减轻不可抗力带来的损失及负面影响。</w:t>
      </w:r>
      <w:bookmarkEnd w:id="39"/>
    </w:p>
    <w:p w14:paraId="5F762E38">
      <w:pPr>
        <w:pStyle w:val="13"/>
        <w:numPr>
          <w:ilvl w:val="0"/>
          <w:numId w:val="9"/>
        </w:numPr>
        <w:spacing w:line="480" w:lineRule="exact"/>
        <w:ind w:firstLineChars="0"/>
        <w:rPr>
          <w:color w:val="000000" w:themeColor="text1"/>
          <w:sz w:val="24"/>
          <w14:textFill>
            <w14:solidFill>
              <w14:schemeClr w14:val="tx1"/>
            </w14:solidFill>
          </w14:textFill>
        </w:rPr>
      </w:pPr>
      <w:bookmarkStart w:id="40" w:name="auto_fouce_38"/>
      <w:r>
        <w:rPr>
          <w:rFonts w:hint="eastAsia"/>
          <w:color w:val="000000" w:themeColor="text1"/>
          <w:sz w:val="24"/>
          <w14:textFill>
            <w14:solidFill>
              <w14:schemeClr w14:val="tx1"/>
            </w14:solidFill>
          </w14:textFill>
        </w:rPr>
        <w:t>为免疑义，如果不可抗力事件持续超过【3</w:t>
      </w:r>
      <w:r>
        <w:rPr>
          <w:color w:val="000000" w:themeColor="text1"/>
          <w:sz w:val="24"/>
          <w14:textFill>
            <w14:solidFill>
              <w14:schemeClr w14:val="tx1"/>
            </w14:solidFill>
          </w14:textFill>
        </w:rPr>
        <w:t>0</w:t>
      </w:r>
      <w:r>
        <w:rPr>
          <w:rFonts w:hint="eastAsia"/>
          <w:color w:val="000000" w:themeColor="text1"/>
          <w:sz w:val="24"/>
          <w14:textFill>
            <w14:solidFill>
              <w14:schemeClr w14:val="tx1"/>
            </w14:solidFill>
          </w14:textFill>
        </w:rPr>
        <w:t>日】，甲乙双方应协商确定延长履行期限或提前解除本协议。如双方提前解除本协议的，甲方应支付乙方已经履行完毕的服务的全部费用，乙方应在【7】个工作日内退还尚未履行部分对应的费用。</w:t>
      </w:r>
      <w:bookmarkEnd w:id="40"/>
    </w:p>
    <w:p w14:paraId="2B103D41">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知识产权</w:t>
      </w:r>
    </w:p>
    <w:p w14:paraId="4F0A5775">
      <w:pPr>
        <w:pStyle w:val="13"/>
        <w:numPr>
          <w:ilvl w:val="0"/>
          <w:numId w:val="10"/>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双方保证，向另一方提供的资料不会侵犯第三方的知识产权或合法权益，否则一切责任由提供方自行承担，与接收方无关。</w:t>
      </w:r>
    </w:p>
    <w:p w14:paraId="62F8B605">
      <w:pPr>
        <w:pStyle w:val="13"/>
        <w:numPr>
          <w:ilvl w:val="0"/>
          <w:numId w:val="10"/>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在合作业务开展过程中甲方提供的广告样片、样稿、样带及其他宣传资料其知识产权和所有权均归甲方或者原权利人所有，</w:t>
      </w:r>
      <w:bookmarkStart w:id="41" w:name="_Hlk109836710"/>
      <w:r>
        <w:rPr>
          <w:rFonts w:hint="eastAsia"/>
          <w:color w:val="000000" w:themeColor="text1"/>
          <w:sz w:val="24"/>
          <w14:textFill>
            <w14:solidFill>
              <w14:schemeClr w14:val="tx1"/>
            </w14:solidFill>
          </w14:textFill>
        </w:rPr>
        <w:t>乙方提供的域名、网站、网页、</w:t>
      </w:r>
      <w:r>
        <w:rPr>
          <w:color w:val="000000" w:themeColor="text1"/>
          <w:sz w:val="24"/>
          <w14:textFill>
            <w14:solidFill>
              <w14:schemeClr w14:val="tx1"/>
            </w14:solidFill>
          </w14:textFill>
        </w:rPr>
        <w:t xml:space="preserve">APP </w:t>
      </w:r>
      <w:r>
        <w:rPr>
          <w:rFonts w:hint="eastAsia"/>
          <w:color w:val="000000" w:themeColor="text1"/>
          <w:sz w:val="24"/>
          <w14:textFill>
            <w14:solidFill>
              <w14:schemeClr w14:val="tx1"/>
            </w14:solidFill>
          </w14:textFill>
        </w:rPr>
        <w:t>等知识产权和所有权均归乙方或者原权利人所有，不因本次合作而发生转移。</w:t>
      </w:r>
      <w:bookmarkEnd w:id="41"/>
    </w:p>
    <w:p w14:paraId="1CE8145C">
      <w:pPr>
        <w:pStyle w:val="13"/>
        <w:numPr>
          <w:ilvl w:val="0"/>
          <w:numId w:val="10"/>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协议及附件约定的节目/栏目/直播的相关知识产权归中央广播电视总台所有，总台主持人肖像不得随意使用。相关海报、短视频、预告等未经中央广播电视总台总经理室批准，甲方不得用于任何形式的二次传播。</w:t>
      </w:r>
    </w:p>
    <w:p w14:paraId="4DAE3054">
      <w:pPr>
        <w:pStyle w:val="13"/>
        <w:numPr>
          <w:ilvl w:val="0"/>
          <w:numId w:val="10"/>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因一方提供的资料侵犯第三方合法权益导致的法律后果全部由该方承担，并应赔偿给对方造成的实际损失（损失包括但不限于通过判决及行政处罚及和解或调解支付的赔偿金、律师费、诉讼费、差旅费），该等实际损失应在法律文书实际生效或实际损失经双方协商确认后的5个工作日内赔偿给对方。</w:t>
      </w:r>
    </w:p>
    <w:p w14:paraId="73539F64">
      <w:pPr>
        <w:pStyle w:val="13"/>
        <w:numPr>
          <w:ilvl w:val="0"/>
          <w:numId w:val="10"/>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未经对方事先书面同意，任何一方不得擅自使用、复制对方的商标、标志、商业信息、技术、代码及其他资料，否则应向该方承担违约责任并赔偿其因此遭受的全部损失。</w:t>
      </w:r>
    </w:p>
    <w:p w14:paraId="46B3647A">
      <w:pPr>
        <w:pStyle w:val="13"/>
        <w:numPr>
          <w:ilvl w:val="0"/>
          <w:numId w:val="10"/>
        </w:numPr>
        <w:spacing w:line="480" w:lineRule="exact"/>
        <w:ind w:firstLineChars="0"/>
        <w:rPr>
          <w:color w:val="000000" w:themeColor="text1"/>
          <w:sz w:val="24"/>
          <w14:textFill>
            <w14:solidFill>
              <w14:schemeClr w14:val="tx1"/>
            </w14:solidFill>
          </w14:textFill>
        </w:rPr>
      </w:pPr>
      <w:bookmarkStart w:id="42" w:name="_Hlk109836993"/>
      <w:r>
        <w:rPr>
          <w:rFonts w:hint="eastAsia"/>
          <w:color w:val="000000" w:themeColor="text1"/>
          <w:sz w:val="24"/>
          <w14:textFill>
            <w14:solidFill>
              <w14:schemeClr w14:val="tx1"/>
            </w14:solidFill>
          </w14:textFill>
        </w:rPr>
        <w:t>未经乙方事先书面同意，甲方应且应确保其客户（如适用）不得使用乙方或乙方关联方的名义（包括但不限于“中央广播电视总台”、</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中央电视台</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、“央视”、“CMG”、</w:t>
      </w:r>
      <w:r>
        <w:rPr>
          <w:color w:val="000000" w:themeColor="text1"/>
          <w:sz w:val="24"/>
          <w14:textFill>
            <w14:solidFill>
              <w14:schemeClr w14:val="tx1"/>
            </w14:solidFill>
          </w14:textFill>
        </w:rPr>
        <w:t>“CCTV”</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“CCTV.com”</w:t>
      </w:r>
      <w:r>
        <w:rPr>
          <w:rFonts w:hint="eastAsia"/>
          <w:color w:val="000000" w:themeColor="text1"/>
          <w:sz w:val="24"/>
          <w14:textFill>
            <w14:solidFill>
              <w14:schemeClr w14:val="tx1"/>
            </w14:solidFill>
          </w14:textFill>
        </w:rPr>
        <w:t>）进行任何市场经营活动和宣传推广活动</w:t>
      </w:r>
      <w:bookmarkEnd w:id="42"/>
      <w:r>
        <w:rPr>
          <w:rFonts w:hint="eastAsia"/>
          <w:color w:val="000000" w:themeColor="text1"/>
          <w:sz w:val="24"/>
          <w14:textFill>
            <w14:solidFill>
              <w14:schemeClr w14:val="tx1"/>
            </w14:solidFill>
          </w14:textFill>
        </w:rPr>
        <w:t>。否则，甲方应向乙方支付本协议总金额【</w:t>
      </w:r>
      <w:r>
        <w:rPr>
          <w:color w:val="000000" w:themeColor="text1"/>
          <w:sz w:val="24"/>
          <w14:textFill>
            <w14:solidFill>
              <w14:schemeClr w14:val="tx1"/>
            </w14:solidFill>
          </w14:textFill>
        </w:rPr>
        <w:t>30%</w:t>
      </w:r>
      <w:r>
        <w:rPr>
          <w:rFonts w:hint="eastAsia"/>
          <w:color w:val="000000" w:themeColor="text1"/>
          <w:sz w:val="24"/>
          <w14:textFill>
            <w14:solidFill>
              <w14:schemeClr w14:val="tx1"/>
            </w14:solidFill>
          </w14:textFill>
        </w:rPr>
        <w:t>】的违约金，违约金不足以弥补乙方全部损失的，甲方应按损失金额足额赔偿乙方。</w:t>
      </w:r>
      <w:bookmarkStart w:id="43" w:name="auto_fouce_39"/>
    </w:p>
    <w:bookmarkEnd w:id="43"/>
    <w:p w14:paraId="3C406843">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保密义务</w:t>
      </w:r>
    </w:p>
    <w:p w14:paraId="79075204">
      <w:pPr>
        <w:pStyle w:val="13"/>
        <w:numPr>
          <w:ilvl w:val="0"/>
          <w:numId w:val="11"/>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甲乙双方应对本协议涉及的所有内容，以及执行本协议过程中相关的一切商业、合作义务及隐私等资讯保密，未经对方允许不得向任何第三方披露（但是因法律规定或政府主管部门要求公开的情形除外）。</w:t>
      </w:r>
    </w:p>
    <w:p w14:paraId="4C02DC28">
      <w:pPr>
        <w:pStyle w:val="13"/>
        <w:numPr>
          <w:ilvl w:val="0"/>
          <w:numId w:val="11"/>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本协议项下保密义务不因本协议的终止而终止，任一方有义务在本协议终止后继续遵守前述保密义务，直到保密信息可从公开途径合法获得之日为止。</w:t>
      </w:r>
    </w:p>
    <w:p w14:paraId="74350945">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廉洁条款</w:t>
      </w:r>
    </w:p>
    <w:p w14:paraId="31B1960D">
      <w:pPr>
        <w:pStyle w:val="13"/>
        <w:numPr>
          <w:ilvl w:val="0"/>
          <w:numId w:val="12"/>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甲方、乙方不得向对方及其关联公司以及与本协议有关的任何第三方的员工、工作人员及其近亲属或其参与设立的实体或组织，直接或间接支付任何佣金、报酬或者给予回扣，或者提供任何礼品、有价证券及实物等。</w:t>
      </w:r>
    </w:p>
    <w:p w14:paraId="04D63F7A">
      <w:pPr>
        <w:pStyle w:val="13"/>
        <w:numPr>
          <w:ilvl w:val="0"/>
          <w:numId w:val="12"/>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若任何一方违反上述规定，视为违约。守约方有权以书面形式通知违约方并单方终止本协议，同时保留依法采取进一步法律措施的权利，违约方应承担由此给守约方带来的所有损失。</w:t>
      </w:r>
    </w:p>
    <w:p w14:paraId="07DC301F">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适用法律与争议解决</w:t>
      </w:r>
    </w:p>
    <w:p w14:paraId="252ED268">
      <w:pPr>
        <w:pStyle w:val="13"/>
        <w:numPr>
          <w:ilvl w:val="0"/>
          <w:numId w:val="13"/>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w:t>
      </w:r>
      <w:r>
        <w:rPr>
          <w:color w:val="000000" w:themeColor="text1"/>
          <w:sz w:val="24"/>
          <w14:textFill>
            <w14:solidFill>
              <w14:schemeClr w14:val="tx1"/>
            </w14:solidFill>
          </w14:textFill>
        </w:rPr>
        <w:t>协议</w:t>
      </w:r>
      <w:r>
        <w:rPr>
          <w:rFonts w:hint="eastAsia"/>
          <w:color w:val="000000" w:themeColor="text1"/>
          <w:sz w:val="24"/>
          <w14:textFill>
            <w14:solidFill>
              <w14:schemeClr w14:val="tx1"/>
            </w14:solidFill>
          </w14:textFill>
        </w:rPr>
        <w:t>的签订、效力、履行及因</w:t>
      </w:r>
      <w:r>
        <w:rPr>
          <w:color w:val="000000" w:themeColor="text1"/>
          <w:sz w:val="24"/>
          <w14:textFill>
            <w14:solidFill>
              <w14:schemeClr w14:val="tx1"/>
            </w14:solidFill>
          </w14:textFill>
        </w:rPr>
        <w:t>本协议</w:t>
      </w:r>
      <w:r>
        <w:rPr>
          <w:rFonts w:hint="eastAsia"/>
          <w:color w:val="000000" w:themeColor="text1"/>
          <w:sz w:val="24"/>
          <w14:textFill>
            <w14:solidFill>
              <w14:schemeClr w14:val="tx1"/>
            </w14:solidFill>
          </w14:textFill>
        </w:rPr>
        <w:t>引起的或与</w:t>
      </w:r>
      <w:r>
        <w:rPr>
          <w:color w:val="000000" w:themeColor="text1"/>
          <w:sz w:val="24"/>
          <w14:textFill>
            <w14:solidFill>
              <w14:schemeClr w14:val="tx1"/>
            </w14:solidFill>
          </w14:textFill>
        </w:rPr>
        <w:t>本协议</w:t>
      </w:r>
      <w:r>
        <w:rPr>
          <w:rFonts w:hint="eastAsia"/>
          <w:color w:val="000000" w:themeColor="text1"/>
          <w:sz w:val="24"/>
          <w14:textFill>
            <w14:solidFill>
              <w14:schemeClr w14:val="tx1"/>
            </w14:solidFill>
          </w14:textFill>
        </w:rPr>
        <w:t>相关的所有争议，均适用中国法律，并应按照中国法律进行解释和执行。</w:t>
      </w:r>
    </w:p>
    <w:p w14:paraId="104A9BA7">
      <w:pPr>
        <w:pStyle w:val="13"/>
        <w:numPr>
          <w:ilvl w:val="0"/>
          <w:numId w:val="13"/>
        </w:numPr>
        <w:spacing w:line="480" w:lineRule="exact"/>
        <w:ind w:firstLineChars="0"/>
        <w:rPr>
          <w:color w:val="000000" w:themeColor="text1"/>
          <w:sz w:val="24"/>
          <w14:textFill>
            <w14:solidFill>
              <w14:schemeClr w14:val="tx1"/>
            </w14:solidFill>
          </w14:textFill>
        </w:rPr>
      </w:pPr>
      <w:bookmarkStart w:id="44" w:name="auto_fouce_40"/>
      <w:r>
        <w:rPr>
          <w:rFonts w:hint="eastAsia"/>
          <w:color w:val="000000" w:themeColor="text1"/>
          <w:sz w:val="24"/>
          <w14:textFill>
            <w14:solidFill>
              <w14:schemeClr w14:val="tx1"/>
            </w14:solidFill>
          </w14:textFill>
        </w:rPr>
        <w:t>任何与</w:t>
      </w:r>
      <w:r>
        <w:rPr>
          <w:color w:val="000000" w:themeColor="text1"/>
          <w:sz w:val="24"/>
          <w14:textFill>
            <w14:solidFill>
              <w14:schemeClr w14:val="tx1"/>
            </w14:solidFill>
          </w14:textFill>
        </w:rPr>
        <w:t>本协议</w:t>
      </w:r>
      <w:r>
        <w:rPr>
          <w:rFonts w:hint="eastAsia"/>
          <w:color w:val="000000" w:themeColor="text1"/>
          <w:sz w:val="24"/>
          <w14:textFill>
            <w14:solidFill>
              <w14:schemeClr w14:val="tx1"/>
            </w14:solidFill>
          </w14:textFill>
        </w:rPr>
        <w:t>相关或因</w:t>
      </w:r>
      <w:r>
        <w:rPr>
          <w:color w:val="000000" w:themeColor="text1"/>
          <w:sz w:val="24"/>
          <w14:textFill>
            <w14:solidFill>
              <w14:schemeClr w14:val="tx1"/>
            </w14:solidFill>
          </w14:textFill>
        </w:rPr>
        <w:t>本协议</w:t>
      </w:r>
      <w:r>
        <w:rPr>
          <w:rFonts w:hint="eastAsia"/>
          <w:color w:val="000000" w:themeColor="text1"/>
          <w:sz w:val="24"/>
          <w14:textFill>
            <w14:solidFill>
              <w14:schemeClr w14:val="tx1"/>
            </w14:solidFill>
          </w14:textFill>
        </w:rPr>
        <w:t>的解释或履行而产生的争议，均应先通过友好协商方式解决；协商不成的，双方均</w:t>
      </w:r>
      <w:r>
        <w:rPr>
          <w:color w:val="000000" w:themeColor="text1"/>
          <w:sz w:val="24"/>
          <w14:textFill>
            <w14:solidFill>
              <w14:schemeClr w14:val="tx1"/>
            </w14:solidFill>
          </w14:textFill>
        </w:rPr>
        <w:t>同意提交</w:t>
      </w:r>
      <w:r>
        <w:rPr>
          <w:rFonts w:hint="eastAsia"/>
          <w:color w:val="000000" w:themeColor="text1"/>
          <w:sz w:val="24"/>
          <w14:textFill>
            <w14:solidFill>
              <w14:schemeClr w14:val="tx1"/>
            </w14:solidFill>
          </w14:textFill>
        </w:rPr>
        <w:t>甲方住所地有管辖权的人民法院通过诉讼方式解决。败诉方应承担胜诉方的律师费、诉讼费、保全费、公证费等维权成本及</w:t>
      </w:r>
      <w:r>
        <w:rPr>
          <w:color w:val="000000" w:themeColor="text1"/>
          <w:sz w:val="24"/>
          <w14:textFill>
            <w14:solidFill>
              <w14:schemeClr w14:val="tx1"/>
            </w14:solidFill>
          </w14:textFill>
        </w:rPr>
        <w:t>费用</w:t>
      </w:r>
      <w:r>
        <w:rPr>
          <w:rFonts w:hint="eastAsia"/>
          <w:color w:val="000000" w:themeColor="text1"/>
          <w:sz w:val="24"/>
          <w14:textFill>
            <w14:solidFill>
              <w14:schemeClr w14:val="tx1"/>
            </w14:solidFill>
          </w14:textFill>
        </w:rPr>
        <w:t>。</w:t>
      </w:r>
      <w:bookmarkEnd w:id="44"/>
    </w:p>
    <w:p w14:paraId="16263974">
      <w:pPr>
        <w:pStyle w:val="13"/>
        <w:numPr>
          <w:ilvl w:val="0"/>
          <w:numId w:val="1"/>
        </w:numPr>
        <w:spacing w:before="156" w:beforeLines="50" w:after="156" w:afterLines="50" w:line="480" w:lineRule="exact"/>
        <w:ind w:left="567" w:hanging="567" w:firstLineChars="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其他</w:t>
      </w:r>
    </w:p>
    <w:p w14:paraId="5376C299">
      <w:pPr>
        <w:pStyle w:val="13"/>
        <w:numPr>
          <w:ilvl w:val="0"/>
          <w:numId w:val="14"/>
        </w:numPr>
        <w:spacing w:line="480" w:lineRule="exact"/>
        <w:ind w:firstLineChars="0"/>
        <w:rPr>
          <w:color w:val="000000" w:themeColor="text1"/>
          <w:sz w:val="24"/>
          <w14:textFill>
            <w14:solidFill>
              <w14:schemeClr w14:val="tx1"/>
            </w14:solidFill>
          </w14:textFill>
        </w:rPr>
      </w:pPr>
      <w:bookmarkStart w:id="45" w:name="auto_fouce_41"/>
      <w:r>
        <w:rPr>
          <w:rFonts w:hint="eastAsia"/>
          <w:color w:val="000000" w:themeColor="text1"/>
          <w:sz w:val="24"/>
          <w14:textFill>
            <w14:solidFill>
              <w14:schemeClr w14:val="tx1"/>
            </w14:solidFill>
          </w14:textFill>
        </w:rPr>
        <w:t>乙方有权将其在本协议项下的权利全部或部分转授权于</w:t>
      </w:r>
      <w:bookmarkStart w:id="46" w:name="_Hlk196212810"/>
      <w:r>
        <w:rPr>
          <w:rFonts w:hint="eastAsia"/>
          <w:color w:val="000000" w:themeColor="text1"/>
          <w:sz w:val="24"/>
          <w14:textFill>
            <w14:solidFill>
              <w14:schemeClr w14:val="tx1"/>
            </w14:solidFill>
          </w14:textFill>
        </w:rPr>
        <w:t>总台或其他台属公司</w:t>
      </w:r>
      <w:bookmarkEnd w:id="46"/>
      <w:r>
        <w:rPr>
          <w:rFonts w:hint="eastAsia"/>
          <w:color w:val="000000" w:themeColor="text1"/>
          <w:sz w:val="24"/>
          <w14:textFill>
            <w14:solidFill>
              <w14:schemeClr w14:val="tx1"/>
            </w14:solidFill>
          </w14:textFill>
        </w:rPr>
        <w:t>，但应提前10个工作日书面通知甲方；该等转授权不得损害甲方在本协议项下的合法权益。</w:t>
      </w:r>
      <w:bookmarkEnd w:id="45"/>
    </w:p>
    <w:p w14:paraId="0E144EE9">
      <w:pPr>
        <w:pStyle w:val="13"/>
        <w:numPr>
          <w:ilvl w:val="0"/>
          <w:numId w:val="14"/>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本协议构成双方就本协议约定事项的完整一致意见，应取代双方之前任何的口头和书面的建议、意见、协商、陈述、承诺、记录、文件等。</w:t>
      </w:r>
    </w:p>
    <w:p w14:paraId="3C2406A1">
      <w:pPr>
        <w:pStyle w:val="13"/>
        <w:numPr>
          <w:ilvl w:val="0"/>
          <w:numId w:val="14"/>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本协议部分条款无效或被撤销，不影响其他条款效力。</w:t>
      </w:r>
    </w:p>
    <w:p w14:paraId="4D1F1AFD">
      <w:pPr>
        <w:pStyle w:val="13"/>
        <w:numPr>
          <w:ilvl w:val="0"/>
          <w:numId w:val="14"/>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本协议如有未尽事宜可协商签订书面补充协议。该补充协议构成本协议不可分割的组成部分，具有同等法律效力。</w:t>
      </w:r>
    </w:p>
    <w:p w14:paraId="2B617B66">
      <w:pPr>
        <w:pStyle w:val="13"/>
        <w:numPr>
          <w:ilvl w:val="0"/>
          <w:numId w:val="14"/>
        </w:numPr>
        <w:spacing w:line="480" w:lineRule="exact"/>
        <w:ind w:firstLineChars="0"/>
        <w:rPr>
          <w:color w:val="000000" w:themeColor="text1"/>
          <w:sz w:val="24"/>
          <w14:textFill>
            <w14:solidFill>
              <w14:schemeClr w14:val="tx1"/>
            </w14:solidFill>
          </w14:textFill>
        </w:rPr>
      </w:pPr>
      <w:r>
        <w:rPr>
          <w:color w:val="000000" w:themeColor="text1"/>
          <w:sz w:val="24"/>
          <w14:textFill>
            <w14:solidFill>
              <w14:schemeClr w14:val="tx1"/>
            </w14:solidFill>
          </w14:textFill>
        </w:rPr>
        <w:t>双方联系信息</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如协议首页所列</w:t>
      </w:r>
      <w:r>
        <w:rPr>
          <w:rFonts w:hint="eastAsia"/>
          <w:color w:val="000000" w:themeColor="text1"/>
          <w:sz w:val="24"/>
          <w14:textFill>
            <w14:solidFill>
              <w14:schemeClr w14:val="tx1"/>
            </w14:solidFill>
          </w14:textFill>
        </w:rPr>
        <w:t>）适用范围包括双方非诉时各类通知、协议等文件以及就合同发生纠纷时相关文件和法律文书的送达，同时包括在争议进入仲裁、民事诉讼程序后的一审、二审、再审、特别程序和执行程序。</w:t>
      </w:r>
    </w:p>
    <w:p w14:paraId="3D5B4735">
      <w:pPr>
        <w:pStyle w:val="13"/>
        <w:numPr>
          <w:ilvl w:val="0"/>
          <w:numId w:val="14"/>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本协议自双方</w:t>
      </w:r>
      <w:r>
        <w:rPr>
          <w:rFonts w:ascii="宋体" w:hAnsi="宋体" w:cs="宋体"/>
          <w:color w:val="000000" w:themeColor="text1"/>
          <w:sz w:val="24"/>
          <w14:textFill>
            <w14:solidFill>
              <w14:schemeClr w14:val="tx1"/>
            </w14:solidFill>
          </w14:textFill>
        </w:rPr>
        <w:t>加盖公章或合同章</w:t>
      </w:r>
      <w:r>
        <w:rPr>
          <w:rFonts w:hint="eastAsia"/>
          <w:color w:val="000000" w:themeColor="text1"/>
          <w:sz w:val="24"/>
          <w14:textFill>
            <w14:solidFill>
              <w14:schemeClr w14:val="tx1"/>
            </w14:solidFill>
          </w14:textFill>
        </w:rPr>
        <w:t>之日起生效，本协议一式肆份，双方各执贰份，每份均具备同等法律效力。</w:t>
      </w:r>
    </w:p>
    <w:p w14:paraId="098E7230">
      <w:pPr>
        <w:pStyle w:val="13"/>
        <w:numPr>
          <w:ilvl w:val="0"/>
          <w:numId w:val="14"/>
        </w:numPr>
        <w:spacing w:line="480" w:lineRule="exact"/>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本协议的附件为本协议不可分割的部分，与本协议正文具有同等的法律效力。</w:t>
      </w:r>
    </w:p>
    <w:p w14:paraId="6335FA39">
      <w:pPr>
        <w:pStyle w:val="13"/>
        <w:numPr>
          <w:ilvl w:val="0"/>
          <w:numId w:val="14"/>
        </w:numPr>
        <w:spacing w:line="480" w:lineRule="exact"/>
        <w:ind w:firstLineChars="0"/>
        <w:rPr>
          <w:color w:val="000000" w:themeColor="text1"/>
          <w:sz w:val="24"/>
          <w14:textFill>
            <w14:solidFill>
              <w14:schemeClr w14:val="tx1"/>
            </w14:solidFill>
          </w14:textFill>
        </w:rPr>
      </w:pPr>
      <w:bookmarkStart w:id="47" w:name="tip_risk_bookmark_42"/>
      <w:r>
        <w:rPr>
          <w:rFonts w:hint="eastAsia"/>
          <w:color w:val="000000" w:themeColor="text1"/>
          <w:sz w:val="24"/>
          <w14:textFill>
            <w14:solidFill>
              <w14:schemeClr w14:val="tx1"/>
            </w14:solidFill>
          </w14:textFill>
        </w:rPr>
        <w:t>附件：</w:t>
      </w:r>
      <w:bookmarkEnd w:id="47"/>
    </w:p>
    <w:p w14:paraId="1176E127">
      <w:pPr>
        <w:pStyle w:val="13"/>
        <w:spacing w:line="480" w:lineRule="exact"/>
        <w:ind w:left="927" w:firstLine="0" w:firstLineChars="0"/>
        <w:rPr>
          <w:rFonts w:hint="eastAsia" w:ascii="宋体" w:hAnsi="宋体"/>
          <w:color w:val="000000" w:themeColor="text1"/>
          <w:sz w:val="28"/>
          <w:szCs w:val="28"/>
          <w14:textFill>
            <w14:solidFill>
              <w14:schemeClr w14:val="tx1"/>
            </w14:solidFill>
          </w14:textFill>
        </w:rPr>
      </w:pPr>
    </w:p>
    <w:p w14:paraId="22D75107">
      <w:pPr>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（以下为签署页，无正文）</w:t>
      </w:r>
    </w:p>
    <w:p w14:paraId="09DBF2C1">
      <w:pPr>
        <w:jc w:val="center"/>
        <w:rPr>
          <w:rFonts w:hint="eastAsia" w:ascii="宋体" w:hAnsi="宋体"/>
          <w:color w:val="000000" w:themeColor="text1"/>
          <w:sz w:val="24"/>
          <w14:textFill>
            <w14:solidFill>
              <w14:schemeClr w14:val="tx1"/>
            </w14:solidFill>
          </w14:textFill>
        </w:rPr>
      </w:pPr>
    </w:p>
    <w:p w14:paraId="402AA4CB">
      <w:pPr>
        <w:jc w:val="center"/>
        <w:rPr>
          <w:rFonts w:hint="eastAsia" w:ascii="宋体" w:hAnsi="宋体"/>
          <w:color w:val="000000" w:themeColor="text1"/>
          <w:sz w:val="24"/>
          <w14:textFill>
            <w14:solidFill>
              <w14:schemeClr w14:val="tx1"/>
            </w14:solidFill>
          </w14:textFill>
        </w:rPr>
      </w:pPr>
    </w:p>
    <w:p w14:paraId="7938C280">
      <w:pPr>
        <w:jc w:val="center"/>
        <w:rPr>
          <w:rFonts w:hint="eastAsia" w:ascii="宋体" w:hAnsi="宋体"/>
          <w:color w:val="000000" w:themeColor="text1"/>
          <w:sz w:val="24"/>
          <w14:textFill>
            <w14:solidFill>
              <w14:schemeClr w14:val="tx1"/>
            </w14:solidFill>
          </w14:textFill>
        </w:rPr>
      </w:pPr>
    </w:p>
    <w:p w14:paraId="2AB736DD">
      <w:pPr>
        <w:pStyle w:val="2"/>
        <w:rPr>
          <w:rFonts w:hint="eastAsia" w:ascii="宋体" w:hAnsi="宋体"/>
          <w:color w:val="000000" w:themeColor="text1"/>
          <w:sz w:val="24"/>
          <w14:textFill>
            <w14:solidFill>
              <w14:schemeClr w14:val="tx1"/>
            </w14:solidFill>
          </w14:textFill>
        </w:rPr>
      </w:pPr>
    </w:p>
    <w:p w14:paraId="7F87ACC6">
      <w:pPr>
        <w:pStyle w:val="2"/>
        <w:rPr>
          <w:rFonts w:hint="eastAsia" w:ascii="宋体" w:hAnsi="宋体"/>
          <w:color w:val="000000" w:themeColor="text1"/>
          <w:sz w:val="24"/>
          <w14:textFill>
            <w14:solidFill>
              <w14:schemeClr w14:val="tx1"/>
            </w14:solidFill>
          </w14:textFill>
        </w:rPr>
      </w:pPr>
    </w:p>
    <w:p w14:paraId="2ED001C4">
      <w:pPr>
        <w:pStyle w:val="2"/>
        <w:rPr>
          <w:rFonts w:hint="eastAsia" w:ascii="宋体" w:hAnsi="宋体"/>
          <w:color w:val="000000" w:themeColor="text1"/>
          <w:sz w:val="24"/>
          <w14:textFill>
            <w14:solidFill>
              <w14:schemeClr w14:val="tx1"/>
            </w14:solidFill>
          </w14:textFill>
        </w:rPr>
      </w:pPr>
    </w:p>
    <w:p w14:paraId="40E1D4B8">
      <w:pPr>
        <w:pStyle w:val="2"/>
        <w:rPr>
          <w:rFonts w:hint="eastAsia" w:ascii="宋体" w:hAnsi="宋体"/>
          <w:color w:val="000000" w:themeColor="text1"/>
          <w:sz w:val="24"/>
          <w14:textFill>
            <w14:solidFill>
              <w14:schemeClr w14:val="tx1"/>
            </w14:solidFill>
          </w14:textFill>
        </w:rPr>
      </w:pPr>
    </w:p>
    <w:p w14:paraId="1E024024">
      <w:pPr>
        <w:pStyle w:val="2"/>
        <w:rPr>
          <w:rFonts w:hint="eastAsia" w:ascii="宋体" w:hAnsi="宋体"/>
          <w:color w:val="000000" w:themeColor="text1"/>
          <w:sz w:val="24"/>
          <w14:textFill>
            <w14:solidFill>
              <w14:schemeClr w14:val="tx1"/>
            </w14:solidFill>
          </w14:textFill>
        </w:rPr>
      </w:pPr>
    </w:p>
    <w:p w14:paraId="04A64A60">
      <w:pPr>
        <w:pStyle w:val="2"/>
        <w:rPr>
          <w:rFonts w:hint="eastAsia" w:ascii="宋体" w:hAnsi="宋体"/>
          <w:color w:val="000000" w:themeColor="text1"/>
          <w:sz w:val="24"/>
          <w14:textFill>
            <w14:solidFill>
              <w14:schemeClr w14:val="tx1"/>
            </w14:solidFill>
          </w14:textFill>
        </w:rPr>
      </w:pPr>
    </w:p>
    <w:p w14:paraId="40BFA628">
      <w:pPr>
        <w:pStyle w:val="2"/>
        <w:rPr>
          <w:rFonts w:hint="eastAsia" w:ascii="宋体" w:hAnsi="宋体"/>
          <w:color w:val="000000" w:themeColor="text1"/>
          <w:sz w:val="24"/>
          <w14:textFill>
            <w14:solidFill>
              <w14:schemeClr w14:val="tx1"/>
            </w14:solidFill>
          </w14:textFill>
        </w:rPr>
      </w:pPr>
    </w:p>
    <w:p w14:paraId="4A089330">
      <w:pPr>
        <w:pStyle w:val="2"/>
        <w:rPr>
          <w:rFonts w:hint="eastAsia" w:ascii="宋体" w:hAnsi="宋体"/>
          <w:color w:val="000000" w:themeColor="text1"/>
          <w:sz w:val="24"/>
          <w14:textFill>
            <w14:solidFill>
              <w14:schemeClr w14:val="tx1"/>
            </w14:solidFill>
          </w14:textFill>
        </w:rPr>
      </w:pPr>
    </w:p>
    <w:p w14:paraId="306570BD">
      <w:pPr>
        <w:jc w:val="center"/>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（本页为签署页，无正文）</w:t>
      </w:r>
    </w:p>
    <w:p w14:paraId="26DB3EE2">
      <w:pPr>
        <w:spacing w:line="480" w:lineRule="exact"/>
        <w:rPr>
          <w:color w:val="000000" w:themeColor="text1"/>
          <w:sz w:val="24"/>
          <w14:textFill>
            <w14:solidFill>
              <w14:schemeClr w14:val="tx1"/>
            </w14:solidFill>
          </w14:textFill>
        </w:rPr>
      </w:pPr>
    </w:p>
    <w:p w14:paraId="44082E81">
      <w:pPr>
        <w:spacing w:line="480" w:lineRule="exact"/>
        <w:rPr>
          <w:color w:val="000000" w:themeColor="text1"/>
          <w:sz w:val="24"/>
          <w14:textFill>
            <w14:solidFill>
              <w14:schemeClr w14:val="tx1"/>
            </w14:solidFill>
          </w14:textFill>
        </w:rPr>
      </w:pPr>
    </w:p>
    <w:p w14:paraId="08ECF2DE">
      <w:pPr>
        <w:spacing w:line="480" w:lineRule="exact"/>
        <w:rPr>
          <w:color w:val="000000" w:themeColor="text1"/>
          <w:sz w:val="24"/>
          <w14:textFill>
            <w14:solidFill>
              <w14:schemeClr w14:val="tx1"/>
            </w14:solidFill>
          </w14:textFill>
        </w:rPr>
      </w:pPr>
      <w:bookmarkStart w:id="48" w:name="tip_risk_bookmark_44"/>
      <w:bookmarkStart w:id="49" w:name="tip_risk_bookmark_43"/>
      <w:r>
        <w:rPr>
          <w:rFonts w:hint="eastAsia"/>
          <w:b/>
          <w:color w:val="000000" w:themeColor="text1"/>
          <w:sz w:val="24"/>
          <w14:textFill>
            <w14:solidFill>
              <w14:schemeClr w14:val="tx1"/>
            </w14:solidFill>
          </w14:textFill>
        </w:rPr>
        <w:t>甲方：【】</w:t>
      </w:r>
      <w:r>
        <w:rPr>
          <w:rFonts w:hint="eastAsia"/>
          <w:b/>
          <w:bCs/>
          <w:color w:val="000000" w:themeColor="text1"/>
          <w:sz w:val="24"/>
          <w14:textFill>
            <w14:solidFill>
              <w14:schemeClr w14:val="tx1"/>
            </w14:solidFill>
          </w14:textFill>
        </w:rPr>
        <w:t>（盖章）</w:t>
      </w:r>
      <w:bookmarkEnd w:id="48"/>
    </w:p>
    <w:p w14:paraId="052DE6A0">
      <w:pPr>
        <w:spacing w:line="480" w:lineRule="exact"/>
        <w:rPr>
          <w:b/>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p>
    <w:p w14:paraId="4CF52F89">
      <w:pPr>
        <w:spacing w:line="480" w:lineRule="exact"/>
        <w:rPr>
          <w:b/>
          <w:bCs/>
          <w:color w:val="000000" w:themeColor="text1"/>
          <w:sz w:val="24"/>
          <w14:textFill>
            <w14:solidFill>
              <w14:schemeClr w14:val="tx1"/>
            </w14:solidFill>
          </w14:textFill>
        </w:rPr>
      </w:pPr>
      <w:bookmarkStart w:id="50" w:name="OLE_LINK5"/>
      <w:r>
        <w:rPr>
          <w:rFonts w:hint="eastAsia"/>
          <w:b/>
          <w:bCs/>
          <w:color w:val="000000" w:themeColor="text1"/>
          <w:sz w:val="24"/>
          <w14:textFill>
            <w14:solidFill>
              <w14:schemeClr w14:val="tx1"/>
            </w14:solidFill>
          </w14:textFill>
        </w:rPr>
        <w:t>法定代表人或授权代表（签字）：</w:t>
      </w:r>
      <w:r>
        <w:rPr>
          <w:b/>
          <w:bCs/>
          <w:color w:val="000000" w:themeColor="text1"/>
          <w:sz w:val="24"/>
          <w:u w:val="single"/>
          <w14:textFill>
            <w14:solidFill>
              <w14:schemeClr w14:val="tx1"/>
            </w14:solidFill>
          </w14:textFill>
        </w:rPr>
        <w:t xml:space="preserve">                  </w:t>
      </w:r>
      <w:r>
        <w:rPr>
          <w:b/>
          <w:bCs/>
          <w:color w:val="000000" w:themeColor="text1"/>
          <w:sz w:val="24"/>
          <w14:textFill>
            <w14:solidFill>
              <w14:schemeClr w14:val="tx1"/>
            </w14:solidFill>
          </w14:textFill>
        </w:rPr>
        <w:t xml:space="preserve">  </w:t>
      </w:r>
    </w:p>
    <w:p w14:paraId="752D8970">
      <w:pPr>
        <w:spacing w:line="480" w:lineRule="exact"/>
        <w:rPr>
          <w:b/>
          <w:bCs/>
          <w:color w:val="000000" w:themeColor="text1"/>
          <w:sz w:val="24"/>
          <w14:textFill>
            <w14:solidFill>
              <w14:schemeClr w14:val="tx1"/>
            </w14:solidFill>
          </w14:textFill>
        </w:rPr>
      </w:pPr>
    </w:p>
    <w:p w14:paraId="249D7B18">
      <w:pPr>
        <w:spacing w:line="480" w:lineRule="exact"/>
        <w:rPr>
          <w:bCs/>
          <w:color w:val="000000" w:themeColor="text1"/>
          <w:sz w:val="24"/>
          <w14:textFill>
            <w14:solidFill>
              <w14:schemeClr w14:val="tx1"/>
            </w14:solidFill>
          </w14:textFill>
        </w:rPr>
      </w:pPr>
    </w:p>
    <w:p w14:paraId="48880682">
      <w:pPr>
        <w:spacing w:line="480" w:lineRule="exact"/>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签署日期</w:t>
      </w:r>
      <w:r>
        <w:rPr>
          <w:rFonts w:hint="eastAsia"/>
          <w:color w:val="000000" w:themeColor="text1"/>
          <w:sz w:val="24"/>
          <w14:textFill>
            <w14:solidFill>
              <w14:schemeClr w14:val="tx1"/>
            </w14:solidFill>
          </w14:textFill>
        </w:rPr>
        <w:t>：</w:t>
      </w:r>
      <w:r>
        <w:rPr>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年</w:t>
      </w:r>
      <w:r>
        <w:rPr>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月</w:t>
      </w:r>
      <w:r>
        <w:rPr>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日</w:t>
      </w:r>
      <w:bookmarkEnd w:id="50"/>
      <w:r>
        <w:rPr>
          <w:color w:val="000000" w:themeColor="text1"/>
          <w:sz w:val="24"/>
          <w14:textFill>
            <w14:solidFill>
              <w14:schemeClr w14:val="tx1"/>
            </w14:solidFill>
          </w14:textFill>
        </w:rPr>
        <w:t xml:space="preserve">          </w:t>
      </w:r>
    </w:p>
    <w:p w14:paraId="256E8B4F">
      <w:pPr>
        <w:spacing w:line="480" w:lineRule="exact"/>
        <w:rPr>
          <w:color w:val="000000" w:themeColor="text1"/>
          <w:sz w:val="24"/>
          <w14:textFill>
            <w14:solidFill>
              <w14:schemeClr w14:val="tx1"/>
            </w14:solidFill>
          </w14:textFill>
        </w:rPr>
      </w:pPr>
    </w:p>
    <w:p w14:paraId="2F6A8774">
      <w:pPr>
        <w:spacing w:line="480" w:lineRule="exact"/>
        <w:rPr>
          <w:b/>
          <w:color w:val="000000" w:themeColor="text1"/>
          <w:sz w:val="24"/>
          <w14:textFill>
            <w14:solidFill>
              <w14:schemeClr w14:val="tx1"/>
            </w14:solidFill>
          </w14:textFill>
        </w:rPr>
      </w:pPr>
    </w:p>
    <w:p w14:paraId="103E2CCB">
      <w:pPr>
        <w:spacing w:line="480" w:lineRule="exact"/>
        <w:rPr>
          <w:b/>
          <w:color w:val="000000" w:themeColor="text1"/>
          <w:sz w:val="24"/>
          <w14:textFill>
            <w14:solidFill>
              <w14:schemeClr w14:val="tx1"/>
            </w14:solidFill>
          </w14:textFill>
        </w:rPr>
      </w:pPr>
    </w:p>
    <w:p w14:paraId="24DB35E6">
      <w:pPr>
        <w:spacing w:line="480" w:lineRule="exact"/>
        <w:rPr>
          <w:b/>
          <w:color w:val="000000" w:themeColor="text1"/>
          <w:sz w:val="24"/>
          <w14:textFill>
            <w14:solidFill>
              <w14:schemeClr w14:val="tx1"/>
            </w14:solidFill>
          </w14:textFill>
        </w:rPr>
      </w:pPr>
      <w:bookmarkStart w:id="51" w:name="tip_risk_bookmark_46"/>
      <w:bookmarkStart w:id="52" w:name="tip_risk_bookmark_45"/>
      <w:r>
        <w:rPr>
          <w:rFonts w:hint="eastAsia"/>
          <w:b/>
          <w:color w:val="000000" w:themeColor="text1"/>
          <w:sz w:val="24"/>
          <w14:textFill>
            <w14:solidFill>
              <w14:schemeClr w14:val="tx1"/>
            </w14:solidFill>
          </w14:textFill>
        </w:rPr>
        <w:t>乙方：【】（盖章）</w:t>
      </w:r>
      <w:bookmarkEnd w:id="51"/>
    </w:p>
    <w:p w14:paraId="08AF9159">
      <w:pPr>
        <w:spacing w:line="480" w:lineRule="exact"/>
        <w:rPr>
          <w:b/>
          <w:color w:val="000000" w:themeColor="text1"/>
          <w:sz w:val="24"/>
          <w:u w:val="single"/>
          <w14:textFill>
            <w14:solidFill>
              <w14:schemeClr w14:val="tx1"/>
            </w14:solidFill>
          </w14:textFill>
        </w:rPr>
      </w:pPr>
    </w:p>
    <w:p w14:paraId="5267C02C">
      <w:pPr>
        <w:spacing w:line="480" w:lineRule="exact"/>
        <w:rPr>
          <w:b/>
          <w:color w:val="000000" w:themeColor="text1"/>
          <w:sz w:val="24"/>
          <w:u w:val="single"/>
          <w14:textFill>
            <w14:solidFill>
              <w14:schemeClr w14:val="tx1"/>
            </w14:solidFill>
          </w14:textFill>
        </w:rPr>
      </w:pPr>
    </w:p>
    <w:p w14:paraId="05503D58">
      <w:pPr>
        <w:spacing w:line="480" w:lineRule="exact"/>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法定代表人或授权代表（签字）：</w:t>
      </w:r>
      <w:r>
        <w:rPr>
          <w:rFonts w:hint="eastAsia"/>
          <w:b/>
          <w:bCs/>
          <w:color w:val="000000" w:themeColor="text1"/>
          <w:sz w:val="24"/>
          <w:u w:val="single"/>
          <w14:textFill>
            <w14:solidFill>
              <w14:schemeClr w14:val="tx1"/>
            </w14:solidFill>
          </w14:textFill>
        </w:rPr>
        <w:t xml:space="preserve"> </w:t>
      </w:r>
      <w:r>
        <w:rPr>
          <w:b/>
          <w:bCs/>
          <w:color w:val="000000" w:themeColor="text1"/>
          <w:sz w:val="24"/>
          <w:u w:val="single"/>
          <w14:textFill>
            <w14:solidFill>
              <w14:schemeClr w14:val="tx1"/>
            </w14:solidFill>
          </w14:textFill>
        </w:rPr>
        <w:t xml:space="preserve">                 </w:t>
      </w:r>
      <w:r>
        <w:rPr>
          <w:b/>
          <w:bCs/>
          <w:color w:val="000000" w:themeColor="text1"/>
          <w:sz w:val="24"/>
          <w14:textFill>
            <w14:solidFill>
              <w14:schemeClr w14:val="tx1"/>
            </w14:solidFill>
          </w14:textFill>
        </w:rPr>
        <w:t xml:space="preserve">  </w:t>
      </w:r>
    </w:p>
    <w:p w14:paraId="714444B4">
      <w:pPr>
        <w:spacing w:line="480" w:lineRule="exact"/>
        <w:rPr>
          <w:b/>
          <w:color w:val="000000" w:themeColor="text1"/>
          <w:sz w:val="24"/>
          <w:u w:val="single"/>
          <w14:textFill>
            <w14:solidFill>
              <w14:schemeClr w14:val="tx1"/>
            </w14:solidFill>
          </w14:textFill>
        </w:rPr>
      </w:pPr>
    </w:p>
    <w:p w14:paraId="75E5AF23">
      <w:pPr>
        <w:spacing w:line="480" w:lineRule="exact"/>
        <w:rPr>
          <w:b/>
          <w:color w:val="000000" w:themeColor="text1"/>
          <w:sz w:val="24"/>
          <w:u w:val="single"/>
          <w14:textFill>
            <w14:solidFill>
              <w14:schemeClr w14:val="tx1"/>
            </w14:solidFill>
          </w14:textFill>
        </w:rPr>
      </w:pPr>
    </w:p>
    <w:p w14:paraId="077CBF90">
      <w:pPr>
        <w:spacing w:line="480" w:lineRule="exact"/>
        <w:rPr>
          <w:b/>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签署日期</w:t>
      </w:r>
      <w:r>
        <w:rPr>
          <w:rFonts w:hint="eastAsia"/>
          <w:color w:val="000000" w:themeColor="text1"/>
          <w:sz w:val="24"/>
          <w14:textFill>
            <w14:solidFill>
              <w14:schemeClr w14:val="tx1"/>
            </w14:solidFill>
          </w14:textFill>
        </w:rPr>
        <w:t>：</w:t>
      </w:r>
      <w:r>
        <w:rPr>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年</w:t>
      </w:r>
      <w:r>
        <w:rPr>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月</w:t>
      </w:r>
      <w:r>
        <w:rPr>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日</w:t>
      </w:r>
      <w:bookmarkEnd w:id="49"/>
      <w:bookmarkEnd w:id="52"/>
    </w:p>
    <w:p w14:paraId="57CDB5E0">
      <w:pPr>
        <w:spacing w:line="480" w:lineRule="exact"/>
        <w:rPr>
          <w:b/>
          <w:color w:val="000000" w:themeColor="text1"/>
          <w:sz w:val="24"/>
          <w14:textFill>
            <w14:solidFill>
              <w14:schemeClr w14:val="tx1"/>
            </w14:solidFill>
          </w14:textFill>
        </w:rPr>
      </w:pPr>
    </w:p>
    <w:p w14:paraId="09C745EB">
      <w:pPr>
        <w:spacing w:line="480" w:lineRule="exact"/>
        <w:rPr>
          <w:b/>
          <w:color w:val="000000" w:themeColor="text1"/>
          <w:sz w:val="24"/>
          <w14:textFill>
            <w14:solidFill>
              <w14:schemeClr w14:val="tx1"/>
            </w14:solidFill>
          </w14:textFill>
        </w:rPr>
      </w:pPr>
    </w:p>
    <w:p w14:paraId="6F7AF837">
      <w:pPr>
        <w:pStyle w:val="2"/>
        <w:rPr>
          <w:rFonts w:hint="eastAsia"/>
          <w:lang w:val="en-US" w:eastAsia="zh-CN"/>
        </w:rPr>
      </w:pPr>
      <w:r>
        <w:rPr>
          <w:color w:val="000000" w:themeColor="text1"/>
          <w:sz w:val="24"/>
          <w14:textFill>
            <w14:solidFill>
              <w14:schemeClr w14:val="tx1"/>
            </w14:solidFill>
          </w14:textFill>
        </w:rPr>
        <w:br w:type="page"/>
      </w:r>
      <w:bookmarkStart w:id="53" w:name="tip_risk_bookmark_47"/>
      <w:r>
        <w:rPr>
          <w:rFonts w:hint="eastAsia"/>
          <w:b/>
          <w:bCs/>
          <w:color w:val="000000" w:themeColor="text1"/>
          <w:sz w:val="24"/>
          <w14:textFill>
            <w14:solidFill>
              <w14:schemeClr w14:val="tx1"/>
            </w14:solidFill>
          </w14:textFill>
        </w:rPr>
        <w:t>附件一：</w:t>
      </w:r>
      <w:bookmarkEnd w:id="53"/>
    </w:p>
    <w:p w14:paraId="6F9D2653">
      <w:pPr>
        <w:bidi w:val="0"/>
        <w:spacing w:line="360" w:lineRule="auto"/>
        <w:ind w:firstLine="420" w:firstLineChars="200"/>
        <w:rPr>
          <w:rFonts w:hint="default"/>
          <w:lang w:val="en-US" w:eastAsia="zh-CN"/>
        </w:rPr>
      </w:pPr>
      <w:r>
        <w:rPr>
          <w:rFonts w:hint="eastAsia"/>
          <w:lang w:val="en-US"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imes New Roman (正文 CS 字体)">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A3307C"/>
    <w:multiLevelType w:val="multilevel"/>
    <w:tmpl w:val="07A3307C"/>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
    <w:nsid w:val="1BE3184C"/>
    <w:multiLevelType w:val="multilevel"/>
    <w:tmpl w:val="1BE3184C"/>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1EE27F2B"/>
    <w:multiLevelType w:val="multilevel"/>
    <w:tmpl w:val="1EE27F2B"/>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A066C6F"/>
    <w:multiLevelType w:val="multilevel"/>
    <w:tmpl w:val="2A066C6F"/>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4">
    <w:nsid w:val="2A2C1933"/>
    <w:multiLevelType w:val="multilevel"/>
    <w:tmpl w:val="2A2C1933"/>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5">
    <w:nsid w:val="2C266A5F"/>
    <w:multiLevelType w:val="multilevel"/>
    <w:tmpl w:val="2C266A5F"/>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2D455CC9"/>
    <w:multiLevelType w:val="multilevel"/>
    <w:tmpl w:val="2D455CC9"/>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7">
    <w:nsid w:val="300F648B"/>
    <w:multiLevelType w:val="multilevel"/>
    <w:tmpl w:val="300F648B"/>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8">
    <w:nsid w:val="4A060D57"/>
    <w:multiLevelType w:val="multilevel"/>
    <w:tmpl w:val="4A060D57"/>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9">
    <w:nsid w:val="4C1472EE"/>
    <w:multiLevelType w:val="multilevel"/>
    <w:tmpl w:val="4C1472EE"/>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0">
    <w:nsid w:val="595C61A4"/>
    <w:multiLevelType w:val="multilevel"/>
    <w:tmpl w:val="595C61A4"/>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1">
    <w:nsid w:val="5D3F1484"/>
    <w:multiLevelType w:val="multilevel"/>
    <w:tmpl w:val="5D3F1484"/>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2">
    <w:nsid w:val="65507ED3"/>
    <w:multiLevelType w:val="multilevel"/>
    <w:tmpl w:val="65507ED3"/>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3">
    <w:nsid w:val="661865C7"/>
    <w:multiLevelType w:val="multilevel"/>
    <w:tmpl w:val="661865C7"/>
    <w:lvl w:ilvl="0" w:tentative="0">
      <w:start w:val="1"/>
      <w:numFmt w:val="decimal"/>
      <w:lvlText w:val="%1."/>
      <w:lvlJc w:val="left"/>
      <w:pPr>
        <w:ind w:left="927" w:hanging="36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2"/>
  </w:num>
  <w:num w:numId="2">
    <w:abstractNumId w:val="6"/>
  </w:num>
  <w:num w:numId="3">
    <w:abstractNumId w:val="3"/>
  </w:num>
  <w:num w:numId="4">
    <w:abstractNumId w:val="4"/>
  </w:num>
  <w:num w:numId="5">
    <w:abstractNumId w:val="7"/>
  </w:num>
  <w:num w:numId="6">
    <w:abstractNumId w:val="1"/>
  </w:num>
  <w:num w:numId="7">
    <w:abstractNumId w:val="9"/>
  </w:num>
  <w:num w:numId="8">
    <w:abstractNumId w:val="5"/>
  </w:num>
  <w:num w:numId="9">
    <w:abstractNumId w:val="10"/>
  </w:num>
  <w:num w:numId="10">
    <w:abstractNumId w:val="8"/>
  </w:num>
  <w:num w:numId="11">
    <w:abstractNumId w:val="11"/>
  </w:num>
  <w:num w:numId="12">
    <w:abstractNumId w:val="13"/>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73600"/>
    <w:rsid w:val="062664B9"/>
    <w:rsid w:val="0AE41BA8"/>
    <w:rsid w:val="11621A79"/>
    <w:rsid w:val="14C03686"/>
    <w:rsid w:val="14F366FF"/>
    <w:rsid w:val="15CA5E3E"/>
    <w:rsid w:val="19D63004"/>
    <w:rsid w:val="1BE13EE2"/>
    <w:rsid w:val="1C1C4F1A"/>
    <w:rsid w:val="1D9751A0"/>
    <w:rsid w:val="23A221A9"/>
    <w:rsid w:val="255C5F4B"/>
    <w:rsid w:val="27321A96"/>
    <w:rsid w:val="28D728F5"/>
    <w:rsid w:val="2EB15996"/>
    <w:rsid w:val="34052AED"/>
    <w:rsid w:val="35887450"/>
    <w:rsid w:val="41B11ADD"/>
    <w:rsid w:val="43713C1A"/>
    <w:rsid w:val="43EC504E"/>
    <w:rsid w:val="4521341D"/>
    <w:rsid w:val="45C30031"/>
    <w:rsid w:val="468123C6"/>
    <w:rsid w:val="48FA645F"/>
    <w:rsid w:val="4CDD7C2A"/>
    <w:rsid w:val="4E6B74B7"/>
    <w:rsid w:val="501C6CBB"/>
    <w:rsid w:val="5E053485"/>
    <w:rsid w:val="62467BC8"/>
    <w:rsid w:val="625978FB"/>
    <w:rsid w:val="665723A3"/>
    <w:rsid w:val="67397CFB"/>
    <w:rsid w:val="67EB36EB"/>
    <w:rsid w:val="6B923E7E"/>
    <w:rsid w:val="6EB83BFB"/>
    <w:rsid w:val="71DB2542"/>
    <w:rsid w:val="73F531FC"/>
    <w:rsid w:val="751A116C"/>
    <w:rsid w:val="751D2A0A"/>
    <w:rsid w:val="757545F4"/>
    <w:rsid w:val="77A64F39"/>
    <w:rsid w:val="7C995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tabs>
        <w:tab w:val="left" w:pos="567"/>
      </w:tabs>
      <w:ind w:firstLine="420" w:firstLineChars="100"/>
    </w:pPr>
  </w:style>
  <w:style w:type="paragraph" w:styleId="3">
    <w:name w:val="Body Text"/>
    <w:basedOn w:val="1"/>
    <w:next w:val="1"/>
    <w:qFormat/>
    <w:uiPriority w:val="0"/>
    <w:pPr>
      <w:tabs>
        <w:tab w:val="left" w:pos="567"/>
      </w:tabs>
      <w:spacing w:before="120" w:line="22" w:lineRule="atLeast"/>
    </w:pPr>
    <w:rPr>
      <w:rFonts w:ascii="宋体" w:hAnsi="宋体"/>
      <w:sz w:val="24"/>
    </w:rPr>
  </w:style>
  <w:style w:type="paragraph" w:styleId="4">
    <w:name w:val="annotation text"/>
    <w:basedOn w:val="1"/>
    <w:unhideWhenUsed/>
    <w:qFormat/>
    <w:uiPriority w:val="99"/>
    <w:pPr>
      <w:jc w:val="left"/>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semiHidden/>
    <w:unhideWhenUsed/>
    <w:qFormat/>
    <w:uiPriority w:val="99"/>
  </w:style>
  <w:style w:type="character" w:styleId="12">
    <w:name w:val="annotation reference"/>
    <w:basedOn w:val="9"/>
    <w:semiHidden/>
    <w:unhideWhenUsed/>
    <w:qFormat/>
    <w:uiPriority w:val="99"/>
    <w:rPr>
      <w:sz w:val="21"/>
      <w:szCs w:val="21"/>
    </w:rPr>
  </w:style>
  <w:style w:type="paragraph" w:styleId="13">
    <w:name w:val="List Paragraph"/>
    <w:basedOn w:val="1"/>
    <w:qFormat/>
    <w:uiPriority w:val="34"/>
    <w:pPr>
      <w:ind w:firstLine="420" w:firstLineChars="200"/>
    </w:pPr>
  </w:style>
  <w:style w:type="paragraph" w:customStyle="1" w:styleId="14">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ba97e64e-360d-4ba0-8950-ca3aabbd4ec4</errorID>
      <errorWord>:</errorWord>
      <group>L1_Format</group>
      <groupName>格式问题</groupName>
      <ability>L2_HalfPunc_CN</ability>
      <abilityName>全半角问题</abilityName>
      <candidateList>
        <item>：</item>
      </candidateList>
      <explain>文本全半角错误。</explain>
      <paraID>26D0420F</paraID>
      <start>3</start>
      <end>4</end>
      <status>modified</status>
      <modifiedWord>：</modifiedWord>
      <trackRevisions>false</trackRevisions>
    </reviewItem>
    <reviewItem>
      <errorID>5ccb9b4c-a4e9-4356-8de3-a6e84c1ab7d9</errorID>
      <errorWord>,</errorWord>
      <group>L1_Format</group>
      <groupName>格式问题</groupName>
      <ability>L2_HalfPunc_CN</ability>
      <abilityName>全半角问题</abilityName>
      <candidateList>
        <item>，</item>
      </candidateList>
      <explain>文本全半角错误。</explain>
      <paraID> FCC839F</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c20907f-e31d-4e64-a48d-c71ff6cc42d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7161</Words>
  <Characters>7403</Characters>
  <Lines>0</Lines>
  <Paragraphs>0</Paragraphs>
  <TotalTime>6</TotalTime>
  <ScaleCrop>false</ScaleCrop>
  <LinksUpToDate>false</LinksUpToDate>
  <CharactersWithSpaces>7589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2026-08-13T05:02:00Z</dcterms:created>
  <dc:creator>Administrator</dc:creator>
  <cp:lastModifiedBy>简单</cp:lastModifiedBy>
  <dcterms:modified xsi:type="dcterms:W3CDTF">2026-08-14T06:18:05Z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eyJoZGlkIjoiNjczYjg5NTg2ODIwM2UzZWNmYTc0YzAwY2IyZjQ3YTUiLCJ1c2VySWQiOiIzMjY0OTYxNjAifQ==</vt:lpwstr>
  </property>
  <property fmtid="{D5CDD505-2E9C-101B-9397-08002B2CF9AE}" pid="4" name="ICV">
    <vt:lpwstr>1BDBAA4573B647C1BB554DD24BED268A_12</vt:lpwstr>
  </property>
</Properties>
</file>