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8505"/>
        <w:gridCol w:w="2329"/>
      </w:tblGrid>
      <w:tr w:rsidR="006452E8" w:rsidRPr="001B568B" w:rsidTr="00945D6F">
        <w:trPr>
          <w:jc w:val="center"/>
        </w:trPr>
        <w:tc>
          <w:tcPr>
            <w:tcW w:w="1129" w:type="dxa"/>
            <w:vAlign w:val="center"/>
          </w:tcPr>
          <w:p w:rsidR="006452E8" w:rsidRPr="006452E8" w:rsidRDefault="006452E8" w:rsidP="006452E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6452E8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 w:rsidR="006452E8" w:rsidRPr="006452E8" w:rsidRDefault="006452E8" w:rsidP="006452E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6452E8">
              <w:rPr>
                <w:rFonts w:ascii="宋体" w:eastAsia="宋体" w:hAnsi="宋体" w:hint="eastAsia"/>
                <w:b/>
                <w:sz w:val="24"/>
                <w:szCs w:val="24"/>
              </w:rPr>
              <w:t>采购标的</w:t>
            </w:r>
          </w:p>
        </w:tc>
        <w:tc>
          <w:tcPr>
            <w:tcW w:w="8505" w:type="dxa"/>
            <w:vAlign w:val="center"/>
          </w:tcPr>
          <w:p w:rsidR="006452E8" w:rsidRPr="006452E8" w:rsidRDefault="006452E8" w:rsidP="006452E8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6452E8">
              <w:rPr>
                <w:rFonts w:ascii="宋体" w:eastAsia="宋体" w:hAnsi="宋体" w:hint="eastAsia"/>
                <w:b/>
                <w:sz w:val="24"/>
                <w:szCs w:val="24"/>
              </w:rPr>
              <w:t>更正后的技术指标</w:t>
            </w:r>
          </w:p>
        </w:tc>
        <w:tc>
          <w:tcPr>
            <w:tcW w:w="2329" w:type="dxa"/>
            <w:vAlign w:val="center"/>
          </w:tcPr>
          <w:p w:rsidR="006452E8" w:rsidRPr="006452E8" w:rsidRDefault="006452E8" w:rsidP="006452E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6452E8">
              <w:rPr>
                <w:rFonts w:ascii="宋体" w:eastAsia="宋体" w:hAnsi="宋体" w:hint="eastAsia"/>
                <w:b/>
                <w:sz w:val="24"/>
                <w:szCs w:val="24"/>
              </w:rPr>
              <w:t>备注</w:t>
            </w:r>
          </w:p>
        </w:tc>
      </w:tr>
      <w:tr w:rsidR="006452E8" w:rsidRPr="001B568B" w:rsidTr="00945D6F">
        <w:trPr>
          <w:jc w:val="center"/>
        </w:trPr>
        <w:tc>
          <w:tcPr>
            <w:tcW w:w="1129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电动</w:t>
            </w:r>
            <w:proofErr w:type="gramStart"/>
            <w:r w:rsidRPr="001B568B">
              <w:rPr>
                <w:rFonts w:ascii="宋体" w:eastAsia="宋体" w:hAnsi="宋体" w:hint="eastAsia"/>
                <w:sz w:val="24"/>
                <w:szCs w:val="24"/>
              </w:rPr>
              <w:t>演示台</w:t>
            </w:r>
            <w:proofErr w:type="gramEnd"/>
          </w:p>
        </w:tc>
        <w:tc>
          <w:tcPr>
            <w:tcW w:w="850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参考规格：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2700×700×（高度800-1000）mm，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1.台面，采用≥16mm厚实验室用实芯理化板。防静电、防腐蚀。耐酸、耐碱、耐热、阻燃性能合格。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2.台身：钢制框架，内部采用≥3mm厚一级冷轧板折边和方管连接。外边镶≥1.5mm厚冷轧板，板材经过折弧形弯焊接而成，水槽采用环氧树脂一体成型。柜体表面除油、除锈，采用静电喷塑处理，高温固化成型，外箱板为≥1.5mm冷轧板，整体高度可按要求定制或由采购方自行调整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3.工艺：经数控剪板机下料、数控机床冲角、折弯、组焊成型，所有焊接部位均采用点焊、二氧化碳保护焊接工艺，焊点牢固、平滑、美观，无气泡和漏焊、假焊现象。表面走线孔内缘和隐蔽部位全部环保涂料喷涂处理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4.涂饰：部件进入大型喷塑生产线时，表面经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脱脂陶化液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处理，烘干预热后进行环氧树脂静电粉末喷涂，涂层厚度≥70um,涂层附着力需达到2级标准。表面具有防有机溶剂侵蚀、防潮、防锈、防尘、防静电等功能。粉末采用静电粉末。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5.结构：结构整体钢制，台面为一体化，设水封式环氧树脂水盆、铜质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镀络单联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高压水嘴。预留直流电源控制台、五孔插座、多媒体设备等位置。                                                6.实验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台整体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封闭性设计，防水、防尘、防腐。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lastRenderedPageBreak/>
              <w:t>7.脚垫:优质防腐材料,高度20mm,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防止桌身受潮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8.表面硬质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覆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面的抗冲击性应不低于3级（提供所投产品完整的检测报告予以佐证）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9.表面硬质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覆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面的耐干热标准不低于3级（提供所投产品完整的检测报告予以佐证）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10.表面硬质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覆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面的耐磨性标准不低于3级（提供所投产品完整的检测报告予以佐证）</w:t>
            </w:r>
            <w:bookmarkStart w:id="0" w:name="_GoBack"/>
            <w:bookmarkEnd w:id="0"/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11.表面硬质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覆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面的耐污染性能标准不低于3级（提供所投产品完整的检测报告予以佐证）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12.产品甲醛释放量≤0.04mg/m³、苯≤0.03mg/m³、甲苯≤0.08mg/m³、二甲苯≤0.10mg/m³、总挥发性有机化合物≤0.25mg/m³（提供所投产品完整的检测报告予以佐证）</w:t>
            </w:r>
          </w:p>
        </w:tc>
        <w:tc>
          <w:tcPr>
            <w:tcW w:w="2329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仅“北方交通大学附属中学密云分校（化学实验室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2间）</w:t>
            </w:r>
            <w:r w:rsidRPr="001B568B">
              <w:rPr>
                <w:rFonts w:ascii="宋体" w:eastAsia="宋体" w:hAnsi="宋体" w:hint="eastAsia"/>
                <w:sz w:val="24"/>
                <w:szCs w:val="24"/>
              </w:rPr>
              <w:t>”中涉及▲技术指标，其余技术指标各学校统一修改</w:t>
            </w:r>
          </w:p>
        </w:tc>
      </w:tr>
      <w:tr w:rsidR="006452E8" w:rsidRPr="001B568B" w:rsidTr="00945D6F">
        <w:trPr>
          <w:jc w:val="center"/>
        </w:trPr>
        <w:tc>
          <w:tcPr>
            <w:tcW w:w="1129" w:type="dxa"/>
            <w:vAlign w:val="center"/>
          </w:tcPr>
          <w:p w:rsidR="006452E8" w:rsidRPr="001B568B" w:rsidRDefault="006904DC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教师座椅</w:t>
            </w:r>
          </w:p>
        </w:tc>
        <w:tc>
          <w:tcPr>
            <w:tcW w:w="850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1、整体规格：标准中背带扶手结构。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2、表面基材：优质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环保皮覆面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；触感柔软、无色差，表面无龟裂、破损、无油腻感；厚度及各项理化性能符合国家现行检测标准。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3、填充海绵：采用优质泡棉；座面泡棉密度≥45kg/m³，靠背泡棉密度≥35kg/m³，回弹性≥40%；压膜量及各项理化性能符合国家现行检测标准。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lastRenderedPageBreak/>
              <w:t>4、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椅板结构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：人体工程学设计；板材厚度15-16mm，承重≥300KG；板材经防潮、防腐、防蛀环保处理，符合国家家具行业现行标准。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5、弓形椅脚：优质钢制椭圆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管椅架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，模具折弯一体成型；管材壁厚≥2.0mm。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6、表面涂饰工艺：双层电镀工艺，首层镀镍（抗腐、防酸），外层电镀；工艺符合国家金属制品表面处理现行规范。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7、通用质量要求：所有材质符合国家室内家具环保标准，零部件配套齐全，符合国家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现行行业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规范。</w:t>
            </w:r>
          </w:p>
        </w:tc>
        <w:tc>
          <w:tcPr>
            <w:tcW w:w="2329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技术指标各学校统一修改</w:t>
            </w:r>
          </w:p>
        </w:tc>
      </w:tr>
      <w:tr w:rsidR="006452E8" w:rsidRPr="001B568B" w:rsidTr="00945D6F">
        <w:trPr>
          <w:jc w:val="center"/>
        </w:trPr>
        <w:tc>
          <w:tcPr>
            <w:tcW w:w="1129" w:type="dxa"/>
            <w:vAlign w:val="center"/>
          </w:tcPr>
          <w:p w:rsidR="006452E8" w:rsidRPr="001B568B" w:rsidRDefault="006904DC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实验桌</w:t>
            </w:r>
          </w:p>
        </w:tc>
        <w:tc>
          <w:tcPr>
            <w:tcW w:w="850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1.参考规格：2800×600×780mm（预留水盆位置）。                                                                     2.台面:耐酸、耐碱、耐热、阻燃；采用≥12mm厚实验室专用实芯理化板，边缘双层加厚至≥25mm，台面有围栏。防静电、防腐蚀，耐酸碱、耐高温、耐腐蚀、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不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吸水、防火、抗老化、无毒、不褪色；                                                           3.台身:</w:t>
            </w:r>
            <w:r w:rsidRPr="001B568B">
              <w:rPr>
                <w:rFonts w:ascii="宋体" w:eastAsia="宋体" w:hAnsi="宋体" w:hint="eastAsia"/>
                <w:sz w:val="24"/>
                <w:szCs w:val="24"/>
              </w:rPr>
              <w:t>钢制结构，管材厚度≥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2.0mm，钢板厚度≥0.8mm，采用一级冷轧钢板。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 xml:space="preserve">4.结构: 实验桌中间预留水封式水盆及三联高压水龙头，学生电源及插座位置。 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5.工艺：经数控剪板机下料、数控机床冲角、折弯、组焊成型，所有焊接部位均采用点焊、二氧化碳保护焊接工艺，焊点牢固、平滑、美观，无气泡和漏焊、假焊现象。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6.涂饰：部件进入大型喷塑生产线时，表面经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脱脂陶化液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处理，烘干预热后进行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lastRenderedPageBreak/>
              <w:t>环氧树脂静电粉末喷涂，涂层厚度≥70um,涂层附着力需达到2级标准。表面具有防有机溶剂侵蚀、防潮、防锈、防尘、防静电等功能。粉末采用静电粉末。                                                                        7.脚垫:优质防腐材料,高度20mm,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防止桌身受潮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8.产品甲醛释放量≤0.04mg/m³、苯≤0.03mg/m³、甲苯≤0.08mg/m³、二甲苯≤0.10mg/m³、总挥发性有机化合物≤0.25mg/m³（提供所投产品完整的检测报告予以佐证）。</w:t>
            </w:r>
          </w:p>
        </w:tc>
        <w:tc>
          <w:tcPr>
            <w:tcW w:w="2329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1、除物理实验室</w:t>
            </w:r>
            <w:proofErr w:type="gramStart"/>
            <w:r w:rsidRPr="001B568B">
              <w:rPr>
                <w:rFonts w:ascii="宋体" w:eastAsia="宋体" w:hAnsi="宋体" w:hint="eastAsia"/>
                <w:sz w:val="24"/>
                <w:szCs w:val="24"/>
              </w:rPr>
              <w:t>不</w:t>
            </w:r>
            <w:proofErr w:type="gramEnd"/>
            <w:r w:rsidRPr="001B568B">
              <w:rPr>
                <w:rFonts w:ascii="宋体" w:eastAsia="宋体" w:hAnsi="宋体" w:hint="eastAsia"/>
                <w:sz w:val="24"/>
                <w:szCs w:val="24"/>
              </w:rPr>
              <w:t>预留水盆位置外，化学、生物实验室均更改为预留水盆位置。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2</w:t>
            </w:r>
            <w:r w:rsidRPr="001B568B">
              <w:rPr>
                <w:rFonts w:ascii="宋体" w:eastAsia="宋体" w:hAnsi="宋体" w:hint="eastAsia"/>
                <w:sz w:val="24"/>
                <w:szCs w:val="24"/>
              </w:rPr>
              <w:t>、仅“北方交通大学附属中学密云分校（化学实验室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2间）”中涉及▲技术指标，其余技术指标各学校统一修改</w:t>
            </w:r>
          </w:p>
        </w:tc>
      </w:tr>
      <w:tr w:rsidR="006452E8" w:rsidRPr="001B568B" w:rsidTr="00945D6F">
        <w:trPr>
          <w:jc w:val="center"/>
        </w:trPr>
        <w:tc>
          <w:tcPr>
            <w:tcW w:w="1129" w:type="dxa"/>
            <w:vAlign w:val="center"/>
          </w:tcPr>
          <w:p w:rsidR="006452E8" w:rsidRPr="001B568B" w:rsidRDefault="006904DC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实验凳</w:t>
            </w:r>
          </w:p>
        </w:tc>
        <w:tc>
          <w:tcPr>
            <w:tcW w:w="8505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1.升降范围：≥420-500mm，凳面材质pp注塑件，面下带有加强筋，升降结构为气动升降，连续可调，带有防脱落装置，五脚钢支架。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/>
                <w:sz w:val="24"/>
                <w:szCs w:val="24"/>
              </w:rPr>
              <w:t>2.涂饰：部件进入大型喷塑生产线时，表面经</w:t>
            </w:r>
            <w:proofErr w:type="gramStart"/>
            <w:r w:rsidRPr="001B568B">
              <w:rPr>
                <w:rFonts w:ascii="宋体" w:eastAsia="宋体" w:hAnsi="宋体"/>
                <w:sz w:val="24"/>
                <w:szCs w:val="24"/>
              </w:rPr>
              <w:t>脱脂陶化液</w:t>
            </w:r>
            <w:proofErr w:type="gramEnd"/>
            <w:r w:rsidRPr="001B568B">
              <w:rPr>
                <w:rFonts w:ascii="宋体" w:eastAsia="宋体" w:hAnsi="宋体"/>
                <w:sz w:val="24"/>
                <w:szCs w:val="24"/>
              </w:rPr>
              <w:t>处理，烘干预热后进行环氧树脂静电粉末喷涂，涂层厚度≥70um,涂层附着力需达到2级标准。表面具有防有机溶剂侵蚀、防潮、防锈、防尘、防静电等功能。粉末采用静电粉末。</w:t>
            </w:r>
          </w:p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▲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3.产品甲醛释放量≤0.04mg/m³、苯≤0.03mg/m³、甲苯≤0.08mg/m³、二甲苯≤0.10mg/m³、总挥发性有机化合物≤0.25mg/m³（提供所投产品完整的检测报告予以佐证）。</w:t>
            </w:r>
          </w:p>
        </w:tc>
        <w:tc>
          <w:tcPr>
            <w:tcW w:w="2329" w:type="dxa"/>
            <w:vAlign w:val="center"/>
          </w:tcPr>
          <w:p w:rsidR="006452E8" w:rsidRPr="001B568B" w:rsidRDefault="006452E8" w:rsidP="00CA480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B568B">
              <w:rPr>
                <w:rFonts w:ascii="宋体" w:eastAsia="宋体" w:hAnsi="宋体" w:hint="eastAsia"/>
                <w:sz w:val="24"/>
                <w:szCs w:val="24"/>
              </w:rPr>
              <w:t>仅“北方交通大学附属中学密云分校（化学实验室</w:t>
            </w:r>
            <w:r w:rsidRPr="001B568B">
              <w:rPr>
                <w:rFonts w:ascii="宋体" w:eastAsia="宋体" w:hAnsi="宋体"/>
                <w:sz w:val="24"/>
                <w:szCs w:val="24"/>
              </w:rPr>
              <w:t>2间）”中涉及▲技术指标，其余技术指标各学校统一修改</w:t>
            </w:r>
          </w:p>
        </w:tc>
      </w:tr>
    </w:tbl>
    <w:p w:rsidR="006452E8" w:rsidRDefault="006452E8" w:rsidP="006452E8"/>
    <w:p w:rsidR="008929F3" w:rsidRPr="006452E8" w:rsidRDefault="008929F3" w:rsidP="006452E8"/>
    <w:sectPr w:rsidR="008929F3" w:rsidRPr="006452E8" w:rsidSect="001B56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E0"/>
    <w:rsid w:val="000368E0"/>
    <w:rsid w:val="001B568B"/>
    <w:rsid w:val="004C6339"/>
    <w:rsid w:val="006452E8"/>
    <w:rsid w:val="006904DC"/>
    <w:rsid w:val="008929F3"/>
    <w:rsid w:val="0094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1C97"/>
  <w15:chartTrackingRefBased/>
  <w15:docId w15:val="{98714C6C-3DA2-4219-AD48-5140363B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2026-08-06T07:52:00Z</dcterms:created>
  <dcterms:modified xsi:type="dcterms:W3CDTF">2026-08-06T08:00:00Z</dcterms:modified>
</cp:coreProperties>
</file>