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Cs/>
          <w:sz w:val="36"/>
          <w:szCs w:val="36"/>
          <w:u w:val="single"/>
        </w:rPr>
      </w:pPr>
      <w:r>
        <w:rPr>
          <w:rFonts w:hint="eastAsia" w:ascii="仿宋" w:hAnsi="仿宋" w:eastAsia="仿宋" w:cs="仿宋"/>
          <w:bCs/>
          <w:sz w:val="36"/>
          <w:szCs w:val="36"/>
          <w:u w:val="single"/>
        </w:rPr>
        <w:t>瀛海镇新时代党建连心屏项目</w:t>
      </w:r>
    </w:p>
    <w:p>
      <w:pPr>
        <w:jc w:val="both"/>
        <w:rPr>
          <w:rFonts w:hint="eastAsia" w:ascii="仿宋" w:hAnsi="仿宋" w:eastAsia="仿宋" w:cs="仿宋"/>
          <w:b w:val="0"/>
          <w:bCs/>
          <w:sz w:val="28"/>
          <w:szCs w:val="28"/>
          <w:u w:val="none"/>
          <w:lang w:val="en-US" w:eastAsia="zh-CN"/>
        </w:rPr>
      </w:pPr>
      <w:r>
        <w:rPr>
          <w:rFonts w:hint="eastAsia" w:ascii="仿宋" w:hAnsi="仿宋" w:eastAsia="仿宋" w:cs="仿宋"/>
          <w:b w:val="0"/>
          <w:bCs/>
          <w:sz w:val="28"/>
          <w:szCs w:val="28"/>
          <w:u w:val="none"/>
          <w:lang w:val="en-US" w:eastAsia="zh-CN"/>
        </w:rPr>
        <w:t>（一）</w:t>
      </w:r>
      <w:r>
        <w:rPr>
          <w:rFonts w:hint="eastAsia" w:ascii="仿宋" w:hAnsi="仿宋" w:eastAsia="仿宋" w:cs="仿宋"/>
          <w:b/>
          <w:bCs w:val="0"/>
          <w:sz w:val="28"/>
          <w:szCs w:val="28"/>
          <w:u w:val="none"/>
          <w:lang w:val="en-US" w:eastAsia="zh-CN"/>
        </w:rPr>
        <w:t>原招标文件：</w:t>
      </w:r>
      <w:r>
        <w:rPr>
          <w:rFonts w:hint="eastAsia" w:ascii="仿宋" w:hAnsi="仿宋" w:eastAsia="仿宋" w:cs="仿宋"/>
          <w:b w:val="0"/>
          <w:bCs/>
          <w:sz w:val="28"/>
          <w:szCs w:val="28"/>
          <w:u w:val="none"/>
          <w:lang w:val="en-US" w:eastAsia="zh-CN"/>
        </w:rPr>
        <w:t>投标截止时间、开标时间为：2026年10月12日09:00（北京时间）</w:t>
      </w:r>
    </w:p>
    <w:p>
      <w:pPr>
        <w:jc w:val="both"/>
        <w:rPr>
          <w:rFonts w:hint="eastAsia" w:ascii="仿宋" w:hAnsi="仿宋" w:eastAsia="仿宋" w:cs="仿宋"/>
          <w:b w:val="0"/>
          <w:bCs/>
          <w:sz w:val="28"/>
          <w:szCs w:val="28"/>
          <w:u w:val="none"/>
          <w:lang w:val="en-US" w:eastAsia="zh-CN"/>
        </w:rPr>
      </w:pPr>
      <w:r>
        <w:rPr>
          <w:rFonts w:hint="eastAsia" w:ascii="仿宋" w:hAnsi="仿宋" w:eastAsia="仿宋" w:cs="仿宋"/>
          <w:b/>
          <w:bCs w:val="0"/>
          <w:sz w:val="28"/>
          <w:szCs w:val="28"/>
          <w:u w:val="none"/>
          <w:lang w:val="en-US" w:eastAsia="zh-CN"/>
        </w:rPr>
        <w:t>现调整为：</w:t>
      </w:r>
      <w:r>
        <w:rPr>
          <w:rFonts w:hint="eastAsia" w:ascii="仿宋" w:hAnsi="仿宋" w:eastAsia="仿宋" w:cs="仿宋"/>
          <w:b w:val="0"/>
          <w:bCs/>
          <w:sz w:val="28"/>
          <w:szCs w:val="28"/>
          <w:u w:val="none"/>
          <w:lang w:val="en-US" w:eastAsia="zh-CN"/>
        </w:rPr>
        <w:t>投标截止时间、开标时间为：2026年10月15日09点00分（北京时间）</w:t>
      </w:r>
    </w:p>
    <w:p>
      <w:pPr>
        <w:spacing w:line="360" w:lineRule="auto"/>
        <w:jc w:val="both"/>
        <w:outlineLvl w:val="0"/>
        <w:rPr>
          <w:rFonts w:hint="eastAsia" w:ascii="仿宋" w:hAnsi="仿宋" w:eastAsia="仿宋" w:cs="仿宋"/>
          <w:b w:val="0"/>
          <w:bCs/>
          <w:sz w:val="28"/>
          <w:szCs w:val="28"/>
          <w:highlight w:val="none"/>
        </w:rPr>
      </w:pPr>
      <w:r>
        <w:rPr>
          <w:rFonts w:hint="eastAsia" w:ascii="仿宋" w:hAnsi="仿宋" w:eastAsia="仿宋" w:cs="仿宋"/>
          <w:b w:val="0"/>
          <w:bCs/>
          <w:sz w:val="28"/>
          <w:szCs w:val="28"/>
          <w:u w:val="none"/>
          <w:lang w:eastAsia="zh-CN"/>
        </w:rPr>
        <w:t>（</w:t>
      </w:r>
      <w:r>
        <w:rPr>
          <w:rFonts w:hint="eastAsia" w:ascii="仿宋" w:hAnsi="仿宋" w:eastAsia="仿宋" w:cs="仿宋"/>
          <w:b w:val="0"/>
          <w:bCs/>
          <w:sz w:val="28"/>
          <w:szCs w:val="28"/>
          <w:u w:val="none"/>
          <w:lang w:val="en-US" w:eastAsia="zh-CN"/>
        </w:rPr>
        <w:t>二</w:t>
      </w:r>
      <w:r>
        <w:rPr>
          <w:rFonts w:hint="eastAsia" w:ascii="仿宋" w:hAnsi="仿宋" w:eastAsia="仿宋" w:cs="仿宋"/>
          <w:b w:val="0"/>
          <w:bCs/>
          <w:sz w:val="28"/>
          <w:szCs w:val="28"/>
          <w:u w:val="none"/>
          <w:lang w:eastAsia="zh-CN"/>
        </w:rPr>
        <w:t>）</w:t>
      </w:r>
      <w:r>
        <w:rPr>
          <w:rFonts w:hint="eastAsia" w:ascii="仿宋" w:hAnsi="仿宋" w:eastAsia="仿宋" w:cs="仿宋"/>
          <w:b/>
          <w:bCs w:val="0"/>
          <w:sz w:val="28"/>
          <w:szCs w:val="28"/>
          <w:u w:val="none"/>
        </w:rPr>
        <w:t>原招标文件</w:t>
      </w:r>
      <w:r>
        <w:rPr>
          <w:rFonts w:hint="eastAsia" w:ascii="仿宋" w:hAnsi="仿宋" w:eastAsia="仿宋" w:cs="仿宋"/>
          <w:b/>
          <w:bCs w:val="0"/>
          <w:sz w:val="28"/>
          <w:szCs w:val="28"/>
          <w:u w:val="none"/>
          <w:lang w:eastAsia="zh-CN"/>
        </w:rPr>
        <w:t>：</w:t>
      </w:r>
      <w:bookmarkStart w:id="0" w:name="_Toc99301424"/>
      <w:r>
        <w:rPr>
          <w:rFonts w:hint="eastAsia" w:ascii="仿宋" w:hAnsi="仿宋" w:eastAsia="仿宋" w:cs="仿宋"/>
          <w:b/>
          <w:bCs w:val="0"/>
          <w:sz w:val="28"/>
          <w:szCs w:val="28"/>
          <w:highlight w:val="none"/>
        </w:rPr>
        <w:t>第五章   采购需求</w:t>
      </w:r>
      <w:bookmarkEnd w:id="0"/>
    </w:p>
    <w:p>
      <w:pPr>
        <w:widowControl w:val="0"/>
        <w:numPr>
          <w:ilvl w:val="0"/>
          <w:numId w:val="0"/>
        </w:numPr>
        <w:spacing w:line="360" w:lineRule="auto"/>
        <w:ind w:leftChars="0" w:firstLine="482" w:firstLineChars="200"/>
        <w:contextualSpacing/>
        <w:jc w:val="both"/>
        <w:rPr>
          <w:rFonts w:hint="eastAsia" w:ascii="仿宋" w:hAnsi="仿宋" w:eastAsia="仿宋" w:cs="仿宋"/>
          <w:b/>
          <w:kern w:val="2"/>
          <w:sz w:val="24"/>
          <w:szCs w:val="24"/>
          <w:highlight w:val="none"/>
          <w:lang w:val="en-US" w:eastAsia="zh-CN" w:bidi="ar-SA"/>
        </w:rPr>
      </w:pPr>
      <w:r>
        <w:rPr>
          <w:rFonts w:hint="eastAsia" w:ascii="仿宋" w:hAnsi="仿宋" w:eastAsia="仿宋" w:cs="仿宋"/>
          <w:b/>
          <w:kern w:val="2"/>
          <w:sz w:val="24"/>
          <w:szCs w:val="24"/>
          <w:highlight w:val="none"/>
          <w:lang w:val="en-US" w:eastAsia="zh-CN" w:bidi="ar-SA"/>
        </w:rPr>
        <w:t>一、采购标的</w:t>
      </w:r>
    </w:p>
    <w:p>
      <w:pPr>
        <w:spacing w:line="360" w:lineRule="auto"/>
        <w:ind w:firstLine="484" w:firstLineChars="200"/>
        <w:rPr>
          <w:rFonts w:hint="eastAsia" w:ascii="仿宋" w:hAnsi="仿宋" w:eastAsia="仿宋" w:cs="仿宋"/>
          <w:spacing w:val="1"/>
          <w:sz w:val="24"/>
          <w:szCs w:val="24"/>
          <w:highlight w:val="none"/>
        </w:rPr>
      </w:pPr>
      <w:r>
        <w:rPr>
          <w:rFonts w:hint="eastAsia" w:ascii="仿宋" w:hAnsi="仿宋" w:eastAsia="仿宋" w:cs="仿宋"/>
          <w:spacing w:val="1"/>
          <w:sz w:val="24"/>
          <w:szCs w:val="24"/>
          <w:highlight w:val="none"/>
        </w:rPr>
        <w:t>1.采购标的简要服务内容概述：</w:t>
      </w:r>
    </w:p>
    <w:p>
      <w:pPr>
        <w:spacing w:line="360" w:lineRule="auto"/>
        <w:ind w:firstLine="484" w:firstLineChars="200"/>
        <w:rPr>
          <w:rFonts w:hint="eastAsia" w:ascii="仿宋" w:hAnsi="仿宋" w:eastAsia="仿宋" w:cs="仿宋"/>
          <w:spacing w:val="1"/>
          <w:sz w:val="24"/>
          <w:szCs w:val="24"/>
          <w:highlight w:val="none"/>
        </w:rPr>
      </w:pPr>
      <w:r>
        <w:rPr>
          <w:rFonts w:hint="eastAsia" w:ascii="仿宋" w:hAnsi="仿宋" w:eastAsia="仿宋" w:cs="仿宋"/>
          <w:spacing w:val="1"/>
          <w:sz w:val="24"/>
          <w:szCs w:val="24"/>
          <w:highlight w:val="none"/>
        </w:rPr>
        <w:t>全面提升社区宣传阵地智能化水平，有效搭建社区和居民之间沟通的桥梁。</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2.项目背景及概述：</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新时代党建连心屏，以各党委领导为核心，携手各社区党组织，通过社区、楼宇间的电子屏，传播新时代中国特色社会主义思想和党的二十大精神。这是一个充满活力的平台，它以创建和谐社区、幸福家园为目标，集建设、运营、管理于一体，通过数字媒体传播方式，架起了政府与群众之间的信息沟通桥梁。</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为了加大瀛海镇的宣传力度，党建连心屏告别了传统的阅报栏时代，将党政信息和惠民政策及时有效地传递给广大居民。这个电子屏，就如同一个美妙的画板，吸引着居民们的目光。它不仅美化了社区环境，而且通过强制性宣传的特点，直接面对社区居民进行宣传，成为传播渗透性极佳的媒介经典。</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党建连心屏的目标是发挥社区组织的作用，引导广大社区居民积极参与社区治理，自觉遵守社会基本道德规范。它以党建宣传、社会公德、职业道德、家庭美德、个人品德建设、大兴拉家常等为主要内容，通过发布宣传信息，宣传道德模范、劳动模范，营造浓厚的创建氛围。</w:t>
      </w:r>
    </w:p>
    <w:p>
      <w:pPr>
        <w:spacing w:line="360" w:lineRule="auto"/>
        <w:ind w:firstLine="484" w:firstLineChars="200"/>
        <w:rPr>
          <w:rFonts w:hint="eastAsia" w:ascii="仿宋" w:hAnsi="仿宋" w:eastAsia="仿宋" w:cs="仿宋"/>
          <w:szCs w:val="24"/>
          <w:highlight w:val="none"/>
        </w:rPr>
      </w:pPr>
      <w:r>
        <w:rPr>
          <w:rFonts w:hint="eastAsia" w:ascii="仿宋" w:hAnsi="仿宋" w:eastAsia="仿宋" w:cs="仿宋"/>
          <w:spacing w:val="1"/>
          <w:sz w:val="24"/>
          <w:szCs w:val="24"/>
          <w:highlight w:val="none"/>
          <w:lang w:val="en-US" w:eastAsia="zh-CN"/>
        </w:rPr>
        <w:t>党建连心屏有着重要的定位和优势。它不仅是意识形态的重要阵地、舆情引导平台、政策信息枢纽、政府与群众的桥梁，同时也是城市管理预警平台、便民服务平台和社区文化窗口。它的出现，让资讯更加便捷地传递到居民手中，让宣传更加生动有趣，增加了居民的关注度，也让社区环境变得更加优美宜居。</w:t>
      </w:r>
    </w:p>
    <w:p>
      <w:pPr>
        <w:spacing w:line="360" w:lineRule="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二、商务要求</w:t>
      </w:r>
    </w:p>
    <w:p>
      <w:pPr>
        <w:spacing w:line="360" w:lineRule="auto"/>
        <w:ind w:firstLine="480" w:firstLineChars="200"/>
        <w:rPr>
          <w:rFonts w:hint="eastAsia" w:ascii="仿宋" w:hAnsi="仿宋" w:eastAsia="仿宋" w:cs="仿宋"/>
          <w:bCs/>
          <w:sz w:val="24"/>
          <w:szCs w:val="24"/>
          <w:highlight w:val="none"/>
        </w:rPr>
      </w:pPr>
      <w:r>
        <w:rPr>
          <w:rFonts w:hint="eastAsia" w:ascii="仿宋" w:hAnsi="仿宋" w:eastAsia="仿宋" w:cs="仿宋"/>
          <w:bCs/>
          <w:sz w:val="24"/>
          <w:szCs w:val="24"/>
          <w:highlight w:val="none"/>
        </w:rPr>
        <w:t>1.</w:t>
      </w:r>
      <w:r>
        <w:rPr>
          <w:rFonts w:hint="eastAsia" w:ascii="仿宋" w:hAnsi="仿宋" w:eastAsia="仿宋" w:cs="仿宋"/>
          <w:bCs/>
          <w:sz w:val="24"/>
          <w:szCs w:val="24"/>
          <w:highlight w:val="none"/>
          <w:lang w:val="en-US" w:eastAsia="zh-CN"/>
        </w:rPr>
        <w:t>1</w:t>
      </w:r>
      <w:r>
        <w:rPr>
          <w:rFonts w:hint="eastAsia" w:ascii="仿宋" w:hAnsi="仿宋" w:eastAsia="仿宋" w:cs="仿宋"/>
          <w:bCs/>
          <w:sz w:val="24"/>
          <w:szCs w:val="24"/>
          <w:highlight w:val="none"/>
        </w:rPr>
        <w:t>合同履行期限：</w:t>
      </w:r>
      <w:r>
        <w:rPr>
          <w:rFonts w:hint="eastAsia" w:ascii="仿宋" w:hAnsi="仿宋" w:eastAsia="仿宋" w:cs="仿宋"/>
          <w:bCs/>
          <w:sz w:val="24"/>
          <w:szCs w:val="24"/>
          <w:highlight w:val="none"/>
          <w:lang w:val="en-US" w:eastAsia="zh-CN"/>
        </w:rPr>
        <w:t>1</w:t>
      </w:r>
      <w:r>
        <w:rPr>
          <w:rFonts w:hint="eastAsia" w:ascii="仿宋" w:hAnsi="仿宋" w:eastAsia="仿宋" w:cs="仿宋"/>
          <w:bCs/>
          <w:sz w:val="24"/>
          <w:szCs w:val="24"/>
          <w:highlight w:val="none"/>
        </w:rPr>
        <w:t>年。</w:t>
      </w: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bCs/>
          <w:sz w:val="24"/>
          <w:szCs w:val="24"/>
          <w:highlight w:val="none"/>
          <w:lang w:val="en-US" w:eastAsia="zh-CN"/>
        </w:rPr>
        <w:t>1.2</w:t>
      </w:r>
      <w:r>
        <w:rPr>
          <w:rFonts w:hint="eastAsia" w:ascii="仿宋" w:hAnsi="仿宋" w:eastAsia="仿宋" w:cs="仿宋"/>
          <w:bCs/>
          <w:sz w:val="24"/>
          <w:szCs w:val="24"/>
          <w:highlight w:val="none"/>
        </w:rPr>
        <w:t>合同履行地点：北京市大兴区</w:t>
      </w:r>
      <w:r>
        <w:rPr>
          <w:rFonts w:hint="eastAsia" w:ascii="仿宋" w:hAnsi="仿宋" w:eastAsia="仿宋" w:cs="仿宋"/>
          <w:bCs/>
          <w:sz w:val="24"/>
          <w:szCs w:val="24"/>
          <w:highlight w:val="none"/>
          <w:lang w:val="en-US" w:eastAsia="zh-CN"/>
        </w:rPr>
        <w:t>瀛海镇</w:t>
      </w:r>
      <w:r>
        <w:rPr>
          <w:rFonts w:hint="eastAsia" w:ascii="仿宋" w:hAnsi="仿宋" w:eastAsia="仿宋" w:cs="仿宋"/>
          <w:bCs/>
          <w:sz w:val="24"/>
          <w:szCs w:val="24"/>
          <w:highlight w:val="none"/>
        </w:rPr>
        <w:t>。</w:t>
      </w:r>
    </w:p>
    <w:p>
      <w:pPr>
        <w:widowControl w:val="0"/>
        <w:numPr>
          <w:ilvl w:val="0"/>
          <w:numId w:val="0"/>
        </w:numPr>
        <w:spacing w:after="0" w:line="360" w:lineRule="auto"/>
        <w:ind w:leftChars="0"/>
        <w:jc w:val="both"/>
        <w:rPr>
          <w:rFonts w:hint="eastAsia" w:ascii="仿宋" w:hAnsi="仿宋" w:eastAsia="仿宋" w:cs="仿宋"/>
          <w:bCs/>
          <w:sz w:val="24"/>
          <w:szCs w:val="24"/>
          <w:highlight w:val="none"/>
        </w:rPr>
      </w:pPr>
      <w:r>
        <w:rPr>
          <w:rFonts w:hint="eastAsia" w:ascii="仿宋" w:hAnsi="仿宋" w:eastAsia="仿宋" w:cs="仿宋"/>
          <w:bCs/>
          <w:sz w:val="24"/>
          <w:szCs w:val="24"/>
          <w:highlight w:val="none"/>
        </w:rPr>
        <w:t>2.付款条件（进度和方式）：</w:t>
      </w:r>
    </w:p>
    <w:p>
      <w:pPr>
        <w:widowControl w:val="0"/>
        <w:numPr>
          <w:ilvl w:val="0"/>
          <w:numId w:val="0"/>
        </w:numPr>
        <w:spacing w:after="0" w:line="360" w:lineRule="auto"/>
        <w:ind w:leftChars="0"/>
        <w:jc w:val="both"/>
        <w:rPr>
          <w:rFonts w:hint="eastAsia" w:ascii="仿宋" w:hAnsi="仿宋" w:eastAsia="仿宋" w:cs="仿宋"/>
          <w:b w:val="0"/>
          <w:bCs w:val="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（1）预付款：本合同签订后生效，甲方于10个工作日内向乙方支付合同额50%作为预付款：</w:t>
      </w:r>
      <w:r>
        <w:rPr>
          <w:rFonts w:hint="eastAsia" w:ascii="仿宋" w:hAnsi="仿宋" w:eastAsia="仿宋" w:cs="仿宋"/>
          <w:b w:val="0"/>
          <w:bCs w:val="0"/>
          <w:color w:val="000000"/>
          <w:kern w:val="2"/>
          <w:sz w:val="24"/>
          <w:szCs w:val="24"/>
          <w:highlight w:val="none"/>
          <w:u w:val="single"/>
          <w:lang w:val="en-US" w:eastAsia="zh-CN" w:bidi="zh-TW"/>
        </w:rPr>
        <w:t xml:space="preserve">      </w:t>
      </w:r>
      <w:r>
        <w:rPr>
          <w:rFonts w:hint="eastAsia" w:ascii="仿宋" w:hAnsi="仿宋" w:eastAsia="仿宋" w:cs="仿宋"/>
          <w:b w:val="0"/>
          <w:bCs w:val="0"/>
          <w:color w:val="000000"/>
          <w:kern w:val="2"/>
          <w:sz w:val="24"/>
          <w:szCs w:val="24"/>
          <w:highlight w:val="none"/>
          <w:lang w:val="en-US" w:eastAsia="zh-CN" w:bidi="zh-TW"/>
        </w:rPr>
        <w:t>元（大写：     元整）</w:t>
      </w:r>
    </w:p>
    <w:p>
      <w:pPr>
        <w:widowControl w:val="0"/>
        <w:numPr>
          <w:ilvl w:val="0"/>
          <w:numId w:val="0"/>
        </w:numPr>
        <w:spacing w:after="0" w:line="480" w:lineRule="auto"/>
        <w:ind w:leftChars="0"/>
        <w:jc w:val="both"/>
        <w:rPr>
          <w:rFonts w:hint="eastAsia" w:ascii="仿宋" w:hAnsi="仿宋" w:eastAsia="仿宋" w:cs="仿宋"/>
          <w:b w:val="0"/>
          <w:bCs w:val="0"/>
          <w:kern w:val="2"/>
          <w:sz w:val="24"/>
          <w:szCs w:val="24"/>
          <w:highlight w:val="none"/>
          <w:lang w:val="en-US" w:eastAsia="zh-CN" w:bidi="zh-TW"/>
        </w:rPr>
      </w:pPr>
      <w:r>
        <w:rPr>
          <w:rFonts w:hint="eastAsia" w:ascii="仿宋" w:hAnsi="仿宋" w:eastAsia="仿宋" w:cs="仿宋"/>
          <w:b w:val="0"/>
          <w:bCs w:val="0"/>
          <w:kern w:val="2"/>
          <w:sz w:val="24"/>
          <w:szCs w:val="24"/>
          <w:highlight w:val="none"/>
          <w:lang w:val="en-US" w:eastAsia="zh-CN" w:bidi="zh-TW"/>
        </w:rPr>
        <w:t>（2）中期款（合同签订后两个月）甲方向乙方支付合同额30%作为中期款：</w:t>
      </w:r>
      <w:r>
        <w:rPr>
          <w:rFonts w:hint="eastAsia" w:ascii="仿宋" w:hAnsi="仿宋" w:eastAsia="仿宋" w:cs="仿宋"/>
          <w:b w:val="0"/>
          <w:bCs w:val="0"/>
          <w:kern w:val="2"/>
          <w:sz w:val="24"/>
          <w:szCs w:val="24"/>
          <w:highlight w:val="none"/>
          <w:u w:val="single"/>
          <w:lang w:val="en-US" w:eastAsia="zh-CN" w:bidi="zh-TW"/>
        </w:rPr>
        <w:t xml:space="preserve">      </w:t>
      </w:r>
      <w:r>
        <w:rPr>
          <w:rFonts w:hint="eastAsia" w:ascii="仿宋" w:hAnsi="仿宋" w:eastAsia="仿宋" w:cs="仿宋"/>
          <w:b w:val="0"/>
          <w:bCs w:val="0"/>
          <w:kern w:val="2"/>
          <w:sz w:val="24"/>
          <w:szCs w:val="24"/>
          <w:highlight w:val="none"/>
          <w:lang w:val="en-US" w:eastAsia="zh-CN" w:bidi="zh-TW"/>
        </w:rPr>
        <w:t>元（大写：</w:t>
      </w:r>
      <w:r>
        <w:rPr>
          <w:rFonts w:hint="eastAsia" w:ascii="仿宋" w:hAnsi="仿宋" w:eastAsia="仿宋" w:cs="仿宋"/>
          <w:b w:val="0"/>
          <w:bCs w:val="0"/>
          <w:kern w:val="2"/>
          <w:sz w:val="24"/>
          <w:szCs w:val="24"/>
          <w:highlight w:val="none"/>
          <w:u w:val="single"/>
          <w:lang w:val="en-US" w:eastAsia="zh-CN" w:bidi="zh-TW"/>
        </w:rPr>
        <w:t xml:space="preserve">           元整</w:t>
      </w:r>
      <w:r>
        <w:rPr>
          <w:rFonts w:hint="eastAsia" w:ascii="仿宋" w:hAnsi="仿宋" w:eastAsia="仿宋" w:cs="仿宋"/>
          <w:b w:val="0"/>
          <w:bCs w:val="0"/>
          <w:kern w:val="2"/>
          <w:sz w:val="24"/>
          <w:szCs w:val="24"/>
          <w:highlight w:val="none"/>
          <w:lang w:val="en-US" w:eastAsia="zh-CN" w:bidi="zh-TW"/>
        </w:rPr>
        <w:t>）</w:t>
      </w:r>
    </w:p>
    <w:p>
      <w:pPr>
        <w:widowControl w:val="0"/>
        <w:numPr>
          <w:ilvl w:val="0"/>
          <w:numId w:val="0"/>
        </w:numPr>
        <w:spacing w:after="0" w:line="480" w:lineRule="auto"/>
        <w:ind w:leftChars="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（3）尾款：剩余20%待甲方验收合格后支付。人民币</w:t>
      </w:r>
      <w:r>
        <w:rPr>
          <w:rFonts w:hint="eastAsia" w:ascii="仿宋" w:hAnsi="仿宋" w:eastAsia="仿宋" w:cs="仿宋"/>
          <w:b w:val="0"/>
          <w:bCs w:val="0"/>
          <w:color w:val="000000"/>
          <w:kern w:val="2"/>
          <w:sz w:val="24"/>
          <w:szCs w:val="24"/>
          <w:highlight w:val="none"/>
          <w:u w:val="single"/>
          <w:lang w:val="en-US" w:eastAsia="zh-CN" w:bidi="zh-TW"/>
        </w:rPr>
        <w:t xml:space="preserve">        </w:t>
      </w:r>
      <w:r>
        <w:rPr>
          <w:rFonts w:hint="eastAsia" w:ascii="仿宋" w:hAnsi="仿宋" w:eastAsia="仿宋" w:cs="仿宋"/>
          <w:b w:val="0"/>
          <w:bCs w:val="0"/>
          <w:color w:val="000000"/>
          <w:kern w:val="2"/>
          <w:sz w:val="24"/>
          <w:szCs w:val="24"/>
          <w:highlight w:val="none"/>
          <w:lang w:val="en-US" w:eastAsia="zh-CN" w:bidi="zh-TW"/>
        </w:rPr>
        <w:t>元（大写：</w:t>
      </w:r>
      <w:r>
        <w:rPr>
          <w:rFonts w:hint="eastAsia" w:ascii="仿宋" w:hAnsi="仿宋" w:eastAsia="仿宋" w:cs="仿宋"/>
          <w:b w:val="0"/>
          <w:bCs w:val="0"/>
          <w:color w:val="000000"/>
          <w:kern w:val="2"/>
          <w:sz w:val="24"/>
          <w:szCs w:val="24"/>
          <w:highlight w:val="none"/>
          <w:u w:val="single"/>
          <w:lang w:val="en-US" w:eastAsia="zh-CN" w:bidi="zh-TW"/>
        </w:rPr>
        <w:t xml:space="preserve">      元整 </w:t>
      </w:r>
      <w:r>
        <w:rPr>
          <w:rFonts w:hint="eastAsia" w:ascii="仿宋" w:hAnsi="仿宋" w:eastAsia="仿宋" w:cs="仿宋"/>
          <w:b w:val="0"/>
          <w:bCs w:val="0"/>
          <w:color w:val="000000"/>
          <w:kern w:val="2"/>
          <w:sz w:val="24"/>
          <w:szCs w:val="24"/>
          <w:highlight w:val="none"/>
          <w:lang w:val="en-US" w:eastAsia="zh-CN" w:bidi="zh-TW"/>
        </w:rPr>
        <w:t>）。</w:t>
      </w:r>
    </w:p>
    <w:p>
      <w:pPr>
        <w:widowControl w:val="0"/>
        <w:numPr>
          <w:ilvl w:val="12"/>
          <w:numId w:val="0"/>
        </w:numPr>
        <w:spacing w:after="0" w:line="480" w:lineRule="auto"/>
        <w:ind w:left="0" w:firstLine="480" w:firstLineChars="20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根据合同期满后的尾款由甲方在验收合格后10个日历天内支付，甲方应在合同期满后7个工作日内完成验收考核，填写《验收考核单》，书面提出合格意见或异议；若甲方提出书面异议，乙方应及时整改并在此通知甲方按上述方式验收；甲方逾期未验收或验收未提出书面异议的，视为验收合格。注：《验收考核单》详见附件一。</w:t>
      </w:r>
    </w:p>
    <w:p>
      <w:pPr>
        <w:widowControl w:val="0"/>
        <w:numPr>
          <w:ilvl w:val="0"/>
          <w:numId w:val="0"/>
        </w:numPr>
        <w:spacing w:after="0" w:line="480" w:lineRule="auto"/>
        <w:ind w:leftChars="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（4）每次付款前，乙方应按要求向甲方开具相应金额的正规发票，如因乙方未提供合格发票导致甲方付款延迟的，不视为甲方违约。</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b w:val="0"/>
          <w:bCs w:val="0"/>
          <w:color w:val="000000"/>
          <w:kern w:val="2"/>
          <w:sz w:val="24"/>
          <w:szCs w:val="24"/>
          <w:highlight w:val="none"/>
          <w:lang w:val="en-US" w:eastAsia="zh-CN" w:bidi="zh-TW"/>
        </w:rPr>
        <w:t>（5）因甲方系财政拨款单位,以上费用实际支付时间以财政资金拨付到位为准。如因财政或有关部门就本项目资金未能及时拨付到位,待本项目资金到位后向乙方付款,而不视为甲方付款违约,甲方亦不承担任何违约责任。但乙方不得拒绝或延期履行义务,否则应按本合同约定及法律规定承担违约责任。”</w:t>
      </w:r>
    </w:p>
    <w:p>
      <w:pPr>
        <w:spacing w:line="48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三、技术要求</w:t>
      </w:r>
    </w:p>
    <w:p>
      <w:pPr>
        <w:widowControl w:val="0"/>
        <w:spacing w:after="120" w:line="480" w:lineRule="exact"/>
        <w:ind w:left="0" w:leftChars="0" w:firstLine="240" w:firstLineChars="100"/>
        <w:jc w:val="both"/>
        <w:rPr>
          <w:rFonts w:hint="eastAsia" w:ascii="仿宋" w:hAnsi="仿宋" w:eastAsia="仿宋" w:cs="仿宋"/>
          <w:bCs/>
          <w:kern w:val="2"/>
          <w:sz w:val="24"/>
          <w:szCs w:val="20"/>
          <w:highlight w:val="none"/>
          <w:lang w:val="en-US" w:eastAsia="zh-CN" w:bidi="ar-SA"/>
        </w:rPr>
      </w:pPr>
      <w:r>
        <w:rPr>
          <w:rFonts w:hint="eastAsia" w:ascii="仿宋" w:hAnsi="仿宋" w:eastAsia="仿宋" w:cs="仿宋"/>
          <w:bCs/>
          <w:kern w:val="2"/>
          <w:sz w:val="24"/>
          <w:szCs w:val="20"/>
          <w:highlight w:val="none"/>
          <w:lang w:val="en-US" w:eastAsia="zh-CN" w:bidi="ar-SA"/>
        </w:rPr>
        <w:t>1.基本要求</w:t>
      </w:r>
    </w:p>
    <w:p>
      <w:pPr>
        <w:widowControl w:val="0"/>
        <w:spacing w:after="120" w:line="480" w:lineRule="exact"/>
        <w:ind w:left="0" w:leftChars="0" w:firstLine="240" w:firstLineChars="100"/>
        <w:jc w:val="both"/>
        <w:rPr>
          <w:rFonts w:hint="eastAsia" w:ascii="仿宋" w:hAnsi="仿宋" w:eastAsia="仿宋" w:cs="仿宋"/>
          <w:bCs/>
          <w:kern w:val="2"/>
          <w:sz w:val="24"/>
          <w:szCs w:val="20"/>
          <w:highlight w:val="none"/>
          <w:lang w:val="en-US" w:eastAsia="zh-CN" w:bidi="ar-SA"/>
        </w:rPr>
      </w:pPr>
      <w:r>
        <w:rPr>
          <w:rFonts w:hint="eastAsia" w:ascii="仿宋" w:hAnsi="仿宋" w:eastAsia="仿宋" w:cs="仿宋"/>
          <w:bCs/>
          <w:kern w:val="2"/>
          <w:sz w:val="24"/>
          <w:szCs w:val="20"/>
          <w:highlight w:val="none"/>
          <w:lang w:val="en-US" w:eastAsia="zh-CN" w:bidi="ar-SA"/>
        </w:rPr>
        <w:t>1.1采购标的需实现的功能或者目标</w:t>
      </w:r>
    </w:p>
    <w:p>
      <w:pPr>
        <w:widowControl w:val="0"/>
        <w:spacing w:after="120" w:line="480" w:lineRule="exact"/>
        <w:ind w:left="0" w:leftChars="0" w:firstLine="240" w:firstLineChars="100"/>
        <w:jc w:val="both"/>
        <w:rPr>
          <w:rFonts w:hint="eastAsia" w:ascii="仿宋" w:hAnsi="仿宋" w:eastAsia="仿宋" w:cs="仿宋"/>
          <w:b/>
          <w:kern w:val="2"/>
          <w:sz w:val="24"/>
          <w:szCs w:val="20"/>
          <w:highlight w:val="none"/>
          <w:lang w:val="en-US" w:eastAsia="zh-CN" w:bidi="ar-SA"/>
        </w:rPr>
      </w:pPr>
      <w:r>
        <w:rPr>
          <w:rFonts w:hint="eastAsia" w:ascii="仿宋" w:hAnsi="仿宋" w:eastAsia="仿宋" w:cs="仿宋"/>
          <w:kern w:val="0"/>
          <w:sz w:val="24"/>
          <w:szCs w:val="20"/>
          <w:highlight w:val="none"/>
          <w:lang w:val="en-US" w:eastAsia="zh-CN" w:bidi="ar-SA"/>
        </w:rPr>
        <w:t>为全面提升社区宣传阵地智能化水平，有效搭建社区和居民之间沟通的桥梁，通过前期与各社区沟通，经11个社区申请，计划在11个社区（商品房、共有产权房、经适房、公租房）267个单元门安装新时代党建连心屏。</w:t>
      </w:r>
    </w:p>
    <w:p>
      <w:pPr>
        <w:keepNext/>
        <w:keepLines/>
        <w:autoSpaceDE w:val="0"/>
        <w:autoSpaceDN w:val="0"/>
        <w:adjustRightInd w:val="0"/>
        <w:spacing w:before="120" w:line="360" w:lineRule="auto"/>
        <w:ind w:firstLine="240" w:firstLineChars="100"/>
        <w:outlineLvl w:val="1"/>
        <w:rPr>
          <w:rFonts w:hint="eastAsia" w:ascii="仿宋" w:hAnsi="仿宋" w:eastAsia="仿宋" w:cs="仿宋"/>
          <w:bCs/>
          <w:sz w:val="24"/>
          <w:szCs w:val="24"/>
          <w:highlight w:val="none"/>
        </w:rPr>
      </w:pPr>
      <w:r>
        <w:rPr>
          <w:rFonts w:hint="eastAsia" w:ascii="仿宋" w:hAnsi="仿宋" w:eastAsia="仿宋" w:cs="仿宋"/>
          <w:bCs/>
          <w:sz w:val="24"/>
          <w:szCs w:val="24"/>
          <w:highlight w:val="none"/>
        </w:rPr>
        <w:t>1.2 需执行的国家相关标准、行业标准、地方标准或者其他标准、规范：</w:t>
      </w:r>
    </w:p>
    <w:p>
      <w:pPr>
        <w:spacing w:line="360" w:lineRule="auto"/>
        <w:ind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严格按照国家相关标准、行业标准、地方标准要求执行。</w:t>
      </w:r>
    </w:p>
    <w:p>
      <w:pPr>
        <w:spacing w:line="360" w:lineRule="auto"/>
        <w:ind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2.服务内容及要求：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2.1主要服务内容：</w:t>
      </w:r>
    </w:p>
    <w:p>
      <w:pPr>
        <w:spacing w:line="360" w:lineRule="auto"/>
        <w:ind w:firstLine="480" w:firstLineChars="2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为</w:t>
      </w:r>
      <w:r>
        <w:rPr>
          <w:rFonts w:hint="eastAsia" w:ascii="仿宋" w:hAnsi="仿宋" w:eastAsia="仿宋" w:cs="仿宋"/>
          <w:bCs/>
          <w:sz w:val="24"/>
          <w:szCs w:val="24"/>
          <w:highlight w:val="none"/>
          <w:lang w:eastAsia="zh-CN"/>
        </w:rPr>
        <w:t>瀛海镇11个社区</w:t>
      </w:r>
      <w:r>
        <w:rPr>
          <w:rFonts w:hint="eastAsia" w:ascii="仿宋" w:hAnsi="仿宋" w:eastAsia="仿宋" w:cs="仿宋"/>
          <w:bCs/>
          <w:sz w:val="24"/>
          <w:szCs w:val="24"/>
          <w:highlight w:val="none"/>
          <w:lang w:val="en-US" w:eastAsia="zh-CN"/>
        </w:rPr>
        <w:t>提供</w:t>
      </w:r>
      <w:r>
        <w:rPr>
          <w:rFonts w:hint="eastAsia" w:ascii="仿宋" w:hAnsi="仿宋" w:eastAsia="仿宋" w:cs="仿宋"/>
          <w:bCs/>
          <w:sz w:val="24"/>
          <w:szCs w:val="24"/>
          <w:highlight w:val="none"/>
          <w:lang w:eastAsia="zh-CN"/>
        </w:rPr>
        <w:t>267台设备，</w:t>
      </w:r>
      <w:r>
        <w:rPr>
          <w:rFonts w:hint="eastAsia" w:ascii="仿宋" w:hAnsi="仿宋" w:eastAsia="仿宋" w:cs="仿宋"/>
          <w:bCs/>
          <w:sz w:val="24"/>
          <w:szCs w:val="24"/>
          <w:highlight w:val="none"/>
          <w:lang w:val="en-US" w:eastAsia="zh-CN"/>
        </w:rPr>
        <w:t>及配套后台讯发系统和编辑巡检服务</w:t>
      </w:r>
      <w:r>
        <w:rPr>
          <w:rFonts w:hint="eastAsia" w:ascii="仿宋" w:hAnsi="仿宋" w:eastAsia="仿宋" w:cs="仿宋"/>
          <w:bCs/>
          <w:sz w:val="24"/>
          <w:szCs w:val="24"/>
          <w:highlight w:val="none"/>
          <w:lang w:eastAsia="zh-CN"/>
        </w:rPr>
        <w:t xml:space="preserve">确保其在服务期限内正常运行。服务点位包括（金禧嘉园筹备组设备21台、金茂悦设备20台、兴悦家园设备14台、金茂逸墅筹备组设备8台、金域东郡设备4台、金茂嘉园设备9台、兴瀛嘉苑设备19台、瀛瑞嘉园筹备组设备17台、兴海园设备21台、海梓嘉园设备6台、星光海苑工作站设备128台）。          </w:t>
      </w:r>
    </w:p>
    <w:tbl>
      <w:tblPr>
        <w:tblStyle w:val="17"/>
        <w:tblW w:w="919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943"/>
        <w:gridCol w:w="3160"/>
        <w:gridCol w:w="2484"/>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312" w:hRule="atLeast"/>
        </w:trPr>
        <w:tc>
          <w:tcPr>
            <w:tcW w:w="943" w:type="dxa"/>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序号</w:t>
            </w:r>
          </w:p>
        </w:tc>
        <w:tc>
          <w:tcPr>
            <w:tcW w:w="3160" w:type="dxa"/>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社区名称</w:t>
            </w:r>
          </w:p>
        </w:tc>
        <w:tc>
          <w:tcPr>
            <w:tcW w:w="2484" w:type="dxa"/>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小区名称</w:t>
            </w:r>
          </w:p>
        </w:tc>
        <w:tc>
          <w:tcPr>
            <w:tcW w:w="2611" w:type="dxa"/>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设备安装总数量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43"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3160"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2484"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2611" w:type="dxa"/>
            <w:vMerge w:val="continue"/>
            <w:shd w:val="clear" w:color="auto" w:fill="FFFFFF"/>
            <w:noWrap/>
            <w:vAlign w:val="center"/>
          </w:tcPr>
          <w:p>
            <w:pPr>
              <w:jc w:val="center"/>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43"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3160"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2484" w:type="dxa"/>
            <w:vMerge w:val="continue"/>
            <w:shd w:val="clear" w:color="auto" w:fill="FFFFFF"/>
            <w:noWrap/>
            <w:vAlign w:val="center"/>
          </w:tcPr>
          <w:p>
            <w:pPr>
              <w:jc w:val="center"/>
              <w:rPr>
                <w:rFonts w:hint="eastAsia" w:ascii="仿宋" w:hAnsi="仿宋" w:eastAsia="仿宋" w:cs="仿宋"/>
                <w:sz w:val="24"/>
                <w:szCs w:val="24"/>
                <w:highlight w:val="none"/>
              </w:rPr>
            </w:pPr>
          </w:p>
        </w:tc>
        <w:tc>
          <w:tcPr>
            <w:tcW w:w="2611" w:type="dxa"/>
            <w:vMerge w:val="continue"/>
            <w:shd w:val="clear" w:color="auto" w:fill="FFFFFF"/>
            <w:noWrap/>
            <w:vAlign w:val="center"/>
          </w:tcPr>
          <w:p>
            <w:pPr>
              <w:jc w:val="center"/>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3160"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金禧嘉园</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筹备组</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亦城亦禧</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p>
        </w:tc>
        <w:tc>
          <w:tcPr>
            <w:tcW w:w="3160" w:type="dxa"/>
            <w:vMerge w:val="restart"/>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金茂悦北区</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shd w:val="clear" w:color="auto" w:fill="FFFFFF"/>
            <w:noWrap/>
            <w:vAlign w:val="center"/>
          </w:tcPr>
          <w:p>
            <w:pPr>
              <w:jc w:val="center"/>
              <w:rPr>
                <w:rFonts w:hint="eastAsia" w:ascii="仿宋" w:hAnsi="仿宋" w:eastAsia="仿宋" w:cs="仿宋"/>
                <w:sz w:val="24"/>
                <w:szCs w:val="24"/>
                <w:highlight w:val="none"/>
              </w:rPr>
            </w:pPr>
          </w:p>
        </w:tc>
        <w:tc>
          <w:tcPr>
            <w:tcW w:w="3160" w:type="dxa"/>
            <w:vMerge w:val="continue"/>
            <w:shd w:val="clear" w:color="auto" w:fill="FFFFFF"/>
            <w:vAlign w:val="center"/>
          </w:tcPr>
          <w:p>
            <w:pPr>
              <w:jc w:val="center"/>
              <w:rPr>
                <w:rFonts w:hint="eastAsia" w:ascii="仿宋" w:hAnsi="仿宋" w:eastAsia="仿宋" w:cs="仿宋"/>
                <w:sz w:val="24"/>
                <w:szCs w:val="24"/>
                <w:highlight w:val="none"/>
              </w:rPr>
            </w:pP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金茂悦南区</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兴悦家园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兴悦家园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p>
        </w:tc>
        <w:tc>
          <w:tcPr>
            <w:tcW w:w="3160"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金茂逸墅筹备组</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金茂逸墅</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p>
        </w:tc>
        <w:tc>
          <w:tcPr>
            <w:tcW w:w="3160"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金域东郡</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金域东郡</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p>
        </w:tc>
        <w:tc>
          <w:tcPr>
            <w:tcW w:w="3160"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金茂嘉园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金茂府</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7</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兴瀛嘉苑</w:t>
            </w:r>
          </w:p>
        </w:tc>
        <w:tc>
          <w:tcPr>
            <w:tcW w:w="2484"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兴瀛嘉苑</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p>
        </w:tc>
        <w:tc>
          <w:tcPr>
            <w:tcW w:w="3160"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瀛瑞嘉园筹备组</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瑞福园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c>
          <w:tcPr>
            <w:tcW w:w="0" w:type="auto"/>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兴海园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兴海园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shd w:val="clear" w:color="auto" w:fill="FFFFFF"/>
            <w:noWrap/>
            <w:vAlign w:val="center"/>
          </w:tcPr>
          <w:p>
            <w:pPr>
              <w:jc w:val="center"/>
              <w:rPr>
                <w:rFonts w:hint="eastAsia" w:ascii="仿宋" w:hAnsi="仿宋" w:eastAsia="仿宋" w:cs="仿宋"/>
                <w:sz w:val="24"/>
                <w:szCs w:val="24"/>
                <w:highlight w:val="none"/>
              </w:rPr>
            </w:pPr>
          </w:p>
        </w:tc>
        <w:tc>
          <w:tcPr>
            <w:tcW w:w="0" w:type="auto"/>
            <w:vMerge w:val="continue"/>
            <w:shd w:val="clear" w:color="auto" w:fill="FFFFFF"/>
            <w:noWrap/>
            <w:vAlign w:val="center"/>
          </w:tcPr>
          <w:p>
            <w:pPr>
              <w:jc w:val="center"/>
              <w:rPr>
                <w:rFonts w:hint="eastAsia" w:ascii="仿宋" w:hAnsi="仿宋" w:eastAsia="仿宋" w:cs="仿宋"/>
                <w:sz w:val="24"/>
                <w:szCs w:val="24"/>
                <w:highlight w:val="none"/>
              </w:rPr>
            </w:pP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玉璟园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rPr>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10</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海梓嘉园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海梓嘉园</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0" w:hRule="atLeast"/>
        </w:trPr>
        <w:tc>
          <w:tcPr>
            <w:tcW w:w="0" w:type="auto"/>
            <w:vMerge w:val="restart"/>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c>
          <w:tcPr>
            <w:tcW w:w="3160" w:type="dxa"/>
            <w:vMerge w:val="restart"/>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星光海苑</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工作站</w:t>
            </w:r>
          </w:p>
        </w:tc>
        <w:tc>
          <w:tcPr>
            <w:tcW w:w="2484"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杏海苑</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（北区+南区）</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shd w:val="clear" w:color="auto" w:fill="FFFFFF"/>
            <w:noWrap/>
            <w:vAlign w:val="center"/>
          </w:tcPr>
          <w:p>
            <w:pPr>
              <w:jc w:val="center"/>
              <w:rPr>
                <w:rFonts w:hint="eastAsia" w:ascii="仿宋" w:hAnsi="仿宋" w:eastAsia="仿宋" w:cs="仿宋"/>
                <w:sz w:val="24"/>
                <w:szCs w:val="24"/>
                <w:highlight w:val="none"/>
              </w:rPr>
            </w:pPr>
          </w:p>
        </w:tc>
        <w:tc>
          <w:tcPr>
            <w:tcW w:w="3160" w:type="dxa"/>
            <w:vMerge w:val="continue"/>
            <w:shd w:val="clear" w:color="auto" w:fill="FFFFFF"/>
            <w:vAlign w:val="center"/>
          </w:tcPr>
          <w:p>
            <w:pPr>
              <w:jc w:val="center"/>
              <w:rPr>
                <w:rFonts w:hint="eastAsia" w:ascii="仿宋" w:hAnsi="仿宋" w:eastAsia="仿宋" w:cs="仿宋"/>
                <w:sz w:val="24"/>
                <w:szCs w:val="24"/>
                <w:highlight w:val="none"/>
              </w:rPr>
            </w:pPr>
          </w:p>
        </w:tc>
        <w:tc>
          <w:tcPr>
            <w:tcW w:w="2484" w:type="dxa"/>
            <w:shd w:val="clear" w:color="auto" w:fill="FFFFFF"/>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星光里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（北区+南区）</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0" w:type="auto"/>
            <w:gridSpan w:val="3"/>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合计</w:t>
            </w:r>
          </w:p>
        </w:tc>
        <w:tc>
          <w:tcPr>
            <w:tcW w:w="0" w:type="auto"/>
            <w:shd w:val="clear" w:color="auto" w:fill="FFFFFF"/>
            <w:noWrap/>
            <w:vAlign w:val="center"/>
          </w:tcPr>
          <w:p>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267</w:t>
            </w:r>
          </w:p>
        </w:tc>
      </w:tr>
    </w:tbl>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共计运维267套系统，包含用于发布内容编辑、系统维护等功能的音视频投放互动平台系统。</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（1）屏幕播放时间为：每天早7点---晚21点（14小时）可根据各社区要求进行播放时长定制。</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（2）每台设备具备独立编号，方便差异化管理。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（3）可提供运营数据相关报告。</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（4）可按照采购人要求自定义上下刊时间。</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（5）日常系统bug修复升级。</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（6）可提供设备日志数据相关报告。</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（7）硬件设备日常维护检修。</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（8）系统具备多级权限管理功能，可分区分级对设备和内容进行分别管理。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（9）可提供完善的内容审核机制，允许具备审核权限的用户或机构对发布的内容进行审核处理。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（10）可提供一对一的专职人员负责与社区对接，进行社区信息的收集、宣传文化内容的设计与制作。</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（11）可提供报告数据导出功能。</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（12）有7x24小时的客服在线答疑。</w:t>
      </w:r>
    </w:p>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（13）</w:t>
      </w:r>
      <w:r>
        <w:rPr>
          <w:rFonts w:hint="eastAsia" w:ascii="仿宋" w:hAnsi="仿宋" w:eastAsia="仿宋" w:cs="仿宋"/>
          <w:bCs/>
          <w:sz w:val="24"/>
          <w:szCs w:val="24"/>
          <w:highlight w:val="none"/>
          <w:lang w:eastAsia="zh-CN"/>
        </w:rPr>
        <w:t>远程登录服务：服务工程师可应</w:t>
      </w:r>
      <w:r>
        <w:rPr>
          <w:rFonts w:hint="eastAsia" w:ascii="仿宋" w:hAnsi="仿宋" w:eastAsia="仿宋" w:cs="仿宋"/>
          <w:bCs/>
          <w:sz w:val="24"/>
          <w:szCs w:val="24"/>
          <w:highlight w:val="none"/>
          <w:lang w:val="en-US" w:eastAsia="zh-CN"/>
        </w:rPr>
        <w:t>采购人</w:t>
      </w:r>
      <w:r>
        <w:rPr>
          <w:rFonts w:hint="eastAsia" w:ascii="仿宋" w:hAnsi="仿宋" w:eastAsia="仿宋" w:cs="仿宋"/>
          <w:bCs/>
          <w:sz w:val="24"/>
          <w:szCs w:val="24"/>
          <w:highlight w:val="none"/>
          <w:lang w:eastAsia="zh-CN"/>
        </w:rPr>
        <w:t>的要求通过远程登录直接对</w:t>
      </w:r>
      <w:r>
        <w:rPr>
          <w:rFonts w:hint="eastAsia" w:ascii="仿宋" w:hAnsi="仿宋" w:eastAsia="仿宋" w:cs="仿宋"/>
          <w:bCs/>
          <w:sz w:val="24"/>
          <w:szCs w:val="24"/>
          <w:highlight w:val="none"/>
          <w:lang w:val="en-US" w:eastAsia="zh-CN"/>
        </w:rPr>
        <w:t>采购人</w:t>
      </w:r>
      <w:r>
        <w:rPr>
          <w:rFonts w:hint="eastAsia" w:ascii="仿宋" w:hAnsi="仿宋" w:eastAsia="仿宋" w:cs="仿宋"/>
          <w:bCs/>
          <w:sz w:val="24"/>
          <w:szCs w:val="24"/>
          <w:highlight w:val="none"/>
          <w:lang w:eastAsia="zh-CN"/>
        </w:rPr>
        <w:t>的系统进行诊断和维护。</w:t>
      </w:r>
    </w:p>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（14）现场服务：当采购人系统出现问题需要供应商进行现场服务时，供应商应半天内到达现场进行服务，一周内解决问题。</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2.2人员基本条件要求：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（1）有专业的项目运营团队（设备调试、巡检、美工等人员）</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（2）具备大屏、融媒体、户外终端项目管理运营经验。</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（3）政治立场坚定，熟悉意识形态、内容播出审核纪律，严守宣传口径。</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2.3工作时间及岗位要求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（1）工作时间：每日7:00</w:t>
      </w:r>
      <w:r>
        <w:rPr>
          <w:rFonts w:hint="eastAsia" w:ascii="仿宋" w:hAnsi="仿宋" w:eastAsia="仿宋" w:cs="仿宋"/>
          <w:bCs/>
          <w:sz w:val="24"/>
          <w:szCs w:val="24"/>
          <w:highlight w:val="none"/>
          <w:lang w:val="en-US" w:eastAsia="zh-CN"/>
        </w:rPr>
        <w:noBreakHyphen/>
      </w:r>
      <w:r>
        <w:rPr>
          <w:rFonts w:hint="eastAsia" w:ascii="仿宋" w:hAnsi="仿宋" w:eastAsia="仿宋" w:cs="仿宋"/>
          <w:bCs/>
          <w:sz w:val="24"/>
          <w:szCs w:val="24"/>
          <w:highlight w:val="none"/>
          <w:lang w:val="en-US" w:eastAsia="zh-CN"/>
        </w:rPr>
        <w:t>21:00，派驻专职人员保障该播放时段内业务响应。</w:t>
      </w:r>
    </w:p>
    <w:p>
      <w:pPr>
        <w:numPr>
          <w:ilvl w:val="0"/>
          <w:numId w:val="0"/>
        </w:numPr>
        <w:spacing w:line="360" w:lineRule="auto"/>
        <w:ind w:leftChars="0"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（2）拥护党的领导，熟悉基层党建宣传、社区宣传工作，政治立场端正，无违法违纪记录，能够准确把握党建宣传内容导向。</w:t>
      </w:r>
    </w:p>
    <w:p>
      <w:pPr>
        <w:numPr>
          <w:ilvl w:val="0"/>
          <w:numId w:val="0"/>
        </w:numPr>
        <w:spacing w:line="360" w:lineRule="auto"/>
        <w:ind w:leftChars="0"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（3）熟练使用平面设计软件，可独立完成海报、宣传图文排版设计制作，能够完成音视频简单剪辑、内容上下刊编辑。</w:t>
      </w:r>
    </w:p>
    <w:p>
      <w:pPr>
        <w:numPr>
          <w:ilvl w:val="0"/>
          <w:numId w:val="0"/>
        </w:numPr>
        <w:spacing w:line="360" w:lineRule="auto"/>
        <w:ind w:leftChars="0"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熟悉多媒体发布后台系统操作，具备基础计算机、电子显示设备故障判别能力，可配合开展设备巡检、问题初步排查。</w:t>
      </w:r>
    </w:p>
    <w:p>
      <w:pPr>
        <w:numPr>
          <w:ilvl w:val="0"/>
          <w:numId w:val="0"/>
        </w:numPr>
        <w:spacing w:line="360" w:lineRule="auto"/>
        <w:ind w:leftChars="0"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统筹 11 个社区连心屏的内容、巡检、运维对接工作；保持通讯全天候畅通，保证甲方、各社区能够随时联系。</w:t>
      </w:r>
    </w:p>
    <w:p>
      <w:pPr>
        <w:numPr>
          <w:ilvl w:val="0"/>
          <w:numId w:val="0"/>
        </w:numPr>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2.4职责范围</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对接瀛海镇 11 个社区，收集各社区党建动态、通知公告、文化活动等社区讯息素材。</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为 11 个社区分别创建独立节目单，负责内容上下刊操作；甲方提供内容按要求发布。</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落实设备定期巡检工作，做好巡视频次、设备状态记录，统计各设备服务时长。</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接收甲方、社区反馈的系统播放故障，优先远程排查处理；远程无法解决，及时协调技术人员开展现场服务；跟踪故障维修。</w:t>
      </w:r>
    </w:p>
    <w:p>
      <w:pPr>
        <w:numPr>
          <w:ilvl w:val="0"/>
          <w:numId w:val="0"/>
        </w:numPr>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2.5其他需求</w:t>
      </w:r>
    </w:p>
    <w:p>
      <w:pPr>
        <w:spacing w:line="360" w:lineRule="auto"/>
        <w:ind w:firstLine="480" w:firstLineChars="200"/>
        <w:contextualSpacing/>
        <w:rPr>
          <w:rFonts w:hint="eastAsia" w:ascii="仿宋" w:hAnsi="仿宋" w:eastAsia="仿宋" w:cs="仿宋"/>
          <w:sz w:val="24"/>
          <w:szCs w:val="24"/>
          <w:highlight w:val="none"/>
          <w:lang w:val="en-US" w:eastAsia="zh-CN"/>
        </w:rPr>
      </w:pPr>
      <w:r>
        <w:rPr>
          <w:rFonts w:hint="eastAsia" w:ascii="仿宋" w:hAnsi="仿宋" w:eastAsia="仿宋" w:cs="仿宋"/>
          <w:bCs/>
          <w:sz w:val="24"/>
          <w:szCs w:val="24"/>
          <w:highlight w:val="none"/>
          <w:lang w:val="en-US" w:eastAsia="zh-CN"/>
        </w:rPr>
        <w:t xml:space="preserve">  建立项目台账：记录各社区设备数量、内容上刊记录、巡视频次、故障处置记录、年度累计服务时长；按要求整理数据，配合甲方完成合同期满验收</w:t>
      </w:r>
      <w:r>
        <w:rPr>
          <w:rFonts w:hint="eastAsia" w:ascii="仿宋" w:hAnsi="仿宋" w:eastAsia="仿宋" w:cs="仿宋"/>
          <w:sz w:val="24"/>
          <w:szCs w:val="24"/>
          <w:highlight w:val="none"/>
          <w:lang w:val="en-US" w:eastAsia="zh-CN"/>
        </w:rPr>
        <w:t>。</w:t>
      </w:r>
    </w:p>
    <w:p>
      <w:pPr>
        <w:spacing w:line="360" w:lineRule="auto"/>
        <w:ind w:firstLine="480" w:firstLineChars="200"/>
        <w:contextualSpacing/>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2.6 本项目需要落实的政府采购政策：</w:t>
      </w:r>
    </w:p>
    <w:p>
      <w:pPr>
        <w:spacing w:line="360" w:lineRule="auto"/>
        <w:ind w:firstLine="480" w:firstLineChars="200"/>
        <w:contextualSpacing/>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p>
    <w:p>
      <w:pPr>
        <w:spacing w:line="360" w:lineRule="auto"/>
        <w:jc w:val="both"/>
        <w:outlineLvl w:val="0"/>
        <w:rPr>
          <w:rFonts w:hint="eastAsia" w:ascii="仿宋" w:hAnsi="仿宋" w:eastAsia="仿宋" w:cs="仿宋"/>
          <w:b/>
          <w:bCs/>
          <w:sz w:val="28"/>
          <w:szCs w:val="28"/>
          <w:highlight w:val="none"/>
        </w:rPr>
      </w:pPr>
      <w:r>
        <w:rPr>
          <w:rFonts w:hint="eastAsia" w:ascii="仿宋" w:hAnsi="仿宋" w:eastAsia="仿宋" w:cs="仿宋"/>
          <w:b/>
          <w:bCs/>
          <w:sz w:val="28"/>
          <w:szCs w:val="28"/>
        </w:rPr>
        <w:t>现调整为：</w:t>
      </w:r>
      <w:r>
        <w:rPr>
          <w:rFonts w:hint="eastAsia" w:ascii="仿宋" w:hAnsi="仿宋" w:eastAsia="仿宋" w:cs="仿宋"/>
          <w:b/>
          <w:bCs/>
          <w:sz w:val="28"/>
          <w:szCs w:val="28"/>
          <w:highlight w:val="none"/>
        </w:rPr>
        <w:t>第五章   采购需求</w:t>
      </w:r>
    </w:p>
    <w:p>
      <w:pPr>
        <w:widowControl w:val="0"/>
        <w:numPr>
          <w:ilvl w:val="0"/>
          <w:numId w:val="0"/>
        </w:numPr>
        <w:spacing w:line="360" w:lineRule="auto"/>
        <w:ind w:leftChars="0" w:firstLine="482" w:firstLineChars="200"/>
        <w:contextualSpacing/>
        <w:jc w:val="both"/>
        <w:rPr>
          <w:rFonts w:hint="eastAsia" w:ascii="仿宋" w:hAnsi="仿宋" w:eastAsia="仿宋" w:cs="仿宋"/>
          <w:b/>
          <w:kern w:val="2"/>
          <w:sz w:val="24"/>
          <w:szCs w:val="24"/>
          <w:highlight w:val="none"/>
          <w:lang w:val="en-US" w:eastAsia="zh-CN" w:bidi="ar-SA"/>
        </w:rPr>
      </w:pPr>
      <w:r>
        <w:rPr>
          <w:rFonts w:hint="eastAsia" w:ascii="仿宋" w:hAnsi="仿宋" w:eastAsia="仿宋" w:cs="仿宋"/>
          <w:b/>
          <w:kern w:val="2"/>
          <w:sz w:val="24"/>
          <w:szCs w:val="24"/>
          <w:highlight w:val="none"/>
          <w:lang w:val="en-US" w:eastAsia="zh-CN" w:bidi="ar-SA"/>
        </w:rPr>
        <w:t>一、采购标的</w:t>
      </w:r>
    </w:p>
    <w:p>
      <w:pPr>
        <w:spacing w:line="360" w:lineRule="auto"/>
        <w:ind w:firstLine="484" w:firstLineChars="200"/>
        <w:rPr>
          <w:rFonts w:hint="eastAsia" w:ascii="仿宋" w:hAnsi="仿宋" w:eastAsia="仿宋" w:cs="仿宋"/>
          <w:spacing w:val="1"/>
          <w:sz w:val="24"/>
          <w:szCs w:val="24"/>
          <w:highlight w:val="none"/>
        </w:rPr>
      </w:pPr>
      <w:r>
        <w:rPr>
          <w:rFonts w:hint="eastAsia" w:ascii="仿宋" w:hAnsi="仿宋" w:eastAsia="仿宋" w:cs="仿宋"/>
          <w:spacing w:val="1"/>
          <w:sz w:val="24"/>
          <w:szCs w:val="24"/>
          <w:highlight w:val="none"/>
        </w:rPr>
        <w:t>1.采购标的简要服务内容概述：</w:t>
      </w:r>
    </w:p>
    <w:p>
      <w:pPr>
        <w:spacing w:line="360" w:lineRule="auto"/>
        <w:ind w:firstLine="484" w:firstLineChars="200"/>
        <w:rPr>
          <w:rFonts w:hint="eastAsia" w:ascii="仿宋" w:hAnsi="仿宋" w:eastAsia="仿宋" w:cs="仿宋"/>
          <w:spacing w:val="1"/>
          <w:sz w:val="24"/>
          <w:szCs w:val="24"/>
          <w:highlight w:val="none"/>
        </w:rPr>
      </w:pPr>
      <w:r>
        <w:rPr>
          <w:rFonts w:hint="eastAsia" w:ascii="仿宋" w:hAnsi="仿宋" w:eastAsia="仿宋" w:cs="仿宋"/>
          <w:spacing w:val="1"/>
          <w:sz w:val="24"/>
          <w:szCs w:val="24"/>
          <w:highlight w:val="none"/>
        </w:rPr>
        <w:t>全面提升社区宣传阵地智能化水平，有效搭建社区和居民之间沟通的桥梁。</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2.项目背景及概述：</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新时代党建连心屏，以各党委领导为核心，携手各社区党组织，通过社区、楼宇间的电子屏，传播新时代中国特色社会主义思想和党的二十大精神。这是一个充满活力的平台，它以创建和谐社区、幸福家园为目标，集建设、运营、管理于一体，通过数字媒体传播方式，架起了政府与群众之间的信息沟通桥梁。</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为了加大瀛海镇的宣传力度，党建连心屏告别了传统的阅报栏时代，将党政信息和惠民政策及时有效地传递给广大居民。这个电子屏，就如同一个美妙的画板，吸引着居民们的目光。它不仅美化了社区环境，而且通过强制性宣传的特点，直接面对社区居民进行宣传，成为传播渗透性极佳的媒介经典。</w:t>
      </w:r>
    </w:p>
    <w:p>
      <w:pPr>
        <w:spacing w:line="360" w:lineRule="auto"/>
        <w:ind w:firstLine="484" w:firstLineChars="200"/>
        <w:rPr>
          <w:rFonts w:hint="eastAsia" w:ascii="仿宋" w:hAnsi="仿宋" w:eastAsia="仿宋" w:cs="仿宋"/>
          <w:spacing w:val="1"/>
          <w:sz w:val="24"/>
          <w:szCs w:val="24"/>
          <w:highlight w:val="none"/>
          <w:lang w:val="en-US" w:eastAsia="zh-CN"/>
        </w:rPr>
      </w:pPr>
      <w:r>
        <w:rPr>
          <w:rFonts w:hint="eastAsia" w:ascii="仿宋" w:hAnsi="仿宋" w:eastAsia="仿宋" w:cs="仿宋"/>
          <w:spacing w:val="1"/>
          <w:sz w:val="24"/>
          <w:szCs w:val="24"/>
          <w:highlight w:val="none"/>
          <w:lang w:val="en-US" w:eastAsia="zh-CN"/>
        </w:rPr>
        <w:t>党建连心屏的目标是发挥社区组织的作用，引导广大社区居民积极参与社区治理，自觉遵守社会基本道德规范。它以党建宣传、社会公德、职业道德、家庭美德、个人品德建设、大兴拉家常等为主要内容，通过发布宣传信息，宣传道德模范、劳动模范，营造浓厚的创建氛围。</w:t>
      </w:r>
    </w:p>
    <w:p>
      <w:pPr>
        <w:spacing w:line="360" w:lineRule="auto"/>
        <w:ind w:firstLine="484" w:firstLineChars="200"/>
        <w:rPr>
          <w:rFonts w:hint="eastAsia" w:ascii="仿宋" w:hAnsi="仿宋" w:eastAsia="仿宋" w:cs="仿宋"/>
          <w:szCs w:val="24"/>
          <w:highlight w:val="none"/>
        </w:rPr>
      </w:pPr>
      <w:r>
        <w:rPr>
          <w:rFonts w:hint="eastAsia" w:ascii="仿宋" w:hAnsi="仿宋" w:eastAsia="仿宋" w:cs="仿宋"/>
          <w:spacing w:val="1"/>
          <w:sz w:val="24"/>
          <w:szCs w:val="24"/>
          <w:highlight w:val="none"/>
          <w:lang w:val="en-US" w:eastAsia="zh-CN"/>
        </w:rPr>
        <w:t>党建连心屏有着重要的定位和优势。它不仅是意识形态的重要阵地、舆情引导平台、政策信息枢纽、政府与群众的桥梁，同时也是城市管理预警平台、便民服务平台和社区文化窗口。它的出现，让资讯更加便捷地传递到居民手中，让宣传更加生动有趣，增加了居民的关注度，也让社区环境变得更加优美宜居。</w:t>
      </w:r>
    </w:p>
    <w:p>
      <w:pPr>
        <w:spacing w:line="360" w:lineRule="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二、商务要求</w:t>
      </w:r>
    </w:p>
    <w:p>
      <w:pPr>
        <w:spacing w:line="360" w:lineRule="auto"/>
        <w:ind w:firstLine="480" w:firstLineChars="200"/>
        <w:rPr>
          <w:rFonts w:hint="eastAsia" w:ascii="仿宋" w:hAnsi="仿宋" w:eastAsia="仿宋" w:cs="仿宋"/>
          <w:bCs/>
          <w:sz w:val="24"/>
          <w:szCs w:val="24"/>
          <w:highlight w:val="none"/>
        </w:rPr>
      </w:pPr>
      <w:r>
        <w:rPr>
          <w:rFonts w:hint="eastAsia" w:ascii="仿宋" w:hAnsi="仿宋" w:eastAsia="仿宋" w:cs="仿宋"/>
          <w:bCs/>
          <w:sz w:val="24"/>
          <w:szCs w:val="24"/>
          <w:highlight w:val="none"/>
        </w:rPr>
        <w:t>1.</w:t>
      </w:r>
      <w:r>
        <w:rPr>
          <w:rFonts w:hint="eastAsia" w:ascii="仿宋" w:hAnsi="仿宋" w:eastAsia="仿宋" w:cs="仿宋"/>
          <w:bCs/>
          <w:sz w:val="24"/>
          <w:szCs w:val="24"/>
          <w:highlight w:val="none"/>
          <w:lang w:val="en-US" w:eastAsia="zh-CN"/>
        </w:rPr>
        <w:t>1</w:t>
      </w:r>
      <w:r>
        <w:rPr>
          <w:rFonts w:hint="eastAsia" w:ascii="仿宋" w:hAnsi="仿宋" w:eastAsia="仿宋" w:cs="仿宋"/>
          <w:bCs/>
          <w:sz w:val="24"/>
          <w:szCs w:val="24"/>
          <w:highlight w:val="none"/>
        </w:rPr>
        <w:t>合同履行期限：</w:t>
      </w:r>
      <w:r>
        <w:rPr>
          <w:rFonts w:hint="eastAsia" w:ascii="仿宋" w:hAnsi="仿宋" w:eastAsia="仿宋" w:cs="仿宋"/>
          <w:bCs/>
          <w:sz w:val="24"/>
          <w:szCs w:val="24"/>
          <w:highlight w:val="none"/>
          <w:lang w:val="en-US" w:eastAsia="zh-CN"/>
        </w:rPr>
        <w:t>1</w:t>
      </w:r>
      <w:r>
        <w:rPr>
          <w:rFonts w:hint="eastAsia" w:ascii="仿宋" w:hAnsi="仿宋" w:eastAsia="仿宋" w:cs="仿宋"/>
          <w:bCs/>
          <w:sz w:val="24"/>
          <w:szCs w:val="24"/>
          <w:highlight w:val="none"/>
        </w:rPr>
        <w:t>年。</w:t>
      </w:r>
    </w:p>
    <w:p>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bCs/>
          <w:sz w:val="24"/>
          <w:szCs w:val="24"/>
          <w:highlight w:val="none"/>
          <w:lang w:val="en-US" w:eastAsia="zh-CN"/>
        </w:rPr>
        <w:t>1.2</w:t>
      </w:r>
      <w:r>
        <w:rPr>
          <w:rFonts w:hint="eastAsia" w:ascii="仿宋" w:hAnsi="仿宋" w:eastAsia="仿宋" w:cs="仿宋"/>
          <w:bCs/>
          <w:sz w:val="24"/>
          <w:szCs w:val="24"/>
          <w:highlight w:val="none"/>
        </w:rPr>
        <w:t>合同履行地点：北京市大兴区</w:t>
      </w:r>
      <w:r>
        <w:rPr>
          <w:rFonts w:hint="eastAsia" w:ascii="仿宋" w:hAnsi="仿宋" w:eastAsia="仿宋" w:cs="仿宋"/>
          <w:bCs/>
          <w:sz w:val="24"/>
          <w:szCs w:val="24"/>
          <w:highlight w:val="none"/>
          <w:lang w:val="en-US" w:eastAsia="zh-CN"/>
        </w:rPr>
        <w:t>瀛海镇</w:t>
      </w:r>
      <w:r>
        <w:rPr>
          <w:rFonts w:hint="eastAsia" w:ascii="仿宋" w:hAnsi="仿宋" w:eastAsia="仿宋" w:cs="仿宋"/>
          <w:bCs/>
          <w:sz w:val="24"/>
          <w:szCs w:val="24"/>
          <w:highlight w:val="none"/>
        </w:rPr>
        <w:t>。</w:t>
      </w:r>
    </w:p>
    <w:p>
      <w:pPr>
        <w:widowControl w:val="0"/>
        <w:numPr>
          <w:ilvl w:val="0"/>
          <w:numId w:val="0"/>
        </w:numPr>
        <w:spacing w:after="0" w:line="360" w:lineRule="auto"/>
        <w:ind w:leftChars="0"/>
        <w:jc w:val="both"/>
        <w:rPr>
          <w:rFonts w:hint="eastAsia" w:ascii="仿宋" w:hAnsi="仿宋" w:eastAsia="仿宋" w:cs="仿宋"/>
          <w:bCs/>
          <w:sz w:val="24"/>
          <w:szCs w:val="24"/>
          <w:highlight w:val="none"/>
        </w:rPr>
      </w:pPr>
      <w:r>
        <w:rPr>
          <w:rFonts w:hint="eastAsia" w:ascii="仿宋" w:hAnsi="仿宋" w:eastAsia="仿宋" w:cs="仿宋"/>
          <w:bCs/>
          <w:sz w:val="24"/>
          <w:szCs w:val="24"/>
          <w:highlight w:val="none"/>
        </w:rPr>
        <w:t>2.付款条件（进度和方式）：</w:t>
      </w:r>
    </w:p>
    <w:p>
      <w:pPr>
        <w:widowControl w:val="0"/>
        <w:numPr>
          <w:ilvl w:val="0"/>
          <w:numId w:val="0"/>
        </w:numPr>
        <w:spacing w:after="0" w:line="360" w:lineRule="auto"/>
        <w:ind w:leftChars="0"/>
        <w:jc w:val="both"/>
        <w:rPr>
          <w:rFonts w:hint="eastAsia" w:ascii="仿宋" w:hAnsi="仿宋" w:eastAsia="仿宋" w:cs="仿宋"/>
          <w:b w:val="0"/>
          <w:bCs w:val="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（1）预付款：本合同签订后生效，甲方于10个工作日内向乙方支付合同额50%作为预付款：</w:t>
      </w:r>
      <w:r>
        <w:rPr>
          <w:rFonts w:hint="eastAsia" w:ascii="仿宋" w:hAnsi="仿宋" w:eastAsia="仿宋" w:cs="仿宋"/>
          <w:b w:val="0"/>
          <w:bCs w:val="0"/>
          <w:color w:val="000000"/>
          <w:kern w:val="2"/>
          <w:sz w:val="24"/>
          <w:szCs w:val="24"/>
          <w:highlight w:val="none"/>
          <w:u w:val="single"/>
          <w:lang w:val="en-US" w:eastAsia="zh-CN" w:bidi="zh-TW"/>
        </w:rPr>
        <w:t xml:space="preserve">      </w:t>
      </w:r>
      <w:r>
        <w:rPr>
          <w:rFonts w:hint="eastAsia" w:ascii="仿宋" w:hAnsi="仿宋" w:eastAsia="仿宋" w:cs="仿宋"/>
          <w:b w:val="0"/>
          <w:bCs w:val="0"/>
          <w:color w:val="000000"/>
          <w:kern w:val="2"/>
          <w:sz w:val="24"/>
          <w:szCs w:val="24"/>
          <w:highlight w:val="none"/>
          <w:lang w:val="en-US" w:eastAsia="zh-CN" w:bidi="zh-TW"/>
        </w:rPr>
        <w:t>元（大写：     元整）</w:t>
      </w:r>
    </w:p>
    <w:p>
      <w:pPr>
        <w:widowControl w:val="0"/>
        <w:numPr>
          <w:ilvl w:val="0"/>
          <w:numId w:val="0"/>
        </w:numPr>
        <w:spacing w:after="0" w:line="480" w:lineRule="auto"/>
        <w:ind w:leftChars="0"/>
        <w:jc w:val="both"/>
        <w:rPr>
          <w:rFonts w:hint="eastAsia" w:ascii="仿宋" w:hAnsi="仿宋" w:eastAsia="仿宋" w:cs="仿宋"/>
          <w:b w:val="0"/>
          <w:bCs w:val="0"/>
          <w:kern w:val="2"/>
          <w:sz w:val="24"/>
          <w:szCs w:val="24"/>
          <w:highlight w:val="none"/>
          <w:lang w:val="en-US" w:eastAsia="zh-CN" w:bidi="zh-TW"/>
        </w:rPr>
      </w:pPr>
      <w:r>
        <w:rPr>
          <w:rFonts w:hint="eastAsia" w:ascii="仿宋" w:hAnsi="仿宋" w:eastAsia="仿宋" w:cs="仿宋"/>
          <w:b w:val="0"/>
          <w:bCs w:val="0"/>
          <w:kern w:val="2"/>
          <w:sz w:val="24"/>
          <w:szCs w:val="24"/>
          <w:highlight w:val="none"/>
          <w:lang w:val="en-US" w:eastAsia="zh-CN" w:bidi="zh-TW"/>
        </w:rPr>
        <w:t>（2）中期款（合同签订后两个月）甲方向乙方支付合同额30%作为中期款：</w:t>
      </w:r>
      <w:r>
        <w:rPr>
          <w:rFonts w:hint="eastAsia" w:ascii="仿宋" w:hAnsi="仿宋" w:eastAsia="仿宋" w:cs="仿宋"/>
          <w:b w:val="0"/>
          <w:bCs w:val="0"/>
          <w:kern w:val="2"/>
          <w:sz w:val="24"/>
          <w:szCs w:val="24"/>
          <w:highlight w:val="none"/>
          <w:u w:val="single"/>
          <w:lang w:val="en-US" w:eastAsia="zh-CN" w:bidi="zh-TW"/>
        </w:rPr>
        <w:t xml:space="preserve">      </w:t>
      </w:r>
      <w:r>
        <w:rPr>
          <w:rFonts w:hint="eastAsia" w:ascii="仿宋" w:hAnsi="仿宋" w:eastAsia="仿宋" w:cs="仿宋"/>
          <w:b w:val="0"/>
          <w:bCs w:val="0"/>
          <w:kern w:val="2"/>
          <w:sz w:val="24"/>
          <w:szCs w:val="24"/>
          <w:highlight w:val="none"/>
          <w:lang w:val="en-US" w:eastAsia="zh-CN" w:bidi="zh-TW"/>
        </w:rPr>
        <w:t>元（大写：</w:t>
      </w:r>
      <w:r>
        <w:rPr>
          <w:rFonts w:hint="eastAsia" w:ascii="仿宋" w:hAnsi="仿宋" w:eastAsia="仿宋" w:cs="仿宋"/>
          <w:b w:val="0"/>
          <w:bCs w:val="0"/>
          <w:kern w:val="2"/>
          <w:sz w:val="24"/>
          <w:szCs w:val="24"/>
          <w:highlight w:val="none"/>
          <w:u w:val="single"/>
          <w:lang w:val="en-US" w:eastAsia="zh-CN" w:bidi="zh-TW"/>
        </w:rPr>
        <w:t xml:space="preserve">           元整</w:t>
      </w:r>
      <w:r>
        <w:rPr>
          <w:rFonts w:hint="eastAsia" w:ascii="仿宋" w:hAnsi="仿宋" w:eastAsia="仿宋" w:cs="仿宋"/>
          <w:b w:val="0"/>
          <w:bCs w:val="0"/>
          <w:kern w:val="2"/>
          <w:sz w:val="24"/>
          <w:szCs w:val="24"/>
          <w:highlight w:val="none"/>
          <w:lang w:val="en-US" w:eastAsia="zh-CN" w:bidi="zh-TW"/>
        </w:rPr>
        <w:t>）</w:t>
      </w:r>
    </w:p>
    <w:p>
      <w:pPr>
        <w:widowControl w:val="0"/>
        <w:numPr>
          <w:ilvl w:val="0"/>
          <w:numId w:val="0"/>
        </w:numPr>
        <w:spacing w:after="0" w:line="480" w:lineRule="auto"/>
        <w:ind w:leftChars="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（3）尾款：剩余20%待甲方验收合格后支付。人民币</w:t>
      </w:r>
      <w:r>
        <w:rPr>
          <w:rFonts w:hint="eastAsia" w:ascii="仿宋" w:hAnsi="仿宋" w:eastAsia="仿宋" w:cs="仿宋"/>
          <w:b w:val="0"/>
          <w:bCs w:val="0"/>
          <w:color w:val="000000"/>
          <w:kern w:val="2"/>
          <w:sz w:val="24"/>
          <w:szCs w:val="24"/>
          <w:highlight w:val="none"/>
          <w:u w:val="single"/>
          <w:lang w:val="en-US" w:eastAsia="zh-CN" w:bidi="zh-TW"/>
        </w:rPr>
        <w:t xml:space="preserve">        </w:t>
      </w:r>
      <w:r>
        <w:rPr>
          <w:rFonts w:hint="eastAsia" w:ascii="仿宋" w:hAnsi="仿宋" w:eastAsia="仿宋" w:cs="仿宋"/>
          <w:b w:val="0"/>
          <w:bCs w:val="0"/>
          <w:color w:val="000000"/>
          <w:kern w:val="2"/>
          <w:sz w:val="24"/>
          <w:szCs w:val="24"/>
          <w:highlight w:val="none"/>
          <w:lang w:val="en-US" w:eastAsia="zh-CN" w:bidi="zh-TW"/>
        </w:rPr>
        <w:t>元（大写：</w:t>
      </w:r>
      <w:r>
        <w:rPr>
          <w:rFonts w:hint="eastAsia" w:ascii="仿宋" w:hAnsi="仿宋" w:eastAsia="仿宋" w:cs="仿宋"/>
          <w:b w:val="0"/>
          <w:bCs w:val="0"/>
          <w:color w:val="000000"/>
          <w:kern w:val="2"/>
          <w:sz w:val="24"/>
          <w:szCs w:val="24"/>
          <w:highlight w:val="none"/>
          <w:u w:val="single"/>
          <w:lang w:val="en-US" w:eastAsia="zh-CN" w:bidi="zh-TW"/>
        </w:rPr>
        <w:t xml:space="preserve">      元整 </w:t>
      </w:r>
      <w:r>
        <w:rPr>
          <w:rFonts w:hint="eastAsia" w:ascii="仿宋" w:hAnsi="仿宋" w:eastAsia="仿宋" w:cs="仿宋"/>
          <w:b w:val="0"/>
          <w:bCs w:val="0"/>
          <w:color w:val="000000"/>
          <w:kern w:val="2"/>
          <w:sz w:val="24"/>
          <w:szCs w:val="24"/>
          <w:highlight w:val="none"/>
          <w:lang w:val="en-US" w:eastAsia="zh-CN" w:bidi="zh-TW"/>
        </w:rPr>
        <w:t>）。</w:t>
      </w:r>
    </w:p>
    <w:p>
      <w:pPr>
        <w:widowControl w:val="0"/>
        <w:numPr>
          <w:ilvl w:val="-1"/>
          <w:numId w:val="0"/>
        </w:numPr>
        <w:spacing w:after="0" w:line="480" w:lineRule="auto"/>
        <w:ind w:left="0" w:firstLine="480" w:firstLineChars="20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根据合同期满后的尾款由甲方在验收合格后10个日历天内支付，甲方应在合同期满后7个工作日内完成验收考核，填写《验收考核单》，书面提出合格意见或异议；若甲方提出书面异议，乙方应及时整改并在此通知甲方按上述方式验收；甲方逾期未验收或验收未提出书面异议的，视为验收合格。注：《验收考核单》详见附件一。</w:t>
      </w:r>
    </w:p>
    <w:p>
      <w:pPr>
        <w:widowControl w:val="0"/>
        <w:numPr>
          <w:ilvl w:val="0"/>
          <w:numId w:val="0"/>
        </w:numPr>
        <w:spacing w:after="0" w:line="480" w:lineRule="auto"/>
        <w:ind w:leftChars="0"/>
        <w:jc w:val="both"/>
        <w:rPr>
          <w:rFonts w:hint="eastAsia" w:ascii="仿宋" w:hAnsi="仿宋" w:eastAsia="仿宋" w:cs="仿宋"/>
          <w:b w:val="0"/>
          <w:bCs w:val="0"/>
          <w:color w:val="000000"/>
          <w:kern w:val="2"/>
          <w:sz w:val="24"/>
          <w:szCs w:val="24"/>
          <w:highlight w:val="none"/>
          <w:lang w:val="en-US" w:eastAsia="zh-CN" w:bidi="zh-TW"/>
        </w:rPr>
      </w:pPr>
      <w:r>
        <w:rPr>
          <w:rFonts w:hint="eastAsia" w:ascii="仿宋" w:hAnsi="仿宋" w:eastAsia="仿宋" w:cs="仿宋"/>
          <w:b w:val="0"/>
          <w:bCs w:val="0"/>
          <w:color w:val="000000"/>
          <w:kern w:val="2"/>
          <w:sz w:val="24"/>
          <w:szCs w:val="24"/>
          <w:highlight w:val="none"/>
          <w:lang w:val="en-US" w:eastAsia="zh-CN" w:bidi="zh-TW"/>
        </w:rPr>
        <w:t>（4）每次付款前，乙方应按要求向甲方开具相应金额的正规发票，如因乙方未提供合格发票导致甲方付款延迟的，不视为甲方违约。</w:t>
      </w:r>
    </w:p>
    <w:p>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b w:val="0"/>
          <w:bCs w:val="0"/>
          <w:color w:val="000000"/>
          <w:kern w:val="2"/>
          <w:sz w:val="24"/>
          <w:szCs w:val="24"/>
          <w:highlight w:val="none"/>
          <w:lang w:val="en-US" w:eastAsia="zh-CN" w:bidi="zh-TW"/>
        </w:rPr>
        <w:t>（5）因甲方系财政拨款单位,以上费用实际支付时间以财政资金拨付到位为准。如因财政或有关部门就本项目资金未能及时拨付到位,待本项目资金到位后向乙方付款,而不视为甲方付款违约,甲方亦不承担任何违约责任。但乙方不得拒绝或延期履行义务,否则应按本合同约定及法律规定承担违约责任。”</w:t>
      </w:r>
    </w:p>
    <w:p>
      <w:pPr>
        <w:spacing w:line="48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三、技术要求</w:t>
      </w:r>
    </w:p>
    <w:p>
      <w:pPr>
        <w:widowControl w:val="0"/>
        <w:spacing w:after="120" w:line="480" w:lineRule="exact"/>
        <w:ind w:left="0" w:leftChars="0" w:firstLine="240" w:firstLineChars="100"/>
        <w:jc w:val="both"/>
        <w:rPr>
          <w:rFonts w:hint="eastAsia" w:ascii="仿宋" w:hAnsi="仿宋" w:eastAsia="仿宋" w:cs="仿宋"/>
          <w:bCs/>
          <w:kern w:val="2"/>
          <w:sz w:val="24"/>
          <w:szCs w:val="20"/>
          <w:highlight w:val="none"/>
          <w:lang w:val="en-US" w:eastAsia="zh-CN" w:bidi="ar-SA"/>
        </w:rPr>
      </w:pPr>
      <w:r>
        <w:rPr>
          <w:rFonts w:hint="eastAsia" w:ascii="仿宋" w:hAnsi="仿宋" w:eastAsia="仿宋" w:cs="仿宋"/>
          <w:bCs/>
          <w:kern w:val="2"/>
          <w:sz w:val="24"/>
          <w:szCs w:val="20"/>
          <w:highlight w:val="none"/>
          <w:lang w:val="en-US" w:eastAsia="zh-CN" w:bidi="ar-SA"/>
        </w:rPr>
        <w:t>1.基本要求</w:t>
      </w:r>
    </w:p>
    <w:p>
      <w:pPr>
        <w:widowControl w:val="0"/>
        <w:spacing w:after="120" w:line="480" w:lineRule="exact"/>
        <w:ind w:left="0" w:leftChars="0" w:firstLine="240" w:firstLineChars="100"/>
        <w:jc w:val="both"/>
        <w:rPr>
          <w:rFonts w:hint="eastAsia" w:ascii="仿宋" w:hAnsi="仿宋" w:eastAsia="仿宋" w:cs="仿宋"/>
          <w:bCs/>
          <w:kern w:val="2"/>
          <w:sz w:val="24"/>
          <w:szCs w:val="20"/>
          <w:highlight w:val="none"/>
          <w:lang w:val="en-US" w:eastAsia="zh-CN" w:bidi="ar-SA"/>
        </w:rPr>
      </w:pPr>
      <w:r>
        <w:rPr>
          <w:rFonts w:hint="eastAsia" w:ascii="仿宋" w:hAnsi="仿宋" w:eastAsia="仿宋" w:cs="仿宋"/>
          <w:bCs/>
          <w:kern w:val="2"/>
          <w:sz w:val="24"/>
          <w:szCs w:val="20"/>
          <w:highlight w:val="none"/>
          <w:lang w:val="en-US" w:eastAsia="zh-CN" w:bidi="ar-SA"/>
        </w:rPr>
        <w:t>1.1采购标的需实现的功能或者目标</w:t>
      </w:r>
    </w:p>
    <w:p>
      <w:pPr>
        <w:widowControl w:val="0"/>
        <w:spacing w:after="120" w:line="480" w:lineRule="exact"/>
        <w:ind w:left="0" w:leftChars="0" w:firstLine="240" w:firstLineChars="100"/>
        <w:jc w:val="both"/>
        <w:rPr>
          <w:rFonts w:hint="eastAsia" w:ascii="仿宋" w:hAnsi="仿宋" w:eastAsia="仿宋" w:cs="仿宋"/>
          <w:b/>
          <w:kern w:val="2"/>
          <w:sz w:val="24"/>
          <w:szCs w:val="20"/>
          <w:highlight w:val="none"/>
          <w:lang w:val="en-US" w:eastAsia="zh-CN" w:bidi="ar-SA"/>
        </w:rPr>
      </w:pPr>
      <w:r>
        <w:rPr>
          <w:rFonts w:hint="eastAsia" w:ascii="仿宋" w:hAnsi="仿宋" w:eastAsia="仿宋" w:cs="仿宋"/>
          <w:kern w:val="0"/>
          <w:sz w:val="24"/>
          <w:szCs w:val="20"/>
          <w:highlight w:val="none"/>
          <w:lang w:val="en-US" w:eastAsia="zh-CN" w:bidi="ar-SA"/>
        </w:rPr>
        <w:t>为全面提升社区宣传阵地智能化水平，有效搭建社区和居民之间沟通的桥梁，通过前期与各社区沟通，经11个社区申请，计划在11个社区（商品房、共有产权房、经适房、公租房）267个单元门安装新时代党建连心屏，</w:t>
      </w:r>
      <w:r>
        <w:rPr>
          <w:rFonts w:hint="eastAsia" w:ascii="仿宋" w:hAnsi="仿宋" w:eastAsia="仿宋" w:cs="仿宋"/>
          <w:kern w:val="0"/>
          <w:sz w:val="24"/>
          <w:szCs w:val="24"/>
          <w:highlight w:val="none"/>
          <w:lang w:eastAsia="zh-CN"/>
        </w:rPr>
        <w:t>服务内容包括硬件租赁（</w:t>
      </w:r>
      <w:r>
        <w:rPr>
          <w:rFonts w:hint="eastAsia" w:ascii="仿宋" w:hAnsi="仿宋" w:eastAsia="仿宋" w:cs="仿宋"/>
          <w:kern w:val="0"/>
          <w:sz w:val="24"/>
          <w:szCs w:val="24"/>
          <w:highlight w:val="none"/>
          <w:lang w:val="en-US" w:eastAsia="zh-CN"/>
        </w:rPr>
        <w:t>含安装调试</w:t>
      </w:r>
      <w:r>
        <w:rPr>
          <w:rFonts w:hint="eastAsia" w:ascii="仿宋" w:hAnsi="仿宋" w:eastAsia="仿宋" w:cs="仿宋"/>
          <w:kern w:val="0"/>
          <w:sz w:val="24"/>
          <w:szCs w:val="24"/>
          <w:highlight w:val="none"/>
          <w:lang w:eastAsia="zh-CN"/>
        </w:rPr>
        <w:t>）、系统运营（内容编辑及运维、设备维保）等</w:t>
      </w:r>
      <w:r>
        <w:rPr>
          <w:rFonts w:hint="eastAsia" w:ascii="仿宋" w:hAnsi="仿宋" w:eastAsia="仿宋" w:cs="仿宋"/>
          <w:kern w:val="0"/>
          <w:sz w:val="24"/>
          <w:szCs w:val="20"/>
          <w:highlight w:val="none"/>
          <w:lang w:val="en-US" w:eastAsia="zh-CN" w:bidi="ar-SA"/>
        </w:rPr>
        <w:t>。</w:t>
      </w:r>
    </w:p>
    <w:p>
      <w:pPr>
        <w:keepNext/>
        <w:keepLines/>
        <w:autoSpaceDE w:val="0"/>
        <w:autoSpaceDN w:val="0"/>
        <w:adjustRightInd w:val="0"/>
        <w:spacing w:before="120" w:line="360" w:lineRule="auto"/>
        <w:ind w:firstLine="240" w:firstLineChars="100"/>
        <w:outlineLvl w:val="1"/>
        <w:rPr>
          <w:rFonts w:hint="eastAsia" w:ascii="仿宋" w:hAnsi="仿宋" w:eastAsia="仿宋" w:cs="仿宋"/>
          <w:bCs/>
          <w:sz w:val="24"/>
          <w:szCs w:val="24"/>
          <w:highlight w:val="none"/>
        </w:rPr>
      </w:pPr>
      <w:r>
        <w:rPr>
          <w:rFonts w:hint="eastAsia" w:ascii="仿宋" w:hAnsi="仿宋" w:eastAsia="仿宋" w:cs="仿宋"/>
          <w:bCs/>
          <w:sz w:val="24"/>
          <w:szCs w:val="24"/>
          <w:highlight w:val="none"/>
        </w:rPr>
        <w:t>1.2 需执行的国家相关标准、行业标准、地方标准或者其他标准、规范：</w:t>
      </w:r>
    </w:p>
    <w:p>
      <w:pPr>
        <w:spacing w:line="360" w:lineRule="auto"/>
        <w:ind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严格按照国家相关标准、行业标准、地方标准要求执行。</w:t>
      </w:r>
    </w:p>
    <w:p>
      <w:pPr>
        <w:spacing w:line="360" w:lineRule="auto"/>
        <w:ind w:firstLine="240" w:firstLineChars="100"/>
        <w:rPr>
          <w:rFonts w:hint="eastAsia" w:ascii="仿宋" w:hAnsi="仿宋" w:eastAsia="仿宋" w:cs="仿宋"/>
          <w:sz w:val="24"/>
          <w:szCs w:val="24"/>
          <w:highlight w:val="none"/>
        </w:rPr>
      </w:pPr>
      <w:r>
        <w:rPr>
          <w:rFonts w:hint="eastAsia" w:ascii="仿宋" w:hAnsi="仿宋" w:eastAsia="仿宋" w:cs="仿宋"/>
          <w:sz w:val="24"/>
          <w:szCs w:val="24"/>
          <w:highlight w:val="none"/>
        </w:rPr>
        <w:t>2.服务内容及要求：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2.1主要服务内容：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sz w:val="24"/>
          <w:szCs w:val="24"/>
          <w:highlight w:val="none"/>
          <w:lang w:eastAsia="zh-CN"/>
        </w:rPr>
      </w:pPr>
      <w:r>
        <w:rPr>
          <w:rFonts w:hint="eastAsia" w:ascii="仿宋" w:hAnsi="仿宋" w:eastAsia="仿宋" w:cs="仿宋"/>
          <w:b w:val="0"/>
          <w:bCs/>
          <w:sz w:val="24"/>
          <w:szCs w:val="24"/>
          <w:highlight w:val="none"/>
          <w:lang w:val="en-US" w:eastAsia="zh-CN"/>
        </w:rPr>
        <w:t>为</w:t>
      </w:r>
      <w:r>
        <w:rPr>
          <w:rFonts w:hint="eastAsia" w:ascii="仿宋" w:hAnsi="仿宋" w:eastAsia="仿宋" w:cs="仿宋"/>
          <w:b w:val="0"/>
          <w:bCs/>
          <w:sz w:val="24"/>
          <w:szCs w:val="24"/>
          <w:highlight w:val="none"/>
          <w:lang w:eastAsia="zh-CN"/>
        </w:rPr>
        <w:t>瀛海镇11个社区</w:t>
      </w:r>
      <w:r>
        <w:rPr>
          <w:rFonts w:hint="eastAsia" w:ascii="仿宋" w:hAnsi="仿宋" w:eastAsia="仿宋" w:cs="仿宋"/>
          <w:b w:val="0"/>
          <w:bCs/>
          <w:sz w:val="24"/>
          <w:szCs w:val="24"/>
          <w:highlight w:val="none"/>
          <w:lang w:val="en-US" w:eastAsia="zh-CN"/>
        </w:rPr>
        <w:t>提供</w:t>
      </w:r>
      <w:r>
        <w:rPr>
          <w:rFonts w:hint="eastAsia" w:ascii="仿宋" w:hAnsi="仿宋" w:eastAsia="仿宋" w:cs="仿宋"/>
          <w:b w:val="0"/>
          <w:bCs/>
          <w:sz w:val="24"/>
          <w:szCs w:val="24"/>
          <w:highlight w:val="none"/>
          <w:lang w:eastAsia="zh-CN"/>
        </w:rPr>
        <w:t>267台设备，</w:t>
      </w:r>
      <w:r>
        <w:rPr>
          <w:rFonts w:hint="eastAsia" w:ascii="仿宋" w:hAnsi="仿宋" w:eastAsia="仿宋" w:cs="仿宋"/>
          <w:b w:val="0"/>
          <w:bCs/>
          <w:sz w:val="24"/>
          <w:szCs w:val="24"/>
          <w:highlight w:val="none"/>
          <w:lang w:val="en-US" w:eastAsia="zh-CN"/>
        </w:rPr>
        <w:t>及配套后台讯发系统和编辑巡检服务</w:t>
      </w:r>
      <w:r>
        <w:rPr>
          <w:rFonts w:hint="eastAsia" w:ascii="仿宋" w:hAnsi="仿宋" w:eastAsia="仿宋" w:cs="仿宋"/>
          <w:b w:val="0"/>
          <w:bCs/>
          <w:sz w:val="24"/>
          <w:szCs w:val="24"/>
          <w:highlight w:val="none"/>
          <w:lang w:eastAsia="zh-CN"/>
        </w:rPr>
        <w:t>确保其在服务期限内正常运行。服务点位包括（金禧嘉园筹备组设备21台、金茂悦设备20台、兴悦家园设备14台、金茂逸墅筹备组设备8台、金域东郡设备4台、金茂嘉园设备9台、兴瀛嘉苑设备19台、瀛瑞嘉园筹备组设备17台、兴海园设备21台、海梓嘉园设备6台、星光海苑工作站设备128台）。</w:t>
      </w:r>
      <w:r>
        <w:rPr>
          <w:rFonts w:hint="eastAsia" w:ascii="仿宋" w:hAnsi="仿宋" w:eastAsia="仿宋" w:cs="仿宋"/>
          <w:bCs/>
          <w:sz w:val="24"/>
          <w:szCs w:val="24"/>
          <w:highlight w:val="none"/>
          <w:lang w:eastAsia="zh-CN"/>
        </w:rPr>
        <w:t xml:space="preserve">          </w:t>
      </w:r>
    </w:p>
    <w:tbl>
      <w:tblPr>
        <w:tblStyle w:val="17"/>
        <w:tblW w:w="909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932"/>
        <w:gridCol w:w="3207"/>
        <w:gridCol w:w="2376"/>
        <w:gridCol w:w="2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3" w:hRule="atLeast"/>
        </w:trPr>
        <w:tc>
          <w:tcPr>
            <w:tcW w:w="932" w:type="dxa"/>
            <w:vMerge w:val="restart"/>
            <w:shd w:val="clear" w:color="auto" w:fill="FFFFFF"/>
            <w:noWrap/>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序号</w:t>
            </w:r>
          </w:p>
        </w:tc>
        <w:tc>
          <w:tcPr>
            <w:tcW w:w="3207" w:type="dxa"/>
            <w:vMerge w:val="restart"/>
            <w:shd w:val="clear" w:color="auto" w:fill="FFFFFF"/>
            <w:noWrap/>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社区名称</w:t>
            </w:r>
          </w:p>
        </w:tc>
        <w:tc>
          <w:tcPr>
            <w:tcW w:w="2376" w:type="dxa"/>
            <w:vMerge w:val="restart"/>
            <w:shd w:val="clear" w:color="auto" w:fill="FFFFFF"/>
            <w:noWrap/>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小区名称</w:t>
            </w:r>
          </w:p>
        </w:tc>
        <w:tc>
          <w:tcPr>
            <w:tcW w:w="2583" w:type="dxa"/>
            <w:vMerge w:val="restart"/>
            <w:shd w:val="clear" w:color="auto" w:fill="FFFFFF"/>
            <w:noWrap/>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设备安装总数量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932"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3207"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2376"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2583"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932"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3207"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2376"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2583"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78"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p>
        </w:tc>
        <w:tc>
          <w:tcPr>
            <w:tcW w:w="3207"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金禧嘉园筹备组</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亦城亦禧</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vMerge w:val="restart"/>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p>
        </w:tc>
        <w:tc>
          <w:tcPr>
            <w:tcW w:w="3207" w:type="dxa"/>
            <w:vMerge w:val="restart"/>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金茂悦北区</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3207" w:type="dxa"/>
            <w:vMerge w:val="continue"/>
            <w:shd w:val="clear" w:color="auto" w:fill="FFFFFF"/>
            <w:vAlign w:val="center"/>
          </w:tcPr>
          <w:p>
            <w:pPr>
              <w:spacing w:line="240" w:lineRule="auto"/>
              <w:jc w:val="center"/>
              <w:rPr>
                <w:rFonts w:hint="eastAsia" w:ascii="仿宋" w:hAnsi="仿宋" w:eastAsia="仿宋" w:cs="仿宋"/>
                <w:sz w:val="24"/>
                <w:szCs w:val="24"/>
                <w:highlight w:val="none"/>
              </w:rPr>
            </w:pP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金茂悦南区</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p>
        </w:tc>
        <w:tc>
          <w:tcPr>
            <w:tcW w:w="3207"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兴悦家园</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兴悦家园</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p>
        </w:tc>
        <w:tc>
          <w:tcPr>
            <w:tcW w:w="3207"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金茂逸墅筹备组</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金茂逸墅</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p>
        </w:tc>
        <w:tc>
          <w:tcPr>
            <w:tcW w:w="3207"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金域东郡</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金域东郡</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p>
        </w:tc>
        <w:tc>
          <w:tcPr>
            <w:tcW w:w="3207"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金茂嘉园</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金茂府</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7</w:t>
            </w:r>
          </w:p>
        </w:tc>
        <w:tc>
          <w:tcPr>
            <w:tcW w:w="3207"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兴瀛嘉苑</w:t>
            </w:r>
          </w:p>
        </w:tc>
        <w:tc>
          <w:tcPr>
            <w:tcW w:w="2376"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兴瀛嘉苑</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p>
        </w:tc>
        <w:tc>
          <w:tcPr>
            <w:tcW w:w="3207"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瀛瑞嘉园筹备组</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瑞福园</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vMerge w:val="restart"/>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c>
          <w:tcPr>
            <w:tcW w:w="3207" w:type="dxa"/>
            <w:vMerge w:val="restart"/>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兴海园</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兴海园</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3207"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玉璟园</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32"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10</w:t>
            </w:r>
          </w:p>
        </w:tc>
        <w:tc>
          <w:tcPr>
            <w:tcW w:w="3207"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海梓嘉园</w:t>
            </w:r>
          </w:p>
        </w:tc>
        <w:tc>
          <w:tcPr>
            <w:tcW w:w="2376"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海梓嘉园</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3" w:hRule="atLeast"/>
        </w:trPr>
        <w:tc>
          <w:tcPr>
            <w:tcW w:w="932" w:type="dxa"/>
            <w:vMerge w:val="restart"/>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c>
          <w:tcPr>
            <w:tcW w:w="3207" w:type="dxa"/>
            <w:vMerge w:val="restart"/>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星光海苑</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工作站</w:t>
            </w:r>
          </w:p>
        </w:tc>
        <w:tc>
          <w:tcPr>
            <w:tcW w:w="2376"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杏海苑</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（北区+南区）</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32" w:type="dxa"/>
            <w:vMerge w:val="continue"/>
            <w:shd w:val="clear" w:color="auto" w:fill="FFFFFF"/>
            <w:noWrap/>
            <w:vAlign w:val="center"/>
          </w:tcPr>
          <w:p>
            <w:pPr>
              <w:spacing w:line="240" w:lineRule="auto"/>
              <w:jc w:val="center"/>
              <w:rPr>
                <w:rFonts w:hint="eastAsia" w:ascii="仿宋" w:hAnsi="仿宋" w:eastAsia="仿宋" w:cs="仿宋"/>
                <w:sz w:val="24"/>
                <w:szCs w:val="24"/>
                <w:highlight w:val="none"/>
              </w:rPr>
            </w:pPr>
          </w:p>
        </w:tc>
        <w:tc>
          <w:tcPr>
            <w:tcW w:w="3207" w:type="dxa"/>
            <w:vMerge w:val="continue"/>
            <w:shd w:val="clear" w:color="auto" w:fill="FFFFFF"/>
            <w:vAlign w:val="center"/>
          </w:tcPr>
          <w:p>
            <w:pPr>
              <w:spacing w:line="240" w:lineRule="auto"/>
              <w:jc w:val="center"/>
              <w:rPr>
                <w:rFonts w:hint="eastAsia" w:ascii="仿宋" w:hAnsi="仿宋" w:eastAsia="仿宋" w:cs="仿宋"/>
                <w:sz w:val="24"/>
                <w:szCs w:val="24"/>
                <w:highlight w:val="none"/>
              </w:rPr>
            </w:pPr>
          </w:p>
        </w:tc>
        <w:tc>
          <w:tcPr>
            <w:tcW w:w="2376" w:type="dxa"/>
            <w:shd w:val="clear" w:color="auto" w:fill="FFFFFF"/>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星光里</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（北区+南区）</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515" w:type="dxa"/>
            <w:gridSpan w:val="3"/>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合计</w:t>
            </w:r>
          </w:p>
        </w:tc>
        <w:tc>
          <w:tcPr>
            <w:tcW w:w="2583" w:type="dxa"/>
            <w:shd w:val="clear" w:color="auto" w:fill="FFFFFF"/>
            <w:noWrap/>
            <w:vAlign w:val="center"/>
          </w:tcPr>
          <w:p>
            <w:pPr>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267</w:t>
            </w:r>
          </w:p>
        </w:tc>
      </w:tr>
    </w:tbl>
    <w:p>
      <w:pPr>
        <w:spacing w:line="240" w:lineRule="auto"/>
        <w:ind w:firstLine="240" w:firstLineChars="100"/>
        <w:rPr>
          <w:rFonts w:hint="eastAsia" w:ascii="仿宋" w:hAnsi="仿宋" w:eastAsia="仿宋" w:cs="仿宋"/>
          <w:b/>
          <w:bCs w:val="0"/>
          <w:sz w:val="24"/>
          <w:szCs w:val="24"/>
          <w:highlight w:val="none"/>
          <w:lang w:val="en-US" w:eastAsia="zh-CN"/>
        </w:rPr>
      </w:pPr>
      <w:r>
        <w:rPr>
          <w:rFonts w:hint="eastAsia" w:ascii="仿宋" w:hAnsi="仿宋" w:eastAsia="仿宋" w:cs="仿宋"/>
          <w:b w:val="0"/>
          <w:bCs/>
          <w:sz w:val="24"/>
          <w:szCs w:val="24"/>
          <w:highlight w:val="none"/>
          <w:lang w:val="en-US" w:eastAsia="zh-CN"/>
        </w:rPr>
        <w:t>连心屏租赁清单：</w:t>
      </w:r>
    </w:p>
    <w:tbl>
      <w:tblPr>
        <w:tblStyle w:val="17"/>
        <w:tblpPr w:leftFromText="180" w:rightFromText="180" w:vertAnchor="text" w:horzAnchor="page" w:tblpX="1864" w:tblpY="5"/>
        <w:tblOverlap w:val="never"/>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5322"/>
        <w:gridCol w:w="1374"/>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5322" w:type="dxa"/>
            <w:noWrap w:val="0"/>
            <w:vAlign w:val="center"/>
          </w:tcPr>
          <w:p>
            <w:pPr>
              <w:widowControl/>
              <w:spacing w:line="240" w:lineRule="auto"/>
              <w:jc w:val="center"/>
              <w:rPr>
                <w:rFonts w:hint="eastAsia"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规格</w:t>
            </w:r>
          </w:p>
        </w:tc>
        <w:tc>
          <w:tcPr>
            <w:tcW w:w="1374" w:type="dxa"/>
            <w:noWrap w:val="0"/>
            <w:vAlign w:val="center"/>
          </w:tcPr>
          <w:p>
            <w:pPr>
              <w:widowControl/>
              <w:spacing w:line="24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数量</w:t>
            </w:r>
          </w:p>
        </w:tc>
        <w:tc>
          <w:tcPr>
            <w:tcW w:w="1430" w:type="dxa"/>
            <w:noWrap w:val="0"/>
            <w:vAlign w:val="center"/>
          </w:tcPr>
          <w:p>
            <w:pPr>
              <w:widowControl/>
              <w:spacing w:line="240" w:lineRule="auto"/>
              <w:jc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1</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7</w:t>
            </w:r>
            <w:r>
              <w:rPr>
                <w:rFonts w:hint="eastAsia" w:ascii="仿宋" w:hAnsi="仿宋" w:eastAsia="仿宋" w:cs="仿宋"/>
                <w:b w:val="0"/>
                <w:bCs w:val="0"/>
                <w:sz w:val="24"/>
                <w:szCs w:val="24"/>
              </w:rPr>
              <w:t>.5寸壁挂广告机（</w:t>
            </w:r>
            <w:bookmarkStart w:id="1" w:name="OLE_LINK1"/>
            <w:r>
              <w:rPr>
                <w:rFonts w:hint="eastAsia" w:ascii="仿宋" w:hAnsi="仿宋" w:eastAsia="仿宋" w:cs="仿宋"/>
                <w:b w:val="0"/>
                <w:bCs w:val="0"/>
                <w:sz w:val="24"/>
                <w:szCs w:val="24"/>
                <w:lang w:val="en-US" w:eastAsia="zh-CN"/>
              </w:rPr>
              <w:t>竖</w:t>
            </w:r>
            <w:bookmarkEnd w:id="1"/>
            <w:r>
              <w:rPr>
                <w:rFonts w:hint="eastAsia" w:ascii="仿宋" w:hAnsi="仿宋" w:eastAsia="仿宋" w:cs="仿宋"/>
                <w:b w:val="0"/>
                <w:bCs w:val="0"/>
                <w:sz w:val="24"/>
                <w:szCs w:val="24"/>
              </w:rPr>
              <w:t>屏）</w:t>
            </w:r>
            <w:bookmarkStart w:id="2" w:name="_GoBack"/>
            <w:bookmarkEnd w:id="2"/>
          </w:p>
        </w:tc>
        <w:tc>
          <w:tcPr>
            <w:tcW w:w="1374" w:type="dxa"/>
            <w:noWrap w:val="0"/>
            <w:vAlign w:val="center"/>
          </w:tcPr>
          <w:p>
            <w:pPr>
              <w:widowControl/>
              <w:spacing w:line="240" w:lineRule="auto"/>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7</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2</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2</w:t>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t>寸壁挂广告机（</w:t>
            </w:r>
            <w:r>
              <w:rPr>
                <w:rFonts w:hint="eastAsia" w:ascii="仿宋" w:hAnsi="仿宋" w:eastAsia="仿宋" w:cs="仿宋"/>
                <w:b w:val="0"/>
                <w:bCs w:val="0"/>
                <w:sz w:val="24"/>
                <w:szCs w:val="24"/>
                <w:lang w:val="en-US" w:eastAsia="zh-CN"/>
              </w:rPr>
              <w:t>竖</w:t>
            </w:r>
            <w:r>
              <w:rPr>
                <w:rFonts w:hint="eastAsia" w:ascii="仿宋" w:hAnsi="仿宋" w:eastAsia="仿宋" w:cs="仿宋"/>
                <w:b w:val="0"/>
                <w:bCs w:val="0"/>
                <w:sz w:val="24"/>
                <w:szCs w:val="24"/>
              </w:rPr>
              <w:t>屏）</w:t>
            </w:r>
          </w:p>
        </w:tc>
        <w:tc>
          <w:tcPr>
            <w:tcW w:w="1374" w:type="dxa"/>
            <w:noWrap w:val="0"/>
            <w:vAlign w:val="center"/>
          </w:tcPr>
          <w:p>
            <w:pPr>
              <w:widowControl/>
              <w:spacing w:line="240" w:lineRule="auto"/>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0</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3</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32寸壁挂广告机（横屏）</w:t>
            </w:r>
          </w:p>
        </w:tc>
        <w:tc>
          <w:tcPr>
            <w:tcW w:w="1374" w:type="dxa"/>
            <w:noWrap w:val="0"/>
            <w:vAlign w:val="center"/>
          </w:tcPr>
          <w:p>
            <w:pPr>
              <w:widowControl/>
              <w:spacing w:line="240" w:lineRule="auto"/>
              <w:jc w:val="center"/>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156</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4</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32寸壁挂广告机（</w:t>
            </w:r>
            <w:r>
              <w:rPr>
                <w:rFonts w:hint="eastAsia" w:ascii="仿宋" w:hAnsi="仿宋" w:eastAsia="仿宋" w:cs="仿宋"/>
                <w:b w:val="0"/>
                <w:bCs w:val="0"/>
                <w:sz w:val="24"/>
                <w:szCs w:val="24"/>
                <w:lang w:val="en-US" w:eastAsia="zh-CN"/>
              </w:rPr>
              <w:t>竖</w:t>
            </w:r>
            <w:r>
              <w:rPr>
                <w:rFonts w:hint="eastAsia" w:ascii="仿宋" w:hAnsi="仿宋" w:eastAsia="仿宋" w:cs="仿宋"/>
                <w:b w:val="0"/>
                <w:bCs w:val="0"/>
                <w:sz w:val="24"/>
                <w:szCs w:val="24"/>
              </w:rPr>
              <w:t>屏）</w:t>
            </w:r>
          </w:p>
        </w:tc>
        <w:tc>
          <w:tcPr>
            <w:tcW w:w="1374" w:type="dxa"/>
            <w:noWrap w:val="0"/>
            <w:vAlign w:val="center"/>
          </w:tcPr>
          <w:p>
            <w:pPr>
              <w:widowControl/>
              <w:spacing w:line="240" w:lineRule="auto"/>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6</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lang w:val="en-US" w:eastAsia="zh-CN"/>
              </w:rPr>
            </w:pPr>
            <w:r>
              <w:rPr>
                <w:rFonts w:hint="eastAsia" w:ascii="仿宋" w:hAnsi="仿宋" w:eastAsia="仿宋" w:cs="仿宋"/>
                <w:b w:val="0"/>
                <w:bCs w:val="0"/>
                <w:color w:val="000000"/>
                <w:kern w:val="0"/>
                <w:sz w:val="24"/>
                <w:szCs w:val="24"/>
                <w:lang w:val="en-US"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5</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43寸壁挂广告机（横屏）</w:t>
            </w:r>
          </w:p>
        </w:tc>
        <w:tc>
          <w:tcPr>
            <w:tcW w:w="1374"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85</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012"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6</w:t>
            </w:r>
          </w:p>
        </w:tc>
        <w:tc>
          <w:tcPr>
            <w:tcW w:w="5322"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55寸壁挂广告机（</w:t>
            </w:r>
            <w:r>
              <w:rPr>
                <w:rFonts w:hint="eastAsia" w:ascii="仿宋" w:hAnsi="仿宋" w:eastAsia="仿宋" w:cs="仿宋"/>
                <w:b w:val="0"/>
                <w:bCs w:val="0"/>
                <w:sz w:val="24"/>
                <w:szCs w:val="24"/>
                <w:lang w:val="en-US" w:eastAsia="zh-CN"/>
              </w:rPr>
              <w:t>竖屏</w:t>
            </w:r>
            <w:r>
              <w:rPr>
                <w:rFonts w:hint="eastAsia" w:ascii="仿宋" w:hAnsi="仿宋" w:eastAsia="仿宋" w:cs="仿宋"/>
                <w:b w:val="0"/>
                <w:bCs w:val="0"/>
                <w:sz w:val="24"/>
                <w:szCs w:val="24"/>
              </w:rPr>
              <w:t>）</w:t>
            </w:r>
          </w:p>
        </w:tc>
        <w:tc>
          <w:tcPr>
            <w:tcW w:w="1374" w:type="dxa"/>
            <w:noWrap w:val="0"/>
            <w:vAlign w:val="center"/>
          </w:tcPr>
          <w:p>
            <w:pPr>
              <w:widowControl/>
              <w:spacing w:line="240" w:lineRule="auto"/>
              <w:jc w:val="center"/>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1430" w:type="dxa"/>
            <w:noWrap w:val="0"/>
            <w:vAlign w:val="center"/>
          </w:tcPr>
          <w:p>
            <w:pPr>
              <w:widowControl/>
              <w:spacing w:line="240" w:lineRule="auto"/>
              <w:jc w:val="center"/>
              <w:rPr>
                <w:rFonts w:hint="eastAsia" w:ascii="仿宋" w:hAnsi="仿宋" w:eastAsia="仿宋" w:cs="仿宋"/>
                <w:b w:val="0"/>
                <w:bCs w:val="0"/>
                <w:color w:val="000000"/>
                <w:kern w:val="0"/>
                <w:sz w:val="24"/>
                <w:szCs w:val="24"/>
              </w:rPr>
            </w:pPr>
            <w:r>
              <w:rPr>
                <w:rFonts w:hint="eastAsia" w:ascii="仿宋" w:hAnsi="仿宋" w:eastAsia="仿宋" w:cs="仿宋"/>
                <w:b w:val="0"/>
                <w:bCs w:val="0"/>
                <w:color w:val="000000"/>
                <w:kern w:val="0"/>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7" w:hRule="atLeast"/>
        </w:trPr>
        <w:tc>
          <w:tcPr>
            <w:tcW w:w="9138" w:type="dxa"/>
            <w:gridSpan w:val="4"/>
            <w:noWrap w:val="0"/>
            <w:vAlign w:val="center"/>
          </w:tcPr>
          <w:p>
            <w:pPr>
              <w:numPr>
                <w:ilvl w:val="0"/>
                <w:numId w:val="0"/>
              </w:numPr>
              <w:jc w:val="left"/>
              <w:rPr>
                <w:rFonts w:hint="eastAsia" w:ascii="仿宋" w:hAnsi="仿宋" w:eastAsia="仿宋" w:cs="仿宋"/>
                <w:b w:val="0"/>
                <w:bCs/>
                <w:color w:val="000000"/>
                <w:kern w:val="0"/>
                <w:sz w:val="24"/>
                <w:szCs w:val="24"/>
              </w:rPr>
            </w:pPr>
            <w:r>
              <w:rPr>
                <w:rFonts w:hint="eastAsia" w:ascii="仿宋" w:hAnsi="仿宋" w:eastAsia="仿宋" w:cs="仿宋"/>
                <w:b w:val="0"/>
                <w:bCs/>
                <w:color w:val="000000"/>
                <w:kern w:val="0"/>
                <w:sz w:val="24"/>
                <w:szCs w:val="24"/>
                <w:lang w:val="en-US" w:eastAsia="zh-CN"/>
              </w:rPr>
              <w:t>1.</w:t>
            </w:r>
            <w:r>
              <w:rPr>
                <w:rFonts w:hint="eastAsia" w:ascii="仿宋" w:hAnsi="仿宋" w:eastAsia="仿宋" w:cs="仿宋"/>
                <w:b w:val="0"/>
                <w:bCs/>
                <w:color w:val="000000"/>
                <w:kern w:val="0"/>
                <w:sz w:val="24"/>
                <w:szCs w:val="24"/>
              </w:rPr>
              <w:t>纯平结构</w:t>
            </w:r>
            <w:r>
              <w:rPr>
                <w:rFonts w:hint="eastAsia" w:ascii="仿宋" w:hAnsi="仿宋" w:eastAsia="仿宋" w:cs="仿宋"/>
                <w:b w:val="0"/>
                <w:bCs/>
                <w:color w:val="000000"/>
                <w:kern w:val="0"/>
                <w:sz w:val="24"/>
                <w:szCs w:val="24"/>
              </w:rPr>
              <w:br w:type="textWrapping"/>
            </w:r>
            <w:r>
              <w:rPr>
                <w:rFonts w:hint="eastAsia" w:ascii="仿宋" w:hAnsi="仿宋" w:eastAsia="仿宋" w:cs="仿宋"/>
                <w:b w:val="0"/>
                <w:bCs/>
                <w:color w:val="000000"/>
                <w:kern w:val="0"/>
                <w:sz w:val="24"/>
                <w:szCs w:val="24"/>
              </w:rPr>
              <w:t>2</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rPr>
              <w:t>背架可粘可贴</w:t>
            </w:r>
            <w:r>
              <w:rPr>
                <w:rFonts w:hint="eastAsia" w:ascii="仿宋" w:hAnsi="仿宋" w:eastAsia="仿宋" w:cs="仿宋"/>
                <w:b w:val="0"/>
                <w:bCs/>
                <w:color w:val="000000"/>
                <w:kern w:val="0"/>
                <w:sz w:val="24"/>
                <w:szCs w:val="24"/>
              </w:rPr>
              <w:br w:type="textWrapping"/>
            </w:r>
            <w:r>
              <w:rPr>
                <w:rFonts w:hint="eastAsia" w:ascii="仿宋" w:hAnsi="仿宋" w:eastAsia="仿宋" w:cs="仿宋"/>
                <w:b w:val="0"/>
                <w:bCs/>
                <w:color w:val="000000"/>
                <w:kern w:val="0"/>
                <w:sz w:val="24"/>
                <w:szCs w:val="24"/>
              </w:rPr>
              <w:t>3</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rPr>
              <w:t>接口，开关，4G卡槽锁闭（下方）</w:t>
            </w:r>
            <w:r>
              <w:rPr>
                <w:rFonts w:hint="eastAsia" w:ascii="仿宋" w:hAnsi="仿宋" w:eastAsia="仿宋" w:cs="仿宋"/>
                <w:b w:val="0"/>
                <w:bCs/>
                <w:color w:val="000000"/>
                <w:kern w:val="0"/>
                <w:sz w:val="24"/>
                <w:szCs w:val="24"/>
              </w:rPr>
              <w:br w:type="textWrapping"/>
            </w:r>
            <w:r>
              <w:rPr>
                <w:rFonts w:hint="eastAsia" w:ascii="仿宋" w:hAnsi="仿宋" w:eastAsia="仿宋" w:cs="仿宋"/>
                <w:b w:val="0"/>
                <w:bCs/>
                <w:color w:val="000000"/>
                <w:kern w:val="0"/>
                <w:sz w:val="24"/>
                <w:szCs w:val="24"/>
              </w:rPr>
              <w:t>4</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rPr>
              <w:t>电源线品字头分离式（上方）</w:t>
            </w:r>
            <w:r>
              <w:rPr>
                <w:rFonts w:hint="eastAsia" w:ascii="仿宋" w:hAnsi="仿宋" w:eastAsia="仿宋" w:cs="仿宋"/>
                <w:b w:val="0"/>
                <w:bCs/>
                <w:color w:val="000000"/>
                <w:kern w:val="0"/>
                <w:sz w:val="24"/>
                <w:szCs w:val="24"/>
              </w:rPr>
              <w:br w:type="textWrapping"/>
            </w:r>
            <w:r>
              <w:rPr>
                <w:rFonts w:hint="eastAsia" w:ascii="仿宋" w:hAnsi="仿宋" w:eastAsia="仿宋" w:cs="仿宋"/>
                <w:b w:val="0"/>
                <w:bCs/>
                <w:color w:val="000000"/>
                <w:kern w:val="0"/>
                <w:sz w:val="24"/>
                <w:szCs w:val="24"/>
              </w:rPr>
              <w:t>5</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rPr>
              <w:t>支持无线，有线，物联网卡三种联网方式</w:t>
            </w:r>
            <w:r>
              <w:rPr>
                <w:rFonts w:hint="eastAsia" w:ascii="仿宋" w:hAnsi="仿宋" w:eastAsia="仿宋" w:cs="仿宋"/>
                <w:b w:val="0"/>
                <w:bCs/>
                <w:color w:val="000000"/>
                <w:kern w:val="0"/>
                <w:sz w:val="24"/>
                <w:szCs w:val="24"/>
              </w:rPr>
              <w:br w:type="textWrapping"/>
            </w:r>
            <w:r>
              <w:rPr>
                <w:rFonts w:hint="eastAsia" w:ascii="仿宋" w:hAnsi="仿宋" w:eastAsia="仿宋" w:cs="仿宋"/>
                <w:b w:val="0"/>
                <w:bCs/>
                <w:color w:val="000000"/>
                <w:kern w:val="0"/>
                <w:sz w:val="24"/>
                <w:szCs w:val="24"/>
              </w:rPr>
              <w:t>6</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rPr>
              <w:t>有4G，wifi可替换天线</w:t>
            </w:r>
          </w:p>
          <w:p>
            <w:pPr>
              <w:numPr>
                <w:ilvl w:val="0"/>
                <w:numId w:val="0"/>
              </w:numPr>
              <w:jc w:val="left"/>
              <w:rPr>
                <w:rFonts w:hint="eastAsia" w:ascii="仿宋" w:hAnsi="仿宋" w:eastAsia="仿宋" w:cs="仿宋"/>
                <w:b w:val="0"/>
                <w:bCs/>
                <w:color w:val="000000"/>
                <w:kern w:val="0"/>
                <w:sz w:val="24"/>
                <w:szCs w:val="24"/>
                <w:lang w:val="en-US" w:eastAsia="zh-CN"/>
              </w:rPr>
            </w:pPr>
            <w:r>
              <w:rPr>
                <w:rFonts w:hint="eastAsia" w:ascii="仿宋" w:hAnsi="仿宋" w:eastAsia="仿宋" w:cs="仿宋"/>
                <w:b w:val="0"/>
                <w:bCs/>
                <w:color w:val="000000"/>
                <w:kern w:val="0"/>
                <w:sz w:val="24"/>
                <w:szCs w:val="24"/>
                <w:lang w:val="en-US" w:eastAsia="zh-CN"/>
              </w:rPr>
              <w:t>7.点分辨率不低于1920x1080</w:t>
            </w:r>
          </w:p>
          <w:p>
            <w:pPr>
              <w:numPr>
                <w:ilvl w:val="0"/>
                <w:numId w:val="0"/>
              </w:numPr>
              <w:jc w:val="left"/>
              <w:rPr>
                <w:rFonts w:hint="eastAsia" w:ascii="仿宋" w:hAnsi="仿宋" w:eastAsia="仿宋" w:cs="仿宋"/>
                <w:b w:val="0"/>
                <w:bCs/>
                <w:color w:val="000000"/>
                <w:kern w:val="0"/>
                <w:sz w:val="24"/>
                <w:szCs w:val="24"/>
                <w:lang w:val="en-US" w:eastAsia="zh-CN" w:bidi="ar"/>
              </w:rPr>
            </w:pPr>
            <w:r>
              <w:rPr>
                <w:rFonts w:hint="eastAsia" w:ascii="仿宋" w:hAnsi="仿宋" w:eastAsia="仿宋" w:cs="仿宋"/>
                <w:b w:val="0"/>
                <w:bCs/>
                <w:color w:val="000000"/>
                <w:kern w:val="0"/>
                <w:sz w:val="24"/>
                <w:szCs w:val="24"/>
                <w:lang w:val="en-US" w:eastAsia="zh-CN"/>
              </w:rPr>
              <w:t>8.</w:t>
            </w:r>
            <w:r>
              <w:rPr>
                <w:rFonts w:hint="eastAsia" w:ascii="仿宋" w:hAnsi="仿宋" w:eastAsia="仿宋" w:cs="仿宋"/>
                <w:b w:val="0"/>
                <w:bCs/>
                <w:color w:val="000000"/>
                <w:kern w:val="0"/>
                <w:sz w:val="24"/>
                <w:szCs w:val="24"/>
                <w:lang w:bidi="ar"/>
              </w:rPr>
              <w:t>操作系统</w:t>
            </w:r>
            <w:r>
              <w:rPr>
                <w:rFonts w:hint="eastAsia" w:ascii="仿宋" w:hAnsi="仿宋" w:eastAsia="仿宋" w:cs="仿宋"/>
                <w:b w:val="0"/>
                <w:bCs/>
                <w:color w:val="000000"/>
                <w:kern w:val="0"/>
                <w:sz w:val="24"/>
                <w:szCs w:val="24"/>
                <w:lang w:val="en-US" w:eastAsia="zh-CN"/>
              </w:rPr>
              <w:t>不低于</w:t>
            </w:r>
            <w:r>
              <w:rPr>
                <w:rFonts w:hint="eastAsia" w:ascii="仿宋" w:hAnsi="仿宋" w:eastAsia="仿宋" w:cs="仿宋"/>
                <w:b w:val="0"/>
                <w:bCs/>
                <w:color w:val="000000"/>
                <w:kern w:val="0"/>
                <w:sz w:val="24"/>
                <w:szCs w:val="24"/>
                <w:lang w:bidi="ar"/>
              </w:rPr>
              <w:t>Android 11</w:t>
            </w:r>
          </w:p>
          <w:p>
            <w:pPr>
              <w:numPr>
                <w:ilvl w:val="0"/>
                <w:numId w:val="0"/>
              </w:numPr>
              <w:jc w:val="left"/>
              <w:rPr>
                <w:rFonts w:hint="eastAsia" w:ascii="仿宋" w:hAnsi="仿宋" w:eastAsia="仿宋" w:cs="仿宋"/>
                <w:b w:val="0"/>
                <w:bCs/>
                <w:color w:val="000000"/>
                <w:kern w:val="0"/>
                <w:sz w:val="24"/>
                <w:szCs w:val="24"/>
                <w:lang w:val="en-US" w:eastAsia="zh-CN" w:bidi="ar"/>
              </w:rPr>
            </w:pPr>
            <w:r>
              <w:rPr>
                <w:rFonts w:hint="eastAsia" w:ascii="仿宋" w:hAnsi="仿宋" w:eastAsia="仿宋" w:cs="仿宋"/>
                <w:b w:val="0"/>
                <w:bCs/>
                <w:color w:val="000000"/>
                <w:kern w:val="0"/>
                <w:sz w:val="24"/>
                <w:szCs w:val="24"/>
                <w:lang w:val="en-US" w:eastAsia="zh-CN" w:bidi="ar"/>
              </w:rPr>
              <w:t>9</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lang w:val="en-US" w:eastAsia="zh-CN" w:bidi="ar"/>
              </w:rPr>
              <w:t>液晶广告机LCD</w:t>
            </w:r>
          </w:p>
          <w:p>
            <w:pPr>
              <w:numPr>
                <w:ilvl w:val="0"/>
                <w:numId w:val="0"/>
              </w:numPr>
              <w:jc w:val="left"/>
              <w:rPr>
                <w:rFonts w:hint="eastAsia" w:ascii="仿宋" w:hAnsi="仿宋" w:eastAsia="仿宋" w:cs="仿宋"/>
                <w:b w:val="0"/>
                <w:bCs/>
                <w:color w:val="000000"/>
                <w:kern w:val="0"/>
                <w:sz w:val="24"/>
                <w:szCs w:val="24"/>
                <w:lang w:val="en-US" w:eastAsia="zh-CN" w:bidi="ar"/>
              </w:rPr>
            </w:pPr>
            <w:r>
              <w:rPr>
                <w:rFonts w:hint="eastAsia" w:ascii="仿宋" w:hAnsi="仿宋" w:eastAsia="仿宋" w:cs="仿宋"/>
                <w:b w:val="0"/>
                <w:bCs/>
                <w:color w:val="000000"/>
                <w:kern w:val="0"/>
                <w:sz w:val="24"/>
                <w:szCs w:val="24"/>
                <w:lang w:val="en-US" w:eastAsia="zh-CN" w:bidi="ar"/>
              </w:rPr>
              <w:t>10</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lang w:val="en-US" w:eastAsia="zh-CN" w:bidi="ar"/>
              </w:rPr>
              <w:t>支持远程线上发布、分屏、分区、分时段播放</w:t>
            </w:r>
          </w:p>
          <w:p>
            <w:pPr>
              <w:numPr>
                <w:ilvl w:val="0"/>
                <w:numId w:val="0"/>
              </w:numPr>
              <w:jc w:val="left"/>
              <w:rPr>
                <w:rFonts w:hint="eastAsia" w:ascii="仿宋" w:hAnsi="仿宋" w:eastAsia="仿宋" w:cs="仿宋"/>
                <w:color w:val="000000"/>
                <w:kern w:val="0"/>
                <w:sz w:val="24"/>
                <w:szCs w:val="24"/>
                <w:lang w:val="en-US" w:eastAsia="zh-CN" w:bidi="ar"/>
              </w:rPr>
            </w:pPr>
            <w:r>
              <w:rPr>
                <w:rFonts w:hint="eastAsia" w:ascii="仿宋" w:hAnsi="仿宋" w:eastAsia="仿宋" w:cs="仿宋"/>
                <w:b w:val="0"/>
                <w:bCs/>
                <w:color w:val="000000"/>
                <w:kern w:val="0"/>
                <w:sz w:val="24"/>
                <w:szCs w:val="24"/>
                <w:lang w:val="en-US" w:eastAsia="zh-CN" w:bidi="ar"/>
              </w:rPr>
              <w:t>11</w:t>
            </w:r>
            <w:r>
              <w:rPr>
                <w:rFonts w:hint="eastAsia" w:ascii="仿宋" w:hAnsi="仿宋" w:eastAsia="仿宋" w:cs="仿宋"/>
                <w:b w:val="0"/>
                <w:bCs/>
                <w:color w:val="000000"/>
                <w:kern w:val="0"/>
                <w:sz w:val="24"/>
                <w:szCs w:val="24"/>
                <w:lang w:val="en-US" w:eastAsia="zh-CN"/>
              </w:rPr>
              <w:t>.</w:t>
            </w:r>
            <w:r>
              <w:rPr>
                <w:rFonts w:hint="eastAsia" w:ascii="仿宋" w:hAnsi="仿宋" w:eastAsia="仿宋" w:cs="仿宋"/>
                <w:b w:val="0"/>
                <w:bCs/>
                <w:color w:val="000000"/>
                <w:kern w:val="0"/>
                <w:sz w:val="24"/>
                <w:szCs w:val="24"/>
                <w:lang w:val="en-US" w:eastAsia="zh-CN" w:bidi="ar"/>
              </w:rPr>
              <w:t>发布系统支持：定时开关机</w:t>
            </w:r>
          </w:p>
        </w:tc>
      </w:tr>
    </w:tbl>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共计运维267套系统，包含用于发布内容编辑、系统维护等功能的音视频投放互动平台系统。</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（1）屏幕播放时间为：每天早7点---晚21点（14小时）可根据各社区要求进行播放时长定制。</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（2）每台设备具备独立编号，方便差异化管理。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（3）可提供运营数据相关报告。</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（4）可按照采购人要求自定义上下刊时间。</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（5）日常系统bug修复升级。</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（6）可提供设备日志数据相关报告。</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（7）硬件设备日常维护检修。</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（8）系统具备多级权限管理功能，可分区分级对设备和内容进行分别管理。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（9）可提供完善的内容审核机制，允许具备审核权限的用户或机构对发布的内容进行审核处理。</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（10）可提供一对一的专职人员负责与社区对接，进行社区信息的收集、宣传文化内容的设计与制作。</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（11）可提供报告数据导出功能。</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（12）有7x24小时的客服在线答疑。</w:t>
      </w:r>
    </w:p>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（13）</w:t>
      </w:r>
      <w:r>
        <w:rPr>
          <w:rFonts w:hint="eastAsia" w:ascii="仿宋" w:hAnsi="仿宋" w:eastAsia="仿宋" w:cs="仿宋"/>
          <w:bCs/>
          <w:sz w:val="24"/>
          <w:szCs w:val="24"/>
          <w:highlight w:val="none"/>
          <w:lang w:eastAsia="zh-CN"/>
        </w:rPr>
        <w:t>远程登录服务：服务工程师可应</w:t>
      </w:r>
      <w:r>
        <w:rPr>
          <w:rFonts w:hint="eastAsia" w:ascii="仿宋" w:hAnsi="仿宋" w:eastAsia="仿宋" w:cs="仿宋"/>
          <w:bCs/>
          <w:sz w:val="24"/>
          <w:szCs w:val="24"/>
          <w:highlight w:val="none"/>
          <w:lang w:val="en-US" w:eastAsia="zh-CN"/>
        </w:rPr>
        <w:t>采购人</w:t>
      </w:r>
      <w:r>
        <w:rPr>
          <w:rFonts w:hint="eastAsia" w:ascii="仿宋" w:hAnsi="仿宋" w:eastAsia="仿宋" w:cs="仿宋"/>
          <w:bCs/>
          <w:sz w:val="24"/>
          <w:szCs w:val="24"/>
          <w:highlight w:val="none"/>
          <w:lang w:eastAsia="zh-CN"/>
        </w:rPr>
        <w:t>的要求通过远程登录直接对</w:t>
      </w:r>
      <w:r>
        <w:rPr>
          <w:rFonts w:hint="eastAsia" w:ascii="仿宋" w:hAnsi="仿宋" w:eastAsia="仿宋" w:cs="仿宋"/>
          <w:bCs/>
          <w:sz w:val="24"/>
          <w:szCs w:val="24"/>
          <w:highlight w:val="none"/>
          <w:lang w:val="en-US" w:eastAsia="zh-CN"/>
        </w:rPr>
        <w:t>采购人</w:t>
      </w:r>
      <w:r>
        <w:rPr>
          <w:rFonts w:hint="eastAsia" w:ascii="仿宋" w:hAnsi="仿宋" w:eastAsia="仿宋" w:cs="仿宋"/>
          <w:bCs/>
          <w:sz w:val="24"/>
          <w:szCs w:val="24"/>
          <w:highlight w:val="none"/>
          <w:lang w:eastAsia="zh-CN"/>
        </w:rPr>
        <w:t>的系统进行诊断和维护。</w:t>
      </w:r>
    </w:p>
    <w:p>
      <w:pPr>
        <w:spacing w:line="360" w:lineRule="auto"/>
        <w:ind w:firstLine="240" w:firstLineChars="100"/>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val="en-US" w:eastAsia="zh-CN"/>
        </w:rPr>
        <w:t>（14）现场服务：当采购人系统出现问题需要供应商进行现场服务时，供应商应半天内到达现场进行服务，一周内解决问题。</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2.2人员基本条件要求：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（1）有专业的项目运营团队（设备调试、巡检、美工等人员）</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（2）具备大屏、融媒体、户外终端项目管理运营经验。</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（3）政治立场坚定，熟悉意识形态、内容播出审核纪律，严守宣传口径。</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2.3工作时间及岗位要求</w:t>
      </w:r>
    </w:p>
    <w:p>
      <w:pPr>
        <w:spacing w:line="360" w:lineRule="auto"/>
        <w:ind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（1）工作时间：每日7:00</w:t>
      </w:r>
      <w:r>
        <w:rPr>
          <w:rFonts w:hint="eastAsia" w:ascii="仿宋" w:hAnsi="仿宋" w:eastAsia="仿宋" w:cs="仿宋"/>
          <w:bCs/>
          <w:sz w:val="24"/>
          <w:szCs w:val="24"/>
          <w:highlight w:val="none"/>
          <w:lang w:val="en-US" w:eastAsia="zh-CN"/>
        </w:rPr>
        <w:noBreakHyphen/>
      </w:r>
      <w:r>
        <w:rPr>
          <w:rFonts w:hint="eastAsia" w:ascii="仿宋" w:hAnsi="仿宋" w:eastAsia="仿宋" w:cs="仿宋"/>
          <w:bCs/>
          <w:sz w:val="24"/>
          <w:szCs w:val="24"/>
          <w:highlight w:val="none"/>
          <w:lang w:val="en-US" w:eastAsia="zh-CN"/>
        </w:rPr>
        <w:t>21:00，派驻专职人员保障该播放时段内业务响应。</w:t>
      </w:r>
    </w:p>
    <w:p>
      <w:pPr>
        <w:numPr>
          <w:ilvl w:val="0"/>
          <w:numId w:val="0"/>
        </w:numPr>
        <w:spacing w:line="360" w:lineRule="auto"/>
        <w:ind w:leftChars="0"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（2）拥护党的领导，熟悉基层党建宣传、社区宣传工作，政治立场端正，无违法违纪记录，能够准确把握党建宣传内容导向。</w:t>
      </w:r>
    </w:p>
    <w:p>
      <w:pPr>
        <w:numPr>
          <w:ilvl w:val="0"/>
          <w:numId w:val="0"/>
        </w:numPr>
        <w:spacing w:line="360" w:lineRule="auto"/>
        <w:ind w:leftChars="0" w:firstLine="240" w:firstLineChars="1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（3）熟练使用平面设计软件，可独立完成海报、宣传图文排版设计制作，能够完成音视频简单剪辑、内容上下刊编辑。</w:t>
      </w:r>
    </w:p>
    <w:p>
      <w:pPr>
        <w:numPr>
          <w:ilvl w:val="0"/>
          <w:numId w:val="0"/>
        </w:numPr>
        <w:spacing w:line="360" w:lineRule="auto"/>
        <w:ind w:leftChars="0"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熟悉多媒体发布后台系统操作，具备基础计算机、电子显示设备故障判别能力，可配合开展设备巡检、问题初步排查。</w:t>
      </w:r>
    </w:p>
    <w:p>
      <w:pPr>
        <w:numPr>
          <w:ilvl w:val="0"/>
          <w:numId w:val="0"/>
        </w:numPr>
        <w:spacing w:line="360" w:lineRule="auto"/>
        <w:ind w:leftChars="0"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统筹 11 个社区连心屏的内容、巡检、运维对接工作；保持通讯全天候畅通，保证甲方、各社区能够随时联系。</w:t>
      </w:r>
    </w:p>
    <w:p>
      <w:pPr>
        <w:numPr>
          <w:ilvl w:val="0"/>
          <w:numId w:val="0"/>
        </w:numPr>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2.4职责范围</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对接瀛海镇 11 个社区，收集各社区党建动态、通知公告、文化活动等社区讯息素材。</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为 11 个社区分别创建独立节目单，负责内容上下刊操作；甲方提供内容按要求发布。</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落实设备定期巡检工作，做好巡视频次、设备状态记录，统计各设备服务时长。</w:t>
      </w:r>
    </w:p>
    <w:p>
      <w:pPr>
        <w:numPr>
          <w:ilvl w:val="0"/>
          <w:numId w:val="0"/>
        </w:numPr>
        <w:spacing w:line="360" w:lineRule="auto"/>
        <w:ind w:firstLine="480" w:firstLineChars="200"/>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接收甲方、社区反馈的系统播放故障，优先远程排查处理；远程无法解决，及时协调技术人员开展现场服务；跟踪故障维修。</w:t>
      </w:r>
    </w:p>
    <w:p>
      <w:pPr>
        <w:numPr>
          <w:ilvl w:val="0"/>
          <w:numId w:val="0"/>
        </w:numPr>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2.5其他需求</w:t>
      </w:r>
    </w:p>
    <w:p>
      <w:pPr>
        <w:spacing w:line="360" w:lineRule="auto"/>
        <w:ind w:firstLine="480" w:firstLineChars="200"/>
        <w:contextualSpacing/>
        <w:rPr>
          <w:rFonts w:hint="eastAsia" w:ascii="仿宋" w:hAnsi="仿宋" w:eastAsia="仿宋" w:cs="仿宋"/>
          <w:sz w:val="24"/>
          <w:szCs w:val="24"/>
          <w:highlight w:val="none"/>
          <w:lang w:val="en-US" w:eastAsia="zh-CN"/>
        </w:rPr>
      </w:pPr>
      <w:r>
        <w:rPr>
          <w:rFonts w:hint="eastAsia" w:ascii="仿宋" w:hAnsi="仿宋" w:eastAsia="仿宋" w:cs="仿宋"/>
          <w:bCs/>
          <w:sz w:val="24"/>
          <w:szCs w:val="24"/>
          <w:highlight w:val="none"/>
          <w:lang w:val="en-US" w:eastAsia="zh-CN"/>
        </w:rPr>
        <w:t xml:space="preserve">  建立项目台账：记录各社区设备数量、内容上刊记录、巡视频次、故障处置记录、年度累计服务时长；按要求整理数据，配合甲方完成合同期满验收</w:t>
      </w:r>
      <w:r>
        <w:rPr>
          <w:rFonts w:hint="eastAsia" w:ascii="仿宋" w:hAnsi="仿宋" w:eastAsia="仿宋" w:cs="仿宋"/>
          <w:sz w:val="24"/>
          <w:szCs w:val="24"/>
          <w:highlight w:val="none"/>
          <w:lang w:val="en-US" w:eastAsia="zh-CN"/>
        </w:rPr>
        <w:t>。</w:t>
      </w:r>
    </w:p>
    <w:p>
      <w:pPr>
        <w:spacing w:line="360" w:lineRule="auto"/>
        <w:ind w:firstLine="480" w:firstLineChars="200"/>
        <w:contextualSpacing/>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2.6 本项目需要落实的政府采购政策：</w:t>
      </w:r>
    </w:p>
    <w:p>
      <w:pPr>
        <w:spacing w:line="360" w:lineRule="auto"/>
        <w:ind w:firstLine="480" w:firstLineChars="200"/>
        <w:contextualSpacing/>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p>
    <w:p>
      <w:pPr>
        <w:spacing w:line="360" w:lineRule="auto"/>
        <w:jc w:val="both"/>
        <w:outlineLvl w:val="0"/>
        <w:rPr>
          <w:rFonts w:hint="default" w:ascii="仿宋" w:hAnsi="仿宋" w:eastAsia="仿宋" w:cs="仿宋"/>
          <w:b/>
          <w:bCs w:val="0"/>
          <w:sz w:val="28"/>
          <w:szCs w:val="28"/>
          <w:u w:val="none"/>
          <w:lang w:val="en-US" w:eastAsia="zh-CN"/>
        </w:rPr>
      </w:pPr>
      <w:r>
        <w:rPr>
          <w:rFonts w:hint="eastAsia" w:ascii="仿宋" w:hAnsi="仿宋" w:eastAsia="仿宋" w:cs="仿宋"/>
          <w:b/>
          <w:bCs w:val="0"/>
          <w:sz w:val="28"/>
          <w:szCs w:val="28"/>
          <w:u w:val="none"/>
          <w:lang w:val="en-US" w:eastAsia="zh-CN"/>
        </w:rPr>
        <w:t>（三）招标文件其他内容不变。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iYjRlZTUzYWE0Y2RlN2Y0YjNlNzA4ODBlNGUwMDAifQ=="/>
  </w:docVars>
  <w:rsids>
    <w:rsidRoot w:val="00154879"/>
    <w:rsid w:val="00154879"/>
    <w:rsid w:val="003C2A72"/>
    <w:rsid w:val="004C15C2"/>
    <w:rsid w:val="00906C1E"/>
    <w:rsid w:val="00AA5D0C"/>
    <w:rsid w:val="00DB7AB2"/>
    <w:rsid w:val="043844A8"/>
    <w:rsid w:val="0C5D309F"/>
    <w:rsid w:val="28FE4459"/>
    <w:rsid w:val="2FC75471"/>
    <w:rsid w:val="363E37F2"/>
    <w:rsid w:val="48EF3DF1"/>
    <w:rsid w:val="66C07E07"/>
    <w:rsid w:val="67350115"/>
    <w:rsid w:val="76A96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autoRedefine/>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autoRedefine/>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autoRedefine/>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autoRedefine/>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autoRedefine/>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5"/>
    <w:autoRedefine/>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autoRedefine/>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autoRedefine/>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autoRedefine/>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link w:val="40"/>
    <w:autoRedefine/>
    <w:semiHidden/>
    <w:unhideWhenUsed/>
    <w:qFormat/>
    <w:uiPriority w:val="99"/>
    <w:pPr>
      <w:spacing w:after="120"/>
    </w:pPr>
  </w:style>
  <w:style w:type="paragraph" w:styleId="12">
    <w:name w:val="footer"/>
    <w:basedOn w:val="1"/>
    <w:link w:val="39"/>
    <w:autoRedefine/>
    <w:unhideWhenUsed/>
    <w:qFormat/>
    <w:uiPriority w:val="99"/>
    <w:pPr>
      <w:tabs>
        <w:tab w:val="center" w:pos="4153"/>
        <w:tab w:val="right" w:pos="8306"/>
      </w:tabs>
      <w:snapToGrid w:val="0"/>
      <w:jc w:val="left"/>
    </w:pPr>
    <w:rPr>
      <w:sz w:val="18"/>
      <w:szCs w:val="18"/>
    </w:rPr>
  </w:style>
  <w:style w:type="paragraph" w:styleId="13">
    <w:name w:val="header"/>
    <w:basedOn w:val="1"/>
    <w:link w:val="38"/>
    <w:autoRedefine/>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autoRedefine/>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Body Text First Indent"/>
    <w:basedOn w:val="11"/>
    <w:link w:val="41"/>
    <w:autoRedefine/>
    <w:qFormat/>
    <w:uiPriority w:val="0"/>
    <w:pPr>
      <w:ind w:firstLine="420" w:firstLineChars="100"/>
    </w:pPr>
    <w:rPr>
      <w:rFonts w:ascii="Times New Roman" w:hAnsi="Times New Roman" w:eastAsia="宋体" w:cs="Times New Roman"/>
      <w:szCs w:val="24"/>
    </w:rPr>
  </w:style>
  <w:style w:type="table" w:styleId="18">
    <w:name w:val="Table Grid"/>
    <w:basedOn w:val="17"/>
    <w:autoRedefine/>
    <w:qFormat/>
    <w:uiPriority w:val="3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0">
    <w:name w:val="标题 1 字符"/>
    <w:basedOn w:val="19"/>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3"/>
    <w:autoRedefine/>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4"/>
    <w:autoRedefine/>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5"/>
    <w:autoRedefine/>
    <w:semiHidden/>
    <w:qFormat/>
    <w:uiPriority w:val="9"/>
    <w:rPr>
      <w:rFonts w:cstheme="majorBidi"/>
      <w:color w:val="104862" w:themeColor="accent1" w:themeShade="BF"/>
      <w:sz w:val="28"/>
      <w:szCs w:val="28"/>
    </w:rPr>
  </w:style>
  <w:style w:type="character" w:customStyle="1" w:styleId="24">
    <w:name w:val="标题 5 字符"/>
    <w:basedOn w:val="19"/>
    <w:link w:val="6"/>
    <w:autoRedefine/>
    <w:semiHidden/>
    <w:qFormat/>
    <w:uiPriority w:val="9"/>
    <w:rPr>
      <w:rFonts w:cstheme="majorBidi"/>
      <w:color w:val="104862" w:themeColor="accent1" w:themeShade="BF"/>
      <w:sz w:val="24"/>
      <w:szCs w:val="24"/>
    </w:rPr>
  </w:style>
  <w:style w:type="character" w:customStyle="1" w:styleId="25">
    <w:name w:val="标题 6 字符"/>
    <w:basedOn w:val="19"/>
    <w:link w:val="7"/>
    <w:autoRedefine/>
    <w:semiHidden/>
    <w:qFormat/>
    <w:uiPriority w:val="9"/>
    <w:rPr>
      <w:rFonts w:cstheme="majorBidi"/>
      <w:b/>
      <w:bCs/>
      <w:color w:val="104862" w:themeColor="accent1" w:themeShade="BF"/>
    </w:rPr>
  </w:style>
  <w:style w:type="character" w:customStyle="1" w:styleId="26">
    <w:name w:val="标题 7 字符"/>
    <w:basedOn w:val="19"/>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5"/>
    <w:autoRedefine/>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4"/>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autoRedefine/>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autoRedefine/>
    <w:qFormat/>
    <w:uiPriority w:val="34"/>
    <w:pPr>
      <w:ind w:left="720"/>
      <w:contextualSpacing/>
    </w:pPr>
  </w:style>
  <w:style w:type="character" w:customStyle="1" w:styleId="34">
    <w:name w:val="Intense Emphasis"/>
    <w:basedOn w:val="19"/>
    <w:autoRedefine/>
    <w:qFormat/>
    <w:uiPriority w:val="21"/>
    <w:rPr>
      <w:i/>
      <w:iCs/>
      <w:color w:val="104862" w:themeColor="accent1" w:themeShade="BF"/>
    </w:rPr>
  </w:style>
  <w:style w:type="paragraph" w:styleId="35">
    <w:name w:val="Intense Quote"/>
    <w:basedOn w:val="1"/>
    <w:next w:val="1"/>
    <w:link w:val="36"/>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9"/>
    <w:link w:val="35"/>
    <w:autoRedefine/>
    <w:qFormat/>
    <w:uiPriority w:val="30"/>
    <w:rPr>
      <w:i/>
      <w:iCs/>
      <w:color w:val="104862" w:themeColor="accent1" w:themeShade="BF"/>
    </w:rPr>
  </w:style>
  <w:style w:type="character" w:customStyle="1" w:styleId="37">
    <w:name w:val="Intense Reference"/>
    <w:basedOn w:val="19"/>
    <w:autoRedefine/>
    <w:qFormat/>
    <w:uiPriority w:val="32"/>
    <w:rPr>
      <w:b/>
      <w:bCs/>
      <w:smallCaps/>
      <w:color w:val="104862" w:themeColor="accent1" w:themeShade="BF"/>
      <w:spacing w:val="5"/>
    </w:rPr>
  </w:style>
  <w:style w:type="character" w:customStyle="1" w:styleId="38">
    <w:name w:val="页眉 字符"/>
    <w:basedOn w:val="19"/>
    <w:link w:val="13"/>
    <w:autoRedefine/>
    <w:qFormat/>
    <w:uiPriority w:val="99"/>
    <w:rPr>
      <w:sz w:val="18"/>
      <w:szCs w:val="18"/>
    </w:rPr>
  </w:style>
  <w:style w:type="character" w:customStyle="1" w:styleId="39">
    <w:name w:val="页脚 字符"/>
    <w:basedOn w:val="19"/>
    <w:link w:val="12"/>
    <w:autoRedefine/>
    <w:qFormat/>
    <w:uiPriority w:val="99"/>
    <w:rPr>
      <w:sz w:val="18"/>
      <w:szCs w:val="18"/>
    </w:rPr>
  </w:style>
  <w:style w:type="character" w:customStyle="1" w:styleId="40">
    <w:name w:val="正文文本 字符"/>
    <w:basedOn w:val="19"/>
    <w:link w:val="11"/>
    <w:autoRedefine/>
    <w:semiHidden/>
    <w:qFormat/>
    <w:uiPriority w:val="99"/>
  </w:style>
  <w:style w:type="character" w:customStyle="1" w:styleId="41">
    <w:name w:val="正文文本首行缩进 字符"/>
    <w:basedOn w:val="40"/>
    <w:link w:val="16"/>
    <w:autoRedefine/>
    <w:qFormat/>
    <w:uiPriority w:val="0"/>
    <w:rPr>
      <w:rFonts w:ascii="Times New Roman" w:hAnsi="Times New Roman" w:eastAsia="宋体" w:cs="Times New Roman"/>
      <w:szCs w:val="24"/>
    </w:rPr>
  </w:style>
  <w:style w:type="character" w:customStyle="1" w:styleId="42">
    <w:name w:val="正文文本缩进 Char1"/>
    <w:link w:val="43"/>
    <w:autoRedefine/>
    <w:qFormat/>
    <w:uiPriority w:val="0"/>
    <w:rPr>
      <w:rFonts w:ascii="宋体" w:hAnsi="宋体"/>
      <w:sz w:val="24"/>
      <w:szCs w:val="24"/>
    </w:rPr>
  </w:style>
  <w:style w:type="paragraph" w:customStyle="1" w:styleId="43">
    <w:name w:val="正文文本缩进1"/>
    <w:basedOn w:val="1"/>
    <w:link w:val="42"/>
    <w:autoRedefine/>
    <w:qFormat/>
    <w:uiPriority w:val="0"/>
    <w:pPr>
      <w:spacing w:line="480" w:lineRule="exact"/>
      <w:ind w:firstLine="480" w:firstLineChars="200"/>
    </w:pPr>
    <w:rPr>
      <w:rFonts w:ascii="宋体" w:hAnsi="宋体"/>
      <w:sz w:val="24"/>
      <w:szCs w:val="24"/>
    </w:rPr>
  </w:style>
  <w:style w:type="character" w:customStyle="1" w:styleId="44">
    <w:name w:val="正文文本缩进 Char"/>
    <w:autoRedefine/>
    <w:qFormat/>
    <w:uiPriority w:val="0"/>
    <w:rPr>
      <w:rFonts w:eastAsia="宋体"/>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2505</Words>
  <Characters>2578</Characters>
  <Lines>19</Lines>
  <Paragraphs>5</Paragraphs>
  <TotalTime>1</TotalTime>
  <ScaleCrop>false</ScaleCrop>
  <LinksUpToDate>false</LinksUpToDate>
  <CharactersWithSpaces>2581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2026-09-28T07:31:00Z</dcterms:created>
  <dc:creator>dongning liu</dc:creator>
  <cp:lastModifiedBy>WPS_1629258421</cp:lastModifiedBy>
  <dcterms:modified xsi:type="dcterms:W3CDTF">2026-09-29T02:51:54Z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eyJoZGlkIjoiNjYxMTkyNzNjNjA5YjRjMWEzNzI2ZDM4OGE0YmJhZDEiLCJ1c2VySWQiOiI4NjkzMjk0MjgifQ==</vt:lpwstr>
  </property>
  <property fmtid="{D5CDD505-2E9C-101B-9397-08002B2CF9AE}" pid="3" name="KSOProductBuildVer">
    <vt:lpwstr>2052-12.1.0.16120</vt:lpwstr>
  </property>
  <property fmtid="{D5CDD505-2E9C-101B-9397-08002B2CF9AE}" pid="4" name="ICV">
    <vt:lpwstr>5E43F172587648F3A3ADCDB34D1E7BD3_12</vt:lpwstr>
  </property>
</Properties>
</file>