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5B9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自主择业军转干部体检费更正</w:t>
      </w:r>
      <w:r>
        <w:rPr>
          <w:rFonts w:hint="eastAsia" w:ascii="宋体" w:hAnsi="宋体" w:cs="宋体"/>
          <w:b w:val="0"/>
          <w:bCs w:val="0"/>
          <w:color w:val="auto"/>
          <w:sz w:val="24"/>
          <w:szCs w:val="24"/>
          <w:highlight w:val="none"/>
          <w:lang w:val="en-US" w:eastAsia="zh-CN"/>
        </w:rPr>
        <w:t>内容</w:t>
      </w:r>
    </w:p>
    <w:p w14:paraId="658A72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致各潜在供应商:</w:t>
      </w:r>
    </w:p>
    <w:p w14:paraId="56A0A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highlight w:val="none"/>
          <w:lang w:eastAsia="zh-CN"/>
        </w:rPr>
      </w:pPr>
    </w:p>
    <w:p w14:paraId="7641FB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1、原内容为：</w:t>
      </w:r>
      <w:r>
        <w:rPr>
          <w:rFonts w:hint="eastAsia" w:ascii="宋体" w:hAnsi="宋体" w:cs="宋体"/>
          <w:b w:val="0"/>
          <w:bCs w:val="0"/>
          <w:color w:val="auto"/>
          <w:sz w:val="24"/>
          <w:szCs w:val="24"/>
          <w:highlight w:val="none"/>
          <w:lang w:eastAsia="zh-CN"/>
        </w:rPr>
        <w:t>投标截止时间、开标时间已调整为：2026年10月1</w:t>
      </w:r>
      <w:r>
        <w:rPr>
          <w:rFonts w:hint="eastAsia"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eastAsia="zh-CN"/>
        </w:rPr>
        <w:t>日9点00分（北京时间）。</w:t>
      </w:r>
    </w:p>
    <w:p w14:paraId="578370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现更正为：</w:t>
      </w:r>
      <w:r>
        <w:rPr>
          <w:rFonts w:hint="eastAsia" w:ascii="宋体" w:hAnsi="宋体" w:cs="宋体"/>
          <w:b w:val="0"/>
          <w:bCs w:val="0"/>
          <w:color w:val="auto"/>
          <w:sz w:val="24"/>
          <w:szCs w:val="24"/>
          <w:highlight w:val="none"/>
          <w:lang w:eastAsia="zh-CN"/>
        </w:rPr>
        <w:t>投标截止时间、开标时间已调整为：2026年10月13日9点00分（北京时间）。</w:t>
      </w:r>
      <w:bookmarkStart w:id="0" w:name="_GoBack"/>
      <w:bookmarkEnd w:id="0"/>
    </w:p>
    <w:p w14:paraId="451C59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eastAsia="zh-CN"/>
        </w:rPr>
        <w:t>原</w:t>
      </w:r>
      <w:r>
        <w:rPr>
          <w:rFonts w:hint="eastAsia" w:ascii="宋体" w:hAnsi="宋体" w:cs="宋体"/>
          <w:b w:val="0"/>
          <w:bCs w:val="0"/>
          <w:color w:val="auto"/>
          <w:sz w:val="24"/>
          <w:szCs w:val="24"/>
          <w:highlight w:val="none"/>
          <w:lang w:val="en-US" w:eastAsia="zh-CN"/>
        </w:rPr>
        <w:t>采购文件中</w:t>
      </w:r>
      <w:r>
        <w:rPr>
          <w:rFonts w:hint="eastAsia" w:ascii="宋体" w:hAnsi="宋体" w:cs="宋体"/>
          <w:b w:val="0"/>
          <w:bCs w:val="0"/>
          <w:color w:val="auto"/>
          <w:sz w:val="24"/>
          <w:szCs w:val="24"/>
          <w:highlight w:val="none"/>
          <w:lang w:eastAsia="zh-CN"/>
        </w:rPr>
        <w:t>第</w:t>
      </w:r>
      <w:r>
        <w:rPr>
          <w:rFonts w:hint="eastAsia" w:ascii="宋体" w:hAnsi="宋体" w:cs="宋体"/>
          <w:b w:val="0"/>
          <w:bCs w:val="0"/>
          <w:color w:val="auto"/>
          <w:sz w:val="24"/>
          <w:szCs w:val="24"/>
          <w:highlight w:val="none"/>
          <w:lang w:val="en-US" w:eastAsia="zh-CN"/>
        </w:rPr>
        <w:t>五</w:t>
      </w:r>
      <w:r>
        <w:rPr>
          <w:rFonts w:hint="eastAsia" w:ascii="宋体" w:hAnsi="宋体" w:cs="宋体"/>
          <w:b w:val="0"/>
          <w:bCs w:val="0"/>
          <w:color w:val="auto"/>
          <w:sz w:val="24"/>
          <w:szCs w:val="24"/>
          <w:highlight w:val="none"/>
          <w:lang w:eastAsia="zh-CN"/>
        </w:rPr>
        <w:t>章</w:t>
      </w:r>
      <w:r>
        <w:rPr>
          <w:rFonts w:hint="eastAsia" w:ascii="宋体" w:hAnsi="宋体" w:cs="宋体"/>
          <w:b w:val="0"/>
          <w:bCs w:val="0"/>
          <w:color w:val="auto"/>
          <w:sz w:val="24"/>
          <w:szCs w:val="24"/>
          <w:highlight w:val="none"/>
          <w:lang w:val="en-US" w:eastAsia="zh-CN"/>
        </w:rPr>
        <w:t>采购需求内容为：</w:t>
      </w:r>
    </w:p>
    <w:p w14:paraId="16B22252">
      <w:pPr>
        <w:keepNext w:val="0"/>
        <w:keepLines w:val="0"/>
        <w:pageBreakBefore w:val="0"/>
        <w:kinsoku/>
        <w:wordWrap/>
        <w:overflowPunct/>
        <w:topLinePunct w:val="0"/>
        <w:autoSpaceDE/>
        <w:autoSpaceDN/>
        <w:bidi w:val="0"/>
        <w:adjustRightInd/>
        <w:snapToGrid/>
        <w:spacing w:line="400" w:lineRule="exact"/>
        <w:rPr>
          <w:rFonts w:hint="eastAsia" w:ascii="宋体" w:hAnsi="宋体"/>
          <w:b w:val="0"/>
          <w:bCs w:val="0"/>
          <w:snapToGrid w:val="0"/>
          <w:color w:val="000000"/>
          <w:kern w:val="0"/>
          <w:sz w:val="24"/>
          <w:lang w:val="en-US" w:eastAsia="zh-CN"/>
        </w:rPr>
      </w:pPr>
      <w:r>
        <w:rPr>
          <w:rFonts w:hint="eastAsia" w:ascii="宋体" w:hAnsi="宋体" w:cs="宋体"/>
          <w:b w:val="0"/>
          <w:bCs w:val="0"/>
          <w:color w:val="auto"/>
          <w:sz w:val="24"/>
          <w:szCs w:val="24"/>
          <w:highlight w:val="none"/>
          <w:lang w:val="en-US" w:eastAsia="zh-CN"/>
        </w:rPr>
        <w:t>（二）主要服务内容包括：</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60"/>
        <w:gridCol w:w="1420"/>
        <w:gridCol w:w="544"/>
        <w:gridCol w:w="544"/>
        <w:gridCol w:w="5351"/>
      </w:tblGrid>
      <w:tr w14:paraId="16C7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87" w:type="pct"/>
            <w:shd w:val="clear" w:color="auto" w:fill="auto"/>
            <w:vAlign w:val="center"/>
          </w:tcPr>
          <w:p w14:paraId="475577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833" w:type="pct"/>
            <w:shd w:val="clear" w:color="auto" w:fill="auto"/>
            <w:vAlign w:val="center"/>
          </w:tcPr>
          <w:p w14:paraId="2EB151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cs="宋体"/>
                <w:b/>
                <w:bCs/>
                <w:i w:val="0"/>
                <w:iCs w:val="0"/>
                <w:color w:val="000000"/>
                <w:kern w:val="0"/>
                <w:sz w:val="18"/>
                <w:szCs w:val="18"/>
                <w:u w:val="none"/>
                <w:lang w:val="en-US" w:eastAsia="zh-CN" w:bidi="ar"/>
              </w:rPr>
              <w:t>检查</w:t>
            </w:r>
            <w:r>
              <w:rPr>
                <w:rFonts w:hint="eastAsia" w:ascii="宋体" w:hAnsi="宋体" w:eastAsia="宋体" w:cs="宋体"/>
                <w:b/>
                <w:bCs/>
                <w:i w:val="0"/>
                <w:iCs w:val="0"/>
                <w:color w:val="000000"/>
                <w:kern w:val="0"/>
                <w:sz w:val="18"/>
                <w:szCs w:val="18"/>
                <w:u w:val="none"/>
                <w:lang w:val="en-US" w:eastAsia="zh-CN" w:bidi="ar"/>
              </w:rPr>
              <w:t>项目</w:t>
            </w:r>
          </w:p>
        </w:tc>
        <w:tc>
          <w:tcPr>
            <w:tcW w:w="319" w:type="pct"/>
            <w:shd w:val="clear" w:color="auto" w:fill="auto"/>
            <w:vAlign w:val="center"/>
          </w:tcPr>
          <w:p w14:paraId="57279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男</w:t>
            </w:r>
          </w:p>
        </w:tc>
        <w:tc>
          <w:tcPr>
            <w:tcW w:w="319" w:type="pct"/>
            <w:shd w:val="clear" w:color="auto" w:fill="auto"/>
            <w:vAlign w:val="center"/>
          </w:tcPr>
          <w:p w14:paraId="4D5DFF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女</w:t>
            </w:r>
          </w:p>
        </w:tc>
        <w:tc>
          <w:tcPr>
            <w:tcW w:w="3139" w:type="pct"/>
            <w:shd w:val="clear" w:color="auto" w:fill="auto"/>
            <w:vAlign w:val="center"/>
          </w:tcPr>
          <w:p w14:paraId="6CFD5B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项目简述</w:t>
            </w:r>
          </w:p>
        </w:tc>
      </w:tr>
      <w:tr w14:paraId="58F8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4B0E81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33" w:type="pct"/>
            <w:shd w:val="clear" w:color="auto" w:fill="auto"/>
            <w:vAlign w:val="center"/>
          </w:tcPr>
          <w:p w14:paraId="39FDAB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外科一般检查（男）</w:t>
            </w:r>
          </w:p>
        </w:tc>
        <w:tc>
          <w:tcPr>
            <w:tcW w:w="319" w:type="pct"/>
            <w:shd w:val="clear" w:color="auto" w:fill="auto"/>
            <w:vAlign w:val="center"/>
          </w:tcPr>
          <w:p w14:paraId="34AB7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51E2DBD9">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39" w:type="pct"/>
            <w:shd w:val="clear" w:color="auto" w:fill="auto"/>
            <w:vAlign w:val="center"/>
          </w:tcPr>
          <w:p w14:paraId="6979E6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包含：皮肤、浅表淋巴结、甲状腺、乳腺、脊柱、四肢与关节、外生殖器（男性）。50岁以下且无结直肠癌危险因素的健康人群可仅选择此项，其余人群建议增加“肛门指诊”检查。</w:t>
            </w:r>
          </w:p>
        </w:tc>
      </w:tr>
      <w:tr w14:paraId="4E69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78754C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33" w:type="pct"/>
            <w:shd w:val="clear" w:color="auto" w:fill="auto"/>
            <w:vAlign w:val="center"/>
          </w:tcPr>
          <w:p w14:paraId="6FA78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外科一般检查（女）</w:t>
            </w:r>
          </w:p>
        </w:tc>
        <w:tc>
          <w:tcPr>
            <w:tcW w:w="319" w:type="pct"/>
            <w:shd w:val="clear" w:color="auto" w:fill="auto"/>
            <w:vAlign w:val="center"/>
          </w:tcPr>
          <w:p w14:paraId="7231D2FF">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0169B9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08D8EB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包含：皮肤、浅表淋巴结、甲状腺、乳腺、脊柱、四肢与关节。50岁以下且无结直肠癌危险因素的健康人群可仅选择此项，其余人群建议增加“肛门指诊”检查。</w:t>
            </w:r>
          </w:p>
        </w:tc>
      </w:tr>
      <w:tr w14:paraId="3C81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387" w:type="pct"/>
            <w:shd w:val="clear" w:color="auto" w:fill="auto"/>
            <w:vAlign w:val="center"/>
          </w:tcPr>
          <w:p w14:paraId="070B8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33" w:type="pct"/>
            <w:shd w:val="clear" w:color="auto" w:fill="auto"/>
            <w:vAlign w:val="center"/>
          </w:tcPr>
          <w:p w14:paraId="4C41BB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肛门指诊</w:t>
            </w:r>
          </w:p>
        </w:tc>
        <w:tc>
          <w:tcPr>
            <w:tcW w:w="319" w:type="pct"/>
            <w:shd w:val="clear" w:color="auto" w:fill="auto"/>
            <w:vAlign w:val="center"/>
          </w:tcPr>
          <w:p w14:paraId="715AFC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CC57A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B927B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包括：肛门视诊、直肠指诊，男性包含前列腺检查。适用于50岁以上人群、50岁以下且有结直肠癌危险因素的人群。</w:t>
            </w:r>
          </w:p>
        </w:tc>
      </w:tr>
      <w:tr w14:paraId="6FEB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05" w:hRule="atLeast"/>
          <w:jc w:val="center"/>
        </w:trPr>
        <w:tc>
          <w:tcPr>
            <w:tcW w:w="387" w:type="pct"/>
            <w:shd w:val="clear" w:color="auto" w:fill="auto"/>
            <w:vAlign w:val="center"/>
          </w:tcPr>
          <w:p w14:paraId="2C0EE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33" w:type="pct"/>
            <w:shd w:val="clear" w:color="auto" w:fill="auto"/>
            <w:vAlign w:val="center"/>
          </w:tcPr>
          <w:p w14:paraId="4B2E4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眼科常规检查</w:t>
            </w:r>
          </w:p>
        </w:tc>
        <w:tc>
          <w:tcPr>
            <w:tcW w:w="319" w:type="pct"/>
            <w:shd w:val="clear" w:color="auto" w:fill="auto"/>
            <w:vAlign w:val="center"/>
          </w:tcPr>
          <w:p w14:paraId="4127B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54D538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25288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检查双眼视力、色觉、外眼（眼球、眼睑、结膜、泪器、角膜）；通过裂隙灯仪器检查内眼（瞳孔、角膜、虹膜、晶状体、玻璃体）；通过检眼镜检查观察眼底血管、杯盘比情况。发现或初步排除一些常见眼部疾病（如屈光不正、角膜疾病、白内障等）及高血压、糖尿病、动脉硬化等全身性疾病在眼部的临床线索。</w:t>
            </w:r>
          </w:p>
        </w:tc>
      </w:tr>
      <w:tr w14:paraId="169D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207143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3" w:type="pct"/>
            <w:shd w:val="clear" w:color="auto" w:fill="auto"/>
            <w:vAlign w:val="center"/>
          </w:tcPr>
          <w:p w14:paraId="5B28CA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耳鼻喉科检查</w:t>
            </w:r>
          </w:p>
        </w:tc>
        <w:tc>
          <w:tcPr>
            <w:tcW w:w="319" w:type="pct"/>
            <w:shd w:val="clear" w:color="auto" w:fill="auto"/>
            <w:vAlign w:val="center"/>
          </w:tcPr>
          <w:p w14:paraId="60BF9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3244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18D17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通过对听力、耳、鼻、咽等器官的常规器械检查，发现常见疾病。</w:t>
            </w:r>
          </w:p>
        </w:tc>
      </w:tr>
      <w:tr w14:paraId="1835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05" w:hRule="atLeast"/>
          <w:jc w:val="center"/>
        </w:trPr>
        <w:tc>
          <w:tcPr>
            <w:tcW w:w="387" w:type="pct"/>
            <w:shd w:val="clear" w:color="auto" w:fill="auto"/>
            <w:vAlign w:val="center"/>
          </w:tcPr>
          <w:p w14:paraId="5D82F5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33" w:type="pct"/>
            <w:shd w:val="clear" w:color="auto" w:fill="auto"/>
            <w:vAlign w:val="center"/>
          </w:tcPr>
          <w:p w14:paraId="6B02E3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妇科一般检查+宫颈TCT检查</w:t>
            </w:r>
          </w:p>
        </w:tc>
        <w:tc>
          <w:tcPr>
            <w:tcW w:w="319" w:type="pct"/>
            <w:shd w:val="clear" w:color="auto" w:fill="auto"/>
            <w:vAlign w:val="center"/>
          </w:tcPr>
          <w:p w14:paraId="746C6D6E">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447EDA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2B75D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先查看外阴有无皮肤病、水肿、白斑等；其次用器械检查阴道及宫颈：阴道有无出血、溃疡；有无宫颈炎症、宫颈糜烂等；第三是触摸检查子宫大小、形态、位置以及活动度是否正常；第四是检查双侧附件有无肿块及压痛等。宫颈液基超薄细胞检测（TCT）：是目前国内外替代传统宫颈涂片筛查宫颈癌最准确的检测技术，提高了妇女宫颈癌早期诊断率。</w:t>
            </w:r>
          </w:p>
        </w:tc>
      </w:tr>
      <w:tr w14:paraId="5AE9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65" w:hRule="atLeast"/>
          <w:jc w:val="center"/>
        </w:trPr>
        <w:tc>
          <w:tcPr>
            <w:tcW w:w="387" w:type="pct"/>
            <w:shd w:val="clear" w:color="auto" w:fill="auto"/>
            <w:vAlign w:val="center"/>
          </w:tcPr>
          <w:p w14:paraId="00192B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33" w:type="pct"/>
            <w:shd w:val="clear" w:color="auto" w:fill="auto"/>
            <w:vAlign w:val="center"/>
          </w:tcPr>
          <w:p w14:paraId="5190E0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人乳头瘤病毒检测（全套）</w:t>
            </w:r>
          </w:p>
        </w:tc>
        <w:tc>
          <w:tcPr>
            <w:tcW w:w="319" w:type="pct"/>
            <w:shd w:val="clear" w:color="auto" w:fill="auto"/>
            <w:vAlign w:val="center"/>
          </w:tcPr>
          <w:p w14:paraId="76565F4C">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341A26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74DDD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子宫颈癌是第一个明确为由病毒感染引起的人类恶性肿瘤。 HPV有数十个亚型，只有高危型HPV持续感染方可引起宫颈癌。高危HPV阳性者TCT未见异常者须密切观察。若TCT出现鳞状上皮或腺细胞非典型改变及以上变化需进行治疗。</w:t>
            </w:r>
          </w:p>
        </w:tc>
      </w:tr>
      <w:tr w14:paraId="6F40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288E12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33" w:type="pct"/>
            <w:shd w:val="clear" w:color="auto" w:fill="auto"/>
            <w:vAlign w:val="center"/>
          </w:tcPr>
          <w:p w14:paraId="1208FD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白带常规</w:t>
            </w:r>
          </w:p>
        </w:tc>
        <w:tc>
          <w:tcPr>
            <w:tcW w:w="319" w:type="pct"/>
            <w:shd w:val="clear" w:color="auto" w:fill="auto"/>
            <w:vAlign w:val="center"/>
          </w:tcPr>
          <w:p w14:paraId="097B87E3">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2F7086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E310B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通过肉眼及显微镜观察阴道分泌物，初步判断阴道是否存在炎症及类型。</w:t>
            </w:r>
          </w:p>
        </w:tc>
      </w:tr>
      <w:tr w14:paraId="5CC8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56582F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833" w:type="pct"/>
            <w:shd w:val="clear" w:color="auto" w:fill="auto"/>
            <w:vAlign w:val="center"/>
          </w:tcPr>
          <w:p w14:paraId="6AB931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前列腺彩超</w:t>
            </w:r>
          </w:p>
        </w:tc>
        <w:tc>
          <w:tcPr>
            <w:tcW w:w="319" w:type="pct"/>
            <w:shd w:val="clear" w:color="auto" w:fill="auto"/>
            <w:vAlign w:val="center"/>
          </w:tcPr>
          <w:p w14:paraId="46A291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22A20DFC">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39" w:type="pct"/>
            <w:shd w:val="clear" w:color="auto" w:fill="auto"/>
            <w:vAlign w:val="center"/>
          </w:tcPr>
          <w:p w14:paraId="32F90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检测前列腺的形态和结构，用于前列腺增生、前列腺癌及前列腺结石的辅助诊断。</w:t>
            </w:r>
          </w:p>
        </w:tc>
      </w:tr>
      <w:tr w14:paraId="5B6A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87" w:type="pct"/>
            <w:shd w:val="clear" w:color="auto" w:fill="auto"/>
            <w:vAlign w:val="center"/>
          </w:tcPr>
          <w:p w14:paraId="7AD0D3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pct"/>
            <w:shd w:val="clear" w:color="auto" w:fill="auto"/>
            <w:vAlign w:val="center"/>
          </w:tcPr>
          <w:p w14:paraId="61F3EC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彩色阴超</w:t>
            </w:r>
          </w:p>
        </w:tc>
        <w:tc>
          <w:tcPr>
            <w:tcW w:w="319" w:type="pct"/>
            <w:shd w:val="clear" w:color="auto" w:fill="auto"/>
            <w:vAlign w:val="center"/>
          </w:tcPr>
          <w:p w14:paraId="70B559A5">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5238F8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05003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经阴道检查子宫、输卵管和卵巢，与一般女性盆腔彩超相比，图像更清晰，不必憋尿，仅适用于已婚女性。</w:t>
            </w:r>
          </w:p>
        </w:tc>
      </w:tr>
      <w:tr w14:paraId="2897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87" w:type="pct"/>
            <w:shd w:val="clear" w:color="auto" w:fill="auto"/>
            <w:vAlign w:val="center"/>
          </w:tcPr>
          <w:p w14:paraId="6F03E8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833" w:type="pct"/>
            <w:shd w:val="clear" w:color="auto" w:fill="auto"/>
            <w:vAlign w:val="center"/>
          </w:tcPr>
          <w:p w14:paraId="4C5742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颈动脉彩超</w:t>
            </w:r>
          </w:p>
        </w:tc>
        <w:tc>
          <w:tcPr>
            <w:tcW w:w="319" w:type="pct"/>
            <w:shd w:val="clear" w:color="auto" w:fill="auto"/>
            <w:vAlign w:val="center"/>
          </w:tcPr>
          <w:p w14:paraId="5A3FF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736B30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ACF2F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通过彩色超声仪器检查颈动脉内膜中层厚度、斑块大小等数据，是评估缺血性脑血管病风险的首要检测方法。</w:t>
            </w:r>
          </w:p>
        </w:tc>
      </w:tr>
      <w:tr w14:paraId="7CB6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387" w:type="pct"/>
            <w:shd w:val="clear" w:color="auto" w:fill="auto"/>
            <w:vAlign w:val="center"/>
          </w:tcPr>
          <w:p w14:paraId="786DAB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33" w:type="pct"/>
            <w:shd w:val="clear" w:color="auto" w:fill="auto"/>
            <w:vAlign w:val="center"/>
          </w:tcPr>
          <w:p w14:paraId="237103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甲状腺彩超</w:t>
            </w:r>
          </w:p>
        </w:tc>
        <w:tc>
          <w:tcPr>
            <w:tcW w:w="319" w:type="pct"/>
            <w:shd w:val="clear" w:color="auto" w:fill="auto"/>
            <w:vAlign w:val="center"/>
          </w:tcPr>
          <w:p w14:paraId="0B70C2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047711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C926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通过彩色超声仪器检查甲状腺部位，甲状腺彩色超声是灵敏的检查手段。可用于甲状腺结节、甲状腺囊肿、亚急性或 慢性甲状腺炎、甲状腺机能亢进和甲状腺癌断。</w:t>
            </w:r>
          </w:p>
        </w:tc>
      </w:tr>
      <w:tr w14:paraId="1E13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387" w:type="pct"/>
            <w:shd w:val="clear" w:color="auto" w:fill="auto"/>
            <w:vAlign w:val="center"/>
          </w:tcPr>
          <w:p w14:paraId="468A04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833" w:type="pct"/>
            <w:shd w:val="clear" w:color="auto" w:fill="auto"/>
            <w:vAlign w:val="center"/>
          </w:tcPr>
          <w:p w14:paraId="6E9B1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乳腺彩超</w:t>
            </w:r>
          </w:p>
        </w:tc>
        <w:tc>
          <w:tcPr>
            <w:tcW w:w="319" w:type="pct"/>
            <w:shd w:val="clear" w:color="auto" w:fill="auto"/>
            <w:vAlign w:val="center"/>
          </w:tcPr>
          <w:p w14:paraId="7BF7366D">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0D0560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246EB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通过彩色超声仪器检查栓侧乳腺，是育龄女性乳腺癌筛查首选方法。还用于乳腺增生、乳腺囊性肿物、导管内乳头状瘤、纤维腺瘤等疾病的辅助诊断。</w:t>
            </w:r>
          </w:p>
        </w:tc>
      </w:tr>
      <w:tr w14:paraId="2907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0710DE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833" w:type="pct"/>
            <w:shd w:val="clear" w:color="auto" w:fill="auto"/>
            <w:vAlign w:val="center"/>
          </w:tcPr>
          <w:p w14:paraId="7E8108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心脏彩超</w:t>
            </w:r>
          </w:p>
        </w:tc>
        <w:tc>
          <w:tcPr>
            <w:tcW w:w="319" w:type="pct"/>
            <w:shd w:val="clear" w:color="auto" w:fill="auto"/>
            <w:vAlign w:val="center"/>
          </w:tcPr>
          <w:p w14:paraId="4E8F79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5288A1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60F0B7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通过彩色超声仪器检查心脏结构及功能，对心血管疾病的诊断和疗效判断具有重要的价值。用于筛查器质性心脏疾病，如：心肌病、各种先天性心脏病、肺心病、心脏瓣膜病等。</w:t>
            </w:r>
          </w:p>
        </w:tc>
      </w:tr>
      <w:tr w14:paraId="7A90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25DC99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33" w:type="pct"/>
            <w:shd w:val="clear" w:color="auto" w:fill="auto"/>
            <w:vAlign w:val="center"/>
          </w:tcPr>
          <w:p w14:paraId="2678CC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经颅多普勒</w:t>
            </w:r>
          </w:p>
        </w:tc>
        <w:tc>
          <w:tcPr>
            <w:tcW w:w="319" w:type="pct"/>
            <w:shd w:val="clear" w:color="auto" w:fill="auto"/>
            <w:vAlign w:val="center"/>
          </w:tcPr>
          <w:p w14:paraId="4B7BC6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206B9F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17782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是用频谱多普勒方法无创检查颅内外脑血流动力学指标的变化，主要用于脑动脉硬化、痉挛、血管神经性头痛、脑动脉(颈内动脉系和椎基底动脉系)狭窄、闭塞及颅内动脉畸形等疾病的辅助性诊断。</w:t>
            </w:r>
          </w:p>
        </w:tc>
      </w:tr>
      <w:tr w14:paraId="6726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35" w:hRule="atLeast"/>
          <w:jc w:val="center"/>
        </w:trPr>
        <w:tc>
          <w:tcPr>
            <w:tcW w:w="387" w:type="pct"/>
            <w:shd w:val="clear" w:color="auto" w:fill="auto"/>
            <w:vAlign w:val="center"/>
          </w:tcPr>
          <w:p w14:paraId="288E08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833" w:type="pct"/>
            <w:shd w:val="clear" w:color="auto" w:fill="auto"/>
            <w:vAlign w:val="center"/>
          </w:tcPr>
          <w:p w14:paraId="19F1EE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动脉硬化检测</w:t>
            </w:r>
          </w:p>
        </w:tc>
        <w:tc>
          <w:tcPr>
            <w:tcW w:w="319" w:type="pct"/>
            <w:shd w:val="clear" w:color="auto" w:fill="auto"/>
            <w:vAlign w:val="center"/>
          </w:tcPr>
          <w:p w14:paraId="09DB4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D737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163B9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脉硬化检测通过检测的脉搏波传导速度（PWV或CAVI）和踝臂指数（ABI）来评估大血管病变。脉搏波传导速度通过检测脉搏沿动脉传导的速度反映全身动脉弹性的变化、是否有动脉硬化及动脉硬化的程度。踝臂指数则通过对比踝部血压与臂部血压的比值，检测周围血管有无钙化、狭窄和闭塞。</w:t>
            </w:r>
          </w:p>
        </w:tc>
      </w:tr>
      <w:tr w14:paraId="26F2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169190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33" w:type="pct"/>
            <w:shd w:val="clear" w:color="auto" w:fill="auto"/>
            <w:vAlign w:val="center"/>
          </w:tcPr>
          <w:p w14:paraId="00406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骨密度</w:t>
            </w:r>
          </w:p>
        </w:tc>
        <w:tc>
          <w:tcPr>
            <w:tcW w:w="319" w:type="pct"/>
            <w:shd w:val="clear" w:color="auto" w:fill="auto"/>
            <w:vAlign w:val="center"/>
          </w:tcPr>
          <w:p w14:paraId="587CD0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3E7D3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9263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骨密度是利用仪器在体外对人体骨骼中的无机盐含量进行测量和定量分析的一种方法，其意义是通过分析骨骼中无机盐含量的多少，来判断骨质疏松的程度，为诊断、治疗及疗效观察提供依据。</w:t>
            </w:r>
          </w:p>
        </w:tc>
      </w:tr>
      <w:tr w14:paraId="6298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5" w:hRule="atLeast"/>
          <w:jc w:val="center"/>
        </w:trPr>
        <w:tc>
          <w:tcPr>
            <w:tcW w:w="387" w:type="pct"/>
            <w:shd w:val="clear" w:color="auto" w:fill="auto"/>
            <w:vAlign w:val="center"/>
          </w:tcPr>
          <w:p w14:paraId="06B86B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833" w:type="pct"/>
            <w:shd w:val="clear" w:color="auto" w:fill="auto"/>
            <w:vAlign w:val="center"/>
          </w:tcPr>
          <w:p w14:paraId="1CFF71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肝功7项</w:t>
            </w:r>
          </w:p>
        </w:tc>
        <w:tc>
          <w:tcPr>
            <w:tcW w:w="319" w:type="pct"/>
            <w:shd w:val="clear" w:color="auto" w:fill="auto"/>
            <w:vAlign w:val="center"/>
          </w:tcPr>
          <w:p w14:paraId="318633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75D65C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7FE073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丙氨酸氨基转移酶（ALT）、天门冬氨酸氨基转氨酶（AST）、γ-谷氨酰基转移酶（GGT）、碱性磷酸酶（ALP）、胆红素3项（总胆红素、直接胆红素、间接胆红素）等7项。丙氨酸氨基转移酶（ALT）：是检查肝脏损害最灵敏的检查项目；天门冬氨酸氨基转移酶（AST）：肝脏、肌肉及心肌损害时升高；γ-谷氨酰基转移酶（GGT）：最常用于筛检肝脏机能障碍、肝硬化及酒精性肝损害。碱性磷酸酶（ALP）：肝胆、骨骼及甲状旁腺疾患可升高。胆红素3项可以反映肝胆性系疾病及鉴别黄疸类型。</w:t>
            </w:r>
          </w:p>
        </w:tc>
      </w:tr>
      <w:tr w14:paraId="58F0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7A3791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833" w:type="pct"/>
            <w:shd w:val="clear" w:color="auto" w:fill="auto"/>
            <w:vAlign w:val="center"/>
          </w:tcPr>
          <w:p w14:paraId="7E18F1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同型半胱氨酸</w:t>
            </w:r>
          </w:p>
        </w:tc>
        <w:tc>
          <w:tcPr>
            <w:tcW w:w="319" w:type="pct"/>
            <w:shd w:val="clear" w:color="auto" w:fill="auto"/>
            <w:vAlign w:val="center"/>
          </w:tcPr>
          <w:p w14:paraId="594069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2FC6A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60F8FA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同型半胱氨酸水平升高是心血管病的独立危险因素。高血压和高同型半胱氨酸血症并存时心血管事件危险明显增加。也是2型糖尿病患者大血管疾病的独立危险因素。</w:t>
            </w:r>
          </w:p>
        </w:tc>
      </w:tr>
      <w:tr w14:paraId="4F38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2227ED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33" w:type="pct"/>
            <w:shd w:val="clear" w:color="auto" w:fill="auto"/>
            <w:vAlign w:val="center"/>
          </w:tcPr>
          <w:p w14:paraId="4C3C4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糖化血红蛋白</w:t>
            </w:r>
          </w:p>
        </w:tc>
        <w:tc>
          <w:tcPr>
            <w:tcW w:w="319" w:type="pct"/>
            <w:shd w:val="clear" w:color="auto" w:fill="auto"/>
            <w:vAlign w:val="center"/>
          </w:tcPr>
          <w:p w14:paraId="7B7AE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2DB5B7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FDA04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可反映2-3个月的血糖水平，是糖尿病患者血糖控制的金标准。</w:t>
            </w:r>
          </w:p>
        </w:tc>
      </w:tr>
      <w:tr w14:paraId="5037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55" w:hRule="atLeast"/>
          <w:jc w:val="center"/>
        </w:trPr>
        <w:tc>
          <w:tcPr>
            <w:tcW w:w="387" w:type="pct"/>
            <w:shd w:val="clear" w:color="auto" w:fill="auto"/>
            <w:vAlign w:val="center"/>
          </w:tcPr>
          <w:p w14:paraId="056E55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833" w:type="pct"/>
            <w:shd w:val="clear" w:color="auto" w:fill="auto"/>
            <w:vAlign w:val="center"/>
          </w:tcPr>
          <w:p w14:paraId="0CE45E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甲状腺功能5项</w:t>
            </w:r>
          </w:p>
        </w:tc>
        <w:tc>
          <w:tcPr>
            <w:tcW w:w="319" w:type="pct"/>
            <w:shd w:val="clear" w:color="auto" w:fill="auto"/>
            <w:vAlign w:val="center"/>
          </w:tcPr>
          <w:p w14:paraId="474F18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146E91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CAE0F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甲状腺疾患在我国颇为常见。近十多年甲亢发病有增高趋势。对上海居民调查提示2000年甲亢患病率已达314/100万（以前为118/100万）。 部分甲亢和甲减患者无明显症状和体征，但已经出现甲状腺功能检验结果的明显异常。被称为亚临床甲亢/亚临床甲减。5.4%的亚临床甲亢可发展为临床甲亢；每年有2%-5%的亚临床甲减可发展为临床甲减。亚临床甲亢对心血管系统有较大影响，可导致心率加快、心输出量增加，心房纤颤患病率也明显增加。亚临床甲减可引起血脂紊乱。妊娠早期亚临床甲减对胎儿早期脑发育有不利影响。甲状腺功能5项检测对早期发现上述甲状腺疾患有重要价值。</w:t>
            </w:r>
          </w:p>
        </w:tc>
      </w:tr>
      <w:tr w14:paraId="2E80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582361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33" w:type="pct"/>
            <w:shd w:val="clear" w:color="auto" w:fill="auto"/>
            <w:vAlign w:val="center"/>
          </w:tcPr>
          <w:p w14:paraId="69CDA3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抗甲状腺抗体2项</w:t>
            </w:r>
          </w:p>
        </w:tc>
        <w:tc>
          <w:tcPr>
            <w:tcW w:w="319" w:type="pct"/>
            <w:shd w:val="clear" w:color="auto" w:fill="auto"/>
            <w:vAlign w:val="center"/>
          </w:tcPr>
          <w:p w14:paraId="7ADFC8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15DE0C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2869F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筛查甲状腺功能异常。阳性见于淋巴细胞性甲状腺炎(桥本氏病)、原发性甲状腺功能减退症、肝脏病、各种结缔组织性血管病等。可与甲状腺功能5项组合升级为甲状腺功能7项。</w:t>
            </w:r>
          </w:p>
        </w:tc>
      </w:tr>
      <w:tr w14:paraId="134E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87" w:type="pct"/>
            <w:shd w:val="clear" w:color="auto" w:fill="auto"/>
            <w:vAlign w:val="center"/>
          </w:tcPr>
          <w:p w14:paraId="7BD76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833" w:type="pct"/>
            <w:shd w:val="clear" w:color="auto" w:fill="auto"/>
            <w:vAlign w:val="center"/>
          </w:tcPr>
          <w:p w14:paraId="2FA02E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肌酸激酶（CK）</w:t>
            </w:r>
          </w:p>
        </w:tc>
        <w:tc>
          <w:tcPr>
            <w:tcW w:w="319" w:type="pct"/>
            <w:shd w:val="clear" w:color="auto" w:fill="auto"/>
            <w:vAlign w:val="center"/>
          </w:tcPr>
          <w:p w14:paraId="27C22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7F934C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91C7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用于急性心肌梗塞等疾病的诊断</w:t>
            </w:r>
          </w:p>
        </w:tc>
      </w:tr>
      <w:tr w14:paraId="58AD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87" w:type="pct"/>
            <w:shd w:val="clear" w:color="auto" w:fill="auto"/>
            <w:vAlign w:val="center"/>
          </w:tcPr>
          <w:p w14:paraId="7BCF09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833" w:type="pct"/>
            <w:shd w:val="clear" w:color="auto" w:fill="auto"/>
            <w:vAlign w:val="center"/>
          </w:tcPr>
          <w:p w14:paraId="5CEEC6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肌酸激酶同工酶（CK-MB）</w:t>
            </w:r>
          </w:p>
        </w:tc>
        <w:tc>
          <w:tcPr>
            <w:tcW w:w="319" w:type="pct"/>
            <w:shd w:val="clear" w:color="auto" w:fill="auto"/>
            <w:vAlign w:val="center"/>
          </w:tcPr>
          <w:p w14:paraId="1D958D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486D1A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C0EC8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用于急性心肌梗塞等疾病的诊断</w:t>
            </w:r>
          </w:p>
        </w:tc>
      </w:tr>
      <w:tr w14:paraId="7379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387" w:type="pct"/>
            <w:shd w:val="clear" w:color="auto" w:fill="auto"/>
            <w:vAlign w:val="center"/>
          </w:tcPr>
          <w:p w14:paraId="6B3D50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33" w:type="pct"/>
            <w:shd w:val="clear" w:color="auto" w:fill="auto"/>
            <w:vAlign w:val="center"/>
          </w:tcPr>
          <w:p w14:paraId="117FB6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血流变</w:t>
            </w:r>
          </w:p>
        </w:tc>
        <w:tc>
          <w:tcPr>
            <w:tcW w:w="319" w:type="pct"/>
            <w:shd w:val="clear" w:color="auto" w:fill="auto"/>
            <w:vAlign w:val="center"/>
          </w:tcPr>
          <w:p w14:paraId="2D3898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4118AB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B0D2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通过检测全血和血浆粘度、红细胞压积、聚集指数和变形指数等了解血液粘稠度、聚集性；对预测糖尿病合并症、心脑血管病及周围血管病有一定意义。</w:t>
            </w:r>
          </w:p>
        </w:tc>
      </w:tr>
      <w:tr w14:paraId="342D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01F4FA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833" w:type="pct"/>
            <w:shd w:val="clear" w:color="auto" w:fill="auto"/>
            <w:vAlign w:val="center"/>
          </w:tcPr>
          <w:p w14:paraId="17EFE1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C14呼气试验</w:t>
            </w:r>
          </w:p>
        </w:tc>
        <w:tc>
          <w:tcPr>
            <w:tcW w:w="319" w:type="pct"/>
            <w:shd w:val="clear" w:color="auto" w:fill="auto"/>
            <w:vAlign w:val="center"/>
          </w:tcPr>
          <w:p w14:paraId="41B06A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464B24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435DEE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以14C标记的尿素试剂检查是否存在幽门螺杆菌现症感染方法，感染幽门螺杆菌是慢性胃炎、胃溃疡发生和反复发作的重要因素，也与胃癌及胃粘膜淋巴瘤（MALT淋巴瘤）的发病有一定相关性。</w:t>
            </w:r>
          </w:p>
        </w:tc>
      </w:tr>
      <w:tr w14:paraId="198F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764BA3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833" w:type="pct"/>
            <w:shd w:val="clear" w:color="auto" w:fill="auto"/>
            <w:vAlign w:val="center"/>
          </w:tcPr>
          <w:p w14:paraId="55885A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一般情况</w:t>
            </w:r>
          </w:p>
        </w:tc>
        <w:tc>
          <w:tcPr>
            <w:tcW w:w="319" w:type="pct"/>
            <w:shd w:val="clear" w:color="auto" w:fill="auto"/>
            <w:vAlign w:val="center"/>
          </w:tcPr>
          <w:p w14:paraId="50183D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3C1F92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4CEFA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通过仪器测量身高、体重、血压、体重指数等指标。体重指数是评估全身肥胖程度的指标之一。</w:t>
            </w:r>
          </w:p>
        </w:tc>
      </w:tr>
      <w:tr w14:paraId="5623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225493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833" w:type="pct"/>
            <w:shd w:val="clear" w:color="auto" w:fill="auto"/>
            <w:vAlign w:val="center"/>
          </w:tcPr>
          <w:p w14:paraId="590A9A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腹部彩超</w:t>
            </w:r>
          </w:p>
        </w:tc>
        <w:tc>
          <w:tcPr>
            <w:tcW w:w="319" w:type="pct"/>
            <w:shd w:val="clear" w:color="auto" w:fill="auto"/>
            <w:vAlign w:val="center"/>
          </w:tcPr>
          <w:p w14:paraId="1062EB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2A77B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990A4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通过彩色超声仪器检查检测肝、胆、胰、脾、双肾的外部形态和内部结构变化。用于肝硬化、脂肪肝、胆结石、胆囊息肉、肾结石、肾积水、肾萎缩、脾肿大、胰腺囊肿及上述脏器的肿瘤的辅助诊断。</w:t>
            </w:r>
          </w:p>
        </w:tc>
      </w:tr>
      <w:tr w14:paraId="2F40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46143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833" w:type="pct"/>
            <w:shd w:val="clear" w:color="auto" w:fill="auto"/>
            <w:vAlign w:val="center"/>
          </w:tcPr>
          <w:p w14:paraId="39DE75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心电图</w:t>
            </w:r>
          </w:p>
        </w:tc>
        <w:tc>
          <w:tcPr>
            <w:tcW w:w="319" w:type="pct"/>
            <w:shd w:val="clear" w:color="auto" w:fill="auto"/>
            <w:vAlign w:val="center"/>
          </w:tcPr>
          <w:p w14:paraId="130F39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2DA7D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592AF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通过记录收缩和舒张过程中的电位变化，可以准确判断心律失常，辅助诊断各种心脏病引起的心房或心室肥大、心肌炎、心肌缺血、心肌梗塞及全身疾病引起的心脏病变。</w:t>
            </w:r>
          </w:p>
        </w:tc>
      </w:tr>
      <w:tr w14:paraId="484B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5" w:hRule="atLeast"/>
          <w:jc w:val="center"/>
        </w:trPr>
        <w:tc>
          <w:tcPr>
            <w:tcW w:w="387" w:type="pct"/>
            <w:shd w:val="clear" w:color="auto" w:fill="auto"/>
            <w:vAlign w:val="center"/>
          </w:tcPr>
          <w:p w14:paraId="17B6F2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33" w:type="pct"/>
            <w:shd w:val="clear" w:color="auto" w:fill="auto"/>
            <w:vAlign w:val="center"/>
          </w:tcPr>
          <w:p w14:paraId="17F2E2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血脂4项</w:t>
            </w:r>
          </w:p>
        </w:tc>
        <w:tc>
          <w:tcPr>
            <w:tcW w:w="319" w:type="pct"/>
            <w:shd w:val="clear" w:color="auto" w:fill="auto"/>
            <w:vAlign w:val="center"/>
          </w:tcPr>
          <w:p w14:paraId="36672A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7F167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79F64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胆固醇（TC）：血清胆固醇增高与动脉粥样硬化、肾病综合征及严重糖尿病等疾病相关。甘油三脂（TG）：来自脂类及碳水化合物(米饭、面包等谷类)，当数值偏高，则易患动脉硬化、心肌梗塞、肥胖症、脂肪肝等疾病。高密度脂蛋白胆固醇（HDL-C）：是抗动脉硬化的脂蛋白。低密度脂蛋白胆固醇（LDL-C）：增高是血脂中致动脉硬化的基本因素和动脉硬化发生发展的主要危险因素。</w:t>
            </w:r>
          </w:p>
        </w:tc>
      </w:tr>
      <w:tr w14:paraId="68CB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87" w:type="pct"/>
            <w:shd w:val="clear" w:color="auto" w:fill="auto"/>
            <w:vAlign w:val="center"/>
          </w:tcPr>
          <w:p w14:paraId="25668C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833" w:type="pct"/>
            <w:shd w:val="clear" w:color="auto" w:fill="auto"/>
            <w:vAlign w:val="center"/>
          </w:tcPr>
          <w:p w14:paraId="52BE6B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空腹血糖</w:t>
            </w:r>
          </w:p>
        </w:tc>
        <w:tc>
          <w:tcPr>
            <w:tcW w:w="319" w:type="pct"/>
            <w:shd w:val="clear" w:color="auto" w:fill="auto"/>
            <w:vAlign w:val="center"/>
          </w:tcPr>
          <w:p w14:paraId="265296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119D41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702D8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是筛查糖尿病最基本的方法。</w:t>
            </w:r>
          </w:p>
        </w:tc>
      </w:tr>
      <w:tr w14:paraId="6A44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7" w:hRule="atLeast"/>
          <w:jc w:val="center"/>
        </w:trPr>
        <w:tc>
          <w:tcPr>
            <w:tcW w:w="387" w:type="pct"/>
            <w:shd w:val="clear" w:color="auto" w:fill="auto"/>
            <w:vAlign w:val="center"/>
          </w:tcPr>
          <w:p w14:paraId="3792E8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833" w:type="pct"/>
            <w:shd w:val="clear" w:color="auto" w:fill="auto"/>
            <w:vAlign w:val="center"/>
          </w:tcPr>
          <w:p w14:paraId="12661D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肾功能三项</w:t>
            </w:r>
          </w:p>
        </w:tc>
        <w:tc>
          <w:tcPr>
            <w:tcW w:w="319" w:type="pct"/>
            <w:shd w:val="clear" w:color="auto" w:fill="auto"/>
            <w:vAlign w:val="center"/>
          </w:tcPr>
          <w:p w14:paraId="2DF6AE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082D22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37ACB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尿素（Urea）、肌酐（CR）、尿酸（Ua）等3项；尿素（Urea）是肾脏滤过代谢的最终产物，当肾功能损害时，此时血清中之尿素数值升高。肌酐（CR）是评估肾脏排泄功能的重要指标，诊断价值优于尿素，不受饮食影响，但受肌肉容积影响。在肾小球受损中晚期或中重度受损时，肌酐浓度才升高。尿酸（Ua）：尿酸增高主要见于痛风、高嘌呤食物、代谢综合征及尿酸类肾结石等，尿酸有助于痛风、肾病、血液病的发现。肾功下降时血尿酸也会偏高。</w:t>
            </w:r>
          </w:p>
        </w:tc>
      </w:tr>
      <w:tr w14:paraId="05F7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5" w:hRule="atLeast"/>
          <w:jc w:val="center"/>
        </w:trPr>
        <w:tc>
          <w:tcPr>
            <w:tcW w:w="387" w:type="pct"/>
            <w:shd w:val="clear" w:color="auto" w:fill="auto"/>
            <w:vAlign w:val="center"/>
          </w:tcPr>
          <w:p w14:paraId="12AB70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833" w:type="pct"/>
            <w:shd w:val="clear" w:color="auto" w:fill="auto"/>
            <w:vAlign w:val="center"/>
          </w:tcPr>
          <w:p w14:paraId="55866F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C男性肿瘤12项</w:t>
            </w:r>
          </w:p>
        </w:tc>
        <w:tc>
          <w:tcPr>
            <w:tcW w:w="319" w:type="pct"/>
            <w:shd w:val="clear" w:color="auto" w:fill="auto"/>
            <w:vAlign w:val="center"/>
          </w:tcPr>
          <w:p w14:paraId="72791E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04FE42A0">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39" w:type="pct"/>
            <w:shd w:val="clear" w:color="auto" w:fill="auto"/>
            <w:vAlign w:val="center"/>
          </w:tcPr>
          <w:p w14:paraId="6B3F27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同时检测十二项肿瘤标志物(甲胎蛋白、癌胚抗原、癌抗原15-3、游离前列腺特异性抗原、前列腺特异性抗原、癌抗原72-4、细胞角蛋白19片段(cyfra21-1)、癌抗原19-9、癌抗原125、癌抗原50、EB病毒衣壳抗原IgA抗体、神经元特异性烯醇化酶)，对常见恶性肿瘤（原发性肝癌、肺癌、前列腺癌、胰腺癌、胃癌、结直肠癌、乳腺癌、鼻咽癌）初步的筛查和监测，大大提高了上述肿瘤的检出率。</w:t>
            </w:r>
          </w:p>
        </w:tc>
      </w:tr>
      <w:tr w14:paraId="5961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5" w:hRule="atLeast"/>
          <w:jc w:val="center"/>
        </w:trPr>
        <w:tc>
          <w:tcPr>
            <w:tcW w:w="387" w:type="pct"/>
            <w:shd w:val="clear" w:color="auto" w:fill="auto"/>
            <w:vAlign w:val="center"/>
          </w:tcPr>
          <w:p w14:paraId="738965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833" w:type="pct"/>
            <w:shd w:val="clear" w:color="auto" w:fill="auto"/>
            <w:vAlign w:val="center"/>
          </w:tcPr>
          <w:p w14:paraId="1A8095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C女性肿瘤12项</w:t>
            </w:r>
          </w:p>
        </w:tc>
        <w:tc>
          <w:tcPr>
            <w:tcW w:w="319" w:type="pct"/>
            <w:shd w:val="clear" w:color="auto" w:fill="auto"/>
            <w:vAlign w:val="center"/>
          </w:tcPr>
          <w:p w14:paraId="37F2CF2B">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19" w:type="pct"/>
            <w:shd w:val="clear" w:color="auto" w:fill="auto"/>
            <w:vAlign w:val="center"/>
          </w:tcPr>
          <w:p w14:paraId="59F2E9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BEBA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同时检测十二项肿瘤标志物(甲胎蛋白、癌胚抗原、癌抗原19-9、癌抗原242、癌抗原125、癌抗原15-3、神经元特异性烯醇化酶、人绒毛膜促性腺激素β亚单位、癌抗原72-4、细胞角蛋白19片段(cyfra21-1)、癌抗原50、EB病毒衣壳抗原IgA抗体)，对常见恶性肿瘤（原发性肝癌、肺癌、胰腺癌、胃癌、结直肠癌、卵巢癌、子宫内膜癌、乳腺癌、鼻咽癌）初步的筛查和监测，大大提高了上述肿瘤的检出率。</w:t>
            </w:r>
          </w:p>
        </w:tc>
      </w:tr>
      <w:tr w14:paraId="799B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760EC4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33" w:type="pct"/>
            <w:shd w:val="clear" w:color="auto" w:fill="auto"/>
            <w:vAlign w:val="center"/>
          </w:tcPr>
          <w:p w14:paraId="0B19F8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骨钙素N--端肽（N-MID）</w:t>
            </w:r>
          </w:p>
        </w:tc>
        <w:tc>
          <w:tcPr>
            <w:tcW w:w="319" w:type="pct"/>
            <w:shd w:val="clear" w:color="auto" w:fill="auto"/>
            <w:vAlign w:val="center"/>
          </w:tcPr>
          <w:p w14:paraId="6CA3C8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514DFF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8920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国家“千人计划”引进美国进口骨钙素N端肽、是骨量流失的指标，能反映受检者骨代谢情况，能早于骨密度检测发现骨质疏松；对已经是骨质疏松患者可以判断是否需要补钙和治疗及疗效评估意义重大。</w:t>
            </w:r>
          </w:p>
        </w:tc>
      </w:tr>
      <w:tr w14:paraId="318A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387" w:type="pct"/>
            <w:shd w:val="clear" w:color="auto" w:fill="auto"/>
            <w:vAlign w:val="center"/>
          </w:tcPr>
          <w:p w14:paraId="729ACE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833" w:type="pct"/>
            <w:shd w:val="clear" w:color="auto" w:fill="auto"/>
            <w:vAlign w:val="center"/>
          </w:tcPr>
          <w:p w14:paraId="293805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血常规</w:t>
            </w:r>
          </w:p>
        </w:tc>
        <w:tc>
          <w:tcPr>
            <w:tcW w:w="319" w:type="pct"/>
            <w:shd w:val="clear" w:color="auto" w:fill="auto"/>
            <w:vAlign w:val="center"/>
          </w:tcPr>
          <w:p w14:paraId="23B75F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1BB793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5AB0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通过血常规检查发现血液方面的问题，评价骨髓功能，有助于临床急慢性感染，病毒性疾病的判断；有助于了解有无贫血及贫血分类；有助于出血性疾病的辅助诊断。</w:t>
            </w:r>
          </w:p>
        </w:tc>
      </w:tr>
      <w:tr w14:paraId="249C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121584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833" w:type="pct"/>
            <w:shd w:val="clear" w:color="auto" w:fill="auto"/>
            <w:vAlign w:val="center"/>
          </w:tcPr>
          <w:p w14:paraId="4FAC36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尿常规</w:t>
            </w:r>
          </w:p>
        </w:tc>
        <w:tc>
          <w:tcPr>
            <w:tcW w:w="319" w:type="pct"/>
            <w:shd w:val="clear" w:color="auto" w:fill="auto"/>
            <w:vAlign w:val="center"/>
          </w:tcPr>
          <w:p w14:paraId="2E9733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B5F44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14D6C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通过尿常规检查，对泌尿系疾病的诊断、疗效观察及一些全身性疾病的异常表现有重要意义。</w:t>
            </w:r>
          </w:p>
        </w:tc>
      </w:tr>
      <w:tr w14:paraId="0C6F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87" w:type="pct"/>
            <w:shd w:val="clear" w:color="auto" w:fill="auto"/>
            <w:vAlign w:val="center"/>
          </w:tcPr>
          <w:p w14:paraId="57D588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33" w:type="pct"/>
            <w:shd w:val="clear" w:color="auto" w:fill="auto"/>
            <w:vAlign w:val="center"/>
          </w:tcPr>
          <w:p w14:paraId="0C3621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静脉采血</w:t>
            </w:r>
          </w:p>
        </w:tc>
        <w:tc>
          <w:tcPr>
            <w:tcW w:w="319" w:type="pct"/>
            <w:shd w:val="clear" w:color="auto" w:fill="auto"/>
            <w:vAlign w:val="center"/>
          </w:tcPr>
          <w:p w14:paraId="559689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66392D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DADEA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含一次性采血针、真空管</w:t>
            </w:r>
          </w:p>
        </w:tc>
      </w:tr>
      <w:tr w14:paraId="719A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63A19A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833" w:type="pct"/>
            <w:shd w:val="clear" w:color="auto" w:fill="auto"/>
            <w:vAlign w:val="center"/>
          </w:tcPr>
          <w:p w14:paraId="024BCE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钾钠氯测定</w:t>
            </w:r>
          </w:p>
        </w:tc>
        <w:tc>
          <w:tcPr>
            <w:tcW w:w="319" w:type="pct"/>
            <w:shd w:val="clear" w:color="auto" w:fill="auto"/>
            <w:vAlign w:val="center"/>
          </w:tcPr>
          <w:p w14:paraId="787F29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55498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13305F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检测钠、钾、氯离子。钠、钾、氯在维持机体的酸碱平衡方面也起着重要的作用。</w:t>
            </w:r>
          </w:p>
        </w:tc>
      </w:tr>
      <w:tr w14:paraId="79BB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87" w:type="pct"/>
            <w:shd w:val="clear" w:color="auto" w:fill="auto"/>
            <w:vAlign w:val="center"/>
          </w:tcPr>
          <w:p w14:paraId="79683A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33" w:type="pct"/>
            <w:shd w:val="clear" w:color="auto" w:fill="auto"/>
            <w:vAlign w:val="center"/>
          </w:tcPr>
          <w:p w14:paraId="3E8E8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自由基清除能力基因评估(电子版)</w:t>
            </w:r>
          </w:p>
        </w:tc>
        <w:tc>
          <w:tcPr>
            <w:tcW w:w="319" w:type="pct"/>
            <w:shd w:val="clear" w:color="auto" w:fill="auto"/>
            <w:vAlign w:val="center"/>
          </w:tcPr>
          <w:p w14:paraId="4EBF07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350ADD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39AF98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FFFFFF"/>
                <w:sz w:val="18"/>
                <w:szCs w:val="18"/>
                <w:u w:val="none"/>
              </w:rPr>
            </w:pPr>
            <w:r>
              <w:rPr>
                <w:rFonts w:hint="eastAsia" w:ascii="宋体" w:hAnsi="宋体" w:eastAsia="宋体" w:cs="宋体"/>
                <w:i w:val="0"/>
                <w:iCs w:val="0"/>
                <w:color w:val="auto"/>
                <w:kern w:val="0"/>
                <w:sz w:val="18"/>
                <w:szCs w:val="18"/>
                <w:u w:val="none"/>
                <w:lang w:val="en-US" w:eastAsia="zh-CN" w:bidi="ar"/>
              </w:rPr>
              <w:t>通</w:t>
            </w:r>
            <w:r>
              <w:rPr>
                <w:rStyle w:val="5"/>
                <w:color w:val="auto"/>
                <w:sz w:val="18"/>
                <w:szCs w:val="18"/>
                <w:lang w:val="en-US" w:eastAsia="zh-CN" w:bidi="ar"/>
              </w:rPr>
              <w:t>通过基因检测自由基清除能力，宏观判断人体在衰老、血管损伤、动脉粥样硬化和癌症方面过</w:t>
            </w:r>
            <w:r>
              <w:rPr>
                <w:rFonts w:hint="eastAsia" w:ascii="宋体" w:hAnsi="宋体" w:eastAsia="宋体" w:cs="宋体"/>
                <w:i w:val="0"/>
                <w:iCs w:val="0"/>
                <w:color w:val="auto"/>
                <w:kern w:val="0"/>
                <w:sz w:val="18"/>
                <w:szCs w:val="18"/>
                <w:u w:val="none"/>
                <w:lang w:val="en-US" w:eastAsia="zh-CN" w:bidi="ar"/>
              </w:rPr>
              <w:t>基因检测自由基清除能力，宏</w:t>
            </w:r>
          </w:p>
        </w:tc>
      </w:tr>
      <w:tr w14:paraId="7A94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387" w:type="pct"/>
            <w:shd w:val="clear" w:color="auto" w:fill="auto"/>
            <w:vAlign w:val="center"/>
          </w:tcPr>
          <w:p w14:paraId="64BC9D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833" w:type="pct"/>
            <w:shd w:val="clear" w:color="auto" w:fill="auto"/>
            <w:vAlign w:val="center"/>
          </w:tcPr>
          <w:p w14:paraId="3A501E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螺旋CT</w:t>
            </w:r>
          </w:p>
        </w:tc>
        <w:tc>
          <w:tcPr>
            <w:tcW w:w="319" w:type="pct"/>
            <w:shd w:val="clear" w:color="auto" w:fill="auto"/>
            <w:vAlign w:val="center"/>
          </w:tcPr>
          <w:p w14:paraId="193BB3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328EAC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297153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适用于肺部疾病及心脏、主动脉、纵隔、横膈疾病等的检查。</w:t>
            </w:r>
          </w:p>
        </w:tc>
      </w:tr>
      <w:tr w14:paraId="0EE5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87" w:type="pct"/>
            <w:shd w:val="clear" w:color="auto" w:fill="auto"/>
            <w:vAlign w:val="center"/>
          </w:tcPr>
          <w:p w14:paraId="7286A4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833" w:type="pct"/>
            <w:shd w:val="clear" w:color="auto" w:fill="auto"/>
            <w:vAlign w:val="center"/>
          </w:tcPr>
          <w:p w14:paraId="1FBAB0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免费早餐</w:t>
            </w:r>
          </w:p>
        </w:tc>
        <w:tc>
          <w:tcPr>
            <w:tcW w:w="319" w:type="pct"/>
            <w:shd w:val="clear" w:color="auto" w:fill="auto"/>
            <w:vAlign w:val="center"/>
          </w:tcPr>
          <w:p w14:paraId="67E6B1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9" w:type="pct"/>
            <w:shd w:val="clear" w:color="auto" w:fill="auto"/>
            <w:vAlign w:val="center"/>
          </w:tcPr>
          <w:p w14:paraId="4B131B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39" w:type="pct"/>
            <w:shd w:val="clear" w:color="auto" w:fill="auto"/>
            <w:vAlign w:val="center"/>
          </w:tcPr>
          <w:p w14:paraId="588540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鸡蛋、牛奶等营养丰富的早餐</w:t>
            </w:r>
          </w:p>
        </w:tc>
      </w:tr>
    </w:tbl>
    <w:p w14:paraId="7F38D11D">
      <w:pPr>
        <w:keepNext w:val="0"/>
        <w:keepLines w:val="0"/>
        <w:pageBreakBefore w:val="0"/>
        <w:kinsoku/>
        <w:wordWrap/>
        <w:overflowPunct/>
        <w:topLinePunct w:val="0"/>
        <w:autoSpaceDE/>
        <w:autoSpaceDN/>
        <w:bidi w:val="0"/>
        <w:adjustRightInd/>
        <w:snapToGrid/>
        <w:spacing w:line="400" w:lineRule="exact"/>
        <w:rPr>
          <w:rFonts w:hint="eastAsia" w:ascii="宋体" w:hAnsi="宋体" w:cs="宋体"/>
          <w:b w:val="0"/>
          <w:bCs w:val="0"/>
          <w:color w:val="auto"/>
          <w:sz w:val="24"/>
          <w:szCs w:val="24"/>
          <w:highlight w:val="none"/>
          <w:lang w:val="en-US" w:eastAsia="zh-CN"/>
        </w:rPr>
      </w:pPr>
    </w:p>
    <w:p w14:paraId="32FACA8A">
      <w:pPr>
        <w:keepNext w:val="0"/>
        <w:keepLines w:val="0"/>
        <w:pageBreakBefore w:val="0"/>
        <w:kinsoku/>
        <w:wordWrap/>
        <w:overflowPunct/>
        <w:topLinePunct w:val="0"/>
        <w:autoSpaceDE/>
        <w:autoSpaceDN/>
        <w:bidi w:val="0"/>
        <w:adjustRightInd/>
        <w:snapToGrid/>
        <w:spacing w:line="400" w:lineRule="exact"/>
        <w:rPr>
          <w:rFonts w:hint="default" w:ascii="宋体" w:hAnsi="宋体"/>
          <w:b w:val="0"/>
          <w:bCs w:val="0"/>
          <w:snapToGrid w:val="0"/>
          <w:color w:val="000000"/>
          <w:kern w:val="0"/>
          <w:sz w:val="24"/>
          <w:lang w:val="en-US"/>
        </w:rPr>
      </w:pPr>
      <w:r>
        <w:rPr>
          <w:rFonts w:hint="eastAsia" w:ascii="宋体" w:hAnsi="宋体" w:cs="宋体"/>
          <w:b w:val="0"/>
          <w:bCs w:val="0"/>
          <w:color w:val="auto"/>
          <w:sz w:val="24"/>
          <w:szCs w:val="24"/>
          <w:highlight w:val="none"/>
          <w:lang w:val="en-US" w:eastAsia="zh-CN"/>
        </w:rPr>
        <w:t>现更正内容如下：</w:t>
      </w:r>
    </w:p>
    <w:p w14:paraId="3C7145A8">
      <w:pPr>
        <w:keepNext w:val="0"/>
        <w:keepLines w:val="0"/>
        <w:pageBreakBefore w:val="0"/>
        <w:kinsoku/>
        <w:wordWrap/>
        <w:overflowPunct/>
        <w:topLinePunct w:val="0"/>
        <w:autoSpaceDE/>
        <w:autoSpaceDN/>
        <w:bidi w:val="0"/>
        <w:adjustRightInd/>
        <w:snapToGrid/>
        <w:spacing w:line="400" w:lineRule="exact"/>
        <w:rPr>
          <w:rFonts w:hint="eastAsia" w:ascii="宋体" w:hAnsi="宋体"/>
          <w:b w:val="0"/>
          <w:bCs w:val="0"/>
          <w:snapToGrid w:val="0"/>
          <w:color w:val="000000"/>
          <w:kern w:val="0"/>
          <w:sz w:val="24"/>
          <w:lang w:val="en-US" w:eastAsia="zh-CN"/>
        </w:rPr>
      </w:pPr>
    </w:p>
    <w:tbl>
      <w:tblPr>
        <w:tblStyle w:val="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0"/>
        <w:gridCol w:w="1047"/>
        <w:gridCol w:w="1763"/>
        <w:gridCol w:w="557"/>
        <w:gridCol w:w="557"/>
        <w:gridCol w:w="3555"/>
      </w:tblGrid>
      <w:tr w14:paraId="1F772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C3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序号</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BEB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分类</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217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体检项目</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E2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男性</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DD3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女性</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B3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细项</w:t>
            </w:r>
          </w:p>
        </w:tc>
      </w:tr>
      <w:tr w14:paraId="7C5CD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A3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BB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一般检查</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86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一般检查</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45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1E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26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身高; 体重; 体重指数; 理想体重; 收缩压; 舒张压; 收缩压（复测第1次）; 舒张压（复测第1次）; 收缩压（复测第2次）; 舒张压（复测第2次）; 脉搏</w:t>
            </w:r>
          </w:p>
        </w:tc>
      </w:tr>
      <w:tr w14:paraId="4432D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F8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2C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外科</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871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肛门指诊（男·）</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99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8E30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1F2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前列腺; 肛门指检</w:t>
            </w:r>
          </w:p>
        </w:tc>
      </w:tr>
      <w:tr w14:paraId="68C2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037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01664">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3CA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肛门指诊（女）</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C88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30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99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肛门指检</w:t>
            </w:r>
          </w:p>
        </w:tc>
      </w:tr>
      <w:tr w14:paraId="56B2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D6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499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外科（不含肛检）</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F9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男性外科检查（不含肛检）</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DE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053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2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皮肤; 浅表淋巴结; 甲状腺; 乳房; 脊柱; 四肢关节; 外生殖器; 其他; 既往史</w:t>
            </w:r>
          </w:p>
        </w:tc>
      </w:tr>
      <w:tr w14:paraId="0BB5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220E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5D7C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EF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女性外科检查（不含肛检）</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EC7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02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C9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 浅表淋巴结; 皮肤; 其他; 四肢关节; 脊柱; 乳房; 既往史</w:t>
            </w:r>
          </w:p>
        </w:tc>
      </w:tr>
      <w:tr w14:paraId="541D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3A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3F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眼科</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8D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眼科常规检查</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5EA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A5D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AC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角膜; 前房; 虹膜; 瞳孔; 晶状体; 玻璃体; 色觉; 裸眼视力-左眼; 裸眼视力-右眼; 矫正视力-左眼; 矫正视力-右眼; 眼睑; 泪器; 结膜; 巩膜; 眼球; 其他; 既往史; 视乳头; 黄斑; 视网膜</w:t>
            </w:r>
          </w:p>
        </w:tc>
      </w:tr>
      <w:tr w14:paraId="41E36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6DB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95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耳鼻咽喉科</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B7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耳鼻咽喉常规检查</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42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05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68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耳廓; 外耳道; 鼓膜; 乳突; 鼻外形; 鼻中隔; 鼻甲; 鼻腔黏膜; 鼻窦; 悬雍垂; 扁桃体; 咽部黏膜; 其他; 既往史</w:t>
            </w:r>
          </w:p>
        </w:tc>
      </w:tr>
      <w:tr w14:paraId="05BF6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F1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A6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妇科</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3F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妇科常规检查(已婚)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2BAF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01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11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子宫; 附件; 外阴; 阴道; 宫颈; 其他; 既往史; 月经史与生育史</w:t>
            </w:r>
          </w:p>
        </w:tc>
      </w:tr>
      <w:tr w14:paraId="40332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77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2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心电图</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69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常规心电图检查(12导联)</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72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2D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C4C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常规心电图检查（12导联）</w:t>
            </w:r>
          </w:p>
        </w:tc>
      </w:tr>
      <w:tr w14:paraId="040E4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B42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5F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超声骨密度检查</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3F8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超声骨密度检测</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2A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49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83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超声骨密度检测</w:t>
            </w:r>
          </w:p>
        </w:tc>
      </w:tr>
      <w:tr w14:paraId="2C016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B2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88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血常规</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AF7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血常规-5分类</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3A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8C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D18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白细胞计数; 大血小板比率; 大血小板数; 红细胞比容; 血红蛋白; 红细胞分布宽度-变异系数; 平均血红蛋白含量; 平均血红蛋白浓度; 血小板计数; 中性粒细胞百分数; 中性粒细胞绝对值; 淋巴细胞百分数; 淋巴细胞绝对值; 红细胞计数; 平均血小板体积; 红细胞平均体积; 血小板压积; 红细胞分布宽度-标准差; 血小板分布宽度; 单核细胞百分数; 单核细胞绝对值; 嗜酸性粒细胞百分数; 嗜酸性粒细胞绝对值; 嗜碱性粒细胞百分数; 嗜碱性粒细胞绝对值; 有核红细胞绝对值; 有核红细胞百分比; 不成熟粒细胞百分比; 不成熟粒细胞计数</w:t>
            </w:r>
          </w:p>
        </w:tc>
      </w:tr>
      <w:tr w14:paraId="23812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5"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4E6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04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尿常规</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28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尿常规</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0A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DD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1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尿隐血; 尿比重; 尿葡萄糖; 尿蛋白质; 尿胆红素; 尿透明度; 尿白细胞（镜检）; 尿红细胞（镜检）; 尿胆原; 尿亚硝酸盐; 尿结晶（镜检）; 尿酮体; 尿白细胞酯酶; 尿其它; 尿液颜色; 尿酸碱度; 尿管型（镜检）; 尿维生素C; 尿上皮细胞（镜检）</w:t>
            </w:r>
          </w:p>
        </w:tc>
      </w:tr>
      <w:tr w14:paraId="66D54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C69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1C4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粪便常规</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8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粪便常规</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52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D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CB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粪便白细胞; 粪便颜色; 粪便性状; 粪便巨噬细胞; 粪便肠黏膜上皮细胞; 粪便肿瘤细胞; 粪便夏科-雷登结晶; 粪便细菌; 粪便寄生虫; 粪便脂肪小粒; 粪便真菌; 粪便红细胞</w:t>
            </w:r>
          </w:p>
        </w:tc>
      </w:tr>
      <w:tr w14:paraId="0663A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04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81E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生化检测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DA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血清γ-谷氨酰基转移酶测定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5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CA9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5D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血清γ-谷氨酰基转移酶</w:t>
            </w:r>
          </w:p>
        </w:tc>
      </w:tr>
      <w:tr w14:paraId="45942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D8E4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15</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E71E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66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血清肌酐测定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C3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989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32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血清肌酐</w:t>
            </w:r>
          </w:p>
        </w:tc>
      </w:tr>
      <w:tr w14:paraId="2AFB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579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16</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5348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51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血清尿酸测定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A7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6E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C36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血清尿酸</w:t>
            </w:r>
          </w:p>
        </w:tc>
      </w:tr>
      <w:tr w14:paraId="5A290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3B2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17</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EC0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5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血清尿素测定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95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1A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56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血清尿素</w:t>
            </w:r>
          </w:p>
        </w:tc>
      </w:tr>
      <w:tr w14:paraId="11F95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78F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18</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1BAC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165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血清高密度脂蛋白胆固醇测定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43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6F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FD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血清高密度脂蛋白胆固醇</w:t>
            </w:r>
          </w:p>
        </w:tc>
      </w:tr>
      <w:tr w14:paraId="1FBB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0B22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19</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3763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668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血清低密度脂蛋白胆固醇测定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7D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E5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83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血清低密度脂蛋白胆固醇</w:t>
            </w:r>
          </w:p>
        </w:tc>
      </w:tr>
      <w:tr w14:paraId="6B4C7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22D5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C728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32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血清总胆固醇测定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0C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93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AAC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血清总胆固醇</w:t>
            </w:r>
          </w:p>
        </w:tc>
      </w:tr>
      <w:tr w14:paraId="3971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91A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21</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86C5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80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血清甘油三酯测定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3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128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FD2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血清甘油三酯</w:t>
            </w:r>
          </w:p>
        </w:tc>
      </w:tr>
      <w:tr w14:paraId="6EFF3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4FD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22</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B2B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53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血清间接胆红素(计算值)(非结合胆红素)</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F6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DFA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A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血清间接胆红素(计算值)(非结合胆红素)</w:t>
            </w:r>
          </w:p>
        </w:tc>
      </w:tr>
      <w:tr w14:paraId="5BD76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15D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23</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4E3C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310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血清天门冬氨酸氨基转移酶测定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65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15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0D7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血清天门冬氨酸氨基转移酶</w:t>
            </w:r>
          </w:p>
        </w:tc>
      </w:tr>
      <w:tr w14:paraId="5077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770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24</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1DA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46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血同型半胱氨酸测定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36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A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969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血同型半胱氨酸</w:t>
            </w:r>
          </w:p>
        </w:tc>
      </w:tr>
      <w:tr w14:paraId="492B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85B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25</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BCCD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B4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血清碱性磷酸酶测定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239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9C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87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血清碱性磷酸酶</w:t>
            </w:r>
          </w:p>
        </w:tc>
      </w:tr>
      <w:tr w14:paraId="402DF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3AB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26</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B709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6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血清总胆红素测定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90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2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B2D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血清总胆红素</w:t>
            </w:r>
          </w:p>
        </w:tc>
      </w:tr>
      <w:tr w14:paraId="36BA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7EC4">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27</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4109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FE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血清丙氨酸氨基转移酶测定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3C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21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E2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血清丙氨酸氨基转移酶</w:t>
            </w:r>
          </w:p>
        </w:tc>
      </w:tr>
      <w:tr w14:paraId="2C33D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7"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9C67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28</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17F7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45E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血清直接胆红素测定(结合胆红素)</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B5E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18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99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血清直接胆红素(结合胆红素)</w:t>
            </w:r>
          </w:p>
        </w:tc>
      </w:tr>
      <w:tr w14:paraId="2EFA7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5"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02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5C8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肿瘤标志物检测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F6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C肿瘤标志物12项（男）</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A6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84E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31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EB病毒衣壳抗原IgA抗体; 癌胚抗原（定量）; 甲胎蛋白（定量）; 总前列腺特异性抗原; 游离前列腺特异性抗原; 神经元特异烯醇化酶; 细胞角蛋白19片段; 糖链抗原50; 糖链抗原125; 糖链抗原19-9; 糖链抗原15-3; 糖链抗原72-4</w:t>
            </w:r>
          </w:p>
        </w:tc>
      </w:tr>
      <w:tr w14:paraId="290D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5"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67C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30</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EFF1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DF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C女性肿瘤标志物12项（A）</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45F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0F0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66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EB病毒衣壳抗原IgA抗体; 癌胚抗原（定量）; 甲胎蛋白（定量）; 神经元特异烯醇化酶; 细胞角蛋白19片段; 糖链抗原50; 糖链抗原125; 糖链抗原19-9; 糖链抗原15-3; 糖链抗原72-4; 糖链抗原242; 血清β人绒毛膜促性腺激素</w:t>
            </w:r>
          </w:p>
        </w:tc>
      </w:tr>
      <w:tr w14:paraId="25AE0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3F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12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甲状腺功能检测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92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抗甲状腺过氧化物酶抗体测定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55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47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01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抗甲状腺过氧化物酶抗体</w:t>
            </w:r>
          </w:p>
        </w:tc>
      </w:tr>
      <w:tr w14:paraId="49B1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199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32</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67A5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0F1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抗甲状腺球蛋白抗体测定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2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10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C8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抗甲状腺球蛋白抗体</w:t>
            </w:r>
          </w:p>
        </w:tc>
      </w:tr>
      <w:tr w14:paraId="3533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47F0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33</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A5D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8C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甲状腺功能三项 （A）</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A0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8C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FF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血清促甲状腺激素; 血清游离甲状腺素; 血清游离三碘甲状原氨酸</w:t>
            </w:r>
          </w:p>
        </w:tc>
      </w:tr>
      <w:tr w14:paraId="1369B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2E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896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糖尿病检测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CA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糖化血红蛋白测定（HPLC法）</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F9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9B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5B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糖化血红蛋白（HPLC法）</w:t>
            </w:r>
          </w:p>
        </w:tc>
      </w:tr>
      <w:tr w14:paraId="52B19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4644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35</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243E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CB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空腹血糖测定</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69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CF5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0CA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空腹血糖</w:t>
            </w:r>
          </w:p>
        </w:tc>
      </w:tr>
      <w:tr w14:paraId="5CBC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B2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61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HPV检测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43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人乳头瘤病毒(HPV)核酸分型检测</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C22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CA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BE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HPV 18(高危型); HPV 31(高危型); HPV 33(高危型); HPV 35(高危型); HPV 39(高危型); HPV 45(高危型); HPV 51(高危型); HPV 52(高危型); HPV 56(高危型); HPV 58(高危型); HPV 59(高危型); HPV 68(高危型); HPV 6(低危型); HPV 11(低危型); HPV 26(高危型); HPV 55(低危型); HPV 66(高危型); HPV 82(高危型); HPV 83(低危型); HPV 40(低危型); HPV 42(低危型); HPV 43(低危型); HPV 61(低危型); HPV 44(低危型); HPV 53(高危型); HPV 81(低危型); HPV 73(高危型); HPV 84(低危型); 人乳头瘤病毒基因分型 HPV其他高危12型; HPV 67(低危型); HPV 57(低危型); HPV 70(低危型）; HPV 16(高危型); HPV 18、39、45、59、68; HPV 51、53、56、66、73; HPV 54(低危型）</w:t>
            </w:r>
          </w:p>
        </w:tc>
      </w:tr>
      <w:tr w14:paraId="139FB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EE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03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TCT检测</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89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液基薄层细胞学检测</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62D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E5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51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液基薄层细胞学</w:t>
            </w:r>
          </w:p>
        </w:tc>
      </w:tr>
      <w:tr w14:paraId="5751F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34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96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尿素呼气试验</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1B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碳14尿素呼气试验</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1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7B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EE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碳14尿素呼气试验</w:t>
            </w:r>
          </w:p>
        </w:tc>
      </w:tr>
      <w:tr w14:paraId="2048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5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7B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彩色多普勒超声常规检查-腹部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58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肝胆脾胰双肾彩超</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09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5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65F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双肾彩超; 肝脏彩超; 胆囊彩超; 脾脏彩超; 胰腺彩超</w:t>
            </w:r>
          </w:p>
        </w:tc>
      </w:tr>
      <w:tr w14:paraId="0112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C7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E6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彩色多普勒超声常规检查-泌尿系</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0C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前列腺彩超</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19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DD4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AE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前列腺彩超</w:t>
            </w:r>
          </w:p>
        </w:tc>
      </w:tr>
      <w:tr w14:paraId="0714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1A5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A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颈部血管彩色多普勒超声</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94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颈动脉彩超</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44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158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8E2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颈动脉彩超</w:t>
            </w:r>
          </w:p>
        </w:tc>
      </w:tr>
      <w:tr w14:paraId="0EF9E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C0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98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浅表器官彩色多普勒超声检查-涎腺、甲状腺及颈部淋巴结</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AB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甲状腺彩超</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648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CE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98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甲状腺彩超</w:t>
            </w:r>
          </w:p>
        </w:tc>
      </w:tr>
      <w:tr w14:paraId="67C8F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7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15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腔内彩色多普勒超声检查</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B9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妇科彩超（经阴道）</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46F5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E57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D88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子宫彩超（经阴道）; 附件彩超（经阴道）</w:t>
            </w:r>
          </w:p>
        </w:tc>
      </w:tr>
      <w:tr w14:paraId="3E76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AF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7B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乳腺超声</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3BB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乳腺彩超</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914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18"/>
                <w:szCs w:val="18"/>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C3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CB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乳腺超声</w:t>
            </w:r>
          </w:p>
        </w:tc>
      </w:tr>
      <w:tr w14:paraId="4B6A6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62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03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胸部低剂量螺旋CT</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97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胸部低剂量螺旋CT(不出片）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B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3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59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胸部CT平扫</w:t>
            </w:r>
          </w:p>
        </w:tc>
      </w:tr>
      <w:tr w14:paraId="235C3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19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D1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649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采血及采血材料费</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42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F6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D30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kern w:val="0"/>
                <w:sz w:val="18"/>
                <w:szCs w:val="18"/>
                <w:u w:val="none"/>
                <w:lang w:val="en-US" w:eastAsia="zh-CN" w:bidi="ar"/>
              </w:rPr>
            </w:pPr>
          </w:p>
        </w:tc>
      </w:tr>
      <w:tr w14:paraId="00F9F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879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398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kern w:val="0"/>
                <w:sz w:val="18"/>
                <w:szCs w:val="18"/>
                <w:u w:val="none"/>
                <w:lang w:val="en-US" w:eastAsia="zh-CN" w:bidi="ar"/>
              </w:rPr>
            </w:pP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B8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早餐</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DE4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0D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2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4C0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kern w:val="0"/>
                <w:sz w:val="18"/>
                <w:szCs w:val="18"/>
                <w:u w:val="none"/>
                <w:lang w:val="en-US" w:eastAsia="zh-CN" w:bidi="ar"/>
              </w:rPr>
            </w:pPr>
          </w:p>
        </w:tc>
      </w:tr>
    </w:tbl>
    <w:p w14:paraId="029AAD7F">
      <w:pPr>
        <w:keepNext w:val="0"/>
        <w:keepLines w:val="0"/>
        <w:pageBreakBefore w:val="0"/>
        <w:kinsoku/>
        <w:wordWrap/>
        <w:overflowPunct/>
        <w:topLinePunct w:val="0"/>
        <w:autoSpaceDE/>
        <w:autoSpaceDN/>
        <w:bidi w:val="0"/>
        <w:adjustRightInd/>
        <w:snapToGrid/>
        <w:spacing w:line="4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B5242"/>
    <w:rsid w:val="5DFB5242"/>
    <w:rsid w:val="6F617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customStyle="1" w:styleId="5">
    <w:name w:val="font2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2026-09-28T06:50:00Z</dcterms:created>
  <dc:creator>admin</dc:creator>
  <cp:lastModifiedBy>admin</cp:lastModifiedBy>
  <dcterms:modified xsi:type="dcterms:W3CDTF">2026-09-28T06:58:16Z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F4C67EE50D804C549CE79725B727F090_11</vt:lpwstr>
  </property>
  <property fmtid="{D5CDD505-2E9C-101B-9397-08002B2CF9AE}" pid="4" name="KSOTemplateDocerSaveRecord">
    <vt:lpwstr>eyJoZGlkIjoiOGY1ZTFhZjI5MDAzYjcyNmRkYjY3M2I0Nzk1NWVhZWEiLCJ1c2VySWQiOiI1MjkyODQ2MTcifQ==</vt:lpwstr>
  </property>
</Properties>
</file>