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F452B7">
      <w:pPr>
        <w:jc w:val="center"/>
        <w:rPr>
          <w:rFonts w:hint="eastAsia" w:ascii="宋体" w:hAnsi="宋体"/>
          <w:bCs/>
          <w:sz w:val="36"/>
          <w:szCs w:val="36"/>
          <w:u w:val="single"/>
        </w:rPr>
      </w:pPr>
      <w:r>
        <w:rPr>
          <w:rFonts w:hint="eastAsia" w:ascii="宋体" w:hAnsi="宋体"/>
          <w:bCs/>
          <w:sz w:val="36"/>
          <w:szCs w:val="36"/>
          <w:u w:val="single"/>
        </w:rPr>
        <w:t>关于“一般因素法－2026年增扩班－设备购置－清华附中大兴学校zj”项目</w:t>
      </w:r>
    </w:p>
    <w:p w14:paraId="74F0E1D2">
      <w:pPr>
        <w:jc w:val="both"/>
        <w:rPr>
          <w:rFonts w:hint="eastAsia" w:ascii="宋体" w:hAnsi="宋体"/>
          <w:bCs/>
          <w:sz w:val="36"/>
          <w:szCs w:val="36"/>
          <w:u w:val="none"/>
          <w:lang w:val="en-US" w:eastAsia="zh-CN"/>
        </w:rPr>
      </w:pPr>
      <w:r>
        <w:rPr>
          <w:rFonts w:hint="eastAsia" w:ascii="宋体" w:hAnsi="宋体"/>
          <w:bCs/>
          <w:sz w:val="36"/>
          <w:szCs w:val="36"/>
          <w:u w:val="none"/>
          <w:lang w:val="en-US" w:eastAsia="zh-CN"/>
        </w:rPr>
        <w:t>原招标文件投标截止时间、开标时间为：2026年09月29日09 点00分（北京时间）</w:t>
      </w:r>
    </w:p>
    <w:p w14:paraId="2E3975D9">
      <w:pPr>
        <w:jc w:val="both"/>
        <w:rPr>
          <w:rFonts w:hint="default" w:ascii="宋体" w:hAnsi="宋体"/>
          <w:b/>
          <w:bCs w:val="0"/>
          <w:sz w:val="36"/>
          <w:szCs w:val="36"/>
          <w:u w:val="single"/>
          <w:lang w:val="en-US" w:eastAsia="zh-CN"/>
        </w:rPr>
      </w:pPr>
      <w:bookmarkStart w:id="3" w:name="_GoBack"/>
      <w:r>
        <w:rPr>
          <w:rFonts w:hint="eastAsia" w:ascii="宋体" w:hAnsi="宋体"/>
          <w:b/>
          <w:bCs w:val="0"/>
          <w:sz w:val="36"/>
          <w:szCs w:val="36"/>
          <w:u w:val="single"/>
          <w:lang w:val="en-US" w:eastAsia="zh-CN"/>
        </w:rPr>
        <w:t>现更正投标截止时间、开标时间为</w:t>
      </w:r>
      <w:bookmarkEnd w:id="3"/>
      <w:r>
        <w:rPr>
          <w:rFonts w:hint="eastAsia" w:ascii="宋体" w:hAnsi="宋体"/>
          <w:b/>
          <w:bCs w:val="0"/>
          <w:sz w:val="36"/>
          <w:szCs w:val="36"/>
          <w:u w:val="single"/>
          <w:lang w:val="en-US" w:eastAsia="zh-CN"/>
        </w:rPr>
        <w:t>：2026年10月16日09 点00分（北京时间）</w:t>
      </w:r>
    </w:p>
    <w:p w14:paraId="65A46086">
      <w:pPr>
        <w:rPr>
          <w:rFonts w:ascii="宋体" w:hAnsi="宋体"/>
          <w:b/>
          <w:sz w:val="24"/>
        </w:rPr>
      </w:pPr>
      <w:r>
        <w:rPr>
          <w:rFonts w:hint="eastAsia" w:ascii="宋体" w:hAnsi="宋体"/>
          <w:bCs/>
          <w:sz w:val="36"/>
          <w:szCs w:val="36"/>
          <w:u w:val="single"/>
        </w:rPr>
        <w:t>原招标文件</w:t>
      </w:r>
      <w:r>
        <w:rPr>
          <w:rFonts w:ascii="宋体" w:hAnsi="宋体"/>
          <w:bCs/>
          <w:sz w:val="36"/>
          <w:szCs w:val="36"/>
          <w:u w:val="single"/>
        </w:rPr>
        <w:t>二、评标标准</w:t>
      </w:r>
    </w:p>
    <w:tbl>
      <w:tblPr>
        <w:tblStyle w:val="17"/>
        <w:tblW w:w="8642"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04"/>
        <w:gridCol w:w="1276"/>
        <w:gridCol w:w="827"/>
        <w:gridCol w:w="732"/>
        <w:gridCol w:w="5103"/>
      </w:tblGrid>
      <w:tr w14:paraId="357262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04" w:type="dxa"/>
            <w:vAlign w:val="center"/>
          </w:tcPr>
          <w:p w14:paraId="49725BC0">
            <w:pPr>
              <w:pStyle w:val="16"/>
              <w:tabs>
                <w:tab w:val="left" w:pos="567"/>
              </w:tabs>
              <w:ind w:firstLine="0" w:firstLineChars="0"/>
              <w:rPr>
                <w:rFonts w:hint="eastAsia" w:ascii="宋体" w:hAnsi="宋体"/>
                <w:b/>
                <w:bCs/>
                <w:sz w:val="24"/>
              </w:rPr>
            </w:pPr>
            <w:r>
              <w:rPr>
                <w:rFonts w:ascii="宋体" w:hAnsi="宋体"/>
                <w:b/>
                <w:bCs/>
                <w:sz w:val="24"/>
              </w:rPr>
              <w:t>序号</w:t>
            </w:r>
          </w:p>
        </w:tc>
        <w:tc>
          <w:tcPr>
            <w:tcW w:w="2103" w:type="dxa"/>
            <w:gridSpan w:val="2"/>
            <w:vAlign w:val="center"/>
          </w:tcPr>
          <w:p w14:paraId="4336B0B0">
            <w:pPr>
              <w:pStyle w:val="16"/>
              <w:tabs>
                <w:tab w:val="left" w:pos="567"/>
              </w:tabs>
              <w:ind w:firstLine="241"/>
              <w:rPr>
                <w:rFonts w:hint="eastAsia" w:ascii="宋体" w:hAnsi="宋体"/>
                <w:b/>
                <w:bCs/>
                <w:sz w:val="24"/>
              </w:rPr>
            </w:pPr>
            <w:r>
              <w:rPr>
                <w:rFonts w:ascii="宋体" w:hAnsi="宋体"/>
                <w:b/>
                <w:bCs/>
                <w:sz w:val="24"/>
              </w:rPr>
              <w:t>评分因素</w:t>
            </w:r>
          </w:p>
        </w:tc>
        <w:tc>
          <w:tcPr>
            <w:tcW w:w="732" w:type="dxa"/>
            <w:vAlign w:val="center"/>
          </w:tcPr>
          <w:p w14:paraId="242524E9">
            <w:pPr>
              <w:pStyle w:val="16"/>
              <w:tabs>
                <w:tab w:val="left" w:pos="567"/>
              </w:tabs>
              <w:ind w:firstLine="0" w:firstLineChars="0"/>
              <w:rPr>
                <w:rFonts w:hint="eastAsia" w:ascii="宋体" w:hAnsi="宋体"/>
                <w:b/>
                <w:bCs/>
                <w:sz w:val="24"/>
              </w:rPr>
            </w:pPr>
            <w:r>
              <w:rPr>
                <w:rFonts w:ascii="宋体" w:hAnsi="宋体"/>
                <w:b/>
                <w:bCs/>
                <w:sz w:val="24"/>
              </w:rPr>
              <w:t>分值</w:t>
            </w:r>
          </w:p>
        </w:tc>
        <w:tc>
          <w:tcPr>
            <w:tcW w:w="5103" w:type="dxa"/>
            <w:vAlign w:val="center"/>
          </w:tcPr>
          <w:p w14:paraId="4005B15F">
            <w:pPr>
              <w:pStyle w:val="16"/>
              <w:tabs>
                <w:tab w:val="left" w:pos="567"/>
              </w:tabs>
              <w:ind w:firstLine="0" w:firstLineChars="0"/>
              <w:rPr>
                <w:rFonts w:hint="eastAsia" w:ascii="宋体" w:hAnsi="宋体"/>
                <w:b/>
                <w:bCs/>
                <w:sz w:val="24"/>
              </w:rPr>
            </w:pPr>
            <w:r>
              <w:rPr>
                <w:rFonts w:ascii="宋体" w:hAnsi="宋体"/>
                <w:b/>
                <w:bCs/>
                <w:sz w:val="24"/>
              </w:rPr>
              <w:t>评分标准</w:t>
            </w:r>
          </w:p>
        </w:tc>
      </w:tr>
      <w:tr w14:paraId="28B834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04" w:type="dxa"/>
            <w:vAlign w:val="center"/>
          </w:tcPr>
          <w:p w14:paraId="002F2750">
            <w:pPr>
              <w:pStyle w:val="16"/>
              <w:tabs>
                <w:tab w:val="left" w:pos="567"/>
              </w:tabs>
              <w:ind w:firstLine="0" w:firstLineChars="0"/>
              <w:jc w:val="center"/>
              <w:rPr>
                <w:rFonts w:hint="eastAsia" w:ascii="宋体" w:hAnsi="宋体"/>
                <w:sz w:val="24"/>
              </w:rPr>
            </w:pPr>
            <w:r>
              <w:rPr>
                <w:rFonts w:hint="eastAsia" w:ascii="宋体" w:hAnsi="宋体"/>
                <w:sz w:val="24"/>
              </w:rPr>
              <w:t>1</w:t>
            </w:r>
          </w:p>
        </w:tc>
        <w:tc>
          <w:tcPr>
            <w:tcW w:w="1276" w:type="dxa"/>
            <w:vAlign w:val="center"/>
          </w:tcPr>
          <w:p w14:paraId="2C03CC2E">
            <w:pPr>
              <w:pStyle w:val="16"/>
              <w:tabs>
                <w:tab w:val="left" w:pos="567"/>
              </w:tabs>
              <w:ind w:firstLine="0" w:firstLineChars="0"/>
              <w:jc w:val="center"/>
              <w:rPr>
                <w:rFonts w:hint="eastAsia" w:ascii="宋体" w:hAnsi="宋体"/>
                <w:sz w:val="24"/>
              </w:rPr>
            </w:pPr>
            <w:r>
              <w:rPr>
                <w:rFonts w:ascii="宋体" w:hAnsi="宋体"/>
                <w:sz w:val="24"/>
              </w:rPr>
              <w:t>报价</w:t>
            </w:r>
          </w:p>
          <w:p w14:paraId="28BCC952">
            <w:pPr>
              <w:pStyle w:val="16"/>
              <w:tabs>
                <w:tab w:val="left" w:pos="567"/>
              </w:tabs>
              <w:ind w:firstLine="0" w:firstLineChars="0"/>
              <w:jc w:val="center"/>
              <w:rPr>
                <w:rFonts w:hint="eastAsia" w:ascii="宋体" w:hAnsi="宋体"/>
                <w:sz w:val="24"/>
              </w:rPr>
            </w:pPr>
            <w:r>
              <w:rPr>
                <w:rFonts w:ascii="宋体" w:hAnsi="宋体"/>
                <w:sz w:val="24"/>
              </w:rPr>
              <w:t>（</w:t>
            </w:r>
            <w:r>
              <w:rPr>
                <w:rFonts w:hint="eastAsia" w:ascii="宋体" w:hAnsi="宋体"/>
                <w:sz w:val="24"/>
              </w:rPr>
              <w:t>3</w:t>
            </w:r>
            <w:r>
              <w:rPr>
                <w:rFonts w:ascii="宋体" w:hAnsi="宋体"/>
                <w:sz w:val="24"/>
              </w:rPr>
              <w:t>0分）</w:t>
            </w:r>
          </w:p>
        </w:tc>
        <w:tc>
          <w:tcPr>
            <w:tcW w:w="827" w:type="dxa"/>
            <w:vAlign w:val="center"/>
          </w:tcPr>
          <w:p w14:paraId="6D841106">
            <w:pPr>
              <w:widowControl/>
              <w:jc w:val="center"/>
              <w:rPr>
                <w:rFonts w:hint="eastAsia" w:ascii="宋体" w:hAnsi="宋体"/>
                <w:sz w:val="24"/>
              </w:rPr>
            </w:pPr>
            <w:r>
              <w:rPr>
                <w:rFonts w:ascii="宋体" w:hAnsi="宋体"/>
                <w:sz w:val="24"/>
              </w:rPr>
              <w:t>投标报价</w:t>
            </w:r>
          </w:p>
        </w:tc>
        <w:tc>
          <w:tcPr>
            <w:tcW w:w="732" w:type="dxa"/>
            <w:vAlign w:val="center"/>
          </w:tcPr>
          <w:p w14:paraId="7E8E02E5">
            <w:pPr>
              <w:pStyle w:val="16"/>
              <w:tabs>
                <w:tab w:val="left" w:pos="567"/>
              </w:tabs>
              <w:ind w:firstLine="0" w:firstLineChars="0"/>
              <w:jc w:val="center"/>
              <w:rPr>
                <w:rFonts w:hint="eastAsia" w:ascii="宋体" w:hAnsi="宋体"/>
                <w:sz w:val="24"/>
              </w:rPr>
            </w:pPr>
            <w:r>
              <w:rPr>
                <w:rFonts w:hint="eastAsia" w:ascii="宋体" w:hAnsi="宋体"/>
                <w:sz w:val="24"/>
              </w:rPr>
              <w:t>30</w:t>
            </w:r>
          </w:p>
        </w:tc>
        <w:tc>
          <w:tcPr>
            <w:tcW w:w="5103" w:type="dxa"/>
            <w:vAlign w:val="center"/>
          </w:tcPr>
          <w:p w14:paraId="291204CD">
            <w:pPr>
              <w:pStyle w:val="16"/>
              <w:tabs>
                <w:tab w:val="left" w:pos="567"/>
              </w:tabs>
              <w:ind w:firstLine="0" w:firstLineChars="0"/>
              <w:rPr>
                <w:rFonts w:hint="eastAsia" w:ascii="宋体" w:hAnsi="宋体"/>
                <w:sz w:val="24"/>
              </w:rPr>
            </w:pPr>
            <w:r>
              <w:rPr>
                <w:rFonts w:ascii="宋体" w:hAnsi="宋体"/>
                <w:sz w:val="24"/>
              </w:rPr>
              <w:t>满足招标文件要求且投标价格最低的投标报价为评标基准价，其价格分为满分。其他供应商的价格分统一按照下列公式计算：</w:t>
            </w:r>
          </w:p>
          <w:p w14:paraId="334EFED2">
            <w:pPr>
              <w:pStyle w:val="16"/>
              <w:tabs>
                <w:tab w:val="left" w:pos="567"/>
              </w:tabs>
              <w:ind w:firstLine="240"/>
              <w:rPr>
                <w:rFonts w:hint="eastAsia" w:ascii="宋体" w:hAnsi="宋体"/>
                <w:sz w:val="24"/>
              </w:rPr>
            </w:pPr>
            <w:r>
              <w:rPr>
                <w:rFonts w:ascii="宋体" w:hAnsi="宋体"/>
                <w:sz w:val="24"/>
              </w:rPr>
              <w:t>投标报价得分＝（评标基准价/投标报价）×分值。</w:t>
            </w:r>
          </w:p>
          <w:p w14:paraId="789289AA">
            <w:pPr>
              <w:pStyle w:val="16"/>
              <w:tabs>
                <w:tab w:val="left" w:pos="567"/>
              </w:tabs>
              <w:ind w:firstLine="240"/>
              <w:rPr>
                <w:rFonts w:hint="eastAsia" w:ascii="宋体" w:hAnsi="宋体"/>
                <w:sz w:val="24"/>
              </w:rPr>
            </w:pPr>
            <w:r>
              <w:rPr>
                <w:rFonts w:hint="eastAsia" w:ascii="宋体" w:hAnsi="宋体" w:cs="宋体"/>
                <w:sz w:val="24"/>
              </w:rPr>
              <w:t>注:对小型和微型企业产品的价格给予10%的扣除,用扣除后的价格参与评审</w:t>
            </w:r>
          </w:p>
        </w:tc>
      </w:tr>
      <w:tr w14:paraId="558BB9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04" w:type="dxa"/>
            <w:vAlign w:val="center"/>
          </w:tcPr>
          <w:p w14:paraId="3DC786F6">
            <w:pPr>
              <w:jc w:val="center"/>
              <w:rPr>
                <w:rFonts w:hint="eastAsia" w:ascii="宋体" w:hAnsi="宋体"/>
                <w:sz w:val="24"/>
              </w:rPr>
            </w:pPr>
            <w:r>
              <w:rPr>
                <w:rFonts w:hint="eastAsia" w:ascii="宋体" w:hAnsi="宋体"/>
                <w:sz w:val="24"/>
              </w:rPr>
              <w:t>2</w:t>
            </w:r>
          </w:p>
        </w:tc>
        <w:tc>
          <w:tcPr>
            <w:tcW w:w="1276" w:type="dxa"/>
            <w:vMerge w:val="restart"/>
            <w:vAlign w:val="center"/>
          </w:tcPr>
          <w:p w14:paraId="2A9164FC">
            <w:pPr>
              <w:pStyle w:val="16"/>
              <w:tabs>
                <w:tab w:val="left" w:pos="567"/>
              </w:tabs>
              <w:ind w:firstLine="0" w:firstLineChars="0"/>
              <w:jc w:val="center"/>
              <w:rPr>
                <w:rFonts w:hint="eastAsia" w:ascii="宋体" w:hAnsi="宋体"/>
                <w:sz w:val="24"/>
              </w:rPr>
            </w:pPr>
            <w:r>
              <w:rPr>
                <w:rFonts w:hint="eastAsia" w:ascii="宋体" w:hAnsi="宋体"/>
                <w:sz w:val="24"/>
              </w:rPr>
              <w:t>商务部分</w:t>
            </w:r>
          </w:p>
          <w:p w14:paraId="26DBD451">
            <w:pPr>
              <w:rPr>
                <w:rFonts w:hint="eastAsia" w:ascii="宋体" w:hAnsi="宋体"/>
                <w:sz w:val="24"/>
              </w:rPr>
            </w:pPr>
            <w:r>
              <w:rPr>
                <w:rFonts w:hint="eastAsia" w:ascii="宋体" w:hAnsi="宋体"/>
                <w:sz w:val="24"/>
              </w:rPr>
              <w:t>（21分）</w:t>
            </w:r>
          </w:p>
        </w:tc>
        <w:tc>
          <w:tcPr>
            <w:tcW w:w="827" w:type="dxa"/>
            <w:vAlign w:val="center"/>
          </w:tcPr>
          <w:p w14:paraId="5A6CE6D0">
            <w:pPr>
              <w:pStyle w:val="16"/>
              <w:tabs>
                <w:tab w:val="left" w:pos="567"/>
              </w:tabs>
              <w:ind w:firstLine="0" w:firstLineChars="0"/>
              <w:jc w:val="center"/>
              <w:rPr>
                <w:rFonts w:hint="eastAsia" w:ascii="宋体" w:hAnsi="宋体"/>
                <w:sz w:val="24"/>
              </w:rPr>
            </w:pPr>
            <w:r>
              <w:rPr>
                <w:rFonts w:ascii="宋体" w:hAnsi="宋体"/>
                <w:sz w:val="24"/>
              </w:rPr>
              <w:t>投标人业绩</w:t>
            </w:r>
          </w:p>
        </w:tc>
        <w:tc>
          <w:tcPr>
            <w:tcW w:w="732" w:type="dxa"/>
            <w:vAlign w:val="center"/>
          </w:tcPr>
          <w:p w14:paraId="1EDFAD08">
            <w:pPr>
              <w:pStyle w:val="16"/>
              <w:tabs>
                <w:tab w:val="left" w:pos="567"/>
              </w:tabs>
              <w:ind w:firstLine="240"/>
              <w:rPr>
                <w:rFonts w:hint="eastAsia" w:ascii="宋体" w:hAnsi="宋体"/>
                <w:sz w:val="24"/>
              </w:rPr>
            </w:pPr>
            <w:r>
              <w:rPr>
                <w:rFonts w:hint="eastAsia" w:ascii="宋体" w:hAnsi="宋体"/>
                <w:sz w:val="24"/>
              </w:rPr>
              <w:t>15</w:t>
            </w:r>
          </w:p>
        </w:tc>
        <w:tc>
          <w:tcPr>
            <w:tcW w:w="5103" w:type="dxa"/>
            <w:vAlign w:val="center"/>
          </w:tcPr>
          <w:p w14:paraId="05FDBBDD">
            <w:pPr>
              <w:jc w:val="left"/>
              <w:rPr>
                <w:rFonts w:hint="eastAsia" w:ascii="宋体" w:hAnsi="宋体" w:cs="宋体"/>
                <w:color w:val="000000"/>
                <w:sz w:val="24"/>
              </w:rPr>
            </w:pPr>
            <w:r>
              <w:rPr>
                <w:rFonts w:hint="eastAsia" w:ascii="宋体" w:hAnsi="宋体" w:cs="宋体"/>
                <w:color w:val="000000"/>
                <w:sz w:val="24"/>
              </w:rPr>
              <w:t>投标人提供近3年（2023年9月1日至投标文件递交截止日（含））的类似项目案例。</w:t>
            </w:r>
          </w:p>
          <w:p w14:paraId="721CCA59">
            <w:pPr>
              <w:pStyle w:val="16"/>
              <w:tabs>
                <w:tab w:val="left" w:pos="567"/>
              </w:tabs>
              <w:ind w:firstLine="0" w:firstLineChars="0"/>
              <w:rPr>
                <w:rFonts w:hint="eastAsia" w:ascii="宋体" w:hAnsi="宋体"/>
                <w:sz w:val="24"/>
              </w:rPr>
            </w:pPr>
            <w:r>
              <w:rPr>
                <w:rFonts w:hint="eastAsia" w:ascii="宋体" w:hAnsi="宋体" w:cs="宋体"/>
                <w:color w:val="000000"/>
                <w:sz w:val="24"/>
              </w:rPr>
              <w:t>注：每项业绩需提供合同首页、项目名称页、采购内容页、合同金额页、签字盖章页（签订日期在2023年9月1日（含）以后日期有效，日期以签订日期为准）每提供一个有效业绩得5分，最高得15分，提供不符合要求或不提供得0分。</w:t>
            </w:r>
          </w:p>
        </w:tc>
      </w:tr>
      <w:tr w14:paraId="5183C6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959" w:hRule="atLeast"/>
          <w:jc w:val="center"/>
        </w:trPr>
        <w:tc>
          <w:tcPr>
            <w:tcW w:w="704" w:type="dxa"/>
            <w:tcBorders>
              <w:top w:val="single" w:color="auto" w:sz="4" w:space="0"/>
            </w:tcBorders>
            <w:vAlign w:val="center"/>
          </w:tcPr>
          <w:p w14:paraId="6C69CF22">
            <w:pPr>
              <w:jc w:val="center"/>
              <w:rPr>
                <w:rFonts w:hint="eastAsia" w:ascii="宋体" w:hAnsi="宋体"/>
                <w:sz w:val="24"/>
              </w:rPr>
            </w:pPr>
            <w:r>
              <w:rPr>
                <w:rFonts w:hint="eastAsia" w:ascii="宋体" w:hAnsi="宋体"/>
                <w:sz w:val="24"/>
              </w:rPr>
              <w:t>3</w:t>
            </w:r>
          </w:p>
        </w:tc>
        <w:tc>
          <w:tcPr>
            <w:tcW w:w="1276" w:type="dxa"/>
            <w:vMerge w:val="continue"/>
            <w:tcBorders>
              <w:top w:val="single" w:color="auto" w:sz="4" w:space="0"/>
            </w:tcBorders>
            <w:vAlign w:val="center"/>
          </w:tcPr>
          <w:p w14:paraId="323C311B">
            <w:pPr>
              <w:jc w:val="center"/>
              <w:rPr>
                <w:rFonts w:hint="eastAsia" w:ascii="宋体" w:hAnsi="宋体"/>
                <w:sz w:val="24"/>
              </w:rPr>
            </w:pPr>
          </w:p>
        </w:tc>
        <w:tc>
          <w:tcPr>
            <w:tcW w:w="827" w:type="dxa"/>
            <w:tcBorders>
              <w:top w:val="single" w:color="auto" w:sz="4" w:space="0"/>
            </w:tcBorders>
            <w:vAlign w:val="center"/>
          </w:tcPr>
          <w:p w14:paraId="4A34A60F">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管理体系认证保障</w:t>
            </w:r>
          </w:p>
        </w:tc>
        <w:tc>
          <w:tcPr>
            <w:tcW w:w="732" w:type="dxa"/>
            <w:tcBorders>
              <w:top w:val="single" w:color="auto" w:sz="4" w:space="0"/>
            </w:tcBorders>
            <w:vAlign w:val="center"/>
          </w:tcPr>
          <w:p w14:paraId="60D371B4">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6</w:t>
            </w:r>
          </w:p>
        </w:tc>
        <w:tc>
          <w:tcPr>
            <w:tcW w:w="5103" w:type="dxa"/>
            <w:tcBorders>
              <w:top w:val="single" w:color="auto" w:sz="4" w:space="0"/>
            </w:tcBorders>
            <w:vAlign w:val="center"/>
          </w:tcPr>
          <w:p w14:paraId="2ABDE194">
            <w:pPr>
              <w:widowControl/>
              <w:textAlignment w:val="top"/>
              <w:rPr>
                <w:rFonts w:hint="eastAsia" w:ascii="宋体" w:hAnsi="宋体" w:cs="宋体"/>
                <w:color w:val="000000"/>
                <w:sz w:val="24"/>
              </w:rPr>
            </w:pPr>
            <w:r>
              <w:rPr>
                <w:rFonts w:hint="eastAsia" w:ascii="宋体" w:hAnsi="宋体" w:cs="宋体"/>
                <w:sz w:val="24"/>
              </w:rPr>
              <w:t>投标人具备有效期内的ISO9001 质量管理体系认证、ISO14001 环境管理体系认证、ISO45001 职业健康安全管理体系认证，</w:t>
            </w:r>
            <w:r>
              <w:rPr>
                <w:rFonts w:hint="eastAsia" w:ascii="宋体" w:hAnsi="宋体" w:cs="宋体"/>
                <w:kern w:val="0"/>
                <w:sz w:val="24"/>
                <w:lang w:bidi="ar"/>
              </w:rPr>
              <w:t>每有一项证书得2分，满分6分。（提供证书扫描件和全国认证认可信息公共服务平台查询认证结果截图）</w:t>
            </w:r>
          </w:p>
        </w:tc>
      </w:tr>
      <w:tr w14:paraId="6A1F5A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04" w:type="dxa"/>
            <w:vAlign w:val="center"/>
          </w:tcPr>
          <w:p w14:paraId="476D9C3B">
            <w:pPr>
              <w:jc w:val="center"/>
              <w:rPr>
                <w:rFonts w:hint="eastAsia" w:ascii="宋体" w:hAnsi="宋体"/>
                <w:sz w:val="24"/>
              </w:rPr>
            </w:pPr>
            <w:r>
              <w:rPr>
                <w:rFonts w:hint="eastAsia" w:ascii="宋体" w:hAnsi="宋体"/>
                <w:sz w:val="24"/>
              </w:rPr>
              <w:t>4</w:t>
            </w:r>
          </w:p>
        </w:tc>
        <w:tc>
          <w:tcPr>
            <w:tcW w:w="1276" w:type="dxa"/>
            <w:vMerge w:val="restart"/>
            <w:vAlign w:val="center"/>
          </w:tcPr>
          <w:p w14:paraId="530F5867">
            <w:pPr>
              <w:pStyle w:val="16"/>
              <w:tabs>
                <w:tab w:val="left" w:pos="567"/>
              </w:tabs>
              <w:ind w:firstLine="0" w:firstLineChars="0"/>
              <w:jc w:val="center"/>
              <w:rPr>
                <w:rFonts w:hint="eastAsia" w:ascii="宋体" w:hAnsi="宋体"/>
                <w:sz w:val="24"/>
              </w:rPr>
            </w:pPr>
            <w:r>
              <w:rPr>
                <w:rFonts w:hint="eastAsia" w:ascii="宋体" w:hAnsi="宋体"/>
                <w:sz w:val="24"/>
              </w:rPr>
              <w:t>技</w:t>
            </w:r>
          </w:p>
          <w:p w14:paraId="0EBF4083">
            <w:pPr>
              <w:pStyle w:val="16"/>
              <w:tabs>
                <w:tab w:val="left" w:pos="567"/>
              </w:tabs>
              <w:ind w:firstLine="0" w:firstLineChars="0"/>
              <w:jc w:val="center"/>
              <w:rPr>
                <w:rFonts w:hint="eastAsia" w:ascii="宋体" w:hAnsi="宋体"/>
                <w:sz w:val="24"/>
              </w:rPr>
            </w:pPr>
            <w:r>
              <w:rPr>
                <w:rFonts w:hint="eastAsia" w:ascii="宋体" w:hAnsi="宋体"/>
                <w:sz w:val="24"/>
              </w:rPr>
              <w:t>术</w:t>
            </w:r>
          </w:p>
          <w:p w14:paraId="5A1A93F1">
            <w:pPr>
              <w:pStyle w:val="16"/>
              <w:tabs>
                <w:tab w:val="left" w:pos="567"/>
              </w:tabs>
              <w:ind w:firstLine="0" w:firstLineChars="0"/>
              <w:jc w:val="center"/>
              <w:rPr>
                <w:rFonts w:hint="eastAsia" w:ascii="宋体" w:hAnsi="宋体"/>
                <w:sz w:val="24"/>
              </w:rPr>
            </w:pPr>
            <w:r>
              <w:rPr>
                <w:rFonts w:hint="eastAsia" w:ascii="宋体" w:hAnsi="宋体"/>
                <w:sz w:val="24"/>
              </w:rPr>
              <w:t>部</w:t>
            </w:r>
          </w:p>
          <w:p w14:paraId="48AA60CA">
            <w:pPr>
              <w:pStyle w:val="16"/>
              <w:tabs>
                <w:tab w:val="left" w:pos="567"/>
              </w:tabs>
              <w:ind w:firstLine="0" w:firstLineChars="0"/>
              <w:jc w:val="center"/>
              <w:rPr>
                <w:rFonts w:hint="eastAsia" w:ascii="宋体" w:hAnsi="宋体"/>
                <w:sz w:val="24"/>
              </w:rPr>
            </w:pPr>
            <w:r>
              <w:rPr>
                <w:rFonts w:hint="eastAsia" w:ascii="宋体" w:hAnsi="宋体"/>
                <w:sz w:val="24"/>
              </w:rPr>
              <w:t>分</w:t>
            </w:r>
          </w:p>
          <w:p w14:paraId="4B4FEFDC">
            <w:pPr>
              <w:rPr>
                <w:rFonts w:hint="eastAsia" w:ascii="宋体" w:hAnsi="宋体"/>
                <w:sz w:val="24"/>
              </w:rPr>
            </w:pPr>
            <w:r>
              <w:rPr>
                <w:rFonts w:hint="eastAsia" w:ascii="宋体" w:hAnsi="宋体"/>
                <w:sz w:val="24"/>
              </w:rPr>
              <w:t>（49分）</w:t>
            </w:r>
          </w:p>
        </w:tc>
        <w:tc>
          <w:tcPr>
            <w:tcW w:w="827" w:type="dxa"/>
            <w:vAlign w:val="center"/>
          </w:tcPr>
          <w:p w14:paraId="54B1B9E4">
            <w:pPr>
              <w:pStyle w:val="16"/>
              <w:tabs>
                <w:tab w:val="left" w:pos="567"/>
              </w:tabs>
              <w:ind w:firstLine="0" w:firstLineChars="0"/>
              <w:jc w:val="center"/>
              <w:rPr>
                <w:rFonts w:hint="eastAsia" w:hAnsi="宋体"/>
                <w:sz w:val="24"/>
              </w:rPr>
            </w:pPr>
            <w:r>
              <w:rPr>
                <w:rFonts w:hint="eastAsia" w:ascii="宋体" w:hAnsi="宋体"/>
                <w:sz w:val="24"/>
              </w:rPr>
              <w:t>需求理解</w:t>
            </w:r>
          </w:p>
        </w:tc>
        <w:tc>
          <w:tcPr>
            <w:tcW w:w="732" w:type="dxa"/>
            <w:vAlign w:val="center"/>
          </w:tcPr>
          <w:p w14:paraId="41353A0B">
            <w:pPr>
              <w:jc w:val="center"/>
              <w:rPr>
                <w:rFonts w:hint="eastAsia" w:ascii="宋体" w:hAnsi="宋体"/>
                <w:sz w:val="24"/>
              </w:rPr>
            </w:pPr>
            <w:r>
              <w:rPr>
                <w:rFonts w:hint="eastAsia" w:ascii="宋体" w:hAnsi="宋体"/>
                <w:sz w:val="24"/>
              </w:rPr>
              <w:t>5</w:t>
            </w:r>
          </w:p>
        </w:tc>
        <w:tc>
          <w:tcPr>
            <w:tcW w:w="5103" w:type="dxa"/>
            <w:vAlign w:val="center"/>
          </w:tcPr>
          <w:p w14:paraId="32008626">
            <w:pPr>
              <w:pStyle w:val="43"/>
              <w:spacing w:line="240" w:lineRule="auto"/>
              <w:ind w:firstLine="0" w:firstLineChars="0"/>
              <w:rPr>
                <w:rFonts w:hint="eastAsia"/>
              </w:rPr>
            </w:pPr>
            <w:r>
              <w:rPr>
                <w:rFonts w:hint="eastAsia"/>
              </w:rPr>
              <w:t>评委根据供应商提供的总体项目需求理解（包括总体目标、招标需求规格参数的理解等）进行综合评分：</w:t>
            </w:r>
          </w:p>
          <w:p w14:paraId="59272496">
            <w:pPr>
              <w:jc w:val="left"/>
              <w:rPr>
                <w:rFonts w:hint="eastAsia" w:ascii="宋体" w:hAnsi="宋体" w:cs="宋体"/>
                <w:color w:val="000000"/>
                <w:sz w:val="24"/>
              </w:rPr>
            </w:pPr>
            <w:r>
              <w:rPr>
                <w:rFonts w:hint="eastAsia" w:ascii="宋体" w:hAnsi="宋体" w:cs="宋体"/>
                <w:color w:val="000000"/>
                <w:sz w:val="24"/>
              </w:rPr>
              <w:t>（1）需求理解透彻、清晰的得5分；</w:t>
            </w:r>
          </w:p>
          <w:p w14:paraId="4DB384F4">
            <w:pPr>
              <w:jc w:val="left"/>
              <w:rPr>
                <w:rFonts w:hint="eastAsia" w:ascii="宋体" w:hAnsi="宋体" w:cs="宋体"/>
                <w:color w:val="000000"/>
                <w:sz w:val="24"/>
              </w:rPr>
            </w:pPr>
            <w:r>
              <w:rPr>
                <w:rFonts w:hint="eastAsia" w:ascii="宋体" w:hAnsi="宋体" w:cs="宋体"/>
                <w:color w:val="000000"/>
                <w:sz w:val="24"/>
              </w:rPr>
              <w:t>（2）需求理解较透彻、较清晰的的得3分；</w:t>
            </w:r>
          </w:p>
          <w:p w14:paraId="7B006525">
            <w:pPr>
              <w:jc w:val="left"/>
              <w:rPr>
                <w:rFonts w:hint="eastAsia" w:ascii="宋体" w:hAnsi="宋体" w:cs="宋体"/>
                <w:color w:val="000000"/>
                <w:sz w:val="24"/>
              </w:rPr>
            </w:pPr>
            <w:r>
              <w:rPr>
                <w:rFonts w:hint="eastAsia" w:ascii="宋体" w:hAnsi="宋体" w:cs="宋体"/>
                <w:color w:val="000000"/>
                <w:sz w:val="24"/>
              </w:rPr>
              <w:t>（3）需求理解一般透彻、一般清晰的得1分；</w:t>
            </w:r>
          </w:p>
          <w:p w14:paraId="59353AD8">
            <w:pPr>
              <w:pStyle w:val="43"/>
              <w:spacing w:line="240" w:lineRule="auto"/>
              <w:ind w:firstLine="0" w:firstLineChars="0"/>
              <w:rPr>
                <w:rFonts w:hint="eastAsia"/>
              </w:rPr>
            </w:pPr>
            <w:r>
              <w:rPr>
                <w:rFonts w:hint="eastAsia" w:cs="宋体"/>
                <w:color w:val="000000"/>
              </w:rPr>
              <w:t>（4）需求理解较差或不提供</w:t>
            </w:r>
            <w:r>
              <w:rPr>
                <w:rFonts w:hint="eastAsia" w:cs="宋体"/>
                <w:color w:val="000000"/>
                <w:lang w:bidi="ar"/>
              </w:rPr>
              <w:t>得0分</w:t>
            </w:r>
            <w:r>
              <w:rPr>
                <w:rFonts w:hint="eastAsia" w:cs="宋体"/>
                <w:color w:val="000000"/>
              </w:rPr>
              <w:t>。</w:t>
            </w:r>
          </w:p>
        </w:tc>
      </w:tr>
      <w:tr w14:paraId="6FC983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79" w:hRule="atLeast"/>
          <w:jc w:val="center"/>
        </w:trPr>
        <w:tc>
          <w:tcPr>
            <w:tcW w:w="704" w:type="dxa"/>
            <w:vAlign w:val="center"/>
          </w:tcPr>
          <w:p w14:paraId="4FEAEDEB">
            <w:pPr>
              <w:jc w:val="center"/>
              <w:rPr>
                <w:rFonts w:hint="eastAsia" w:ascii="宋体" w:hAnsi="宋体"/>
                <w:sz w:val="24"/>
              </w:rPr>
            </w:pPr>
            <w:r>
              <w:rPr>
                <w:rFonts w:hint="eastAsia" w:ascii="宋体" w:hAnsi="宋体"/>
                <w:sz w:val="24"/>
              </w:rPr>
              <w:t>5</w:t>
            </w:r>
          </w:p>
        </w:tc>
        <w:tc>
          <w:tcPr>
            <w:tcW w:w="1276" w:type="dxa"/>
            <w:vMerge w:val="continue"/>
            <w:vAlign w:val="center"/>
          </w:tcPr>
          <w:p w14:paraId="02B637DA">
            <w:pPr>
              <w:rPr>
                <w:rFonts w:hint="eastAsia" w:ascii="宋体" w:hAnsi="宋体"/>
                <w:sz w:val="24"/>
              </w:rPr>
            </w:pPr>
          </w:p>
        </w:tc>
        <w:tc>
          <w:tcPr>
            <w:tcW w:w="827" w:type="dxa"/>
            <w:vAlign w:val="center"/>
          </w:tcPr>
          <w:p w14:paraId="238953C1">
            <w:pPr>
              <w:widowControl/>
              <w:jc w:val="center"/>
              <w:textAlignment w:val="center"/>
              <w:rPr>
                <w:rStyle w:val="44"/>
                <w:rFonts w:hint="eastAsia" w:hAnsi="宋体"/>
              </w:rPr>
            </w:pPr>
            <w:r>
              <w:rPr>
                <w:rFonts w:hint="eastAsia" w:ascii="宋体" w:hAnsi="宋体" w:cs="宋体"/>
                <w:sz w:val="24"/>
              </w:rPr>
              <w:t>设备选型</w:t>
            </w:r>
          </w:p>
        </w:tc>
        <w:tc>
          <w:tcPr>
            <w:tcW w:w="732" w:type="dxa"/>
            <w:vAlign w:val="center"/>
          </w:tcPr>
          <w:p w14:paraId="665ED760">
            <w:pPr>
              <w:widowControl/>
              <w:jc w:val="center"/>
              <w:textAlignment w:val="center"/>
              <w:rPr>
                <w:rFonts w:hint="eastAsia" w:ascii="宋体" w:hAnsi="宋体"/>
                <w:sz w:val="24"/>
              </w:rPr>
            </w:pPr>
            <w:r>
              <w:rPr>
                <w:rFonts w:hint="eastAsia" w:ascii="宋体" w:hAnsi="宋体"/>
                <w:sz w:val="24"/>
              </w:rPr>
              <w:t>9</w:t>
            </w:r>
          </w:p>
        </w:tc>
        <w:tc>
          <w:tcPr>
            <w:tcW w:w="5103" w:type="dxa"/>
            <w:vAlign w:val="center"/>
          </w:tcPr>
          <w:p w14:paraId="5F795A8F">
            <w:pPr>
              <w:widowControl/>
              <w:adjustRightInd w:val="0"/>
              <w:snapToGrid w:val="0"/>
              <w:jc w:val="left"/>
              <w:textAlignment w:val="baseline"/>
              <w:rPr>
                <w:rFonts w:hint="eastAsia" w:ascii="宋体" w:hAnsi="宋体" w:cs="宋体"/>
                <w:sz w:val="24"/>
              </w:rPr>
            </w:pPr>
            <w:r>
              <w:rPr>
                <w:rFonts w:hint="eastAsia" w:ascii="宋体" w:hAnsi="宋体" w:cs="宋体"/>
                <w:sz w:val="24"/>
              </w:rPr>
              <w:t>评委根据投标人所投货物选型配置、安全性、稳定性、适用性等情况打分：</w:t>
            </w:r>
          </w:p>
          <w:p w14:paraId="4D94143D">
            <w:pPr>
              <w:widowControl/>
              <w:adjustRightInd w:val="0"/>
              <w:snapToGrid w:val="0"/>
              <w:jc w:val="left"/>
              <w:textAlignment w:val="baseline"/>
              <w:rPr>
                <w:rFonts w:hint="eastAsia" w:ascii="宋体" w:hAnsi="宋体" w:cs="宋体"/>
                <w:sz w:val="24"/>
              </w:rPr>
            </w:pPr>
            <w:r>
              <w:rPr>
                <w:rFonts w:hint="eastAsia" w:ascii="宋体" w:hAnsi="宋体" w:cs="宋体"/>
                <w:sz w:val="24"/>
              </w:rPr>
              <w:t>所投产品技术先进性、可靠性、稳定性优得9分；</w:t>
            </w:r>
          </w:p>
          <w:p w14:paraId="44D93E67">
            <w:pPr>
              <w:widowControl/>
              <w:adjustRightInd w:val="0"/>
              <w:snapToGrid w:val="0"/>
              <w:jc w:val="left"/>
              <w:textAlignment w:val="baseline"/>
              <w:rPr>
                <w:rFonts w:hint="eastAsia" w:ascii="宋体" w:hAnsi="宋体" w:cs="宋体"/>
                <w:sz w:val="24"/>
              </w:rPr>
            </w:pPr>
            <w:r>
              <w:rPr>
                <w:rFonts w:hint="eastAsia" w:ascii="宋体" w:hAnsi="宋体" w:cs="宋体"/>
                <w:sz w:val="24"/>
              </w:rPr>
              <w:t>所投产品技术先进性、可靠性、稳定性较好得6分；</w:t>
            </w:r>
          </w:p>
          <w:p w14:paraId="5D3BD1E1">
            <w:pPr>
              <w:widowControl/>
              <w:adjustRightInd w:val="0"/>
              <w:snapToGrid w:val="0"/>
              <w:jc w:val="left"/>
              <w:textAlignment w:val="baseline"/>
              <w:rPr>
                <w:rFonts w:hint="eastAsia" w:ascii="宋体" w:hAnsi="宋体" w:cs="宋体"/>
                <w:sz w:val="24"/>
              </w:rPr>
            </w:pPr>
            <w:r>
              <w:rPr>
                <w:rFonts w:hint="eastAsia" w:ascii="宋体" w:hAnsi="宋体" w:cs="宋体"/>
                <w:sz w:val="24"/>
              </w:rPr>
              <w:t>所投产品技术先进性、可靠性、稳定性一般得3分；</w:t>
            </w:r>
          </w:p>
          <w:p w14:paraId="5AEF841F">
            <w:pPr>
              <w:widowControl/>
              <w:adjustRightInd w:val="0"/>
              <w:snapToGrid w:val="0"/>
              <w:jc w:val="left"/>
              <w:textAlignment w:val="baseline"/>
              <w:rPr>
                <w:rFonts w:hint="eastAsia" w:ascii="宋体" w:hAnsi="宋体" w:cs="宋体"/>
                <w:sz w:val="24"/>
              </w:rPr>
            </w:pPr>
            <w:r>
              <w:rPr>
                <w:rFonts w:hint="eastAsia" w:ascii="宋体" w:hAnsi="宋体" w:cs="宋体"/>
                <w:sz w:val="24"/>
              </w:rPr>
              <w:t>所投产品技术先进性、可靠性、稳定性差得1分；</w:t>
            </w:r>
          </w:p>
          <w:p w14:paraId="31AC7BDE">
            <w:pPr>
              <w:widowControl/>
              <w:adjustRightInd w:val="0"/>
              <w:snapToGrid w:val="0"/>
              <w:jc w:val="left"/>
              <w:textAlignment w:val="baseline"/>
              <w:rPr>
                <w:rFonts w:hint="eastAsia" w:ascii="宋体" w:hAnsi="宋体" w:cs="宋体"/>
                <w:sz w:val="24"/>
              </w:rPr>
            </w:pPr>
            <w:r>
              <w:rPr>
                <w:rFonts w:hint="eastAsia" w:ascii="宋体" w:hAnsi="宋体" w:cs="宋体"/>
                <w:sz w:val="24"/>
              </w:rPr>
              <w:t>未提供证明材料得0分。</w:t>
            </w:r>
          </w:p>
          <w:p w14:paraId="4118CEFC">
            <w:pPr>
              <w:widowControl/>
              <w:textAlignment w:val="top"/>
              <w:rPr>
                <w:rStyle w:val="44"/>
              </w:rPr>
            </w:pPr>
            <w:r>
              <w:rPr>
                <w:rFonts w:hint="eastAsia" w:ascii="宋体" w:hAnsi="宋体" w:cs="宋体"/>
                <w:sz w:val="24"/>
              </w:rPr>
              <w:t>注：投标人需对本招标文件货物技术要求进行点对点应答，必须在引用本招标文件的基础上，进行逐条逐项答复、说明和解释。先进性、可靠性、稳定性的证明材料包括：产品技术参数及技术性能介绍资料。招标文件明确要求的，应提供招标文件要求的相关证明文件。佐证资料的真实性由投标人负责。</w:t>
            </w:r>
          </w:p>
        </w:tc>
      </w:tr>
      <w:tr w14:paraId="3F60FB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04" w:type="dxa"/>
            <w:vAlign w:val="center"/>
          </w:tcPr>
          <w:p w14:paraId="20C672D5">
            <w:pPr>
              <w:jc w:val="center"/>
              <w:rPr>
                <w:rFonts w:hint="eastAsia" w:ascii="宋体" w:hAnsi="宋体"/>
                <w:sz w:val="24"/>
              </w:rPr>
            </w:pPr>
            <w:r>
              <w:rPr>
                <w:rFonts w:hint="eastAsia" w:ascii="宋体" w:hAnsi="宋体"/>
                <w:sz w:val="24"/>
              </w:rPr>
              <w:t>6</w:t>
            </w:r>
          </w:p>
        </w:tc>
        <w:tc>
          <w:tcPr>
            <w:tcW w:w="1276" w:type="dxa"/>
            <w:vMerge w:val="continue"/>
            <w:vAlign w:val="center"/>
          </w:tcPr>
          <w:p w14:paraId="78302B2B">
            <w:pPr>
              <w:rPr>
                <w:rFonts w:hint="eastAsia" w:ascii="宋体" w:hAnsi="宋体"/>
                <w:sz w:val="24"/>
              </w:rPr>
            </w:pPr>
          </w:p>
        </w:tc>
        <w:tc>
          <w:tcPr>
            <w:tcW w:w="827" w:type="dxa"/>
            <w:vAlign w:val="center"/>
          </w:tcPr>
          <w:p w14:paraId="6AF50FFF">
            <w:pPr>
              <w:widowControl/>
              <w:jc w:val="center"/>
              <w:textAlignment w:val="center"/>
              <w:rPr>
                <w:rFonts w:hint="eastAsia" w:ascii="宋体" w:hAnsi="宋体"/>
                <w:sz w:val="24"/>
              </w:rPr>
            </w:pPr>
            <w:r>
              <w:rPr>
                <w:rFonts w:hint="eastAsia" w:ascii="宋体" w:hAnsi="宋体" w:cs="宋体"/>
                <w:sz w:val="24"/>
                <w:lang w:bidi="ar"/>
              </w:rPr>
              <w:t>供货实施方案</w:t>
            </w:r>
          </w:p>
        </w:tc>
        <w:tc>
          <w:tcPr>
            <w:tcW w:w="732" w:type="dxa"/>
            <w:vAlign w:val="center"/>
          </w:tcPr>
          <w:p w14:paraId="5673A1BF">
            <w:pPr>
              <w:widowControl/>
              <w:jc w:val="center"/>
              <w:textAlignment w:val="center"/>
              <w:rPr>
                <w:rFonts w:hint="eastAsia" w:ascii="宋体" w:hAnsi="宋体"/>
                <w:sz w:val="24"/>
              </w:rPr>
            </w:pPr>
            <w:r>
              <w:rPr>
                <w:rFonts w:hint="eastAsia" w:ascii="宋体" w:hAnsi="宋体" w:cs="宋体"/>
                <w:color w:val="000000"/>
                <w:kern w:val="0"/>
                <w:sz w:val="24"/>
                <w:lang w:bidi="ar"/>
              </w:rPr>
              <w:t>15</w:t>
            </w:r>
          </w:p>
        </w:tc>
        <w:tc>
          <w:tcPr>
            <w:tcW w:w="5103" w:type="dxa"/>
            <w:vAlign w:val="center"/>
          </w:tcPr>
          <w:p w14:paraId="2D10FCD2">
            <w:pPr>
              <w:jc w:val="left"/>
              <w:rPr>
                <w:rFonts w:hint="eastAsia" w:ascii="宋体" w:hAnsi="宋体" w:cs="宋体"/>
                <w:color w:val="000000"/>
                <w:kern w:val="0"/>
                <w:sz w:val="24"/>
                <w:lang w:bidi="ar"/>
              </w:rPr>
            </w:pPr>
            <w:r>
              <w:rPr>
                <w:rFonts w:hint="eastAsia" w:ascii="宋体" w:hAnsi="宋体" w:cs="宋体"/>
                <w:color w:val="000000"/>
                <w:kern w:val="0"/>
                <w:sz w:val="24"/>
                <w:lang w:bidi="ar"/>
              </w:rPr>
              <w:t>评委根据投标人提供的供货及运输配送方案进行综合评审。</w:t>
            </w:r>
          </w:p>
          <w:p w14:paraId="7FBFD55C">
            <w:pPr>
              <w:jc w:val="left"/>
              <w:rPr>
                <w:rFonts w:hint="eastAsia" w:ascii="宋体" w:hAnsi="宋体" w:cs="宋体"/>
                <w:color w:val="000000"/>
                <w:sz w:val="24"/>
              </w:rPr>
            </w:pPr>
            <w:r>
              <w:rPr>
                <w:rFonts w:hint="eastAsia" w:ascii="宋体" w:hAnsi="宋体" w:cs="宋体"/>
                <w:color w:val="000000"/>
                <w:sz w:val="24"/>
              </w:rPr>
              <w:t>实施方案包括但不限于：实施进度计划、实施人员配备、运输方案、安装调试方案、应急措施方案等。</w:t>
            </w:r>
          </w:p>
          <w:p w14:paraId="7D6918CA">
            <w:pPr>
              <w:jc w:val="left"/>
              <w:rPr>
                <w:rFonts w:hint="eastAsia" w:ascii="宋体" w:hAnsi="宋体" w:cs="宋体"/>
                <w:color w:val="000000"/>
                <w:sz w:val="24"/>
              </w:rPr>
            </w:pPr>
            <w:r>
              <w:rPr>
                <w:rFonts w:hint="eastAsia" w:ascii="宋体" w:hAnsi="宋体" w:cs="宋体"/>
                <w:color w:val="000000"/>
                <w:sz w:val="24"/>
              </w:rPr>
              <w:t>（1）方案完善合理、科学有效、内容详实、保障力度强的得15分；</w:t>
            </w:r>
          </w:p>
          <w:p w14:paraId="43E8ECA7">
            <w:pPr>
              <w:jc w:val="left"/>
              <w:rPr>
                <w:rFonts w:hint="eastAsia" w:ascii="宋体" w:hAnsi="宋体" w:cs="宋体"/>
                <w:color w:val="000000"/>
                <w:sz w:val="24"/>
              </w:rPr>
            </w:pPr>
            <w:r>
              <w:rPr>
                <w:rFonts w:hint="eastAsia" w:ascii="宋体" w:hAnsi="宋体" w:cs="宋体"/>
                <w:color w:val="000000"/>
                <w:sz w:val="24"/>
              </w:rPr>
              <w:t>（2）方案较为完整、有一定科学有效性、内容完整、保障力度较好的得10分；</w:t>
            </w:r>
          </w:p>
          <w:p w14:paraId="59CB9277">
            <w:pPr>
              <w:jc w:val="left"/>
              <w:rPr>
                <w:rFonts w:hint="eastAsia" w:ascii="宋体" w:hAnsi="宋体" w:cs="宋体"/>
                <w:color w:val="000000"/>
                <w:sz w:val="24"/>
              </w:rPr>
            </w:pPr>
            <w:r>
              <w:rPr>
                <w:rFonts w:hint="eastAsia" w:ascii="宋体" w:hAnsi="宋体" w:cs="宋体"/>
                <w:color w:val="000000"/>
                <w:sz w:val="24"/>
              </w:rPr>
              <w:t>（3）方案相对简单、科学有效性较差、内容较为完整、保障力度一般的得5分；</w:t>
            </w:r>
          </w:p>
          <w:p w14:paraId="71BECA3A">
            <w:pPr>
              <w:widowControl/>
              <w:textAlignment w:val="top"/>
              <w:rPr>
                <w:rFonts w:hint="eastAsia" w:ascii="宋体" w:hAnsi="宋体"/>
                <w:sz w:val="24"/>
              </w:rPr>
            </w:pPr>
            <w:r>
              <w:rPr>
                <w:rFonts w:hint="eastAsia" w:ascii="宋体" w:hAnsi="宋体" w:cs="宋体"/>
                <w:color w:val="000000"/>
                <w:sz w:val="24"/>
              </w:rPr>
              <w:t>（4）不符合要求或不提供</w:t>
            </w:r>
            <w:r>
              <w:rPr>
                <w:rFonts w:hint="eastAsia" w:ascii="宋体" w:hAnsi="宋体" w:cs="宋体"/>
                <w:color w:val="000000"/>
                <w:kern w:val="0"/>
                <w:sz w:val="24"/>
                <w:lang w:bidi="ar"/>
              </w:rPr>
              <w:t>得0分</w:t>
            </w:r>
            <w:r>
              <w:rPr>
                <w:rFonts w:hint="eastAsia" w:ascii="宋体" w:hAnsi="宋体" w:cs="宋体"/>
                <w:color w:val="000000"/>
                <w:sz w:val="24"/>
              </w:rPr>
              <w:t>。</w:t>
            </w:r>
          </w:p>
        </w:tc>
      </w:tr>
      <w:tr w14:paraId="621DDC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04" w:type="dxa"/>
            <w:vAlign w:val="center"/>
          </w:tcPr>
          <w:p w14:paraId="06A0DF0C">
            <w:pPr>
              <w:jc w:val="center"/>
              <w:rPr>
                <w:rFonts w:hint="eastAsia" w:ascii="宋体" w:hAnsi="宋体"/>
                <w:sz w:val="24"/>
              </w:rPr>
            </w:pPr>
            <w:r>
              <w:rPr>
                <w:rFonts w:hint="eastAsia" w:ascii="宋体" w:hAnsi="宋体"/>
                <w:sz w:val="24"/>
              </w:rPr>
              <w:t>7</w:t>
            </w:r>
          </w:p>
        </w:tc>
        <w:tc>
          <w:tcPr>
            <w:tcW w:w="1276" w:type="dxa"/>
            <w:vMerge w:val="continue"/>
            <w:vAlign w:val="center"/>
          </w:tcPr>
          <w:p w14:paraId="64998741">
            <w:pPr>
              <w:rPr>
                <w:rFonts w:hint="eastAsia" w:ascii="宋体" w:hAnsi="宋体"/>
                <w:sz w:val="24"/>
              </w:rPr>
            </w:pPr>
          </w:p>
        </w:tc>
        <w:tc>
          <w:tcPr>
            <w:tcW w:w="827" w:type="dxa"/>
            <w:vAlign w:val="center"/>
          </w:tcPr>
          <w:p w14:paraId="70E6B5C8">
            <w:pPr>
              <w:widowControl/>
              <w:jc w:val="center"/>
              <w:textAlignment w:val="center"/>
              <w:rPr>
                <w:rFonts w:hint="eastAsia" w:ascii="宋体" w:hAnsi="宋体"/>
                <w:sz w:val="24"/>
              </w:rPr>
            </w:pPr>
            <w:r>
              <w:rPr>
                <w:rFonts w:hint="eastAsia" w:ascii="宋体" w:hAnsi="宋体" w:cs="宋体"/>
                <w:color w:val="000000"/>
                <w:kern w:val="0"/>
                <w:sz w:val="24"/>
                <w:lang w:bidi="ar"/>
              </w:rPr>
              <w:t>质量保障措施</w:t>
            </w:r>
          </w:p>
        </w:tc>
        <w:tc>
          <w:tcPr>
            <w:tcW w:w="732" w:type="dxa"/>
            <w:vAlign w:val="center"/>
          </w:tcPr>
          <w:p w14:paraId="5DD8AC72">
            <w:pPr>
              <w:widowControl/>
              <w:jc w:val="center"/>
              <w:textAlignment w:val="center"/>
              <w:rPr>
                <w:rFonts w:hint="eastAsia" w:ascii="宋体" w:hAnsi="宋体"/>
                <w:sz w:val="24"/>
              </w:rPr>
            </w:pPr>
            <w:r>
              <w:rPr>
                <w:rFonts w:hint="eastAsia" w:ascii="宋体" w:hAnsi="宋体" w:cs="宋体"/>
                <w:color w:val="000000"/>
                <w:kern w:val="0"/>
                <w:sz w:val="24"/>
                <w:lang w:bidi="ar"/>
              </w:rPr>
              <w:t>10</w:t>
            </w:r>
          </w:p>
        </w:tc>
        <w:tc>
          <w:tcPr>
            <w:tcW w:w="5103" w:type="dxa"/>
            <w:vAlign w:val="center"/>
          </w:tcPr>
          <w:p w14:paraId="5C5C75BE">
            <w:pPr>
              <w:widowControl/>
              <w:jc w:val="left"/>
              <w:textAlignment w:val="top"/>
              <w:rPr>
                <w:rFonts w:hint="eastAsia" w:ascii="宋体" w:hAnsi="宋体"/>
                <w:sz w:val="24"/>
              </w:rPr>
            </w:pPr>
            <w:r>
              <w:rPr>
                <w:rFonts w:hint="eastAsia" w:ascii="宋体" w:hAnsi="宋体" w:cs="宋体"/>
                <w:color w:val="000000"/>
                <w:kern w:val="0"/>
                <w:sz w:val="24"/>
                <w:lang w:bidi="ar"/>
              </w:rPr>
              <w:t>评委根据投标人提供的质量保障措施方案综合评审。</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质量保障方案完整、科学、合理得10分；</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质量保障方案较完整、较科学、较合理得7分；</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质量保障方案完整度一般、科学性一般、合理性一般得4分；</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质量保障方案不合理或未提供得0分。</w:t>
            </w:r>
          </w:p>
        </w:tc>
      </w:tr>
      <w:tr w14:paraId="08B659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04" w:type="dxa"/>
            <w:vAlign w:val="center"/>
          </w:tcPr>
          <w:p w14:paraId="2E94A89A">
            <w:pPr>
              <w:jc w:val="center"/>
              <w:rPr>
                <w:rFonts w:hint="eastAsia" w:ascii="宋体" w:hAnsi="宋体"/>
                <w:sz w:val="24"/>
              </w:rPr>
            </w:pPr>
            <w:r>
              <w:rPr>
                <w:rFonts w:hint="eastAsia" w:ascii="宋体" w:hAnsi="宋体"/>
                <w:sz w:val="24"/>
              </w:rPr>
              <w:t>8</w:t>
            </w:r>
          </w:p>
        </w:tc>
        <w:tc>
          <w:tcPr>
            <w:tcW w:w="1276" w:type="dxa"/>
            <w:vMerge w:val="continue"/>
            <w:vAlign w:val="center"/>
          </w:tcPr>
          <w:p w14:paraId="1814F842">
            <w:pPr>
              <w:rPr>
                <w:rFonts w:hint="eastAsia" w:ascii="宋体" w:hAnsi="宋体"/>
                <w:sz w:val="24"/>
              </w:rPr>
            </w:pPr>
          </w:p>
        </w:tc>
        <w:tc>
          <w:tcPr>
            <w:tcW w:w="827" w:type="dxa"/>
            <w:vAlign w:val="center"/>
          </w:tcPr>
          <w:p w14:paraId="7784CD6C">
            <w:pPr>
              <w:widowControl/>
              <w:jc w:val="center"/>
              <w:textAlignment w:val="center"/>
              <w:rPr>
                <w:rFonts w:hint="eastAsia" w:ascii="宋体" w:hAnsi="宋体"/>
                <w:sz w:val="24"/>
              </w:rPr>
            </w:pPr>
            <w:r>
              <w:rPr>
                <w:rFonts w:hint="eastAsia" w:ascii="宋体" w:hAnsi="宋体" w:cs="宋体"/>
                <w:color w:val="000000"/>
                <w:kern w:val="0"/>
                <w:sz w:val="24"/>
                <w:lang w:bidi="ar"/>
              </w:rPr>
              <w:t>售后服务方案</w:t>
            </w:r>
          </w:p>
        </w:tc>
        <w:tc>
          <w:tcPr>
            <w:tcW w:w="732" w:type="dxa"/>
            <w:vAlign w:val="center"/>
          </w:tcPr>
          <w:p w14:paraId="3CC99315">
            <w:pPr>
              <w:widowControl/>
              <w:jc w:val="center"/>
              <w:textAlignment w:val="center"/>
              <w:rPr>
                <w:rFonts w:hint="eastAsia" w:ascii="宋体" w:hAnsi="宋体"/>
                <w:sz w:val="24"/>
              </w:rPr>
            </w:pPr>
            <w:r>
              <w:rPr>
                <w:rFonts w:hint="eastAsia" w:ascii="宋体" w:hAnsi="宋体" w:cs="宋体"/>
                <w:color w:val="000000"/>
                <w:kern w:val="0"/>
                <w:sz w:val="24"/>
                <w:lang w:bidi="ar"/>
              </w:rPr>
              <w:t>10</w:t>
            </w:r>
          </w:p>
        </w:tc>
        <w:tc>
          <w:tcPr>
            <w:tcW w:w="5103" w:type="dxa"/>
            <w:vAlign w:val="center"/>
          </w:tcPr>
          <w:p w14:paraId="1C1C675F">
            <w:pPr>
              <w:widowControl/>
              <w:jc w:val="left"/>
              <w:textAlignment w:val="top"/>
              <w:rPr>
                <w:rFonts w:hint="eastAsia" w:ascii="宋体" w:hAnsi="宋体"/>
                <w:sz w:val="24"/>
              </w:rPr>
            </w:pPr>
            <w:r>
              <w:rPr>
                <w:rFonts w:hint="eastAsia" w:ascii="宋体" w:hAnsi="宋体" w:cs="宋体"/>
                <w:color w:val="000000"/>
                <w:kern w:val="0"/>
                <w:sz w:val="24"/>
                <w:lang w:bidi="ar"/>
              </w:rPr>
              <w:t>评委根据投标人提供的售后服务方案、保障措施、质保期外服务及培训方案综合评判（包括但不限于服务体系、服务内容、应急解决方案、响应时间、专业技术人员、售后服务电话、售后服务车辆、备品备件、维修工具等的提供情况、保障措施和质保期后服务提供承诺）。售后服务及培训方案完整、科学、合理得10分；</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售后服务及培训方案较完整、较科学、较合理得6分；</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售后服务及培训方案基本符合要求得3分；</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售后服务及培训方案不合理得0分。</w:t>
            </w:r>
          </w:p>
        </w:tc>
      </w:tr>
      <w:tr w14:paraId="1F2B8B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7" w:hRule="atLeast"/>
          <w:jc w:val="center"/>
        </w:trPr>
        <w:tc>
          <w:tcPr>
            <w:tcW w:w="704" w:type="dxa"/>
            <w:tcBorders>
              <w:right w:val="single" w:color="auto" w:sz="4" w:space="0"/>
            </w:tcBorders>
            <w:vAlign w:val="center"/>
          </w:tcPr>
          <w:p w14:paraId="569C8FC8">
            <w:pPr>
              <w:pStyle w:val="16"/>
              <w:tabs>
                <w:tab w:val="left" w:pos="567"/>
              </w:tabs>
              <w:ind w:firstLine="0" w:firstLineChars="0"/>
              <w:jc w:val="center"/>
              <w:rPr>
                <w:rFonts w:hint="eastAsia" w:ascii="宋体" w:hAnsi="宋体"/>
                <w:sz w:val="24"/>
              </w:rPr>
            </w:pPr>
            <w:r>
              <w:rPr>
                <w:rFonts w:hint="eastAsia" w:ascii="宋体" w:hAnsi="宋体"/>
                <w:sz w:val="24"/>
              </w:rPr>
              <w:t>9</w:t>
            </w:r>
          </w:p>
        </w:tc>
        <w:tc>
          <w:tcPr>
            <w:tcW w:w="2103" w:type="dxa"/>
            <w:gridSpan w:val="2"/>
            <w:tcBorders>
              <w:left w:val="single" w:color="auto" w:sz="4" w:space="0"/>
            </w:tcBorders>
            <w:vAlign w:val="center"/>
          </w:tcPr>
          <w:p w14:paraId="4F44BE60">
            <w:pPr>
              <w:pStyle w:val="16"/>
              <w:tabs>
                <w:tab w:val="left" w:pos="567"/>
              </w:tabs>
              <w:ind w:left="209" w:firstLine="0" w:firstLineChars="0"/>
              <w:rPr>
                <w:rFonts w:hint="eastAsia" w:ascii="宋体" w:hAnsi="宋体"/>
                <w:sz w:val="24"/>
              </w:rPr>
            </w:pPr>
            <w:r>
              <w:rPr>
                <w:rFonts w:hint="eastAsia" w:ascii="宋体" w:hAnsi="宋体"/>
                <w:sz w:val="24"/>
              </w:rPr>
              <w:t>合计</w:t>
            </w:r>
          </w:p>
        </w:tc>
        <w:tc>
          <w:tcPr>
            <w:tcW w:w="732" w:type="dxa"/>
            <w:vAlign w:val="center"/>
          </w:tcPr>
          <w:p w14:paraId="1B485719">
            <w:pPr>
              <w:pStyle w:val="16"/>
              <w:tabs>
                <w:tab w:val="left" w:pos="567"/>
              </w:tabs>
              <w:ind w:firstLine="0" w:firstLineChars="0"/>
              <w:rPr>
                <w:rFonts w:hint="eastAsia" w:ascii="宋体" w:hAnsi="宋体"/>
                <w:sz w:val="24"/>
              </w:rPr>
            </w:pPr>
            <w:r>
              <w:rPr>
                <w:rFonts w:ascii="宋体" w:hAnsi="宋体"/>
                <w:sz w:val="24"/>
              </w:rPr>
              <w:fldChar w:fldCharType="begin"/>
            </w:r>
            <w:r>
              <w:rPr>
                <w:rFonts w:ascii="宋体" w:hAnsi="宋体"/>
                <w:sz w:val="24"/>
              </w:rPr>
              <w:instrText xml:space="preserve"> =SUM(ABOVE) </w:instrText>
            </w:r>
            <w:r>
              <w:rPr>
                <w:rFonts w:ascii="宋体" w:hAnsi="宋体"/>
                <w:sz w:val="24"/>
              </w:rPr>
              <w:fldChar w:fldCharType="separate"/>
            </w:r>
            <w:r>
              <w:rPr>
                <w:rFonts w:ascii="宋体" w:hAnsi="宋体"/>
                <w:sz w:val="24"/>
              </w:rPr>
              <w:t>100</w:t>
            </w:r>
            <w:r>
              <w:rPr>
                <w:rFonts w:ascii="宋体" w:hAnsi="宋体"/>
                <w:sz w:val="24"/>
              </w:rPr>
              <w:fldChar w:fldCharType="end"/>
            </w:r>
          </w:p>
        </w:tc>
        <w:tc>
          <w:tcPr>
            <w:tcW w:w="5103" w:type="dxa"/>
            <w:vAlign w:val="center"/>
          </w:tcPr>
          <w:p w14:paraId="414214FA">
            <w:pPr>
              <w:rPr>
                <w:rFonts w:hint="eastAsia" w:ascii="宋体" w:hAnsi="宋体"/>
                <w:sz w:val="24"/>
              </w:rPr>
            </w:pPr>
          </w:p>
        </w:tc>
      </w:tr>
    </w:tbl>
    <w:p w14:paraId="6F5C77F1">
      <w:pPr>
        <w:jc w:val="center"/>
        <w:rPr>
          <w:sz w:val="28"/>
          <w:szCs w:val="28"/>
        </w:rPr>
      </w:pPr>
    </w:p>
    <w:p w14:paraId="0FFF5BAC">
      <w:pPr>
        <w:jc w:val="left"/>
        <w:rPr>
          <w:rFonts w:hint="default" w:eastAsiaTheme="minorEastAsia"/>
          <w:b/>
          <w:bCs/>
          <w:lang w:val="en-US" w:eastAsia="zh-CN"/>
        </w:rPr>
      </w:pPr>
      <w:r>
        <w:rPr>
          <w:rFonts w:hint="eastAsia"/>
          <w:b/>
          <w:bCs/>
          <w:sz w:val="28"/>
          <w:szCs w:val="28"/>
        </w:rPr>
        <w:t>现调整为：</w:t>
      </w:r>
      <w:r>
        <w:rPr>
          <w:rFonts w:hint="eastAsia"/>
          <w:b/>
          <w:bCs/>
          <w:sz w:val="28"/>
          <w:szCs w:val="28"/>
          <w:lang w:val="en-US" w:eastAsia="zh-CN"/>
        </w:rPr>
        <w:t>评标标准</w:t>
      </w:r>
    </w:p>
    <w:tbl>
      <w:tblPr>
        <w:tblStyle w:val="18"/>
        <w:tblW w:w="8642"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576"/>
        <w:gridCol w:w="1111"/>
        <w:gridCol w:w="1143"/>
        <w:gridCol w:w="709"/>
        <w:gridCol w:w="5103"/>
      </w:tblGrid>
      <w:tr w14:paraId="13753A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76" w:type="dxa"/>
            <w:vAlign w:val="center"/>
          </w:tcPr>
          <w:p w14:paraId="526C8703">
            <w:pPr>
              <w:pStyle w:val="16"/>
              <w:tabs>
                <w:tab w:val="left" w:pos="567"/>
              </w:tabs>
              <w:ind w:firstLine="0" w:firstLineChars="0"/>
              <w:rPr>
                <w:rFonts w:hint="eastAsia" w:ascii="宋体" w:hAnsi="宋体"/>
                <w:b/>
                <w:bCs/>
                <w:kern w:val="0"/>
                <w:sz w:val="24"/>
              </w:rPr>
            </w:pPr>
            <w:r>
              <w:rPr>
                <w:rFonts w:ascii="宋体" w:hAnsi="宋体"/>
                <w:b/>
                <w:bCs/>
                <w:kern w:val="0"/>
                <w:sz w:val="24"/>
              </w:rPr>
              <w:t>序号</w:t>
            </w:r>
          </w:p>
        </w:tc>
        <w:tc>
          <w:tcPr>
            <w:tcW w:w="2254" w:type="dxa"/>
            <w:gridSpan w:val="2"/>
            <w:vAlign w:val="center"/>
          </w:tcPr>
          <w:p w14:paraId="28845A67">
            <w:pPr>
              <w:pStyle w:val="16"/>
              <w:tabs>
                <w:tab w:val="left" w:pos="567"/>
              </w:tabs>
              <w:ind w:firstLine="241"/>
              <w:rPr>
                <w:rFonts w:hint="eastAsia" w:ascii="宋体" w:hAnsi="宋体"/>
                <w:b/>
                <w:bCs/>
                <w:kern w:val="0"/>
                <w:sz w:val="24"/>
              </w:rPr>
            </w:pPr>
            <w:r>
              <w:rPr>
                <w:rFonts w:ascii="宋体" w:hAnsi="宋体"/>
                <w:b/>
                <w:bCs/>
                <w:kern w:val="0"/>
                <w:sz w:val="24"/>
              </w:rPr>
              <w:t>评分因素</w:t>
            </w:r>
          </w:p>
        </w:tc>
        <w:tc>
          <w:tcPr>
            <w:tcW w:w="709" w:type="dxa"/>
            <w:vAlign w:val="center"/>
          </w:tcPr>
          <w:p w14:paraId="788CF2DD">
            <w:pPr>
              <w:pStyle w:val="16"/>
              <w:tabs>
                <w:tab w:val="left" w:pos="567"/>
              </w:tabs>
              <w:ind w:firstLine="0" w:firstLineChars="0"/>
              <w:rPr>
                <w:rFonts w:hint="eastAsia" w:ascii="宋体" w:hAnsi="宋体"/>
                <w:b/>
                <w:bCs/>
                <w:kern w:val="0"/>
                <w:sz w:val="24"/>
              </w:rPr>
            </w:pPr>
            <w:r>
              <w:rPr>
                <w:rFonts w:ascii="宋体" w:hAnsi="宋体"/>
                <w:b/>
                <w:bCs/>
                <w:kern w:val="0"/>
                <w:sz w:val="24"/>
              </w:rPr>
              <w:t>分值</w:t>
            </w:r>
          </w:p>
        </w:tc>
        <w:tc>
          <w:tcPr>
            <w:tcW w:w="5103" w:type="dxa"/>
            <w:vAlign w:val="center"/>
          </w:tcPr>
          <w:p w14:paraId="524DF322">
            <w:pPr>
              <w:pStyle w:val="16"/>
              <w:tabs>
                <w:tab w:val="left" w:pos="567"/>
              </w:tabs>
              <w:ind w:firstLine="0" w:firstLineChars="0"/>
              <w:rPr>
                <w:rFonts w:hint="eastAsia" w:ascii="宋体" w:hAnsi="宋体"/>
                <w:b/>
                <w:bCs/>
                <w:kern w:val="0"/>
                <w:sz w:val="24"/>
              </w:rPr>
            </w:pPr>
            <w:r>
              <w:rPr>
                <w:rFonts w:ascii="宋体" w:hAnsi="宋体"/>
                <w:b/>
                <w:bCs/>
                <w:kern w:val="0"/>
                <w:sz w:val="24"/>
              </w:rPr>
              <w:t>评分标准</w:t>
            </w:r>
          </w:p>
        </w:tc>
      </w:tr>
      <w:tr w14:paraId="0868D9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76" w:type="dxa"/>
            <w:vAlign w:val="center"/>
          </w:tcPr>
          <w:p w14:paraId="13425CEC">
            <w:pPr>
              <w:pStyle w:val="16"/>
              <w:tabs>
                <w:tab w:val="left" w:pos="567"/>
              </w:tabs>
              <w:ind w:firstLine="240"/>
              <w:jc w:val="center"/>
              <w:rPr>
                <w:rFonts w:hint="eastAsia" w:ascii="宋体" w:hAnsi="宋体"/>
                <w:kern w:val="0"/>
                <w:sz w:val="24"/>
              </w:rPr>
            </w:pPr>
            <w:r>
              <w:rPr>
                <w:rFonts w:hint="eastAsia" w:ascii="宋体" w:hAnsi="宋体"/>
                <w:kern w:val="0"/>
                <w:sz w:val="24"/>
              </w:rPr>
              <w:t>1</w:t>
            </w:r>
          </w:p>
        </w:tc>
        <w:tc>
          <w:tcPr>
            <w:tcW w:w="1111" w:type="dxa"/>
            <w:vAlign w:val="center"/>
          </w:tcPr>
          <w:p w14:paraId="73F39808">
            <w:pPr>
              <w:pStyle w:val="16"/>
              <w:tabs>
                <w:tab w:val="left" w:pos="567"/>
              </w:tabs>
              <w:ind w:firstLine="0" w:firstLineChars="0"/>
              <w:jc w:val="center"/>
              <w:rPr>
                <w:rFonts w:hint="eastAsia" w:ascii="宋体" w:hAnsi="宋体"/>
                <w:kern w:val="0"/>
                <w:sz w:val="24"/>
              </w:rPr>
            </w:pPr>
            <w:r>
              <w:rPr>
                <w:rFonts w:ascii="宋体" w:hAnsi="宋体"/>
                <w:kern w:val="0"/>
                <w:sz w:val="24"/>
              </w:rPr>
              <w:t>报价</w:t>
            </w:r>
          </w:p>
          <w:p w14:paraId="631C63FD">
            <w:pPr>
              <w:pStyle w:val="16"/>
              <w:tabs>
                <w:tab w:val="left" w:pos="567"/>
              </w:tabs>
              <w:ind w:firstLine="0" w:firstLineChars="0"/>
              <w:jc w:val="center"/>
              <w:rPr>
                <w:rFonts w:hint="eastAsia" w:ascii="宋体" w:hAnsi="宋体"/>
                <w:kern w:val="0"/>
                <w:sz w:val="24"/>
              </w:rPr>
            </w:pPr>
            <w:r>
              <w:rPr>
                <w:rFonts w:ascii="宋体" w:hAnsi="宋体"/>
                <w:kern w:val="0"/>
                <w:sz w:val="24"/>
              </w:rPr>
              <w:t>（</w:t>
            </w:r>
            <w:r>
              <w:rPr>
                <w:rFonts w:hint="eastAsia" w:ascii="宋体" w:hAnsi="宋体"/>
                <w:kern w:val="0"/>
                <w:sz w:val="24"/>
              </w:rPr>
              <w:t>3</w:t>
            </w:r>
            <w:r>
              <w:rPr>
                <w:rFonts w:ascii="宋体" w:hAnsi="宋体"/>
                <w:kern w:val="0"/>
                <w:sz w:val="24"/>
              </w:rPr>
              <w:t>0分）</w:t>
            </w:r>
          </w:p>
        </w:tc>
        <w:tc>
          <w:tcPr>
            <w:tcW w:w="1143" w:type="dxa"/>
            <w:vAlign w:val="center"/>
          </w:tcPr>
          <w:p w14:paraId="5334CF21">
            <w:pPr>
              <w:widowControl/>
              <w:jc w:val="center"/>
              <w:rPr>
                <w:rFonts w:hint="eastAsia" w:ascii="宋体" w:hAnsi="宋体" w:eastAsia="宋体" w:cs="Times New Roman"/>
                <w:kern w:val="0"/>
                <w:sz w:val="24"/>
                <w:szCs w:val="20"/>
              </w:rPr>
            </w:pPr>
            <w:r>
              <w:rPr>
                <w:rFonts w:ascii="宋体" w:hAnsi="宋体" w:eastAsia="宋体" w:cs="Times New Roman"/>
                <w:kern w:val="0"/>
                <w:sz w:val="24"/>
                <w:szCs w:val="20"/>
              </w:rPr>
              <w:t>投标报价</w:t>
            </w:r>
          </w:p>
        </w:tc>
        <w:tc>
          <w:tcPr>
            <w:tcW w:w="709" w:type="dxa"/>
            <w:vAlign w:val="center"/>
          </w:tcPr>
          <w:p w14:paraId="2BFB063F">
            <w:pPr>
              <w:pStyle w:val="16"/>
              <w:tabs>
                <w:tab w:val="left" w:pos="567"/>
              </w:tabs>
              <w:ind w:firstLine="0" w:firstLineChars="0"/>
              <w:jc w:val="center"/>
              <w:rPr>
                <w:rFonts w:hint="eastAsia" w:ascii="宋体" w:hAnsi="宋体"/>
                <w:kern w:val="0"/>
                <w:sz w:val="24"/>
              </w:rPr>
            </w:pPr>
            <w:r>
              <w:rPr>
                <w:rFonts w:hint="eastAsia" w:ascii="宋体" w:hAnsi="宋体"/>
                <w:kern w:val="0"/>
                <w:sz w:val="24"/>
              </w:rPr>
              <w:t>30</w:t>
            </w:r>
          </w:p>
        </w:tc>
        <w:tc>
          <w:tcPr>
            <w:tcW w:w="5103" w:type="dxa"/>
            <w:vAlign w:val="center"/>
          </w:tcPr>
          <w:p w14:paraId="582B6FE2">
            <w:pPr>
              <w:pStyle w:val="16"/>
              <w:tabs>
                <w:tab w:val="left" w:pos="567"/>
              </w:tabs>
              <w:ind w:firstLine="0" w:firstLineChars="0"/>
              <w:rPr>
                <w:rFonts w:hint="eastAsia" w:ascii="宋体" w:hAnsi="宋体"/>
                <w:kern w:val="0"/>
                <w:sz w:val="24"/>
              </w:rPr>
            </w:pPr>
            <w:r>
              <w:rPr>
                <w:rFonts w:ascii="宋体" w:hAnsi="宋体"/>
                <w:kern w:val="0"/>
                <w:sz w:val="24"/>
              </w:rPr>
              <w:t>满足招标文件要求且投标价格最低的投标报价为评标基准价，其价格分为满分。其他供应商的价格分统一按照下列公式计算：</w:t>
            </w:r>
          </w:p>
          <w:p w14:paraId="15701881">
            <w:pPr>
              <w:pStyle w:val="16"/>
              <w:tabs>
                <w:tab w:val="left" w:pos="567"/>
              </w:tabs>
              <w:ind w:firstLine="240"/>
              <w:rPr>
                <w:rFonts w:hint="eastAsia" w:ascii="宋体" w:hAnsi="宋体"/>
                <w:kern w:val="0"/>
                <w:sz w:val="24"/>
              </w:rPr>
            </w:pPr>
            <w:r>
              <w:rPr>
                <w:rFonts w:ascii="宋体" w:hAnsi="宋体"/>
                <w:kern w:val="0"/>
                <w:sz w:val="24"/>
              </w:rPr>
              <w:t>投标报价得分＝（评标基准价/投标报价）×分值。</w:t>
            </w:r>
          </w:p>
        </w:tc>
      </w:tr>
      <w:tr w14:paraId="5CD556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76" w:type="dxa"/>
            <w:vAlign w:val="center"/>
          </w:tcPr>
          <w:p w14:paraId="3978EF4F">
            <w:pPr>
              <w:jc w:val="center"/>
              <w:rPr>
                <w:rFonts w:hint="eastAsia" w:ascii="宋体" w:hAnsi="宋体" w:eastAsia="宋体" w:cs="Times New Roman"/>
                <w:kern w:val="0"/>
                <w:sz w:val="24"/>
                <w:szCs w:val="20"/>
              </w:rPr>
            </w:pPr>
            <w:r>
              <w:rPr>
                <w:rFonts w:hint="eastAsia" w:ascii="宋体" w:hAnsi="宋体" w:eastAsia="宋体" w:cs="Times New Roman"/>
                <w:kern w:val="0"/>
                <w:sz w:val="24"/>
                <w:szCs w:val="20"/>
              </w:rPr>
              <w:t>2</w:t>
            </w:r>
          </w:p>
        </w:tc>
        <w:tc>
          <w:tcPr>
            <w:tcW w:w="1111" w:type="dxa"/>
            <w:vAlign w:val="center"/>
          </w:tcPr>
          <w:p w14:paraId="6F816F01">
            <w:pPr>
              <w:pStyle w:val="16"/>
              <w:tabs>
                <w:tab w:val="left" w:pos="567"/>
              </w:tabs>
              <w:ind w:firstLine="0" w:firstLineChars="0"/>
              <w:jc w:val="center"/>
              <w:rPr>
                <w:rFonts w:hint="eastAsia" w:ascii="宋体" w:hAnsi="宋体"/>
                <w:kern w:val="0"/>
                <w:sz w:val="24"/>
              </w:rPr>
            </w:pPr>
            <w:r>
              <w:rPr>
                <w:rFonts w:hint="eastAsia" w:ascii="宋体" w:hAnsi="宋体"/>
                <w:kern w:val="0"/>
                <w:sz w:val="24"/>
              </w:rPr>
              <w:t>商务部分</w:t>
            </w:r>
          </w:p>
          <w:p w14:paraId="538C7A3D">
            <w:pPr>
              <w:rPr>
                <w:rFonts w:hint="eastAsia" w:ascii="宋体" w:hAnsi="宋体" w:eastAsia="宋体" w:cs="Times New Roman"/>
                <w:kern w:val="0"/>
                <w:sz w:val="24"/>
                <w:szCs w:val="20"/>
              </w:rPr>
            </w:pPr>
            <w:r>
              <w:rPr>
                <w:rFonts w:hint="eastAsia" w:ascii="宋体" w:hAnsi="宋体" w:eastAsia="宋体" w:cs="Times New Roman"/>
                <w:kern w:val="0"/>
                <w:sz w:val="24"/>
                <w:szCs w:val="20"/>
              </w:rPr>
              <w:t>（10分）</w:t>
            </w:r>
          </w:p>
        </w:tc>
        <w:tc>
          <w:tcPr>
            <w:tcW w:w="1143" w:type="dxa"/>
            <w:vAlign w:val="center"/>
          </w:tcPr>
          <w:p w14:paraId="4F3A602F">
            <w:pPr>
              <w:pStyle w:val="16"/>
              <w:tabs>
                <w:tab w:val="left" w:pos="567"/>
              </w:tabs>
              <w:ind w:firstLine="0" w:firstLineChars="0"/>
              <w:jc w:val="center"/>
              <w:rPr>
                <w:rFonts w:hint="eastAsia" w:ascii="宋体" w:hAnsi="宋体"/>
                <w:kern w:val="0"/>
                <w:sz w:val="24"/>
              </w:rPr>
            </w:pPr>
            <w:r>
              <w:rPr>
                <w:rFonts w:ascii="宋体" w:hAnsi="宋体"/>
                <w:kern w:val="0"/>
                <w:sz w:val="24"/>
              </w:rPr>
              <w:t>投标人业绩</w:t>
            </w:r>
          </w:p>
        </w:tc>
        <w:tc>
          <w:tcPr>
            <w:tcW w:w="709" w:type="dxa"/>
            <w:vAlign w:val="center"/>
          </w:tcPr>
          <w:p w14:paraId="0D88C5BE">
            <w:pPr>
              <w:pStyle w:val="16"/>
              <w:tabs>
                <w:tab w:val="left" w:pos="567"/>
              </w:tabs>
              <w:ind w:firstLine="240"/>
              <w:rPr>
                <w:rFonts w:hint="eastAsia" w:ascii="宋体" w:hAnsi="宋体"/>
                <w:kern w:val="0"/>
                <w:sz w:val="24"/>
              </w:rPr>
            </w:pPr>
            <w:r>
              <w:rPr>
                <w:rFonts w:hint="eastAsia" w:ascii="宋体" w:hAnsi="宋体"/>
                <w:kern w:val="0"/>
                <w:sz w:val="24"/>
              </w:rPr>
              <w:t>10</w:t>
            </w:r>
          </w:p>
        </w:tc>
        <w:tc>
          <w:tcPr>
            <w:tcW w:w="5103" w:type="dxa"/>
            <w:vAlign w:val="center"/>
          </w:tcPr>
          <w:p w14:paraId="5316B542">
            <w:pPr>
              <w:jc w:val="left"/>
              <w:rPr>
                <w:rFonts w:hint="eastAsia" w:ascii="宋体" w:hAnsi="宋体" w:eastAsia="宋体" w:cs="宋体"/>
                <w:kern w:val="0"/>
                <w:sz w:val="24"/>
                <w:szCs w:val="20"/>
              </w:rPr>
            </w:pPr>
            <w:r>
              <w:rPr>
                <w:rFonts w:hint="eastAsia" w:ascii="宋体" w:hAnsi="宋体" w:eastAsia="宋体" w:cs="宋体"/>
                <w:kern w:val="0"/>
                <w:sz w:val="24"/>
                <w:szCs w:val="20"/>
              </w:rPr>
              <w:t>投标人提供近3年（2023年9月1日至投标文件递交截止日（含））的类似项目案例。</w:t>
            </w:r>
          </w:p>
          <w:p w14:paraId="29347766">
            <w:pPr>
              <w:pStyle w:val="16"/>
              <w:tabs>
                <w:tab w:val="left" w:pos="567"/>
              </w:tabs>
              <w:ind w:firstLine="0" w:firstLineChars="0"/>
              <w:rPr>
                <w:rFonts w:hint="eastAsia" w:ascii="宋体" w:hAnsi="宋体"/>
                <w:kern w:val="0"/>
                <w:sz w:val="24"/>
              </w:rPr>
            </w:pPr>
            <w:r>
              <w:rPr>
                <w:rFonts w:hint="eastAsia" w:ascii="宋体" w:hAnsi="宋体" w:cs="宋体"/>
                <w:kern w:val="0"/>
                <w:sz w:val="24"/>
              </w:rPr>
              <w:t>注：每项业绩需提供合同首页、项目名称页、采购内容页、合同金额页、签字盖章页（签订日期在2023年9月1日（含）以后日期有效，日期以签订日期为准）每提供一个有效业绩得5分，最高得10分，提供不符合要求或不提供得0分。</w:t>
            </w:r>
          </w:p>
        </w:tc>
      </w:tr>
      <w:tr w14:paraId="437816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76" w:type="dxa"/>
            <w:vAlign w:val="center"/>
          </w:tcPr>
          <w:p w14:paraId="7F6078CB">
            <w:pPr>
              <w:jc w:val="center"/>
              <w:rPr>
                <w:rFonts w:hint="eastAsia" w:ascii="宋体" w:hAnsi="宋体" w:eastAsia="宋体" w:cs="Times New Roman"/>
                <w:kern w:val="0"/>
                <w:sz w:val="24"/>
                <w:szCs w:val="20"/>
              </w:rPr>
            </w:pPr>
            <w:r>
              <w:rPr>
                <w:rFonts w:hint="eastAsia" w:ascii="宋体" w:hAnsi="宋体" w:eastAsia="宋体" w:cs="Times New Roman"/>
                <w:kern w:val="0"/>
                <w:sz w:val="24"/>
                <w:szCs w:val="20"/>
              </w:rPr>
              <w:t>3</w:t>
            </w:r>
          </w:p>
        </w:tc>
        <w:tc>
          <w:tcPr>
            <w:tcW w:w="1111" w:type="dxa"/>
            <w:vMerge w:val="restart"/>
            <w:vAlign w:val="center"/>
          </w:tcPr>
          <w:p w14:paraId="3306F99C">
            <w:pPr>
              <w:pStyle w:val="16"/>
              <w:tabs>
                <w:tab w:val="left" w:pos="567"/>
              </w:tabs>
              <w:ind w:firstLine="0" w:firstLineChars="0"/>
              <w:jc w:val="center"/>
              <w:rPr>
                <w:rFonts w:hint="eastAsia" w:ascii="宋体" w:hAnsi="宋体"/>
                <w:kern w:val="0"/>
                <w:sz w:val="24"/>
              </w:rPr>
            </w:pPr>
            <w:r>
              <w:rPr>
                <w:rFonts w:hint="eastAsia" w:ascii="宋体" w:hAnsi="宋体"/>
                <w:kern w:val="0"/>
                <w:sz w:val="24"/>
              </w:rPr>
              <w:t>技</w:t>
            </w:r>
          </w:p>
          <w:p w14:paraId="2DA2A4DF">
            <w:pPr>
              <w:pStyle w:val="16"/>
              <w:tabs>
                <w:tab w:val="left" w:pos="567"/>
              </w:tabs>
              <w:ind w:firstLine="0" w:firstLineChars="0"/>
              <w:jc w:val="center"/>
              <w:rPr>
                <w:rFonts w:hint="eastAsia" w:ascii="宋体" w:hAnsi="宋体"/>
                <w:kern w:val="0"/>
                <w:sz w:val="24"/>
              </w:rPr>
            </w:pPr>
            <w:r>
              <w:rPr>
                <w:rFonts w:hint="eastAsia" w:ascii="宋体" w:hAnsi="宋体"/>
                <w:kern w:val="0"/>
                <w:sz w:val="24"/>
              </w:rPr>
              <w:t>术</w:t>
            </w:r>
          </w:p>
          <w:p w14:paraId="539BD8A0">
            <w:pPr>
              <w:pStyle w:val="16"/>
              <w:tabs>
                <w:tab w:val="left" w:pos="567"/>
              </w:tabs>
              <w:ind w:firstLine="0" w:firstLineChars="0"/>
              <w:jc w:val="center"/>
              <w:rPr>
                <w:rFonts w:hint="eastAsia" w:ascii="宋体" w:hAnsi="宋体"/>
                <w:kern w:val="0"/>
                <w:sz w:val="24"/>
              </w:rPr>
            </w:pPr>
            <w:r>
              <w:rPr>
                <w:rFonts w:hint="eastAsia" w:ascii="宋体" w:hAnsi="宋体"/>
                <w:kern w:val="0"/>
                <w:sz w:val="24"/>
              </w:rPr>
              <w:t>部</w:t>
            </w:r>
          </w:p>
          <w:p w14:paraId="1CD25542">
            <w:pPr>
              <w:pStyle w:val="16"/>
              <w:tabs>
                <w:tab w:val="left" w:pos="567"/>
              </w:tabs>
              <w:ind w:firstLine="0" w:firstLineChars="0"/>
              <w:jc w:val="center"/>
              <w:rPr>
                <w:rFonts w:hint="eastAsia" w:ascii="宋体" w:hAnsi="宋体"/>
                <w:kern w:val="0"/>
                <w:sz w:val="24"/>
              </w:rPr>
            </w:pPr>
            <w:r>
              <w:rPr>
                <w:rFonts w:hint="eastAsia" w:ascii="宋体" w:hAnsi="宋体"/>
                <w:kern w:val="0"/>
                <w:sz w:val="24"/>
              </w:rPr>
              <w:t>分</w:t>
            </w:r>
          </w:p>
          <w:p w14:paraId="4C1D845E">
            <w:pPr>
              <w:rPr>
                <w:rFonts w:hint="eastAsia" w:ascii="宋体" w:hAnsi="宋体" w:eastAsia="宋体" w:cs="Times New Roman"/>
                <w:kern w:val="0"/>
                <w:sz w:val="24"/>
                <w:szCs w:val="20"/>
              </w:rPr>
            </w:pPr>
            <w:r>
              <w:rPr>
                <w:rFonts w:hint="eastAsia" w:ascii="宋体" w:hAnsi="宋体" w:eastAsia="宋体" w:cs="Times New Roman"/>
                <w:kern w:val="0"/>
                <w:sz w:val="24"/>
                <w:szCs w:val="20"/>
              </w:rPr>
              <w:t>（60分）</w:t>
            </w:r>
          </w:p>
        </w:tc>
        <w:tc>
          <w:tcPr>
            <w:tcW w:w="1143" w:type="dxa"/>
            <w:vAlign w:val="center"/>
          </w:tcPr>
          <w:p w14:paraId="236BD740">
            <w:pPr>
              <w:pStyle w:val="16"/>
              <w:tabs>
                <w:tab w:val="left" w:pos="567"/>
              </w:tabs>
              <w:ind w:firstLine="0" w:firstLineChars="0"/>
              <w:jc w:val="center"/>
              <w:rPr>
                <w:rFonts w:hint="eastAsia" w:hAnsi="宋体"/>
                <w:kern w:val="0"/>
                <w:sz w:val="24"/>
              </w:rPr>
            </w:pPr>
            <w:r>
              <w:rPr>
                <w:rFonts w:hint="eastAsia" w:ascii="宋体" w:hAnsi="宋体"/>
                <w:kern w:val="0"/>
                <w:sz w:val="24"/>
              </w:rPr>
              <w:t>需求理解</w:t>
            </w:r>
          </w:p>
        </w:tc>
        <w:tc>
          <w:tcPr>
            <w:tcW w:w="709" w:type="dxa"/>
            <w:vAlign w:val="center"/>
          </w:tcPr>
          <w:p w14:paraId="7B2D8890">
            <w:pPr>
              <w:jc w:val="center"/>
              <w:rPr>
                <w:rFonts w:hint="eastAsia" w:ascii="宋体" w:hAnsi="宋体" w:eastAsia="宋体" w:cs="Times New Roman"/>
                <w:kern w:val="0"/>
                <w:sz w:val="24"/>
                <w:szCs w:val="20"/>
              </w:rPr>
            </w:pPr>
            <w:r>
              <w:rPr>
                <w:rFonts w:hint="eastAsia" w:ascii="宋体" w:hAnsi="宋体" w:eastAsia="宋体" w:cs="Times New Roman"/>
                <w:kern w:val="0"/>
                <w:sz w:val="24"/>
                <w:szCs w:val="20"/>
              </w:rPr>
              <w:t>9</w:t>
            </w:r>
          </w:p>
        </w:tc>
        <w:tc>
          <w:tcPr>
            <w:tcW w:w="5103" w:type="dxa"/>
            <w:vAlign w:val="center"/>
          </w:tcPr>
          <w:p w14:paraId="1CDD061C">
            <w:pPr>
              <w:pStyle w:val="43"/>
              <w:spacing w:line="240" w:lineRule="auto"/>
              <w:ind w:firstLine="0" w:firstLineChars="0"/>
              <w:rPr>
                <w:rFonts w:hint="eastAsia" w:eastAsia="宋体" w:cs="Times New Roman"/>
                <w:kern w:val="0"/>
              </w:rPr>
            </w:pPr>
            <w:r>
              <w:rPr>
                <w:rFonts w:hint="eastAsia" w:eastAsia="宋体" w:cs="Times New Roman"/>
                <w:kern w:val="0"/>
              </w:rPr>
              <w:t>评委根据采购需求及投标人提供的总体项目需求理解（包括①总体目标②现状分析③问题解剖等）进行综合评分：</w:t>
            </w:r>
          </w:p>
          <w:p w14:paraId="66401525">
            <w:pPr>
              <w:pStyle w:val="43"/>
              <w:spacing w:line="240" w:lineRule="auto"/>
              <w:ind w:firstLine="0" w:firstLineChars="0"/>
              <w:rPr>
                <w:rFonts w:hint="eastAsia" w:eastAsia="宋体" w:cs="Times New Roman"/>
                <w:kern w:val="2"/>
              </w:rPr>
            </w:pPr>
            <w:r>
              <w:rPr>
                <w:rStyle w:val="44"/>
                <w:rFonts w:hint="eastAsia" w:cs="Times New Roman"/>
              </w:rPr>
              <w:t>上述3项描述</w:t>
            </w:r>
            <w:r>
              <w:rPr>
                <w:rFonts w:hint="eastAsia" w:eastAsia="宋体" w:cs="仿宋"/>
                <w:kern w:val="0"/>
              </w:rPr>
              <w:t>内容详细，专门针对本项目，符合采购需求和实际情况视为符合得3；内容属于通用类，非专门针对本项目，部分符合实际情况视为部分符合得2分；内容复制粘贴采购需求，非专门针对本项目得1分，不符合实际情况或未提供视为不符合</w:t>
            </w:r>
            <w:r>
              <w:rPr>
                <w:rFonts w:hint="eastAsia" w:eastAsia="宋体" w:cs="宋体"/>
                <w:kern w:val="0"/>
              </w:rPr>
              <w:t>。</w:t>
            </w:r>
          </w:p>
        </w:tc>
      </w:tr>
      <w:tr w14:paraId="2B24DC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07" w:hRule="atLeast"/>
          <w:jc w:val="center"/>
        </w:trPr>
        <w:tc>
          <w:tcPr>
            <w:tcW w:w="576" w:type="dxa"/>
            <w:vAlign w:val="center"/>
          </w:tcPr>
          <w:p w14:paraId="70FFCE05">
            <w:pPr>
              <w:jc w:val="center"/>
              <w:rPr>
                <w:rFonts w:hint="eastAsia" w:ascii="宋体" w:hAnsi="宋体" w:eastAsia="宋体" w:cs="Times New Roman"/>
                <w:kern w:val="0"/>
                <w:sz w:val="24"/>
                <w:szCs w:val="20"/>
              </w:rPr>
            </w:pPr>
            <w:bookmarkStart w:id="0" w:name="_Hlk238812790"/>
            <w:r>
              <w:rPr>
                <w:rFonts w:hint="eastAsia" w:ascii="宋体" w:hAnsi="宋体" w:eastAsia="宋体" w:cs="Times New Roman"/>
                <w:kern w:val="0"/>
                <w:sz w:val="24"/>
                <w:szCs w:val="20"/>
              </w:rPr>
              <w:t>4</w:t>
            </w:r>
          </w:p>
        </w:tc>
        <w:tc>
          <w:tcPr>
            <w:tcW w:w="1111" w:type="dxa"/>
            <w:vMerge w:val="continue"/>
            <w:vAlign w:val="center"/>
          </w:tcPr>
          <w:p w14:paraId="208F91E6">
            <w:pPr>
              <w:rPr>
                <w:rFonts w:hint="eastAsia" w:ascii="宋体" w:hAnsi="宋体" w:eastAsia="宋体" w:cs="Times New Roman"/>
                <w:kern w:val="0"/>
                <w:sz w:val="24"/>
                <w:szCs w:val="20"/>
              </w:rPr>
            </w:pPr>
          </w:p>
        </w:tc>
        <w:tc>
          <w:tcPr>
            <w:tcW w:w="1143" w:type="dxa"/>
            <w:vAlign w:val="center"/>
          </w:tcPr>
          <w:p w14:paraId="3EDCF69A">
            <w:pPr>
              <w:widowControl/>
              <w:jc w:val="center"/>
              <w:textAlignment w:val="center"/>
              <w:rPr>
                <w:rStyle w:val="44"/>
                <w:rFonts w:hint="eastAsia" w:ascii="Times New Roman" w:hAnsi="宋体" w:cs="Times New Roman"/>
              </w:rPr>
            </w:pPr>
            <w:r>
              <w:rPr>
                <w:rFonts w:hint="eastAsia" w:ascii="宋体" w:hAnsi="宋体" w:eastAsia="宋体" w:cs="宋体"/>
                <w:kern w:val="0"/>
                <w:sz w:val="24"/>
                <w:szCs w:val="20"/>
              </w:rPr>
              <w:t>设备选型</w:t>
            </w:r>
          </w:p>
        </w:tc>
        <w:tc>
          <w:tcPr>
            <w:tcW w:w="709" w:type="dxa"/>
            <w:vAlign w:val="center"/>
          </w:tcPr>
          <w:p w14:paraId="3DED47D0">
            <w:pPr>
              <w:widowControl/>
              <w:jc w:val="center"/>
              <w:textAlignment w:val="center"/>
              <w:rPr>
                <w:rFonts w:hint="eastAsia" w:ascii="宋体" w:hAnsi="宋体" w:eastAsia="宋体" w:cs="Times New Roman"/>
                <w:kern w:val="0"/>
                <w:sz w:val="24"/>
                <w:szCs w:val="20"/>
              </w:rPr>
            </w:pPr>
            <w:r>
              <w:rPr>
                <w:rFonts w:hint="eastAsia" w:ascii="宋体" w:hAnsi="宋体" w:eastAsia="宋体" w:cs="Times New Roman"/>
                <w:kern w:val="0"/>
                <w:sz w:val="24"/>
                <w:szCs w:val="20"/>
              </w:rPr>
              <w:t>13</w:t>
            </w:r>
          </w:p>
        </w:tc>
        <w:tc>
          <w:tcPr>
            <w:tcW w:w="5103" w:type="dxa"/>
            <w:vAlign w:val="center"/>
          </w:tcPr>
          <w:p w14:paraId="52E8D68B">
            <w:pPr>
              <w:widowControl/>
              <w:adjustRightInd w:val="0"/>
              <w:snapToGrid w:val="0"/>
              <w:jc w:val="left"/>
              <w:textAlignment w:val="baseline"/>
              <w:rPr>
                <w:rFonts w:hint="eastAsia" w:ascii="宋体" w:hAnsi="宋体" w:eastAsia="宋体" w:cs="宋体"/>
                <w:kern w:val="0"/>
                <w:sz w:val="24"/>
                <w:szCs w:val="20"/>
              </w:rPr>
            </w:pPr>
            <w:r>
              <w:rPr>
                <w:rFonts w:hint="eastAsia" w:ascii="宋体" w:hAnsi="宋体" w:eastAsia="宋体" w:cs="宋体"/>
                <w:kern w:val="0"/>
                <w:sz w:val="24"/>
                <w:szCs w:val="20"/>
              </w:rPr>
              <w:t>评委根据投标人所投货物选型配置、安全性、稳定性、适用性等情况打分：</w:t>
            </w:r>
          </w:p>
          <w:p w14:paraId="497B867C">
            <w:pPr>
              <w:widowControl/>
              <w:adjustRightInd w:val="0"/>
              <w:snapToGrid w:val="0"/>
              <w:jc w:val="left"/>
              <w:textAlignment w:val="baseline"/>
              <w:rPr>
                <w:rFonts w:hint="eastAsia" w:ascii="宋体" w:hAnsi="宋体" w:eastAsia="宋体" w:cs="宋体"/>
                <w:kern w:val="0"/>
                <w:sz w:val="24"/>
                <w:szCs w:val="20"/>
              </w:rPr>
            </w:pPr>
            <w:r>
              <w:rPr>
                <w:rFonts w:hint="eastAsia" w:ascii="宋体" w:hAnsi="宋体" w:eastAsia="宋体" w:cs="宋体"/>
                <w:kern w:val="0"/>
                <w:sz w:val="24"/>
                <w:szCs w:val="20"/>
              </w:rPr>
              <w:t>所投产品技术先进性、可靠性、稳定性优得13</w:t>
            </w:r>
          </w:p>
          <w:p w14:paraId="22E323C8">
            <w:pPr>
              <w:widowControl/>
              <w:adjustRightInd w:val="0"/>
              <w:snapToGrid w:val="0"/>
              <w:jc w:val="left"/>
              <w:textAlignment w:val="baseline"/>
              <w:rPr>
                <w:rFonts w:hint="eastAsia" w:ascii="宋体" w:hAnsi="宋体" w:eastAsia="宋体" w:cs="宋体"/>
                <w:kern w:val="0"/>
                <w:sz w:val="24"/>
                <w:szCs w:val="20"/>
              </w:rPr>
            </w:pPr>
            <w:r>
              <w:rPr>
                <w:rFonts w:hint="eastAsia" w:ascii="宋体" w:hAnsi="宋体" w:eastAsia="宋体" w:cs="宋体"/>
                <w:kern w:val="0"/>
                <w:sz w:val="24"/>
                <w:szCs w:val="20"/>
              </w:rPr>
              <w:t>所投产品技术先进性、可靠性、稳定性较好得8分；</w:t>
            </w:r>
          </w:p>
          <w:p w14:paraId="7EE0763C">
            <w:pPr>
              <w:widowControl/>
              <w:adjustRightInd w:val="0"/>
              <w:snapToGrid w:val="0"/>
              <w:jc w:val="left"/>
              <w:textAlignment w:val="baseline"/>
              <w:rPr>
                <w:rFonts w:hint="eastAsia" w:ascii="宋体" w:hAnsi="宋体" w:eastAsia="宋体" w:cs="宋体"/>
                <w:kern w:val="0"/>
                <w:sz w:val="24"/>
                <w:szCs w:val="20"/>
              </w:rPr>
            </w:pPr>
            <w:r>
              <w:rPr>
                <w:rFonts w:hint="eastAsia" w:ascii="宋体" w:hAnsi="宋体" w:eastAsia="宋体" w:cs="宋体"/>
                <w:kern w:val="0"/>
                <w:sz w:val="24"/>
                <w:szCs w:val="20"/>
              </w:rPr>
              <w:t>所投产品技术先进性、可靠性、稳定性一般得5分；</w:t>
            </w:r>
          </w:p>
          <w:p w14:paraId="0424E00D">
            <w:pPr>
              <w:widowControl/>
              <w:adjustRightInd w:val="0"/>
              <w:snapToGrid w:val="0"/>
              <w:jc w:val="left"/>
              <w:textAlignment w:val="baseline"/>
              <w:rPr>
                <w:rFonts w:hint="eastAsia" w:ascii="宋体" w:hAnsi="宋体" w:eastAsia="宋体" w:cs="宋体"/>
                <w:kern w:val="0"/>
                <w:sz w:val="24"/>
                <w:szCs w:val="20"/>
              </w:rPr>
            </w:pPr>
            <w:r>
              <w:rPr>
                <w:rFonts w:hint="eastAsia" w:ascii="宋体" w:hAnsi="宋体" w:eastAsia="宋体" w:cs="宋体"/>
                <w:kern w:val="0"/>
                <w:sz w:val="24"/>
                <w:szCs w:val="20"/>
              </w:rPr>
              <w:t>所投产品技术先进性、可靠性、稳定性差得2分；</w:t>
            </w:r>
          </w:p>
          <w:p w14:paraId="15B3F6C4">
            <w:pPr>
              <w:widowControl/>
              <w:adjustRightInd w:val="0"/>
              <w:snapToGrid w:val="0"/>
              <w:jc w:val="left"/>
              <w:textAlignment w:val="baseline"/>
              <w:rPr>
                <w:rFonts w:hint="eastAsia" w:ascii="宋体" w:hAnsi="宋体" w:eastAsia="宋体" w:cs="宋体"/>
                <w:kern w:val="0"/>
                <w:sz w:val="24"/>
                <w:szCs w:val="20"/>
              </w:rPr>
            </w:pPr>
            <w:r>
              <w:rPr>
                <w:rFonts w:hint="eastAsia" w:ascii="宋体" w:hAnsi="宋体" w:eastAsia="宋体" w:cs="宋体"/>
                <w:kern w:val="0"/>
                <w:sz w:val="24"/>
                <w:szCs w:val="20"/>
              </w:rPr>
              <w:t>未提供证明材料得0分。</w:t>
            </w:r>
          </w:p>
          <w:p w14:paraId="340E7ED7">
            <w:pPr>
              <w:widowControl/>
              <w:textAlignment w:val="top"/>
              <w:rPr>
                <w:rStyle w:val="44"/>
                <w:rFonts w:ascii="Times New Roman" w:hAnsi="Times New Roman" w:cs="Times New Roman"/>
              </w:rPr>
            </w:pPr>
            <w:r>
              <w:rPr>
                <w:rFonts w:hint="eastAsia" w:ascii="宋体" w:hAnsi="宋体" w:eastAsia="宋体" w:cs="宋体"/>
                <w:kern w:val="0"/>
                <w:sz w:val="24"/>
                <w:szCs w:val="20"/>
              </w:rPr>
              <w:t>注：投标人需对本招标文件货物技术要求进行点对点应答，必须在引用本招标文件的基础上，进行逐条逐项答复、说明和解释。先进性、可靠性、稳定性的证明材料包括：产品技术参数及技术性能介绍资料。招标文件明确要求的，应提供招标文件要求的相关证明文件。佐证资料的真实性由投标人负责。</w:t>
            </w:r>
          </w:p>
        </w:tc>
      </w:tr>
      <w:bookmarkEnd w:id="0"/>
      <w:tr w14:paraId="3D529F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76" w:type="dxa"/>
            <w:vAlign w:val="center"/>
          </w:tcPr>
          <w:p w14:paraId="4029A8D4">
            <w:pPr>
              <w:jc w:val="center"/>
              <w:rPr>
                <w:rFonts w:hint="eastAsia" w:ascii="宋体" w:hAnsi="宋体" w:eastAsia="宋体" w:cs="Times New Roman"/>
                <w:kern w:val="0"/>
                <w:sz w:val="24"/>
                <w:szCs w:val="20"/>
              </w:rPr>
            </w:pPr>
            <w:bookmarkStart w:id="1" w:name="_Hlk238812516"/>
            <w:r>
              <w:rPr>
                <w:rFonts w:hint="eastAsia" w:ascii="宋体" w:hAnsi="宋体" w:eastAsia="宋体" w:cs="Times New Roman"/>
                <w:kern w:val="0"/>
                <w:sz w:val="24"/>
                <w:szCs w:val="20"/>
              </w:rPr>
              <w:t>5</w:t>
            </w:r>
          </w:p>
        </w:tc>
        <w:tc>
          <w:tcPr>
            <w:tcW w:w="1111" w:type="dxa"/>
            <w:vMerge w:val="continue"/>
            <w:vAlign w:val="center"/>
          </w:tcPr>
          <w:p w14:paraId="193E9553">
            <w:pPr>
              <w:rPr>
                <w:rFonts w:hint="eastAsia" w:ascii="宋体" w:hAnsi="宋体" w:eastAsia="宋体" w:cs="Times New Roman"/>
                <w:kern w:val="0"/>
                <w:sz w:val="24"/>
                <w:szCs w:val="20"/>
              </w:rPr>
            </w:pPr>
          </w:p>
        </w:tc>
        <w:tc>
          <w:tcPr>
            <w:tcW w:w="1143" w:type="dxa"/>
            <w:vAlign w:val="center"/>
          </w:tcPr>
          <w:p w14:paraId="10F34F7F">
            <w:pPr>
              <w:widowControl/>
              <w:jc w:val="center"/>
              <w:textAlignment w:val="center"/>
              <w:rPr>
                <w:rFonts w:hint="eastAsia" w:ascii="宋体" w:hAnsi="宋体" w:eastAsia="宋体" w:cs="Times New Roman"/>
                <w:kern w:val="0"/>
                <w:sz w:val="24"/>
                <w:szCs w:val="20"/>
              </w:rPr>
            </w:pPr>
            <w:r>
              <w:rPr>
                <w:rFonts w:hint="eastAsia" w:ascii="宋体" w:hAnsi="宋体" w:eastAsia="宋体" w:cs="宋体"/>
                <w:kern w:val="0"/>
                <w:sz w:val="24"/>
                <w:szCs w:val="20"/>
                <w:lang w:bidi="ar"/>
              </w:rPr>
              <w:t>供货实施方案</w:t>
            </w:r>
          </w:p>
        </w:tc>
        <w:tc>
          <w:tcPr>
            <w:tcW w:w="709" w:type="dxa"/>
            <w:vAlign w:val="center"/>
          </w:tcPr>
          <w:p w14:paraId="613D7368">
            <w:pPr>
              <w:widowControl/>
              <w:jc w:val="center"/>
              <w:textAlignment w:val="center"/>
              <w:rPr>
                <w:rFonts w:hint="eastAsia" w:ascii="宋体" w:hAnsi="宋体" w:eastAsia="宋体" w:cs="Times New Roman"/>
                <w:kern w:val="0"/>
                <w:sz w:val="24"/>
                <w:szCs w:val="20"/>
              </w:rPr>
            </w:pPr>
            <w:r>
              <w:rPr>
                <w:rFonts w:hint="eastAsia" w:ascii="宋体" w:hAnsi="宋体" w:eastAsia="宋体" w:cs="宋体"/>
                <w:kern w:val="0"/>
                <w:sz w:val="24"/>
                <w:szCs w:val="20"/>
                <w:lang w:bidi="ar"/>
              </w:rPr>
              <w:t>28</w:t>
            </w:r>
          </w:p>
        </w:tc>
        <w:tc>
          <w:tcPr>
            <w:tcW w:w="5103" w:type="dxa"/>
            <w:vAlign w:val="center"/>
          </w:tcPr>
          <w:p w14:paraId="0D81466F">
            <w:pPr>
              <w:jc w:val="left"/>
              <w:rPr>
                <w:rFonts w:hint="eastAsia" w:ascii="宋体" w:hAnsi="宋体" w:eastAsia="宋体" w:cs="宋体"/>
                <w:kern w:val="0"/>
                <w:sz w:val="24"/>
                <w:szCs w:val="20"/>
                <w:lang w:bidi="ar"/>
              </w:rPr>
            </w:pPr>
            <w:r>
              <w:rPr>
                <w:rFonts w:hint="eastAsia" w:ascii="宋体" w:hAnsi="宋体" w:eastAsia="宋体" w:cs="宋体"/>
                <w:kern w:val="0"/>
                <w:sz w:val="24"/>
                <w:szCs w:val="20"/>
                <w:lang w:bidi="ar"/>
              </w:rPr>
              <w:t>评委根据投标人提供的供货及运输配送方案进行综合评审。</w:t>
            </w:r>
          </w:p>
          <w:p w14:paraId="3377C826">
            <w:pPr>
              <w:jc w:val="left"/>
              <w:rPr>
                <w:rFonts w:hint="eastAsia" w:ascii="宋体" w:hAnsi="宋体" w:eastAsia="宋体" w:cs="宋体"/>
                <w:kern w:val="0"/>
                <w:sz w:val="24"/>
                <w:szCs w:val="20"/>
              </w:rPr>
            </w:pPr>
            <w:r>
              <w:rPr>
                <w:rFonts w:hint="eastAsia" w:ascii="宋体" w:hAnsi="宋体" w:eastAsia="宋体" w:cs="宋体"/>
                <w:kern w:val="0"/>
                <w:sz w:val="24"/>
                <w:szCs w:val="20"/>
              </w:rPr>
              <w:t>实施方案包括但不限于：1.实施进度计划、2.实施人员配备、3.运输方案、4.安装调试方案、5.产品质量保证方案6.应急措施方案7.交付方案。</w:t>
            </w:r>
          </w:p>
          <w:p w14:paraId="154619A6">
            <w:pPr>
              <w:jc w:val="left"/>
              <w:rPr>
                <w:rFonts w:hint="eastAsia" w:ascii="宋体" w:hAnsi="宋体" w:eastAsia="宋体" w:cs="Times New Roman"/>
                <w:kern w:val="0"/>
                <w:sz w:val="24"/>
                <w:szCs w:val="20"/>
              </w:rPr>
            </w:pPr>
            <w:r>
              <w:rPr>
                <w:rFonts w:hint="eastAsia" w:ascii="宋体" w:hAnsi="宋体" w:eastAsia="宋体" w:cs="仿宋"/>
                <w:kern w:val="0"/>
                <w:sz w:val="24"/>
                <w:szCs w:val="20"/>
              </w:rPr>
              <w:t>上述7项描述</w:t>
            </w:r>
            <w:bookmarkStart w:id="2" w:name="OLE_LINK76"/>
            <w:r>
              <w:rPr>
                <w:rFonts w:hint="eastAsia" w:ascii="宋体" w:hAnsi="宋体" w:eastAsia="宋体" w:cs="仿宋"/>
                <w:kern w:val="0"/>
                <w:sz w:val="24"/>
                <w:szCs w:val="20"/>
              </w:rPr>
              <w:t>内容详细，专门针对本项目，符合采购需求和实际情况视为符合得4分；内容属于通用类，非专门针对本项目，部分符合实际情况视为部分符合得2分；内容复制粘贴采购需求，非专门针对本项目得1分，不符合实际情况或未提供视为不符合。</w:t>
            </w:r>
            <w:bookmarkEnd w:id="2"/>
          </w:p>
        </w:tc>
      </w:tr>
      <w:bookmarkEnd w:id="1"/>
      <w:tr w14:paraId="2FBAB2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89" w:hRule="atLeast"/>
          <w:jc w:val="center"/>
        </w:trPr>
        <w:tc>
          <w:tcPr>
            <w:tcW w:w="576" w:type="dxa"/>
            <w:vAlign w:val="center"/>
          </w:tcPr>
          <w:p w14:paraId="25BD625E">
            <w:pPr>
              <w:jc w:val="center"/>
              <w:rPr>
                <w:rFonts w:hint="eastAsia" w:ascii="宋体" w:hAnsi="宋体" w:eastAsia="宋体" w:cs="Times New Roman"/>
                <w:kern w:val="0"/>
                <w:sz w:val="24"/>
                <w:szCs w:val="20"/>
              </w:rPr>
            </w:pPr>
            <w:r>
              <w:rPr>
                <w:rFonts w:hint="eastAsia" w:ascii="宋体" w:hAnsi="宋体" w:eastAsia="宋体" w:cs="Times New Roman"/>
                <w:kern w:val="0"/>
                <w:sz w:val="24"/>
                <w:szCs w:val="20"/>
              </w:rPr>
              <w:t>6</w:t>
            </w:r>
          </w:p>
        </w:tc>
        <w:tc>
          <w:tcPr>
            <w:tcW w:w="1111" w:type="dxa"/>
            <w:vMerge w:val="continue"/>
            <w:vAlign w:val="center"/>
          </w:tcPr>
          <w:p w14:paraId="6D736F76">
            <w:pPr>
              <w:rPr>
                <w:rFonts w:hint="eastAsia" w:ascii="宋体" w:hAnsi="宋体" w:eastAsia="宋体" w:cs="Times New Roman"/>
                <w:kern w:val="0"/>
                <w:sz w:val="24"/>
                <w:szCs w:val="20"/>
              </w:rPr>
            </w:pPr>
          </w:p>
        </w:tc>
        <w:tc>
          <w:tcPr>
            <w:tcW w:w="1143" w:type="dxa"/>
            <w:vAlign w:val="center"/>
          </w:tcPr>
          <w:p w14:paraId="0087EE5E">
            <w:pPr>
              <w:widowControl/>
              <w:jc w:val="center"/>
              <w:textAlignment w:val="center"/>
              <w:rPr>
                <w:rFonts w:hint="eastAsia" w:ascii="宋体" w:hAnsi="宋体" w:eastAsia="宋体" w:cs="Times New Roman"/>
                <w:kern w:val="0"/>
                <w:sz w:val="24"/>
                <w:szCs w:val="20"/>
              </w:rPr>
            </w:pPr>
            <w:r>
              <w:rPr>
                <w:rFonts w:hint="eastAsia" w:ascii="宋体" w:hAnsi="宋体" w:eastAsia="宋体" w:cs="宋体"/>
                <w:kern w:val="0"/>
                <w:sz w:val="24"/>
                <w:szCs w:val="20"/>
                <w:lang w:bidi="ar"/>
              </w:rPr>
              <w:t>售后服务方案</w:t>
            </w:r>
          </w:p>
        </w:tc>
        <w:tc>
          <w:tcPr>
            <w:tcW w:w="709" w:type="dxa"/>
            <w:vAlign w:val="center"/>
          </w:tcPr>
          <w:p w14:paraId="79D04038">
            <w:pPr>
              <w:widowControl/>
              <w:jc w:val="center"/>
              <w:textAlignment w:val="center"/>
              <w:rPr>
                <w:rFonts w:hint="eastAsia" w:ascii="宋体" w:hAnsi="宋体" w:eastAsia="宋体" w:cs="Times New Roman"/>
                <w:kern w:val="0"/>
                <w:sz w:val="24"/>
                <w:szCs w:val="20"/>
              </w:rPr>
            </w:pPr>
            <w:r>
              <w:rPr>
                <w:rFonts w:hint="eastAsia" w:ascii="宋体" w:hAnsi="宋体" w:eastAsia="宋体" w:cs="宋体"/>
                <w:kern w:val="0"/>
                <w:sz w:val="24"/>
                <w:szCs w:val="20"/>
                <w:lang w:bidi="ar"/>
              </w:rPr>
              <w:t>10</w:t>
            </w:r>
          </w:p>
        </w:tc>
        <w:tc>
          <w:tcPr>
            <w:tcW w:w="5103" w:type="dxa"/>
            <w:vAlign w:val="center"/>
          </w:tcPr>
          <w:p w14:paraId="453CADC3">
            <w:pPr>
              <w:widowControl/>
              <w:jc w:val="left"/>
              <w:textAlignment w:val="top"/>
              <w:rPr>
                <w:rFonts w:hint="eastAsia" w:ascii="宋体" w:hAnsi="宋体" w:eastAsia="宋体" w:cs="宋体"/>
                <w:kern w:val="0"/>
                <w:sz w:val="24"/>
                <w:szCs w:val="20"/>
                <w:lang w:bidi="ar"/>
              </w:rPr>
            </w:pPr>
            <w:r>
              <w:rPr>
                <w:rFonts w:hint="eastAsia" w:ascii="宋体" w:hAnsi="宋体" w:eastAsia="宋体" w:cs="宋体"/>
                <w:kern w:val="0"/>
                <w:sz w:val="24"/>
                <w:szCs w:val="20"/>
                <w:lang w:bidi="ar"/>
              </w:rPr>
              <w:t>评委根据投标人提供的售后服务方案、质保期外服务及培训方案综合评判（包括但不限于服务体系、服务内容、应急解决方案、响应时间、专业技术人员、售后服务电话、售后服务车辆、备品备件、维修工具等内容）。</w:t>
            </w:r>
          </w:p>
          <w:p w14:paraId="43E2FC2A">
            <w:pPr>
              <w:widowControl/>
              <w:jc w:val="left"/>
              <w:textAlignment w:val="top"/>
              <w:rPr>
                <w:rFonts w:hint="eastAsia" w:ascii="宋体" w:hAnsi="宋体" w:eastAsia="宋体" w:cs="宋体"/>
                <w:kern w:val="0"/>
                <w:sz w:val="24"/>
                <w:szCs w:val="20"/>
                <w:lang w:bidi="ar"/>
              </w:rPr>
            </w:pPr>
          </w:p>
          <w:p w14:paraId="75F0A76E">
            <w:pPr>
              <w:widowControl/>
              <w:jc w:val="left"/>
              <w:textAlignment w:val="top"/>
              <w:rPr>
                <w:rFonts w:hint="eastAsia" w:ascii="宋体" w:hAnsi="宋体" w:eastAsia="宋体" w:cs="宋体"/>
                <w:kern w:val="0"/>
                <w:sz w:val="24"/>
                <w:szCs w:val="20"/>
                <w:lang w:bidi="ar"/>
              </w:rPr>
            </w:pPr>
            <w:r>
              <w:rPr>
                <w:rFonts w:ascii="宋体" w:hAnsi="宋体" w:eastAsia="宋体" w:cs="宋体"/>
                <w:kern w:val="0"/>
                <w:sz w:val="20"/>
                <w:szCs w:val="20"/>
                <w:lang w:bidi="ar"/>
              </w:rPr>
              <w:t>上</w:t>
            </w:r>
            <w:r>
              <w:rPr>
                <w:rFonts w:ascii="宋体" w:hAnsi="宋体" w:eastAsia="宋体" w:cs="宋体"/>
                <w:kern w:val="0"/>
                <w:sz w:val="24"/>
                <w:szCs w:val="20"/>
                <w:lang w:bidi="ar"/>
              </w:rPr>
              <w:t>述描述</w:t>
            </w:r>
            <w:r>
              <w:rPr>
                <w:rFonts w:hint="eastAsia" w:ascii="宋体" w:hAnsi="宋体" w:eastAsia="宋体" w:cs="宋体"/>
                <w:kern w:val="0"/>
                <w:sz w:val="24"/>
                <w:szCs w:val="20"/>
                <w:lang w:bidi="ar"/>
              </w:rPr>
              <w:t>内容详细，专门针对本项目，符合采购需求和实际情况视为符合得10分；内容属于通用类，非专门针对本项目，部分符合实际情况视为部分符合得6分；内容复制粘贴采购需求，非专门针对本项目得3分，不符合实际情况或未提供视为不符合。</w:t>
            </w:r>
          </w:p>
          <w:p w14:paraId="2C540E70">
            <w:pPr>
              <w:widowControl/>
              <w:jc w:val="left"/>
              <w:textAlignment w:val="top"/>
              <w:rPr>
                <w:rFonts w:hint="eastAsia" w:ascii="宋体" w:hAnsi="宋体" w:eastAsia="宋体" w:cs="宋体"/>
                <w:kern w:val="0"/>
                <w:sz w:val="24"/>
                <w:szCs w:val="20"/>
                <w:lang w:bidi="ar"/>
              </w:rPr>
            </w:pPr>
          </w:p>
        </w:tc>
      </w:tr>
      <w:tr w14:paraId="2F61A7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7" w:hRule="atLeast"/>
          <w:jc w:val="center"/>
        </w:trPr>
        <w:tc>
          <w:tcPr>
            <w:tcW w:w="2830" w:type="dxa"/>
            <w:gridSpan w:val="3"/>
            <w:vAlign w:val="center"/>
          </w:tcPr>
          <w:p w14:paraId="2865AECE">
            <w:pPr>
              <w:pStyle w:val="16"/>
              <w:tabs>
                <w:tab w:val="left" w:pos="567"/>
              </w:tabs>
              <w:ind w:firstLine="240"/>
              <w:rPr>
                <w:rFonts w:hint="eastAsia" w:ascii="宋体" w:hAnsi="宋体"/>
                <w:kern w:val="0"/>
                <w:sz w:val="24"/>
              </w:rPr>
            </w:pPr>
            <w:r>
              <w:rPr>
                <w:rFonts w:hint="eastAsia" w:ascii="宋体" w:hAnsi="宋体"/>
                <w:kern w:val="0"/>
                <w:sz w:val="24"/>
              </w:rPr>
              <w:t>合计</w:t>
            </w:r>
          </w:p>
        </w:tc>
        <w:tc>
          <w:tcPr>
            <w:tcW w:w="709" w:type="dxa"/>
            <w:vAlign w:val="center"/>
          </w:tcPr>
          <w:p w14:paraId="5FEFD666">
            <w:pPr>
              <w:pStyle w:val="16"/>
              <w:tabs>
                <w:tab w:val="left" w:pos="567"/>
              </w:tabs>
              <w:ind w:firstLine="0" w:firstLineChars="0"/>
              <w:rPr>
                <w:rFonts w:hint="eastAsia" w:ascii="宋体" w:hAnsi="宋体"/>
                <w:kern w:val="0"/>
                <w:sz w:val="24"/>
              </w:rPr>
            </w:pPr>
            <w:r>
              <w:rPr>
                <w:rFonts w:ascii="宋体" w:hAnsi="宋体"/>
                <w:kern w:val="0"/>
                <w:sz w:val="24"/>
              </w:rPr>
              <w:fldChar w:fldCharType="begin"/>
            </w:r>
            <w:r>
              <w:rPr>
                <w:rFonts w:ascii="宋体" w:hAnsi="宋体"/>
                <w:kern w:val="0"/>
                <w:sz w:val="24"/>
              </w:rPr>
              <w:instrText xml:space="preserve"> =SUM(ABOVE) </w:instrText>
            </w:r>
            <w:r>
              <w:rPr>
                <w:rFonts w:ascii="宋体" w:hAnsi="宋体"/>
                <w:kern w:val="0"/>
                <w:sz w:val="24"/>
              </w:rPr>
              <w:fldChar w:fldCharType="separate"/>
            </w:r>
            <w:r>
              <w:rPr>
                <w:rFonts w:ascii="宋体" w:hAnsi="宋体"/>
                <w:kern w:val="0"/>
                <w:sz w:val="24"/>
              </w:rPr>
              <w:t>100</w:t>
            </w:r>
            <w:r>
              <w:rPr>
                <w:rFonts w:ascii="宋体" w:hAnsi="宋体"/>
                <w:kern w:val="0"/>
                <w:sz w:val="24"/>
              </w:rPr>
              <w:fldChar w:fldCharType="end"/>
            </w:r>
          </w:p>
        </w:tc>
        <w:tc>
          <w:tcPr>
            <w:tcW w:w="5103" w:type="dxa"/>
            <w:vAlign w:val="center"/>
          </w:tcPr>
          <w:p w14:paraId="0F00DE6D">
            <w:pPr>
              <w:rPr>
                <w:rFonts w:hint="eastAsia" w:ascii="宋体" w:hAnsi="宋体" w:eastAsia="宋体" w:cs="Times New Roman"/>
                <w:kern w:val="0"/>
                <w:sz w:val="24"/>
                <w:szCs w:val="20"/>
              </w:rPr>
            </w:pPr>
          </w:p>
        </w:tc>
      </w:tr>
    </w:tbl>
    <w:p w14:paraId="6F3F8DF1">
      <w:pPr>
        <w:jc w:val="left"/>
        <w:rPr>
          <w:rFonts w:hint="eastAsia"/>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9"/>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4879"/>
    <w:rsid w:val="00154879"/>
    <w:rsid w:val="003C2A72"/>
    <w:rsid w:val="004C15C2"/>
    <w:rsid w:val="00906C1E"/>
    <w:rsid w:val="00AA5D0C"/>
    <w:rsid w:val="00DB7AB2"/>
    <w:rsid w:val="28FE4459"/>
    <w:rsid w:val="76A96A6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20"/>
    <w:qFormat/>
    <w:uiPriority w:val="9"/>
    <w:pPr>
      <w:keepNext/>
      <w:keepLines/>
      <w:spacing w:before="480" w:after="80"/>
      <w:outlineLvl w:val="0"/>
    </w:pPr>
    <w:rPr>
      <w:rFonts w:asciiTheme="majorHAnsi" w:hAnsiTheme="majorHAnsi" w:eastAsiaTheme="majorEastAsia" w:cstheme="majorBidi"/>
      <w:color w:val="104862" w:themeColor="accent1" w:themeShade="BF"/>
      <w:sz w:val="48"/>
      <w:szCs w:val="48"/>
    </w:rPr>
  </w:style>
  <w:style w:type="paragraph" w:styleId="3">
    <w:name w:val="heading 2"/>
    <w:basedOn w:val="1"/>
    <w:next w:val="1"/>
    <w:link w:val="21"/>
    <w:semiHidden/>
    <w:unhideWhenUsed/>
    <w:qFormat/>
    <w:uiPriority w:val="9"/>
    <w:pPr>
      <w:keepNext/>
      <w:keepLines/>
      <w:spacing w:before="160" w:after="80"/>
      <w:outlineLvl w:val="1"/>
    </w:pPr>
    <w:rPr>
      <w:rFonts w:asciiTheme="majorHAnsi" w:hAnsiTheme="majorHAnsi" w:eastAsiaTheme="majorEastAsia" w:cstheme="majorBidi"/>
      <w:color w:val="104862" w:themeColor="accent1" w:themeShade="BF"/>
      <w:sz w:val="40"/>
      <w:szCs w:val="40"/>
    </w:rPr>
  </w:style>
  <w:style w:type="paragraph" w:styleId="4">
    <w:name w:val="heading 3"/>
    <w:basedOn w:val="1"/>
    <w:next w:val="1"/>
    <w:link w:val="22"/>
    <w:semiHidden/>
    <w:unhideWhenUsed/>
    <w:qFormat/>
    <w:uiPriority w:val="9"/>
    <w:pPr>
      <w:keepNext/>
      <w:keepLines/>
      <w:spacing w:before="160" w:after="80"/>
      <w:outlineLvl w:val="2"/>
    </w:pPr>
    <w:rPr>
      <w:rFonts w:asciiTheme="majorHAnsi" w:hAnsiTheme="majorHAnsi" w:eastAsiaTheme="majorEastAsia" w:cstheme="majorBidi"/>
      <w:color w:val="104862" w:themeColor="accent1" w:themeShade="BF"/>
      <w:sz w:val="32"/>
      <w:szCs w:val="32"/>
    </w:rPr>
  </w:style>
  <w:style w:type="paragraph" w:styleId="5">
    <w:name w:val="heading 4"/>
    <w:basedOn w:val="1"/>
    <w:next w:val="1"/>
    <w:link w:val="23"/>
    <w:semiHidden/>
    <w:unhideWhenUsed/>
    <w:qFormat/>
    <w:uiPriority w:val="9"/>
    <w:pPr>
      <w:keepNext/>
      <w:keepLines/>
      <w:spacing w:before="80" w:after="40"/>
      <w:outlineLvl w:val="3"/>
    </w:pPr>
    <w:rPr>
      <w:rFonts w:cstheme="majorBidi"/>
      <w:color w:val="104862" w:themeColor="accent1" w:themeShade="BF"/>
      <w:sz w:val="28"/>
      <w:szCs w:val="28"/>
    </w:rPr>
  </w:style>
  <w:style w:type="paragraph" w:styleId="6">
    <w:name w:val="heading 5"/>
    <w:basedOn w:val="1"/>
    <w:next w:val="1"/>
    <w:link w:val="24"/>
    <w:semiHidden/>
    <w:unhideWhenUsed/>
    <w:qFormat/>
    <w:uiPriority w:val="9"/>
    <w:pPr>
      <w:keepNext/>
      <w:keepLines/>
      <w:spacing w:before="80" w:after="40"/>
      <w:outlineLvl w:val="4"/>
    </w:pPr>
    <w:rPr>
      <w:rFonts w:cstheme="majorBidi"/>
      <w:color w:val="104862" w:themeColor="accent1" w:themeShade="BF"/>
      <w:sz w:val="24"/>
      <w:szCs w:val="24"/>
    </w:rPr>
  </w:style>
  <w:style w:type="paragraph" w:styleId="7">
    <w:name w:val="heading 6"/>
    <w:basedOn w:val="1"/>
    <w:next w:val="1"/>
    <w:link w:val="25"/>
    <w:semiHidden/>
    <w:unhideWhenUsed/>
    <w:qFormat/>
    <w:uiPriority w:val="9"/>
    <w:pPr>
      <w:keepNext/>
      <w:keepLines/>
      <w:spacing w:before="40"/>
      <w:outlineLvl w:val="5"/>
    </w:pPr>
    <w:rPr>
      <w:rFonts w:cstheme="majorBidi"/>
      <w:b/>
      <w:bCs/>
      <w:color w:val="104862" w:themeColor="accent1" w:themeShade="BF"/>
    </w:rPr>
  </w:style>
  <w:style w:type="paragraph" w:styleId="8">
    <w:name w:val="heading 7"/>
    <w:basedOn w:val="1"/>
    <w:next w:val="1"/>
    <w:link w:val="26"/>
    <w:semiHidden/>
    <w:unhideWhenUsed/>
    <w:qFormat/>
    <w:uiPriority w:val="9"/>
    <w:pPr>
      <w:keepNext/>
      <w:keepLines/>
      <w:spacing w:before="4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7"/>
    <w:semiHidden/>
    <w:unhideWhenUsed/>
    <w:qFormat/>
    <w:uiPriority w:val="9"/>
    <w:pPr>
      <w:keepNext/>
      <w:keepLines/>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28"/>
    <w:semiHidden/>
    <w:unhideWhenUsed/>
    <w:qFormat/>
    <w:uiPriority w:val="9"/>
    <w:pPr>
      <w:keepNext/>
      <w:keepLines/>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19">
    <w:name w:val="Default Paragraph Font"/>
    <w:semiHidden/>
    <w:unhideWhenUsed/>
    <w:qFormat/>
    <w:uiPriority w:val="1"/>
  </w:style>
  <w:style w:type="table" w:default="1" w:styleId="17">
    <w:name w:val="Normal Table"/>
    <w:semiHidden/>
    <w:unhideWhenUsed/>
    <w:uiPriority w:val="99"/>
    <w:tblPr>
      <w:tblCellMar>
        <w:top w:w="0" w:type="dxa"/>
        <w:left w:w="108" w:type="dxa"/>
        <w:bottom w:w="0" w:type="dxa"/>
        <w:right w:w="108" w:type="dxa"/>
      </w:tblCellMar>
    </w:tblPr>
  </w:style>
  <w:style w:type="paragraph" w:styleId="11">
    <w:name w:val="Body Text"/>
    <w:basedOn w:val="1"/>
    <w:link w:val="40"/>
    <w:semiHidden/>
    <w:unhideWhenUsed/>
    <w:qFormat/>
    <w:uiPriority w:val="99"/>
    <w:pPr>
      <w:spacing w:after="120"/>
    </w:pPr>
  </w:style>
  <w:style w:type="paragraph" w:styleId="12">
    <w:name w:val="footer"/>
    <w:basedOn w:val="1"/>
    <w:link w:val="39"/>
    <w:unhideWhenUsed/>
    <w:qFormat/>
    <w:uiPriority w:val="99"/>
    <w:pPr>
      <w:tabs>
        <w:tab w:val="center" w:pos="4153"/>
        <w:tab w:val="right" w:pos="8306"/>
      </w:tabs>
      <w:snapToGrid w:val="0"/>
      <w:jc w:val="left"/>
    </w:pPr>
    <w:rPr>
      <w:sz w:val="18"/>
      <w:szCs w:val="18"/>
    </w:rPr>
  </w:style>
  <w:style w:type="paragraph" w:styleId="13">
    <w:name w:val="header"/>
    <w:basedOn w:val="1"/>
    <w:link w:val="38"/>
    <w:unhideWhenUsed/>
    <w:qFormat/>
    <w:uiPriority w:val="99"/>
    <w:pPr>
      <w:tabs>
        <w:tab w:val="center" w:pos="4153"/>
        <w:tab w:val="right" w:pos="8306"/>
      </w:tabs>
      <w:snapToGrid w:val="0"/>
      <w:jc w:val="center"/>
    </w:pPr>
    <w:rPr>
      <w:sz w:val="18"/>
      <w:szCs w:val="18"/>
    </w:rPr>
  </w:style>
  <w:style w:type="paragraph" w:styleId="14">
    <w:name w:val="Subtitle"/>
    <w:basedOn w:val="1"/>
    <w:next w:val="1"/>
    <w:link w:val="30"/>
    <w:qFormat/>
    <w:uiPriority w:val="11"/>
    <w:pPr>
      <w:spacing w:after="160"/>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5">
    <w:name w:val="Title"/>
    <w:basedOn w:val="1"/>
    <w:next w:val="1"/>
    <w:link w:val="29"/>
    <w:qFormat/>
    <w:uiPriority w:val="10"/>
    <w:pPr>
      <w:spacing w:after="80"/>
      <w:contextualSpacing/>
      <w:jc w:val="center"/>
    </w:pPr>
    <w:rPr>
      <w:rFonts w:asciiTheme="majorHAnsi" w:hAnsiTheme="majorHAnsi" w:eastAsiaTheme="majorEastAsia" w:cstheme="majorBidi"/>
      <w:spacing w:val="-10"/>
      <w:kern w:val="28"/>
      <w:sz w:val="56"/>
      <w:szCs w:val="56"/>
    </w:rPr>
  </w:style>
  <w:style w:type="paragraph" w:styleId="16">
    <w:name w:val="Body Text First Indent"/>
    <w:basedOn w:val="11"/>
    <w:link w:val="41"/>
    <w:qFormat/>
    <w:uiPriority w:val="0"/>
    <w:pPr>
      <w:ind w:firstLine="420" w:firstLineChars="100"/>
    </w:pPr>
    <w:rPr>
      <w:rFonts w:ascii="Times New Roman" w:hAnsi="Times New Roman" w:eastAsia="宋体" w:cs="Times New Roman"/>
      <w:szCs w:val="24"/>
    </w:rPr>
  </w:style>
  <w:style w:type="table" w:styleId="18">
    <w:name w:val="Table Grid"/>
    <w:basedOn w:val="17"/>
    <w:qFormat/>
    <w:uiPriority w:val="39"/>
    <w:rPr>
      <w:rFonts w:ascii="Times New Roman" w:hAnsi="Times New Roman" w:eastAsia="宋体" w:cs="Times New Roman"/>
      <w:kern w:val="0"/>
      <w:sz w:val="20"/>
      <w:szCs w:val="20"/>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20">
    <w:name w:val="标题 1 字符"/>
    <w:basedOn w:val="19"/>
    <w:link w:val="2"/>
    <w:qFormat/>
    <w:uiPriority w:val="9"/>
    <w:rPr>
      <w:rFonts w:asciiTheme="majorHAnsi" w:hAnsiTheme="majorHAnsi" w:eastAsiaTheme="majorEastAsia" w:cstheme="majorBidi"/>
      <w:color w:val="104862" w:themeColor="accent1" w:themeShade="BF"/>
      <w:sz w:val="48"/>
      <w:szCs w:val="48"/>
    </w:rPr>
  </w:style>
  <w:style w:type="character" w:customStyle="1" w:styleId="21">
    <w:name w:val="标题 2 字符"/>
    <w:basedOn w:val="19"/>
    <w:link w:val="3"/>
    <w:semiHidden/>
    <w:qFormat/>
    <w:uiPriority w:val="9"/>
    <w:rPr>
      <w:rFonts w:asciiTheme="majorHAnsi" w:hAnsiTheme="majorHAnsi" w:eastAsiaTheme="majorEastAsia" w:cstheme="majorBidi"/>
      <w:color w:val="104862" w:themeColor="accent1" w:themeShade="BF"/>
      <w:sz w:val="40"/>
      <w:szCs w:val="40"/>
    </w:rPr>
  </w:style>
  <w:style w:type="character" w:customStyle="1" w:styleId="22">
    <w:name w:val="标题 3 字符"/>
    <w:basedOn w:val="19"/>
    <w:link w:val="4"/>
    <w:semiHidden/>
    <w:qFormat/>
    <w:uiPriority w:val="9"/>
    <w:rPr>
      <w:rFonts w:asciiTheme="majorHAnsi" w:hAnsiTheme="majorHAnsi" w:eastAsiaTheme="majorEastAsia" w:cstheme="majorBidi"/>
      <w:color w:val="104862" w:themeColor="accent1" w:themeShade="BF"/>
      <w:sz w:val="32"/>
      <w:szCs w:val="32"/>
    </w:rPr>
  </w:style>
  <w:style w:type="character" w:customStyle="1" w:styleId="23">
    <w:name w:val="标题 4 字符"/>
    <w:basedOn w:val="19"/>
    <w:link w:val="5"/>
    <w:semiHidden/>
    <w:qFormat/>
    <w:uiPriority w:val="9"/>
    <w:rPr>
      <w:rFonts w:cstheme="majorBidi"/>
      <w:color w:val="104862" w:themeColor="accent1" w:themeShade="BF"/>
      <w:sz w:val="28"/>
      <w:szCs w:val="28"/>
    </w:rPr>
  </w:style>
  <w:style w:type="character" w:customStyle="1" w:styleId="24">
    <w:name w:val="标题 5 字符"/>
    <w:basedOn w:val="19"/>
    <w:link w:val="6"/>
    <w:semiHidden/>
    <w:qFormat/>
    <w:uiPriority w:val="9"/>
    <w:rPr>
      <w:rFonts w:cstheme="majorBidi"/>
      <w:color w:val="104862" w:themeColor="accent1" w:themeShade="BF"/>
      <w:sz w:val="24"/>
      <w:szCs w:val="24"/>
    </w:rPr>
  </w:style>
  <w:style w:type="character" w:customStyle="1" w:styleId="25">
    <w:name w:val="标题 6 字符"/>
    <w:basedOn w:val="19"/>
    <w:link w:val="7"/>
    <w:semiHidden/>
    <w:qFormat/>
    <w:uiPriority w:val="9"/>
    <w:rPr>
      <w:rFonts w:cstheme="majorBidi"/>
      <w:b/>
      <w:bCs/>
      <w:color w:val="104862" w:themeColor="accent1" w:themeShade="BF"/>
    </w:rPr>
  </w:style>
  <w:style w:type="character" w:customStyle="1" w:styleId="26">
    <w:name w:val="标题 7 字符"/>
    <w:basedOn w:val="19"/>
    <w:link w:val="8"/>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7">
    <w:name w:val="标题 8 字符"/>
    <w:basedOn w:val="19"/>
    <w:link w:val="9"/>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28">
    <w:name w:val="标题 9 字符"/>
    <w:basedOn w:val="19"/>
    <w:link w:val="10"/>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9">
    <w:name w:val="标题 字符"/>
    <w:basedOn w:val="19"/>
    <w:link w:val="15"/>
    <w:qFormat/>
    <w:uiPriority w:val="10"/>
    <w:rPr>
      <w:rFonts w:asciiTheme="majorHAnsi" w:hAnsiTheme="majorHAnsi" w:eastAsiaTheme="majorEastAsia" w:cstheme="majorBidi"/>
      <w:spacing w:val="-10"/>
      <w:kern w:val="28"/>
      <w:sz w:val="56"/>
      <w:szCs w:val="56"/>
    </w:rPr>
  </w:style>
  <w:style w:type="character" w:customStyle="1" w:styleId="30">
    <w:name w:val="副标题 字符"/>
    <w:basedOn w:val="19"/>
    <w:link w:val="14"/>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1">
    <w:name w:val="Quote"/>
    <w:basedOn w:val="1"/>
    <w:next w:val="1"/>
    <w:link w:val="32"/>
    <w:qFormat/>
    <w:uiPriority w:val="29"/>
    <w:pPr>
      <w:spacing w:before="160" w:after="160"/>
      <w:jc w:val="center"/>
    </w:pPr>
    <w:rPr>
      <w:i/>
      <w:iCs/>
      <w:color w:val="404040" w:themeColor="text1" w:themeTint="BF"/>
      <w14:textFill>
        <w14:solidFill>
          <w14:schemeClr w14:val="tx1">
            <w14:lumMod w14:val="75000"/>
            <w14:lumOff w14:val="25000"/>
          </w14:schemeClr>
        </w14:solidFill>
      </w14:textFill>
    </w:rPr>
  </w:style>
  <w:style w:type="character" w:customStyle="1" w:styleId="32">
    <w:name w:val="引用 字符"/>
    <w:basedOn w:val="19"/>
    <w:link w:val="31"/>
    <w:qFormat/>
    <w:uiPriority w:val="29"/>
    <w:rPr>
      <w:i/>
      <w:iCs/>
      <w:color w:val="404040" w:themeColor="text1" w:themeTint="BF"/>
      <w14:textFill>
        <w14:solidFill>
          <w14:schemeClr w14:val="tx1">
            <w14:lumMod w14:val="75000"/>
            <w14:lumOff w14:val="25000"/>
          </w14:schemeClr>
        </w14:solidFill>
      </w14:textFill>
    </w:rPr>
  </w:style>
  <w:style w:type="paragraph" w:styleId="33">
    <w:name w:val="List Paragraph"/>
    <w:basedOn w:val="1"/>
    <w:qFormat/>
    <w:uiPriority w:val="34"/>
    <w:pPr>
      <w:ind w:left="720"/>
      <w:contextualSpacing/>
    </w:pPr>
  </w:style>
  <w:style w:type="character" w:customStyle="1" w:styleId="34">
    <w:name w:val="Intense Emphasis"/>
    <w:basedOn w:val="19"/>
    <w:qFormat/>
    <w:uiPriority w:val="21"/>
    <w:rPr>
      <w:i/>
      <w:iCs/>
      <w:color w:val="104862" w:themeColor="accent1" w:themeShade="BF"/>
    </w:rPr>
  </w:style>
  <w:style w:type="paragraph" w:styleId="35">
    <w:name w:val="Intense Quote"/>
    <w:basedOn w:val="1"/>
    <w:next w:val="1"/>
    <w:link w:val="36"/>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rPr>
  </w:style>
  <w:style w:type="character" w:customStyle="1" w:styleId="36">
    <w:name w:val="明显引用 字符"/>
    <w:basedOn w:val="19"/>
    <w:link w:val="35"/>
    <w:qFormat/>
    <w:uiPriority w:val="30"/>
    <w:rPr>
      <w:i/>
      <w:iCs/>
      <w:color w:val="104862" w:themeColor="accent1" w:themeShade="BF"/>
    </w:rPr>
  </w:style>
  <w:style w:type="character" w:customStyle="1" w:styleId="37">
    <w:name w:val="Intense Reference"/>
    <w:basedOn w:val="19"/>
    <w:qFormat/>
    <w:uiPriority w:val="32"/>
    <w:rPr>
      <w:b/>
      <w:bCs/>
      <w:smallCaps/>
      <w:color w:val="104862" w:themeColor="accent1" w:themeShade="BF"/>
      <w:spacing w:val="5"/>
    </w:rPr>
  </w:style>
  <w:style w:type="character" w:customStyle="1" w:styleId="38">
    <w:name w:val="页眉 字符"/>
    <w:basedOn w:val="19"/>
    <w:link w:val="13"/>
    <w:qFormat/>
    <w:uiPriority w:val="99"/>
    <w:rPr>
      <w:sz w:val="18"/>
      <w:szCs w:val="18"/>
    </w:rPr>
  </w:style>
  <w:style w:type="character" w:customStyle="1" w:styleId="39">
    <w:name w:val="页脚 字符"/>
    <w:basedOn w:val="19"/>
    <w:link w:val="12"/>
    <w:qFormat/>
    <w:uiPriority w:val="99"/>
    <w:rPr>
      <w:sz w:val="18"/>
      <w:szCs w:val="18"/>
    </w:rPr>
  </w:style>
  <w:style w:type="character" w:customStyle="1" w:styleId="40">
    <w:name w:val="正文文本 字符"/>
    <w:basedOn w:val="19"/>
    <w:link w:val="11"/>
    <w:semiHidden/>
    <w:qFormat/>
    <w:uiPriority w:val="99"/>
  </w:style>
  <w:style w:type="character" w:customStyle="1" w:styleId="41">
    <w:name w:val="正文文本首行缩进 字符"/>
    <w:basedOn w:val="40"/>
    <w:link w:val="16"/>
    <w:qFormat/>
    <w:uiPriority w:val="0"/>
    <w:rPr>
      <w:rFonts w:ascii="Times New Roman" w:hAnsi="Times New Roman" w:eastAsia="宋体" w:cs="Times New Roman"/>
      <w:szCs w:val="24"/>
    </w:rPr>
  </w:style>
  <w:style w:type="character" w:customStyle="1" w:styleId="42">
    <w:name w:val="正文文本缩进 Char1"/>
    <w:link w:val="43"/>
    <w:qFormat/>
    <w:uiPriority w:val="0"/>
    <w:rPr>
      <w:rFonts w:ascii="宋体" w:hAnsi="宋体"/>
      <w:sz w:val="24"/>
      <w:szCs w:val="24"/>
    </w:rPr>
  </w:style>
  <w:style w:type="paragraph" w:customStyle="1" w:styleId="43">
    <w:name w:val="正文文本缩进1"/>
    <w:basedOn w:val="1"/>
    <w:link w:val="42"/>
    <w:qFormat/>
    <w:uiPriority w:val="0"/>
    <w:pPr>
      <w:spacing w:line="480" w:lineRule="exact"/>
      <w:ind w:firstLine="480" w:firstLineChars="200"/>
    </w:pPr>
    <w:rPr>
      <w:rFonts w:ascii="宋体" w:hAnsi="宋体"/>
      <w:sz w:val="24"/>
      <w:szCs w:val="24"/>
    </w:rPr>
  </w:style>
  <w:style w:type="character" w:customStyle="1" w:styleId="44">
    <w:name w:val="正文文本缩进 Char"/>
    <w:qFormat/>
    <w:uiPriority w:val="0"/>
    <w:rPr>
      <w:rFonts w:eastAsia="宋体"/>
      <w:kern w:val="2"/>
      <w:sz w:val="24"/>
      <w:szCs w:val="24"/>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6</Pages>
  <Words>2505</Words>
  <Characters>2578</Characters>
  <Lines>19</Lines>
  <Paragraphs>5</Paragraphs>
  <TotalTime>1</TotalTime>
  <ScaleCrop>false</ScaleCrop>
  <LinksUpToDate>false</LinksUpToDate>
  <CharactersWithSpaces>2581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2026-09-28T07:31:00Z</dcterms:created>
  <dc:creator>dongning liu</dc:creator>
  <cp:lastModifiedBy>7</cp:lastModifiedBy>
  <dcterms:modified xsi:type="dcterms:W3CDTF">2026-09-28T08:52:11Z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eyJoZGlkIjoiNjYxMTkyNzNjNjA5YjRjMWEzNzI2ZDM4OGE0YmJhZDEiLCJ1c2VySWQiOiI4NjkzMjk0MjgifQ==</vt:lpwstr>
  </property>
  <property fmtid="{D5CDD505-2E9C-101B-9397-08002B2CF9AE}" pid="3" name="KSOProductBuildVer">
    <vt:lpwstr>2052-12.1.0.28505</vt:lpwstr>
  </property>
  <property fmtid="{D5CDD505-2E9C-101B-9397-08002B2CF9AE}" pid="4" name="ICV">
    <vt:lpwstr>5E43F172587648F3A3ADCDB34D1E7BD3_12</vt:lpwstr>
  </property>
</Properties>
</file>