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顺义区文化和旅游局文化中心物业服务合同</w:t>
      </w:r>
    </w:p>
    <w:p>
      <w:pPr>
        <w:snapToGrid w:val="0"/>
        <w:spacing w:line="400" w:lineRule="exact"/>
        <w:jc w:val="center"/>
        <w:rPr>
          <w:rFonts w:ascii="黑体" w:hAnsi="黑体" w:eastAsia="黑体" w:cs="黑体"/>
          <w:b/>
          <w:bCs/>
          <w:sz w:val="36"/>
          <w:szCs w:val="36"/>
          <w:highlight w:val="none"/>
        </w:rPr>
      </w:pP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甲方：北京市顺义区文化和旅游局</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统一社会信用代码：11110110000093593M</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注册地址：北京市顺义区石园大街10号</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联系电话：010-69429918</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开户行：工商银行顺义支行</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账号：020 0005 9092 0009 2393</w:t>
      </w:r>
    </w:p>
    <w:p>
      <w:pPr>
        <w:pageBreakBefore w:val="0"/>
        <w:kinsoku/>
        <w:wordWrap/>
        <w:overflowPunct/>
        <w:topLinePunct w:val="0"/>
        <w:bidi w:val="0"/>
        <w:adjustRightInd w:val="0"/>
        <w:snapToGrid w:val="0"/>
        <w:spacing w:line="440" w:lineRule="exact"/>
        <w:jc w:val="left"/>
        <w:rPr>
          <w:rFonts w:hint="eastAsia" w:ascii="仿宋" w:hAnsi="仿宋" w:eastAsia="仿宋" w:cs="仿宋"/>
          <w:kern w:val="0"/>
          <w:sz w:val="24"/>
          <w:szCs w:val="24"/>
          <w:highlight w:val="none"/>
          <w:lang w:val="en-US" w:eastAsia="zh-CN" w:bidi="ar-SA"/>
        </w:rPr>
      </w:pP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乙方：北京馨顺物业管理有限公司</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统一社会信用代码：911101137461444731</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注册地址：北京市顺义区杨镇地区纵二路7-113号</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联系电话：81498018-116</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开户行：中国光大银行北京顺义支行</w:t>
      </w:r>
    </w:p>
    <w:p>
      <w:pPr>
        <w:pageBreakBefore w:val="0"/>
        <w:shd w:val="clear" w:color="auto" w:fill="FFFFFF"/>
        <w:kinsoku/>
        <w:wordWrap/>
        <w:overflowPunct/>
        <w:topLinePunct w:val="0"/>
        <w:bidi w:val="0"/>
        <w:spacing w:line="440" w:lineRule="exac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账号：35390188000070075</w:t>
      </w:r>
    </w:p>
    <w:p>
      <w:pPr>
        <w:adjustRightInd w:val="0"/>
        <w:snapToGrid w:val="0"/>
        <w:spacing w:line="360" w:lineRule="auto"/>
        <w:jc w:val="left"/>
        <w:rPr>
          <w:rFonts w:ascii="黑体" w:hAnsi="黑体" w:eastAsia="黑体" w:cs="黑体"/>
          <w:sz w:val="24"/>
          <w:szCs w:val="24"/>
          <w:highlight w:val="none"/>
          <w:u w:val="single"/>
        </w:rPr>
      </w:pP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甲乙双方本着平等互利的原则，根据</w:t>
      </w:r>
      <w:r>
        <w:rPr>
          <w:rFonts w:hint="eastAsia" w:ascii="仿宋" w:hAnsi="仿宋" w:eastAsia="仿宋" w:cs="仿宋"/>
          <w:sz w:val="24"/>
          <w:szCs w:val="24"/>
          <w:highlight w:val="none"/>
        </w:rPr>
        <w:t>《中华人民共和国民法典》及《物业管理条例》等法律法规的规定，</w:t>
      </w:r>
      <w:r>
        <w:rPr>
          <w:rFonts w:hint="eastAsia" w:ascii="仿宋" w:hAnsi="仿宋" w:eastAsia="仿宋" w:cs="仿宋"/>
          <w:sz w:val="24"/>
          <w:szCs w:val="24"/>
          <w:highlight w:val="none"/>
          <w:lang w:val="en-US" w:eastAsia="zh-CN"/>
        </w:rPr>
        <w:t>经友好协商，</w:t>
      </w:r>
      <w:r>
        <w:rPr>
          <w:rFonts w:hint="eastAsia" w:ascii="仿宋" w:hAnsi="仿宋" w:eastAsia="仿宋" w:cs="仿宋"/>
          <w:sz w:val="24"/>
          <w:szCs w:val="24"/>
          <w:highlight w:val="none"/>
        </w:rPr>
        <w:t>就</w:t>
      </w:r>
      <w:r>
        <w:rPr>
          <w:rFonts w:hint="eastAsia" w:ascii="仿宋" w:hAnsi="仿宋" w:eastAsia="仿宋" w:cs="仿宋"/>
          <w:sz w:val="24"/>
          <w:szCs w:val="24"/>
          <w:highlight w:val="none"/>
          <w:lang w:val="en-US" w:eastAsia="zh-CN"/>
        </w:rPr>
        <w:t>乙方向甲方提供</w:t>
      </w:r>
      <w:r>
        <w:rPr>
          <w:rFonts w:hint="eastAsia" w:ascii="仿宋" w:hAnsi="仿宋" w:eastAsia="仿宋" w:cs="仿宋"/>
          <w:sz w:val="24"/>
          <w:szCs w:val="24"/>
          <w:highlight w:val="none"/>
        </w:rPr>
        <w:t>文化馆、博物馆、图书馆、影剧院（以下简称“三馆一院”）项目物业服务事宜，达成如下</w:t>
      </w:r>
      <w:r>
        <w:rPr>
          <w:rFonts w:hint="eastAsia" w:ascii="仿宋" w:hAnsi="仿宋" w:eastAsia="仿宋" w:cs="仿宋"/>
          <w:sz w:val="24"/>
          <w:szCs w:val="24"/>
          <w:highlight w:val="none"/>
          <w:lang w:val="en-US" w:eastAsia="zh-CN"/>
        </w:rPr>
        <w:t>合同</w:t>
      </w:r>
      <w:r>
        <w:rPr>
          <w:rFonts w:hint="eastAsia" w:ascii="仿宋" w:hAnsi="仿宋" w:eastAsia="仿宋" w:cs="仿宋"/>
          <w:sz w:val="24"/>
          <w:szCs w:val="24"/>
          <w:highlight w:val="none"/>
        </w:rPr>
        <w:t>：</w:t>
      </w:r>
    </w:p>
    <w:p>
      <w:pPr>
        <w:pStyle w:val="6"/>
        <w:adjustRightInd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 xml:space="preserve">    第一条  物业项目基本情况</w:t>
      </w:r>
    </w:p>
    <w:p>
      <w:pPr>
        <w:pStyle w:val="6"/>
        <w:adjustRightInd w:val="0"/>
        <w:snapToGrid w:val="0"/>
        <w:spacing w:line="360" w:lineRule="auto"/>
        <w:ind w:firstLine="480" w:firstLineChars="200"/>
        <w:jc w:val="left"/>
        <w:rPr>
          <w:rFonts w:hint="eastAsia" w:ascii="仿宋" w:hAnsi="仿宋" w:eastAsia="仿宋" w:cs="仿宋"/>
          <w:b/>
          <w:bCs/>
          <w:sz w:val="24"/>
          <w:szCs w:val="24"/>
          <w:highlight w:val="none"/>
        </w:rPr>
      </w:pPr>
      <w:r>
        <w:rPr>
          <w:rFonts w:hint="eastAsia" w:ascii="仿宋" w:hAnsi="仿宋" w:eastAsia="仿宋" w:cs="仿宋"/>
          <w:sz w:val="24"/>
          <w:szCs w:val="24"/>
          <w:highlight w:val="none"/>
        </w:rPr>
        <w:t>本物业项目（以下简称“本项目”）基本情况如下：</w:t>
      </w:r>
    </w:p>
    <w:p>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名称: 【地名核准名称】【暂定名</w:t>
      </w:r>
      <w:r>
        <w:rPr>
          <w:rFonts w:hint="eastAsia" w:ascii="仿宋" w:hAnsi="仿宋" w:eastAsia="仿宋" w:cs="仿宋"/>
          <w:b/>
          <w:sz w:val="24"/>
          <w:szCs w:val="24"/>
          <w:highlight w:val="none"/>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u w:val="single"/>
        </w:rPr>
        <w:t>顺义区文化和旅游局“三馆一院”项目</w:t>
      </w:r>
      <w:r>
        <w:rPr>
          <w:rFonts w:hint="eastAsia" w:ascii="仿宋" w:hAnsi="仿宋" w:eastAsia="仿宋" w:cs="仿宋"/>
          <w:sz w:val="24"/>
          <w:szCs w:val="24"/>
          <w:highlight w:val="none"/>
        </w:rPr>
        <w:t>。</w:t>
      </w:r>
    </w:p>
    <w:p>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规划建筑面积:</w:t>
      </w:r>
      <w:r>
        <w:rPr>
          <w:rFonts w:hint="eastAsia" w:ascii="仿宋" w:hAnsi="仿宋" w:eastAsia="仿宋" w:cs="仿宋"/>
          <w:sz w:val="24"/>
          <w:szCs w:val="24"/>
          <w:highlight w:val="none"/>
          <w:u w:val="single"/>
        </w:rPr>
        <w:t xml:space="preserve"> 63386 </w:t>
      </w:r>
      <w:r>
        <w:rPr>
          <w:rFonts w:hint="eastAsia" w:ascii="仿宋" w:hAnsi="仿宋" w:eastAsia="仿宋" w:cs="仿宋"/>
          <w:sz w:val="24"/>
          <w:szCs w:val="24"/>
          <w:highlight w:val="none"/>
        </w:rPr>
        <w:t>平方米。</w:t>
      </w:r>
    </w:p>
    <w:p>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第二条  物业服务范围和内容</w:t>
      </w:r>
    </w:p>
    <w:p>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1、公共区域环境卫生清洁及绿化养护服务</w:t>
      </w:r>
    </w:p>
    <w:p>
      <w:pPr>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环境卫生清洁服务内容：文化馆、图书馆、博物馆公共区域楼道、</w:t>
      </w:r>
      <w:r>
        <w:rPr>
          <w:rFonts w:hint="eastAsia" w:ascii="仿宋" w:hAnsi="仿宋" w:eastAsia="仿宋" w:cs="仿宋"/>
          <w:sz w:val="24"/>
          <w:szCs w:val="24"/>
          <w:highlight w:val="none"/>
          <w:lang w:val="en-US" w:eastAsia="zh-CN"/>
        </w:rPr>
        <w:t>玻璃幕墙、</w:t>
      </w:r>
      <w:r>
        <w:rPr>
          <w:rFonts w:hint="eastAsia" w:ascii="仿宋" w:hAnsi="仿宋" w:eastAsia="仿宋" w:cs="仿宋"/>
          <w:sz w:val="24"/>
          <w:szCs w:val="24"/>
          <w:highlight w:val="none"/>
        </w:rPr>
        <w:t>门厅、走廊、楼梯、电梯间、卫生间、开水间、展台、展柜外立面等保洁</w:t>
      </w:r>
      <w:r>
        <w:rPr>
          <w:rFonts w:hint="eastAsia" w:ascii="仿宋" w:hAnsi="仿宋" w:eastAsia="仿宋" w:cs="仿宋"/>
          <w:sz w:val="24"/>
          <w:szCs w:val="24"/>
          <w:highlight w:val="none"/>
          <w:lang w:val="en-US" w:eastAsia="zh-CN"/>
        </w:rPr>
        <w:t>及</w:t>
      </w:r>
      <w:r>
        <w:rPr>
          <w:rFonts w:hint="eastAsia" w:ascii="仿宋" w:hAnsi="仿宋" w:eastAsia="仿宋" w:cs="仿宋"/>
          <w:sz w:val="24"/>
          <w:szCs w:val="24"/>
          <w:highlight w:val="none"/>
        </w:rPr>
        <w:t>影剧院</w:t>
      </w:r>
      <w:r>
        <w:rPr>
          <w:rFonts w:hint="eastAsia" w:ascii="仿宋" w:hAnsi="仿宋" w:eastAsia="仿宋" w:cs="仿宋"/>
          <w:sz w:val="24"/>
          <w:szCs w:val="24"/>
          <w:highlight w:val="none"/>
          <w:lang w:val="en-US" w:eastAsia="zh-CN"/>
        </w:rPr>
        <w:t>未开放营业区域（开放后由使用方进行自行清理）</w:t>
      </w:r>
      <w:r>
        <w:rPr>
          <w:rFonts w:hint="eastAsia" w:ascii="仿宋" w:hAnsi="仿宋" w:eastAsia="仿宋" w:cs="仿宋"/>
          <w:sz w:val="24"/>
          <w:szCs w:val="24"/>
          <w:highlight w:val="none"/>
        </w:rPr>
        <w:t>，园区主体周边环境清洁，室外绿化及楼内绿植养护，生活垃圾分类管理、清理、清运</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定期对</w:t>
      </w:r>
      <w:r>
        <w:rPr>
          <w:rFonts w:hint="eastAsia" w:ascii="仿宋" w:hAnsi="仿宋" w:eastAsia="仿宋" w:cs="仿宋"/>
          <w:sz w:val="24"/>
          <w:szCs w:val="24"/>
          <w:highlight w:val="none"/>
        </w:rPr>
        <w:t>楼宇玻璃外墙</w:t>
      </w:r>
      <w:r>
        <w:rPr>
          <w:rFonts w:hint="eastAsia" w:ascii="仿宋" w:hAnsi="仿宋" w:eastAsia="仿宋" w:cs="仿宋"/>
          <w:sz w:val="24"/>
          <w:szCs w:val="24"/>
          <w:highlight w:val="none"/>
          <w:lang w:val="en-US" w:eastAsia="zh-CN"/>
        </w:rPr>
        <w:t>进行</w:t>
      </w:r>
      <w:r>
        <w:rPr>
          <w:rFonts w:hint="eastAsia" w:ascii="仿宋" w:hAnsi="仿宋" w:eastAsia="仿宋" w:cs="仿宋"/>
          <w:sz w:val="24"/>
          <w:szCs w:val="24"/>
          <w:highlight w:val="none"/>
        </w:rPr>
        <w:t>清洗，</w:t>
      </w:r>
      <w:r>
        <w:rPr>
          <w:rFonts w:hint="eastAsia" w:ascii="仿宋" w:hAnsi="仿宋" w:eastAsia="仿宋" w:cs="仿宋"/>
          <w:sz w:val="24"/>
          <w:szCs w:val="24"/>
          <w:highlight w:val="none"/>
          <w:lang w:val="en-US" w:eastAsia="zh-CN"/>
        </w:rPr>
        <w:t>定期对</w:t>
      </w:r>
      <w:r>
        <w:rPr>
          <w:rFonts w:hint="eastAsia" w:ascii="仿宋" w:hAnsi="仿宋" w:eastAsia="仿宋" w:cs="仿宋"/>
          <w:sz w:val="24"/>
          <w:szCs w:val="24"/>
          <w:highlight w:val="none"/>
        </w:rPr>
        <w:t>楼内环境</w:t>
      </w:r>
      <w:r>
        <w:rPr>
          <w:rFonts w:hint="eastAsia" w:ascii="仿宋" w:hAnsi="仿宋" w:eastAsia="仿宋" w:cs="仿宋"/>
          <w:sz w:val="24"/>
          <w:szCs w:val="24"/>
          <w:highlight w:val="none"/>
          <w:lang w:val="en-US" w:eastAsia="zh-CN"/>
        </w:rPr>
        <w:t>进行</w:t>
      </w:r>
      <w:r>
        <w:rPr>
          <w:rFonts w:hint="eastAsia" w:ascii="仿宋" w:hAnsi="仿宋" w:eastAsia="仿宋" w:cs="仿宋"/>
          <w:sz w:val="24"/>
          <w:szCs w:val="24"/>
          <w:highlight w:val="none"/>
        </w:rPr>
        <w:t>消杀，</w:t>
      </w:r>
      <w:r>
        <w:rPr>
          <w:rFonts w:hint="eastAsia" w:ascii="仿宋" w:hAnsi="仿宋" w:eastAsia="仿宋" w:cs="仿宋"/>
          <w:sz w:val="24"/>
          <w:szCs w:val="24"/>
          <w:highlight w:val="none"/>
          <w:lang w:val="en-US" w:eastAsia="zh-CN"/>
        </w:rPr>
        <w:t>定期对</w:t>
      </w:r>
      <w:r>
        <w:rPr>
          <w:rFonts w:hint="eastAsia" w:ascii="仿宋" w:hAnsi="仿宋" w:eastAsia="仿宋" w:cs="仿宋"/>
          <w:sz w:val="24"/>
          <w:szCs w:val="24"/>
          <w:highlight w:val="none"/>
        </w:rPr>
        <w:t>化粪池</w:t>
      </w:r>
      <w:r>
        <w:rPr>
          <w:rFonts w:hint="eastAsia" w:ascii="仿宋" w:hAnsi="仿宋" w:eastAsia="仿宋" w:cs="仿宋"/>
          <w:sz w:val="24"/>
          <w:szCs w:val="24"/>
          <w:highlight w:val="none"/>
          <w:lang w:val="en-US" w:eastAsia="zh-CN"/>
        </w:rPr>
        <w:t>进行检查、</w:t>
      </w:r>
      <w:r>
        <w:rPr>
          <w:rFonts w:hint="eastAsia" w:ascii="仿宋" w:hAnsi="仿宋" w:eastAsia="仿宋" w:cs="仿宋"/>
          <w:sz w:val="24"/>
          <w:szCs w:val="24"/>
          <w:highlight w:val="none"/>
        </w:rPr>
        <w:t>清掏清运等。</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2、物业共用设备设施的运行和维护</w:t>
      </w:r>
    </w:p>
    <w:p>
      <w:pPr>
        <w:pStyle w:val="6"/>
        <w:adjustRightInd w:val="0"/>
        <w:snapToGrid w:val="0"/>
        <w:spacing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sz w:val="24"/>
          <w:szCs w:val="24"/>
          <w:highlight w:val="none"/>
        </w:rPr>
        <w:t>乙方负责本项目物业公共区域设备设施</w:t>
      </w:r>
      <w:r>
        <w:rPr>
          <w:rFonts w:hint="eastAsia" w:ascii="仿宋" w:hAnsi="仿宋" w:eastAsia="仿宋" w:cs="仿宋"/>
          <w:sz w:val="24"/>
          <w:szCs w:val="24"/>
          <w:highlight w:val="none"/>
          <w:lang w:eastAsia="zh-CN"/>
        </w:rPr>
        <w:t>、</w:t>
      </w:r>
      <w:r>
        <w:rPr>
          <w:rFonts w:hint="eastAsia" w:ascii="仿宋" w:hAnsi="仿宋" w:eastAsia="仿宋" w:cs="仿宋"/>
          <w:color w:val="000000"/>
          <w:sz w:val="24"/>
          <w:szCs w:val="24"/>
          <w:highlight w:val="none"/>
        </w:rPr>
        <w:t>楼体结构、防水</w:t>
      </w:r>
      <w:r>
        <w:rPr>
          <w:rFonts w:hint="eastAsia" w:ascii="仿宋" w:hAnsi="仿宋" w:eastAsia="仿宋" w:cs="仿宋"/>
          <w:color w:val="000000"/>
          <w:sz w:val="24"/>
          <w:szCs w:val="24"/>
          <w:highlight w:val="none"/>
          <w:lang w:val="en-US" w:eastAsia="zh-CN"/>
        </w:rPr>
        <w:t>工程</w:t>
      </w:r>
      <w:r>
        <w:rPr>
          <w:rFonts w:hint="eastAsia" w:ascii="仿宋" w:hAnsi="仿宋" w:eastAsia="仿宋" w:cs="仿宋"/>
          <w:color w:val="000000"/>
          <w:sz w:val="24"/>
          <w:szCs w:val="24"/>
          <w:highlight w:val="none"/>
        </w:rPr>
        <w:t>、机电设备</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中监控室、给排水系统</w:t>
      </w:r>
      <w:r>
        <w:rPr>
          <w:rFonts w:hint="eastAsia" w:ascii="仿宋" w:hAnsi="仿宋" w:eastAsia="仿宋" w:cs="仿宋"/>
          <w:color w:val="000000"/>
          <w:sz w:val="24"/>
          <w:szCs w:val="24"/>
          <w:highlight w:val="none"/>
        </w:rPr>
        <w:t>等</w:t>
      </w:r>
      <w:r>
        <w:rPr>
          <w:rFonts w:hint="eastAsia" w:ascii="仿宋" w:hAnsi="仿宋" w:eastAsia="仿宋" w:cs="仿宋"/>
          <w:color w:val="000000"/>
          <w:sz w:val="24"/>
          <w:szCs w:val="24"/>
          <w:highlight w:val="none"/>
          <w:lang w:val="en-US" w:eastAsia="zh-CN"/>
        </w:rPr>
        <w:t>维护、</w:t>
      </w:r>
      <w:r>
        <w:rPr>
          <w:rFonts w:hint="eastAsia" w:ascii="仿宋" w:hAnsi="仿宋" w:eastAsia="仿宋" w:cs="仿宋"/>
          <w:sz w:val="24"/>
          <w:szCs w:val="24"/>
          <w:highlight w:val="none"/>
          <w:lang w:val="en-US" w:eastAsia="zh-CN"/>
        </w:rPr>
        <w:t>维</w:t>
      </w:r>
      <w:r>
        <w:rPr>
          <w:rFonts w:hint="eastAsia" w:ascii="仿宋" w:hAnsi="仿宋" w:eastAsia="仿宋" w:cs="仿宋"/>
          <w:sz w:val="24"/>
          <w:szCs w:val="24"/>
          <w:highlight w:val="none"/>
        </w:rPr>
        <w:t>修</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检测工作</w:t>
      </w:r>
      <w:r>
        <w:rPr>
          <w:rFonts w:hint="eastAsia" w:ascii="仿宋" w:hAnsi="仿宋" w:eastAsia="仿宋" w:cs="仿宋"/>
          <w:sz w:val="24"/>
          <w:szCs w:val="24"/>
          <w:highlight w:val="none"/>
          <w:lang w:eastAsia="zh-CN"/>
        </w:rPr>
        <w:t>。</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sz w:val="24"/>
          <w:szCs w:val="24"/>
          <w:highlight w:val="none"/>
        </w:rPr>
        <w:t>乙方负责本项目电梯系统、消防系统、弱电门禁系统、地源热泵系统、</w:t>
      </w:r>
      <w:r>
        <w:rPr>
          <w:rFonts w:hint="eastAsia" w:ascii="仿宋" w:hAnsi="仿宋" w:eastAsia="仿宋" w:cs="仿宋"/>
          <w:sz w:val="24"/>
          <w:szCs w:val="24"/>
          <w:highlight w:val="none"/>
          <w:lang w:eastAsia="zh-CN"/>
        </w:rPr>
        <w:t>空调系统、</w:t>
      </w:r>
      <w:r>
        <w:rPr>
          <w:rFonts w:hint="eastAsia" w:ascii="仿宋" w:hAnsi="仿宋" w:eastAsia="仿宋" w:cs="仿宋"/>
          <w:sz w:val="24"/>
          <w:szCs w:val="24"/>
          <w:highlight w:val="none"/>
        </w:rPr>
        <w:t>避雷系统、楼宇消电检、生活水水质检测、房屋安全普查等设备设施的运行维护、</w:t>
      </w:r>
      <w:r>
        <w:rPr>
          <w:rFonts w:hint="eastAsia" w:ascii="仿宋" w:hAnsi="仿宋" w:eastAsia="仿宋" w:cs="仿宋"/>
          <w:sz w:val="24"/>
          <w:szCs w:val="24"/>
          <w:highlight w:val="none"/>
          <w:lang w:val="en-US" w:eastAsia="zh-CN"/>
        </w:rPr>
        <w:t>维修、</w:t>
      </w:r>
      <w:r>
        <w:rPr>
          <w:rFonts w:hint="eastAsia" w:ascii="仿宋" w:hAnsi="仿宋" w:eastAsia="仿宋" w:cs="仿宋"/>
          <w:sz w:val="24"/>
          <w:szCs w:val="24"/>
          <w:highlight w:val="none"/>
        </w:rPr>
        <w:t>检测工作，以及项目共用设备设施财产险、公共责任险、安责险等。</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（3）乙方负责本项目共用设备设施的日常操作、使用及巡查、维护</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维修、检测</w:t>
      </w:r>
      <w:r>
        <w:rPr>
          <w:rFonts w:hint="eastAsia" w:ascii="仿宋" w:hAnsi="仿宋" w:eastAsia="仿宋" w:cs="仿宋"/>
          <w:color w:val="000000"/>
          <w:sz w:val="24"/>
          <w:szCs w:val="24"/>
          <w:highlight w:val="none"/>
        </w:rPr>
        <w:t>工作；发现共用设备、设施故障问题及时上报甲方，重大问题需书面报告甲方。</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（4）建立重要设备、设施运维台账，倡导节能减排，发现本项目运行存在的问题及时向甲方提出可行性改进方案。</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3、消防安全及消防微站运行管理服务</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（1）乙方负责项目消防中控室的运行及设备运行</w:t>
      </w:r>
      <w:r>
        <w:rPr>
          <w:rFonts w:hint="eastAsia" w:ascii="仿宋" w:hAnsi="仿宋" w:eastAsia="仿宋" w:cs="仿宋"/>
          <w:sz w:val="24"/>
          <w:szCs w:val="24"/>
          <w:highlight w:val="none"/>
          <w:lang w:val="en-US" w:eastAsia="zh-CN"/>
        </w:rPr>
        <w:t>维修</w:t>
      </w:r>
      <w:r>
        <w:rPr>
          <w:rFonts w:hint="eastAsia" w:ascii="仿宋" w:hAnsi="仿宋" w:eastAsia="仿宋" w:cs="仿宋"/>
          <w:sz w:val="24"/>
          <w:szCs w:val="24"/>
          <w:highlight w:val="none"/>
        </w:rPr>
        <w:t>养护工作，发现运行存在问题及时向甲方提出可行性改进方案。</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（2）建立微型消防站队伍，具备处理突发状况的处置能力；每年最少组织实施</w:t>
      </w:r>
      <w:r>
        <w:rPr>
          <w:rFonts w:hint="eastAsia" w:ascii="仿宋" w:hAnsi="仿宋" w:eastAsia="仿宋" w:cs="仿宋"/>
          <w:sz w:val="24"/>
          <w:szCs w:val="24"/>
          <w:highlight w:val="none"/>
          <w:lang w:eastAsia="zh-CN"/>
        </w:rPr>
        <w:t>两</w:t>
      </w:r>
      <w:r>
        <w:rPr>
          <w:rFonts w:hint="eastAsia" w:ascii="仿宋" w:hAnsi="仿宋" w:eastAsia="仿宋" w:cs="仿宋"/>
          <w:sz w:val="24"/>
          <w:szCs w:val="24"/>
          <w:highlight w:val="none"/>
        </w:rPr>
        <w:t>次全楼消防疏散及灭火演习。</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（3）每日定期对楼内外物业管理区域进行消防安全巡视检查，对发现需整改的问题进行记录，并上报甲方负责人一份留存，及时协助甲方进行整改。</w:t>
      </w:r>
    </w:p>
    <w:p>
      <w:pPr>
        <w:pStyle w:val="6"/>
        <w:adjustRightInd w:val="0"/>
        <w:snapToGrid w:val="0"/>
        <w:spacing w:line="36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4、建立突发公共事件预警及应急体制，做好</w:t>
      </w:r>
      <w:r>
        <w:rPr>
          <w:rFonts w:hint="eastAsia" w:ascii="仿宋" w:hAnsi="仿宋" w:eastAsia="仿宋" w:cs="仿宋"/>
          <w:sz w:val="24"/>
          <w:szCs w:val="24"/>
          <w:highlight w:val="none"/>
          <w:lang w:eastAsia="zh-CN"/>
        </w:rPr>
        <w:t>极端天气应对等相关</w:t>
      </w:r>
      <w:r>
        <w:rPr>
          <w:rFonts w:hint="eastAsia" w:ascii="仿宋" w:hAnsi="仿宋" w:eastAsia="仿宋" w:cs="仿宋"/>
          <w:sz w:val="24"/>
          <w:szCs w:val="24"/>
          <w:highlight w:val="none"/>
        </w:rPr>
        <w:t>工作</w:t>
      </w:r>
      <w:r>
        <w:rPr>
          <w:rFonts w:hint="eastAsia" w:ascii="仿宋" w:hAnsi="仿宋" w:eastAsia="仿宋" w:cs="仿宋"/>
          <w:sz w:val="24"/>
          <w:szCs w:val="24"/>
          <w:highlight w:val="none"/>
          <w:lang w:eastAsia="zh-CN"/>
        </w:rPr>
        <w:t>。</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建立健全物业管理中突发公共事件的预警和应急体制，确保管理区域内遇重大公共事件、汛情等能够高效、有序地做好各类突发事件的处置、抢险救灾工作。</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确定管理区域内重点防范位置和设备设施，做好检查，以及物资准备工作，加强监测、预警预报及出现</w:t>
      </w:r>
      <w:r>
        <w:rPr>
          <w:rFonts w:hint="eastAsia" w:ascii="仿宋" w:hAnsi="仿宋" w:eastAsia="仿宋" w:cs="仿宋"/>
          <w:color w:val="000000"/>
          <w:sz w:val="24"/>
          <w:szCs w:val="24"/>
          <w:highlight w:val="none"/>
          <w:lang w:eastAsia="zh-CN"/>
        </w:rPr>
        <w:t>特殊情况</w:t>
      </w:r>
      <w:r>
        <w:rPr>
          <w:rFonts w:hint="eastAsia" w:ascii="仿宋" w:hAnsi="仿宋" w:eastAsia="仿宋" w:cs="仿宋"/>
          <w:color w:val="000000"/>
          <w:sz w:val="24"/>
          <w:szCs w:val="24"/>
          <w:highlight w:val="none"/>
        </w:rPr>
        <w:t>时的处置工作，最大限度的减少管理区域内财产损失。</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5、安全生产管理</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负责物业管理区域内有限空间作业、高空作业、设备设施运行操作、安全用电、有毒有害危险品、消防等安全生产的全面</w:t>
      </w:r>
      <w:r>
        <w:rPr>
          <w:rFonts w:hint="eastAsia" w:ascii="仿宋" w:hAnsi="仿宋" w:eastAsia="仿宋" w:cs="仿宋"/>
          <w:color w:val="000000"/>
          <w:sz w:val="24"/>
          <w:szCs w:val="24"/>
          <w:highlight w:val="none"/>
          <w:lang w:val="en-US" w:eastAsia="zh-CN"/>
        </w:rPr>
        <w:t>检查</w:t>
      </w:r>
      <w:r>
        <w:rPr>
          <w:rFonts w:hint="eastAsia" w:ascii="仿宋" w:hAnsi="仿宋" w:eastAsia="仿宋" w:cs="仿宋"/>
          <w:color w:val="000000"/>
          <w:sz w:val="24"/>
          <w:szCs w:val="24"/>
          <w:highlight w:val="none"/>
        </w:rPr>
        <w:t>工作，建立安全生产隐患排查及有限空间台账，采取有效措施主动防范和应对可能发生的安全事故。</w:t>
      </w:r>
    </w:p>
    <w:p>
      <w:pPr>
        <w:pStyle w:val="6"/>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6、档案管理</w:t>
      </w:r>
    </w:p>
    <w:p>
      <w:pPr>
        <w:pStyle w:val="6"/>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（1）物业管理人员按照档案管理规定对甲方交付的与本物业相关的工程图纸、房屋及设备设施档案、接管验收、客户档案、运行记录及服务记录等保密、保存管理。</w:t>
      </w:r>
    </w:p>
    <w:p>
      <w:pPr>
        <w:pStyle w:val="6"/>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000000"/>
          <w:sz w:val="24"/>
          <w:szCs w:val="24"/>
          <w:highlight w:val="none"/>
        </w:rPr>
        <w:t>（2）完善设备设施档案管理，及时更新本项目增加设备设施的档案，清晰掌握本项</w:t>
      </w:r>
      <w:r>
        <w:rPr>
          <w:rFonts w:hint="eastAsia" w:ascii="仿宋" w:hAnsi="仿宋" w:eastAsia="仿宋" w:cs="仿宋"/>
          <w:color w:val="auto"/>
          <w:sz w:val="24"/>
          <w:szCs w:val="24"/>
          <w:highlight w:val="none"/>
        </w:rPr>
        <w:t>目区域的设备设施的具体情况。</w:t>
      </w:r>
    </w:p>
    <w:p>
      <w:pPr>
        <w:pStyle w:val="6"/>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7.甲方根据实际情况，要求乙方提供的其他服务。</w:t>
      </w:r>
    </w:p>
    <w:p>
      <w:pPr>
        <w:adjustRightInd w:val="0"/>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第三条  物业服务期限</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物业服务期限：自</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u w:val="single"/>
          <w:lang w:val="en-US" w:eastAsia="zh-CN"/>
        </w:rPr>
        <w:t xml:space="preserve">2025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 xml:space="preserve"> 2026</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日</w:t>
      </w:r>
    </w:p>
    <w:p>
      <w:pPr>
        <w:pStyle w:val="3"/>
        <w:adjustRightInd w:val="0"/>
        <w:snapToGrid w:val="0"/>
        <w:spacing w:line="360" w:lineRule="auto"/>
        <w:ind w:firstLine="482"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第四条  </w:t>
      </w:r>
      <w:r>
        <w:rPr>
          <w:rFonts w:hint="eastAsia" w:ascii="仿宋" w:hAnsi="仿宋" w:eastAsia="仿宋" w:cs="仿宋"/>
          <w:bCs/>
          <w:color w:val="auto"/>
          <w:sz w:val="24"/>
          <w:szCs w:val="24"/>
          <w:highlight w:val="none"/>
        </w:rPr>
        <w:t>物业管理服务费用及结算方式</w:t>
      </w:r>
    </w:p>
    <w:p>
      <w:pPr>
        <w:widowControl/>
        <w:adjustRightInd w:val="0"/>
        <w:snapToGrid w:val="0"/>
        <w:spacing w:line="360" w:lineRule="auto"/>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1、物业管理服务费为：小写金额：</w:t>
      </w:r>
      <w:r>
        <w:rPr>
          <w:rFonts w:hint="eastAsia"/>
          <w:color w:val="auto"/>
          <w:sz w:val="24"/>
          <w:highlight w:val="none"/>
          <w:lang w:val="en-US" w:eastAsia="zh-CN"/>
        </w:rPr>
        <w:t>18101036.18</w:t>
      </w:r>
      <w:r>
        <w:rPr>
          <w:rFonts w:hint="eastAsia" w:ascii="仿宋" w:hAnsi="仿宋" w:eastAsia="仿宋" w:cs="仿宋"/>
          <w:color w:val="auto"/>
          <w:sz w:val="24"/>
          <w:szCs w:val="24"/>
          <w:highlight w:val="none"/>
        </w:rPr>
        <w:t>元，（大写金额：</w:t>
      </w:r>
      <w:r>
        <w:rPr>
          <w:rFonts w:hint="eastAsia" w:ascii="仿宋" w:hAnsi="仿宋" w:eastAsia="仿宋" w:cs="仿宋"/>
          <w:color w:val="auto"/>
          <w:sz w:val="24"/>
          <w:szCs w:val="24"/>
          <w:highlight w:val="none"/>
          <w:lang w:eastAsia="zh-CN"/>
        </w:rPr>
        <w:t>壹仟捌佰壹拾万壹仟零叁拾陆元壹角捌分</w:t>
      </w:r>
      <w:r>
        <w:rPr>
          <w:rFonts w:hint="eastAsia" w:ascii="仿宋" w:hAnsi="仿宋" w:eastAsia="仿宋" w:cs="仿宋"/>
          <w:color w:val="auto"/>
          <w:sz w:val="24"/>
          <w:szCs w:val="24"/>
          <w:highlight w:val="none"/>
        </w:rPr>
        <w:t>）费用构成详见本合同附件一。</w:t>
      </w:r>
    </w:p>
    <w:p>
      <w:pPr>
        <w:pStyle w:val="2"/>
        <w:numPr>
          <w:ilvl w:val="0"/>
          <w:numId w:val="0"/>
        </w:numPr>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r>
        <w:rPr>
          <w:rFonts w:hint="eastAsia" w:ascii="仿宋" w:hAnsi="仿宋" w:eastAsia="仿宋" w:cs="仿宋"/>
          <w:color w:val="auto"/>
          <w:kern w:val="2"/>
          <w:sz w:val="24"/>
          <w:szCs w:val="24"/>
          <w:highlight w:val="none"/>
          <w:lang w:val="en-US" w:eastAsia="zh-CN" w:bidi="ar-SA"/>
        </w:rPr>
        <w:t>费用支付方式：原则上为每季度根据考核结果待甲方财政资金到位后15个工作日内予以支付，乙方提供相应金额发票，</w:t>
      </w:r>
      <w:r>
        <w:rPr>
          <w:rFonts w:hint="default" w:ascii="仿宋" w:hAnsi="仿宋" w:eastAsia="仿宋" w:cs="仿宋"/>
          <w:color w:val="auto"/>
          <w:kern w:val="2"/>
          <w:sz w:val="24"/>
          <w:szCs w:val="24"/>
          <w:highlight w:val="none"/>
          <w:lang w:val="en-US" w:eastAsia="zh-CN" w:bidi="ar-SA"/>
        </w:rPr>
        <w:t>鉴于项目资金由区财政授权拨付，具体支付时间待甲方申请区财政资金到位后予以支付，</w:t>
      </w:r>
      <w:r>
        <w:rPr>
          <w:rFonts w:hint="eastAsia" w:ascii="仿宋" w:hAnsi="仿宋" w:eastAsia="仿宋" w:cs="仿宋"/>
          <w:color w:val="auto"/>
          <w:kern w:val="2"/>
          <w:sz w:val="24"/>
          <w:szCs w:val="24"/>
          <w:highlight w:val="none"/>
          <w:lang w:val="en-US" w:eastAsia="zh-CN" w:bidi="ar-SA"/>
        </w:rPr>
        <w:t>具体</w:t>
      </w:r>
      <w:r>
        <w:rPr>
          <w:rFonts w:hint="default" w:ascii="仿宋" w:hAnsi="仿宋" w:eastAsia="仿宋" w:cs="仿宋"/>
          <w:color w:val="auto"/>
          <w:kern w:val="2"/>
          <w:sz w:val="24"/>
          <w:szCs w:val="24"/>
          <w:highlight w:val="none"/>
          <w:lang w:val="en-US" w:eastAsia="zh-CN" w:bidi="ar-SA"/>
        </w:rPr>
        <w:t>支付步骤按照区财政局程序要求执行</w:t>
      </w:r>
      <w:r>
        <w:rPr>
          <w:rFonts w:hint="eastAsia" w:ascii="仿宋" w:hAnsi="仿宋" w:eastAsia="仿宋" w:cs="仿宋"/>
          <w:color w:val="auto"/>
          <w:kern w:val="2"/>
          <w:sz w:val="24"/>
          <w:szCs w:val="24"/>
          <w:highlight w:val="none"/>
          <w:lang w:val="en-US" w:eastAsia="zh-CN" w:bidi="ar-SA"/>
        </w:rPr>
        <w:t>。（银行开户名称：中国光大银行股份有限公司北京顺义支行      账号： 35390188000070075）</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、若甲方将增值税普通发票丢失，乙方有责任提供加盖发票专用章的发票记</w:t>
      </w:r>
      <w:r>
        <w:rPr>
          <w:rFonts w:hint="eastAsia" w:ascii="仿宋" w:hAnsi="仿宋" w:eastAsia="仿宋" w:cs="仿宋"/>
          <w:color w:val="000000"/>
          <w:sz w:val="24"/>
          <w:szCs w:val="24"/>
          <w:highlight w:val="none"/>
        </w:rPr>
        <w:t>账联复印件给甲方，并提供相应税款缴纳证明。</w:t>
      </w:r>
    </w:p>
    <w:p>
      <w:pPr>
        <w:numPr>
          <w:ilvl w:val="0"/>
          <w:numId w:val="1"/>
        </w:numPr>
        <w:tabs>
          <w:tab w:val="left" w:pos="0"/>
          <w:tab w:val="left" w:pos="851"/>
          <w:tab w:val="left" w:pos="1134"/>
        </w:tabs>
        <w:adjustRightInd w:val="0"/>
        <w:snapToGrid w:val="0"/>
        <w:spacing w:line="360" w:lineRule="auto"/>
        <w:ind w:firstLine="482" w:firstLineChars="200"/>
        <w:jc w:val="left"/>
        <w:rPr>
          <w:rFonts w:hint="eastAsia" w:ascii="仿宋" w:hAnsi="仿宋" w:eastAsia="仿宋" w:cs="仿宋"/>
          <w:b/>
          <w:sz w:val="24"/>
          <w:szCs w:val="24"/>
          <w:highlight w:val="none"/>
        </w:rPr>
      </w:pPr>
      <w:r>
        <w:rPr>
          <w:rFonts w:hint="eastAsia" w:ascii="仿宋" w:hAnsi="仿宋" w:eastAsia="仿宋" w:cs="仿宋"/>
          <w:b/>
          <w:sz w:val="24"/>
          <w:szCs w:val="24"/>
          <w:highlight w:val="none"/>
        </w:rPr>
        <w:t>物业服务质量和标准</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1、管理目标乙方提供的物业服务应保证稳定优质的服务水平。保证本项目的</w:t>
      </w:r>
      <w:r>
        <w:rPr>
          <w:rFonts w:hint="eastAsia" w:ascii="仿宋" w:hAnsi="仿宋" w:eastAsia="仿宋" w:cs="仿宋"/>
          <w:sz w:val="24"/>
          <w:szCs w:val="24"/>
          <w:highlight w:val="none"/>
          <w:lang w:val="en-US" w:eastAsia="zh-CN"/>
        </w:rPr>
        <w:t>消防</w:t>
      </w:r>
      <w:r>
        <w:rPr>
          <w:rFonts w:hint="eastAsia" w:ascii="仿宋" w:hAnsi="仿宋" w:eastAsia="仿宋" w:cs="仿宋"/>
          <w:sz w:val="24"/>
          <w:szCs w:val="24"/>
          <w:highlight w:val="none"/>
        </w:rPr>
        <w:t>秩序、环境卫生、设备设施运行、能源消耗等情况得到甲方满意。</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2、物业服务工作质量标准，详见本合同附件二。</w:t>
      </w:r>
    </w:p>
    <w:p>
      <w:pPr>
        <w:tabs>
          <w:tab w:val="left" w:pos="0"/>
          <w:tab w:val="left" w:pos="851"/>
          <w:tab w:val="left" w:pos="1134"/>
        </w:tabs>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第六条  甲方的权利和义务</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1.甲方有权指派人员对乙方物业工作进行考核、监督检查和指导。</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 xml:space="preserve">2.甲方与乙方派驻的工作人员不存在劳动/劳务关系，也不属于劳务派遣用工关系。   </w:t>
      </w:r>
    </w:p>
    <w:p>
      <w:pPr>
        <w:tabs>
          <w:tab w:val="left" w:pos="0"/>
          <w:tab w:val="left" w:pos="851"/>
          <w:tab w:val="left" w:pos="1134"/>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、审定乙方制定的本项目物业服务方案，并负责监督乙方日常物业服务管理工作。</w:t>
      </w:r>
    </w:p>
    <w:p>
      <w:pPr>
        <w:tabs>
          <w:tab w:val="left" w:pos="0"/>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、审议并监督乙方实施其拟订的物业管理各项规章、制度、工作计划，有权要求乙方纠正不合理、不符合本项目运营的管理措施。</w:t>
      </w:r>
    </w:p>
    <w:p>
      <w:pPr>
        <w:tabs>
          <w:tab w:val="left" w:pos="426"/>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、甲方应协助乙方做好物业管理和宣传教育工作。</w:t>
      </w:r>
    </w:p>
    <w:p>
      <w:pPr>
        <w:tabs>
          <w:tab w:val="left" w:pos="426"/>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eastAsia="zh-CN"/>
        </w:rPr>
        <w:t>甲方</w:t>
      </w:r>
      <w:r>
        <w:rPr>
          <w:rFonts w:hint="eastAsia" w:ascii="仿宋" w:hAnsi="仿宋" w:eastAsia="仿宋" w:cs="仿宋"/>
          <w:color w:val="000000"/>
          <w:sz w:val="24"/>
          <w:szCs w:val="24"/>
          <w:highlight w:val="none"/>
        </w:rPr>
        <w:t>协助乙方配置相关物业管理用房。</w:t>
      </w:r>
    </w:p>
    <w:p>
      <w:pPr>
        <w:tabs>
          <w:tab w:val="left" w:pos="426"/>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、甲方及物业使用人需要装修房屋时，应及时通知乙方，办理相关手续，并做好有关装修管理安全检查工作。</w:t>
      </w:r>
    </w:p>
    <w:p>
      <w:pPr>
        <w:tabs>
          <w:tab w:val="left" w:pos="426"/>
          <w:tab w:val="left" w:pos="851"/>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、为便于甲乙双方的沟通，</w:t>
      </w: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rPr>
        <w:t>应指定具体联系人及联系方式给</w:t>
      </w:r>
      <w:r>
        <w:rPr>
          <w:rFonts w:hint="eastAsia" w:ascii="仿宋" w:hAnsi="仿宋" w:eastAsia="仿宋" w:cs="仿宋"/>
          <w:sz w:val="24"/>
          <w:szCs w:val="24"/>
          <w:highlight w:val="none"/>
          <w:lang w:eastAsia="zh-CN"/>
        </w:rPr>
        <w:t>甲</w:t>
      </w:r>
      <w:r>
        <w:rPr>
          <w:rFonts w:hint="eastAsia" w:ascii="仿宋" w:hAnsi="仿宋" w:eastAsia="仿宋" w:cs="仿宋"/>
          <w:sz w:val="24"/>
          <w:szCs w:val="24"/>
          <w:highlight w:val="none"/>
        </w:rPr>
        <w:t>方，专门负责办理与</w:t>
      </w:r>
      <w:r>
        <w:rPr>
          <w:rFonts w:hint="eastAsia" w:ascii="仿宋" w:hAnsi="仿宋" w:eastAsia="仿宋" w:cs="仿宋"/>
          <w:sz w:val="24"/>
          <w:szCs w:val="24"/>
          <w:highlight w:val="none"/>
          <w:lang w:eastAsia="zh-CN"/>
        </w:rPr>
        <w:t>甲</w:t>
      </w:r>
      <w:r>
        <w:rPr>
          <w:rFonts w:hint="eastAsia" w:ascii="仿宋" w:hAnsi="仿宋" w:eastAsia="仿宋" w:cs="仿宋"/>
          <w:sz w:val="24"/>
          <w:szCs w:val="24"/>
          <w:highlight w:val="none"/>
        </w:rPr>
        <w:t>方有关事宜，同时</w:t>
      </w:r>
      <w:r>
        <w:rPr>
          <w:rFonts w:hint="eastAsia" w:ascii="仿宋" w:hAnsi="仿宋" w:eastAsia="仿宋" w:cs="仿宋"/>
          <w:sz w:val="24"/>
          <w:szCs w:val="24"/>
          <w:highlight w:val="none"/>
          <w:lang w:eastAsia="zh-CN"/>
        </w:rPr>
        <w:t>乙</w:t>
      </w:r>
      <w:r>
        <w:rPr>
          <w:rFonts w:hint="eastAsia" w:ascii="仿宋" w:hAnsi="仿宋" w:eastAsia="仿宋" w:cs="仿宋"/>
          <w:sz w:val="24"/>
          <w:szCs w:val="24"/>
          <w:highlight w:val="none"/>
        </w:rPr>
        <w:t>方在更换联系人或联系方式时应及时通知</w:t>
      </w:r>
      <w:r>
        <w:rPr>
          <w:rFonts w:hint="eastAsia" w:ascii="仿宋" w:hAnsi="仿宋" w:eastAsia="仿宋" w:cs="仿宋"/>
          <w:sz w:val="24"/>
          <w:szCs w:val="24"/>
          <w:highlight w:val="none"/>
          <w:lang w:eastAsia="zh-CN"/>
        </w:rPr>
        <w:t>甲</w:t>
      </w:r>
      <w:r>
        <w:rPr>
          <w:rFonts w:hint="eastAsia" w:ascii="仿宋" w:hAnsi="仿宋" w:eastAsia="仿宋" w:cs="仿宋"/>
          <w:sz w:val="24"/>
          <w:szCs w:val="24"/>
          <w:highlight w:val="none"/>
        </w:rPr>
        <w:t>方。</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、甲方有权要求乙方对不符合要求的相关人员进行替换，乙方应当自甲方提出之日起 5个工作日内更换，特殊情况应当及时更换。</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、乙方在更换项目主管级以上人员时，应提前与甲方进行沟通，</w:t>
      </w:r>
      <w:r>
        <w:rPr>
          <w:rFonts w:hint="eastAsia" w:ascii="仿宋" w:hAnsi="仿宋" w:eastAsia="仿宋" w:cs="仿宋"/>
          <w:color w:val="000000"/>
          <w:sz w:val="24"/>
          <w:szCs w:val="24"/>
          <w:highlight w:val="none"/>
          <w:lang w:eastAsia="zh-CN"/>
        </w:rPr>
        <w:t>待甲方同意后进行更换。</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、有关法律规定和当事人约定的其他权利义务。</w:t>
      </w:r>
    </w:p>
    <w:p>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第七条  乙方的权利和义务</w:t>
      </w:r>
    </w:p>
    <w:p>
      <w:pPr>
        <w:tabs>
          <w:tab w:val="left" w:pos="851"/>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1、乙方对物业服务范围内的环境卫生、给排水、配电、暖通空调、</w:t>
      </w:r>
      <w:r>
        <w:rPr>
          <w:rFonts w:hint="eastAsia" w:ascii="仿宋" w:hAnsi="仿宋" w:eastAsia="仿宋" w:cs="仿宋"/>
          <w:sz w:val="24"/>
          <w:szCs w:val="24"/>
          <w:highlight w:val="none"/>
          <w:lang w:eastAsia="zh-CN"/>
        </w:rPr>
        <w:t>地源热泵、</w:t>
      </w:r>
      <w:r>
        <w:rPr>
          <w:rFonts w:hint="eastAsia" w:ascii="仿宋" w:hAnsi="仿宋" w:eastAsia="仿宋" w:cs="仿宋"/>
          <w:sz w:val="24"/>
          <w:szCs w:val="24"/>
          <w:highlight w:val="none"/>
        </w:rPr>
        <w:t>消防、安全监控、门禁、道闸</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设备设施清洁，维护</w:t>
      </w:r>
      <w:r>
        <w:rPr>
          <w:rFonts w:hint="eastAsia" w:ascii="仿宋" w:hAnsi="仿宋" w:eastAsia="仿宋" w:cs="仿宋"/>
          <w:sz w:val="24"/>
          <w:szCs w:val="24"/>
          <w:highlight w:val="none"/>
          <w:lang w:eastAsia="zh-CN"/>
        </w:rPr>
        <w:t>、维修保障</w:t>
      </w:r>
      <w:r>
        <w:rPr>
          <w:rFonts w:hint="eastAsia" w:ascii="仿宋" w:hAnsi="仿宋" w:eastAsia="仿宋" w:cs="仿宋"/>
          <w:sz w:val="24"/>
          <w:szCs w:val="24"/>
          <w:highlight w:val="none"/>
        </w:rPr>
        <w:t>本项目的正常运行。</w:t>
      </w:r>
    </w:p>
    <w:p>
      <w:pPr>
        <w:tabs>
          <w:tab w:val="left" w:pos="851"/>
        </w:tabs>
        <w:adjustRightInd w:val="0"/>
        <w:snapToGri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、及时完成甲方指派的其他物业服务与安全管理的工作任务。</w:t>
      </w:r>
    </w:p>
    <w:p>
      <w:pPr>
        <w:tabs>
          <w:tab w:val="left" w:pos="851"/>
        </w:tabs>
        <w:adjustRightInd w:val="0"/>
        <w:snapToGrid w:val="0"/>
        <w:spacing w:line="360" w:lineRule="auto"/>
        <w:ind w:firstLine="480" w:firstLineChars="200"/>
        <w:jc w:val="left"/>
        <w:rPr>
          <w:rFonts w:hint="eastAsia" w:ascii="仿宋" w:hAnsi="仿宋" w:eastAsia="仿宋" w:cs="仿宋"/>
          <w:bCs/>
          <w:color w:val="FF0000"/>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、乙方应做好服务人员的安全防护工作，每日召开安全工作例会，乙方所有现场服务工作人员出现任何安全事故，均由乙方负责。</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、乙方有权对与本物业管理相关的</w:t>
      </w:r>
      <w:r>
        <w:rPr>
          <w:rFonts w:hint="eastAsia" w:ascii="仿宋" w:hAnsi="仿宋" w:eastAsia="仿宋" w:cs="仿宋"/>
          <w:color w:val="000000"/>
          <w:sz w:val="24"/>
          <w:szCs w:val="24"/>
          <w:highlight w:val="none"/>
          <w:lang w:eastAsia="zh-CN"/>
        </w:rPr>
        <w:t>其他</w:t>
      </w:r>
      <w:r>
        <w:rPr>
          <w:rFonts w:hint="eastAsia" w:ascii="仿宋" w:hAnsi="仿宋" w:eastAsia="仿宋" w:cs="仿宋"/>
          <w:color w:val="000000"/>
          <w:sz w:val="24"/>
          <w:szCs w:val="24"/>
          <w:highlight w:val="none"/>
        </w:rPr>
        <w:t>外包专项服务单位，进行日常监管。</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、乙方应确定本项目物业管理负责人，并设立专门的服务、投诉、报修电话，专门受理服务咨询和投诉。</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、乙方负责向本项目区域提供24小时安全巡视、公共秩序维护和值勤服务，并协助当地公安部门做好物业服务区域内的安全防范工作。</w:t>
      </w:r>
    </w:p>
    <w:p>
      <w:pPr>
        <w:tabs>
          <w:tab w:val="left" w:pos="851"/>
        </w:tabs>
        <w:adjustRightInd w:val="0"/>
        <w:snapToGrid w:val="0"/>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、对物业服务区域内违反有关治安、环保、二次装修等物业管理服务规定的行为，乙方有权制止，经多次劝阻无效时及时向甲方反映，由甲方进行协调。</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、乙方应使用甲方指定的物业用房，不得擅自占用本项目物业区域的共用部位、共用设施设备或改变用途。</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9</w:t>
      </w:r>
      <w:r>
        <w:rPr>
          <w:rFonts w:hint="eastAsia" w:ascii="仿宋" w:hAnsi="仿宋" w:eastAsia="仿宋" w:cs="仿宋"/>
          <w:color w:val="000000"/>
          <w:sz w:val="24"/>
          <w:szCs w:val="24"/>
          <w:highlight w:val="none"/>
        </w:rPr>
        <w:t>、乙方应当与本项目工作人员签订正式的劳动合同，建立劳动关系，缴纳各种社会保险。如果乙方和本项目聘用的工作人员发生劳动争议，乙方应当及时解决，不得严重影响甲方的正常工作秩序</w:t>
      </w:r>
      <w:r>
        <w:rPr>
          <w:rFonts w:hint="eastAsia" w:ascii="仿宋" w:hAnsi="仿宋" w:eastAsia="仿宋" w:cs="仿宋"/>
          <w:color w:val="000000"/>
          <w:sz w:val="24"/>
          <w:szCs w:val="24"/>
          <w:highlight w:val="none"/>
          <w:lang w:eastAsia="zh-CN"/>
        </w:rPr>
        <w:t>，如给甲方带来损失和影响，甲方有权向乙方进行追偿。</w:t>
      </w:r>
    </w:p>
    <w:p>
      <w:pPr>
        <w:tabs>
          <w:tab w:val="left" w:pos="851"/>
        </w:tabs>
        <w:adjustRightInd w:val="0"/>
        <w:snapToGrid w:val="0"/>
        <w:spacing w:line="360" w:lineRule="auto"/>
        <w:ind w:firstLine="480" w:firstLineChars="200"/>
        <w:jc w:val="left"/>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10</w:t>
      </w:r>
      <w:r>
        <w:rPr>
          <w:rFonts w:hint="eastAsia" w:ascii="仿宋" w:hAnsi="仿宋" w:eastAsia="仿宋" w:cs="仿宋"/>
          <w:bCs/>
          <w:color w:val="000000"/>
          <w:sz w:val="24"/>
          <w:szCs w:val="24"/>
          <w:highlight w:val="none"/>
        </w:rPr>
        <w:t>、</w:t>
      </w:r>
      <w:r>
        <w:rPr>
          <w:rFonts w:hint="eastAsia" w:ascii="仿宋" w:hAnsi="仿宋" w:eastAsia="仿宋" w:cs="仿宋"/>
          <w:color w:val="000000"/>
          <w:sz w:val="24"/>
          <w:szCs w:val="24"/>
          <w:highlight w:val="none"/>
        </w:rPr>
        <w:t>乙方作为文化和旅游局“三馆一院”项目安全生产工作责任主体，应履行好企业安全生产主体责任，积极做好办公楼日常工作、有限空间作业、高空作业、安全用电、消防等安全生产管理工作，采取有效措施主动防范和应对可能发生的安全事故。</w:t>
      </w:r>
      <w:r>
        <w:rPr>
          <w:rFonts w:hint="eastAsia" w:ascii="仿宋" w:hAnsi="仿宋" w:eastAsia="仿宋" w:cs="仿宋"/>
          <w:color w:val="000000"/>
          <w:sz w:val="24"/>
          <w:szCs w:val="24"/>
          <w:highlight w:val="none"/>
          <w:lang w:eastAsia="zh-CN"/>
        </w:rPr>
        <w:t>如</w:t>
      </w:r>
      <w:r>
        <w:rPr>
          <w:rFonts w:hint="eastAsia" w:ascii="仿宋" w:hAnsi="仿宋" w:eastAsia="仿宋" w:cs="仿宋"/>
          <w:color w:val="000000"/>
          <w:sz w:val="24"/>
          <w:szCs w:val="24"/>
          <w:highlight w:val="none"/>
        </w:rPr>
        <w:t>造成安全生产责任事故的，由乙方承担责任。</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w:t>
      </w:r>
      <w:r>
        <w:rPr>
          <w:rFonts w:hint="eastAsia" w:ascii="仿宋" w:hAnsi="仿宋" w:eastAsia="仿宋" w:cs="仿宋"/>
          <w:color w:val="000000"/>
          <w:sz w:val="24"/>
          <w:szCs w:val="24"/>
          <w:highlight w:val="none"/>
        </w:rPr>
        <w:t>、乙方相关人员应当遵守</w:t>
      </w:r>
      <w:r>
        <w:rPr>
          <w:rFonts w:hint="eastAsia" w:ascii="仿宋" w:hAnsi="仿宋" w:eastAsia="仿宋" w:cs="仿宋"/>
          <w:bCs/>
          <w:color w:val="000000"/>
          <w:sz w:val="24"/>
          <w:szCs w:val="24"/>
          <w:highlight w:val="none"/>
        </w:rPr>
        <w:t>甲方的各项管理制度，服从甲方的管理和指挥。</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、工作期间乙方的工作人员发生工伤，由乙方为其工作人员办理工伤赔偿并承担相应的法律责任。</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13、乙方项目主要管理人员如有岗位调动，须事先征得采购人同意方可变动；项目服务人员的空岗率不得超过1%。</w:t>
      </w:r>
    </w:p>
    <w:p>
      <w:pPr>
        <w:tabs>
          <w:tab w:val="left" w:pos="851"/>
        </w:tabs>
        <w:adjustRightInd w:val="0"/>
        <w:snapToGrid w:val="0"/>
        <w:spacing w:line="360" w:lineRule="auto"/>
        <w:ind w:firstLine="480" w:firstLineChars="200"/>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14、乙方对专业公司予以项目分包或调整专业公司时，均须事先征得甲方同意，同时乙方项目分包的人员如与乙方产生任何纠纷或人身损害均由乙方自行解决并承担，如对甲方造成影响和损失，甲方有权向乙方进行追偿。</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15、乙方负责提供服务区域内公共设施的日常维修材料、设备工具（如：疏通机、万用表、扳手等）及部分区域的卫生纸及洗手液、浴室用品。</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16.乙方及/或乙方工作人员造成自身或第三人财产、人身损害的，乙方应当自行承担由此而产生的全部责任，与甲方无关。甲方若因此而承担责任，有权向乙方追偿。 </w:t>
      </w:r>
    </w:p>
    <w:p>
      <w:pPr>
        <w:tabs>
          <w:tab w:val="left" w:pos="851"/>
        </w:tabs>
        <w:adjustRightInd w:val="0"/>
        <w:snapToGrid w:val="0"/>
        <w:spacing w:line="360" w:lineRule="auto"/>
        <w:ind w:firstLine="480" w:firstLineChars="200"/>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17.乙方有义务与前期的物业服务公司做好交接工作，包括但不限于物业文档、历史数据、维修记录、设施设备等全部相关事宜，如因交接不当所造成的一切不利后果由乙方承担。</w:t>
      </w:r>
    </w:p>
    <w:p>
      <w:pPr>
        <w:pStyle w:val="2"/>
        <w:spacing w:line="360" w:lineRule="auto"/>
        <w:rPr>
          <w:rFonts w:hint="default"/>
          <w:highlight w:val="none"/>
          <w:lang w:val="en-US" w:eastAsia="zh-CN"/>
        </w:rPr>
      </w:pPr>
      <w:r>
        <w:rPr>
          <w:rFonts w:hint="eastAsia" w:ascii="仿宋" w:hAnsi="仿宋" w:eastAsia="仿宋" w:cs="仿宋"/>
          <w:color w:val="000000"/>
          <w:sz w:val="24"/>
          <w:szCs w:val="24"/>
          <w:highlight w:val="none"/>
          <w:lang w:val="en-US" w:eastAsia="zh-CN"/>
        </w:rPr>
        <w:t>18.</w:t>
      </w:r>
      <w:r>
        <w:rPr>
          <w:rFonts w:hint="eastAsia" w:ascii="仿宋" w:hAnsi="仿宋" w:eastAsia="仿宋" w:cs="仿宋"/>
          <w:color w:val="000000"/>
          <w:kern w:val="2"/>
          <w:sz w:val="24"/>
          <w:szCs w:val="24"/>
          <w:highlight w:val="none"/>
          <w:lang w:val="en-US" w:eastAsia="zh-CN" w:bidi="ar-SA"/>
        </w:rPr>
        <w:t>乙方有义务对与本物业管理项目相关的第三方外包专项服务单位进行监管并负全部管理责任。如乙方与第三方服务单位发生纠纷、诉讼等情况，乙方自行承担由此而产生的全部责任。甲方若因此而承担责任，有权向乙方追偿。</w:t>
      </w:r>
    </w:p>
    <w:p>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第八条  合同的终止、续签</w:t>
      </w:r>
    </w:p>
    <w:p>
      <w:pPr>
        <w:tabs>
          <w:tab w:val="left" w:pos="851"/>
        </w:tabs>
        <w:adjustRightInd w:val="0"/>
        <w:snapToGri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1、本物业服务合同期限届满即自动终止。</w:t>
      </w:r>
    </w:p>
    <w:p>
      <w:pPr>
        <w:tabs>
          <w:tab w:val="left" w:pos="851"/>
        </w:tabs>
        <w:adjustRightInd w:val="0"/>
        <w:snapToGri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、如乙方不具备甲方要求的顺义区或北京市物业服务定点采购名录资格，甲方有权解除合同。</w:t>
      </w:r>
    </w:p>
    <w:p>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第九条 违约责任</w:t>
      </w:r>
    </w:p>
    <w:p>
      <w:pPr>
        <w:adjustRightInd w:val="0"/>
        <w:snapToGrid w:val="0"/>
        <w:spacing w:line="360" w:lineRule="auto"/>
        <w:ind w:firstLine="481"/>
        <w:jc w:val="left"/>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1.在履行合同过程中，乙方如未按照合同约定履行义务或履行义务不符合约定的，应按本合同总价款的15%向甲方支付违约金，同时甲方有权解除合同。</w:t>
      </w:r>
    </w:p>
    <w:p>
      <w:pPr>
        <w:adjustRightInd w:val="0"/>
        <w:snapToGrid w:val="0"/>
        <w:spacing w:line="360" w:lineRule="auto"/>
        <w:ind w:firstLine="481"/>
        <w:jc w:val="left"/>
        <w:rPr>
          <w:rFonts w:hint="default"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2.在服务过程中，如因乙方及/或乙方工作人员原因导致甲方人员、第三方发生伤亡事故或财产损失的，甲方有权无条件解除合同，乙方需承担一切不利后果，还应向甲方支付本合同总价款</w:t>
      </w:r>
      <w:r>
        <w:rPr>
          <w:rFonts w:hint="eastAsia" w:ascii="仿宋" w:hAnsi="仿宋" w:eastAsia="仿宋" w:cs="仿宋"/>
          <w:b w:val="0"/>
          <w:bCs w:val="0"/>
          <w:sz w:val="24"/>
          <w:szCs w:val="24"/>
          <w:highlight w:val="none"/>
          <w:u w:val="single"/>
          <w:lang w:val="en-US" w:eastAsia="zh-CN"/>
        </w:rPr>
        <w:t xml:space="preserve"> 15</w:t>
      </w:r>
      <w:r>
        <w:rPr>
          <w:rFonts w:hint="eastAsia" w:ascii="仿宋" w:hAnsi="仿宋" w:eastAsia="仿宋" w:cs="仿宋"/>
          <w:b w:val="0"/>
          <w:bCs w:val="0"/>
          <w:sz w:val="24"/>
          <w:szCs w:val="24"/>
          <w:highlight w:val="none"/>
          <w:lang w:val="en-US" w:eastAsia="zh-CN"/>
        </w:rPr>
        <w:t xml:space="preserve"> %的违约金。</w:t>
      </w:r>
    </w:p>
    <w:p>
      <w:pPr>
        <w:adjustRightInd w:val="0"/>
        <w:snapToGrid w:val="0"/>
        <w:spacing w:line="360" w:lineRule="auto"/>
        <w:ind w:firstLine="480" w:firstLineChars="200"/>
        <w:rPr>
          <w:rFonts w:hint="eastAsia" w:ascii="仿宋" w:hAnsi="仿宋" w:eastAsia="仿宋" w:cs="仿宋"/>
          <w:color w:val="0000FF"/>
          <w:sz w:val="24"/>
          <w:szCs w:val="24"/>
          <w:highlight w:val="none"/>
        </w:rPr>
      </w:pPr>
      <w:r>
        <w:rPr>
          <w:rFonts w:hint="eastAsia" w:ascii="仿宋" w:hAnsi="仿宋" w:eastAsia="仿宋" w:cs="仿宋"/>
          <w:color w:val="000000"/>
          <w:sz w:val="24"/>
          <w:szCs w:val="24"/>
          <w:highlight w:val="none"/>
        </w:rPr>
        <w:t>3、为维护公共利益，在不可预见情况下，如发生煤气泄露、漏电、火灾、暖气管、</w:t>
      </w:r>
      <w:r>
        <w:rPr>
          <w:rFonts w:hint="eastAsia" w:ascii="仿宋" w:hAnsi="仿宋" w:eastAsia="仿宋" w:cs="仿宋"/>
          <w:color w:val="auto"/>
          <w:sz w:val="24"/>
          <w:szCs w:val="24"/>
          <w:highlight w:val="none"/>
        </w:rPr>
        <w:t>水管破裂、救助人命、协助公安机关执行任务等突发事件，乙方人员因采取紧急避险措施造成损失的，当事人应当按有关规定协商处理。</w:t>
      </w:r>
    </w:p>
    <w:p>
      <w:pPr>
        <w:ind w:firstLine="480" w:firstLineChars="20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4、非乙方责任出现供水、供电、供气、供热、</w:t>
      </w:r>
      <w:r>
        <w:rPr>
          <w:rFonts w:hint="eastAsia" w:ascii="仿宋" w:hAnsi="仿宋" w:eastAsia="仿宋" w:cs="仿宋"/>
          <w:color w:val="000000"/>
          <w:sz w:val="24"/>
          <w:szCs w:val="24"/>
          <w:highlight w:val="none"/>
          <w:lang w:eastAsia="zh-CN"/>
        </w:rPr>
        <w:t>空调、</w:t>
      </w:r>
      <w:r>
        <w:rPr>
          <w:rFonts w:hint="eastAsia" w:ascii="仿宋" w:hAnsi="仿宋" w:eastAsia="仿宋" w:cs="仿宋"/>
          <w:color w:val="000000"/>
          <w:sz w:val="24"/>
          <w:szCs w:val="24"/>
          <w:highlight w:val="none"/>
        </w:rPr>
        <w:t>通讯、有线电视及其他共用设施设备运行障碍造成损失的</w:t>
      </w:r>
      <w:r>
        <w:rPr>
          <w:rFonts w:hint="eastAsia" w:ascii="仿宋" w:hAnsi="仿宋" w:eastAsia="仿宋" w:cs="仿宋"/>
          <w:color w:val="000000"/>
          <w:sz w:val="24"/>
          <w:szCs w:val="24"/>
          <w:highlight w:val="none"/>
          <w:lang w:eastAsia="zh-CN"/>
        </w:rPr>
        <w:t>，不视为乙方违约。</w:t>
      </w:r>
    </w:p>
    <w:p>
      <w:pPr>
        <w:pStyle w:val="4"/>
        <w:ind w:firstLine="48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5、乙方应保障文化中心正常运转，如出现运转问题，甲方有权无条件解除合同并向乙方追偿。</w:t>
      </w:r>
      <w:r>
        <w:rPr>
          <w:rFonts w:hint="eastAsia" w:ascii="仿宋" w:hAnsi="仿宋" w:eastAsia="仿宋" w:cs="仿宋"/>
          <w:b w:val="0"/>
          <w:color w:val="000000"/>
          <w:kern w:val="2"/>
          <w:sz w:val="24"/>
          <w:szCs w:val="24"/>
          <w:highlight w:val="none"/>
          <w:lang w:val="en-US" w:eastAsia="zh-CN" w:bidi="ar-SA"/>
        </w:rPr>
        <w:br w:type="textWrapping"/>
      </w:r>
      <w:r>
        <w:rPr>
          <w:rFonts w:hint="eastAsia" w:ascii="仿宋" w:hAnsi="仿宋" w:eastAsia="仿宋" w:cs="仿宋"/>
          <w:b w:val="0"/>
          <w:color w:val="000000"/>
          <w:kern w:val="2"/>
          <w:sz w:val="24"/>
          <w:szCs w:val="24"/>
          <w:highlight w:val="none"/>
          <w:lang w:val="en-US" w:eastAsia="zh-CN" w:bidi="ar-SA"/>
        </w:rPr>
        <w:t xml:space="preserve">    6、乙方还应赔偿给甲方造成的全部损失，损失包括但不限于诉讼费律师费、公证费、鉴定费等。</w:t>
      </w:r>
    </w:p>
    <w:p>
      <w:pPr>
        <w:pStyle w:val="4"/>
        <w:ind w:firstLine="48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7、因乙方违约所产生的违约金，甲方有权从任意季度的物业管理服务费用中扣除。</w:t>
      </w:r>
    </w:p>
    <w:p>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8、鉴于项目资金由区财政授权拨付，如因政府相关部门原因致使付款迟延的，不视为甲方违约，甲方不承担责任。</w:t>
      </w:r>
    </w:p>
    <w:p>
      <w:pPr>
        <w:pStyle w:val="2"/>
        <w:rPr>
          <w:rFonts w:hint="eastAsia" w:ascii="仿宋" w:hAnsi="仿宋" w:eastAsia="仿宋" w:cs="仿宋"/>
          <w:b w:val="0"/>
          <w:color w:val="000000"/>
          <w:kern w:val="2"/>
          <w:sz w:val="24"/>
          <w:szCs w:val="24"/>
          <w:highlight w:val="none"/>
          <w:lang w:val="en-US" w:eastAsia="zh-CN" w:bidi="ar-SA"/>
        </w:rPr>
      </w:pPr>
    </w:p>
    <w:p>
      <w:pPr>
        <w:numPr>
          <w:ilvl w:val="0"/>
          <w:numId w:val="2"/>
        </w:numPr>
        <w:ind w:firstLine="480" w:firstLineChars="200"/>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乙方不因付款时间的迟延影响乙方履行合同义务的质量及时间节点，否则甲方可向乙方主张违约责任。</w:t>
      </w:r>
    </w:p>
    <w:p>
      <w:pPr>
        <w:adjustRightInd w:val="0"/>
        <w:snapToGrid w:val="0"/>
        <w:spacing w:line="360" w:lineRule="auto"/>
        <w:ind w:firstLine="482" w:firstLineChars="200"/>
        <w:jc w:val="lef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第十条</w:t>
      </w:r>
      <w:r>
        <w:rPr>
          <w:rFonts w:hint="eastAsia" w:ascii="仿宋" w:hAnsi="仿宋" w:eastAsia="仿宋" w:cs="仿宋"/>
          <w:b/>
          <w:bCs/>
          <w:color w:val="auto"/>
          <w:sz w:val="24"/>
          <w:szCs w:val="24"/>
          <w:highlight w:val="none"/>
        </w:rPr>
        <w:t>、不可抗力</w:t>
      </w:r>
    </w:p>
    <w:p>
      <w:pPr>
        <w:adjustRightInd w:val="0"/>
        <w:snapToGrid w:val="0"/>
        <w:spacing w:line="360" w:lineRule="auto"/>
        <w:ind w:firstLine="360" w:firstLineChars="15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在履行合同中因发生不可抗力（洪水、地震或其他不可预见原因等）造成合同部分或全部不能履行，乙方不承担违约责任。</w:t>
      </w:r>
    </w:p>
    <w:p>
      <w:pPr>
        <w:adjustRightInd w:val="0"/>
        <w:snapToGrid w:val="0"/>
        <w:spacing w:line="360" w:lineRule="auto"/>
        <w:ind w:firstLine="482" w:firstLineChars="200"/>
        <w:jc w:val="left"/>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第十</w:t>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条 其他事项</w:t>
      </w:r>
    </w:p>
    <w:p>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1、本合同及其附件一式陆份，</w:t>
      </w:r>
      <w:r>
        <w:rPr>
          <w:rFonts w:hint="eastAsia" w:ascii="仿宋" w:hAnsi="仿宋" w:eastAsia="仿宋" w:cs="仿宋"/>
          <w:color w:val="000000"/>
          <w:sz w:val="24"/>
          <w:szCs w:val="24"/>
          <w:highlight w:val="none"/>
          <w:lang w:eastAsia="zh-CN"/>
        </w:rPr>
        <w:t>甲乙双方各叁</w:t>
      </w:r>
      <w:r>
        <w:rPr>
          <w:rFonts w:hint="eastAsia" w:ascii="仿宋" w:hAnsi="仿宋" w:eastAsia="仿宋" w:cs="仿宋"/>
          <w:color w:val="000000"/>
          <w:sz w:val="24"/>
          <w:szCs w:val="24"/>
          <w:highlight w:val="none"/>
        </w:rPr>
        <w:t>份，具有同等法律效力，自甲、乙双方签字盖章后生效。</w:t>
      </w:r>
    </w:p>
    <w:p>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2、本合同未尽事宜，甲方和乙方另行协商，签订补充合同，补充合同与本合同具有同等法律效力。本合同履行中的分歧及纠纷，应友好协商解决，意见不能达成一致时，可向北京市顺义区人民法院提起诉讼。</w:t>
      </w:r>
    </w:p>
    <w:p>
      <w:pPr>
        <w:adjustRightInd w:val="0"/>
        <w:snapToGrid w:val="0"/>
        <w:spacing w:line="360" w:lineRule="auto"/>
        <w:ind w:firstLine="480" w:firstLineChars="200"/>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3.双方对于因本协议而交还的各类涉密信息和资料，均有保密义务。任何一方未经对方书面许可，不得向第三方披露上述涉密信息和资料，或将其用于其他目的。</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sz w:val="24"/>
          <w:szCs w:val="24"/>
          <w:highlight w:val="none"/>
        </w:rPr>
        <w:t>4.本合同所述秘密信息的保密期限为自本合同生效之日始，至双方项目合作完成之后</w:t>
      </w:r>
      <w:r>
        <w:rPr>
          <w:rFonts w:hint="eastAsia" w:ascii="仿宋" w:hAnsi="仿宋" w:eastAsia="仿宋" w:cs="仿宋"/>
          <w:color w:val="000000"/>
          <w:sz w:val="24"/>
          <w:szCs w:val="24"/>
          <w:highlight w:val="none"/>
          <w:lang w:eastAsia="zh-CN"/>
        </w:rPr>
        <w:t>永久保密</w:t>
      </w:r>
      <w:r>
        <w:rPr>
          <w:rFonts w:hint="eastAsia" w:ascii="仿宋" w:hAnsi="仿宋" w:eastAsia="仿宋" w:cs="仿宋"/>
          <w:color w:val="000000"/>
          <w:sz w:val="24"/>
          <w:szCs w:val="24"/>
          <w:highlight w:val="none"/>
        </w:rPr>
        <w:t>。在保密期限内未经甲方事先书面允许，乙方不得以任何理由披露 。如项目合作没有完成导致中途解约，乙方承担保密义务的期限为自项目合作终止之</w:t>
      </w:r>
      <w:r>
        <w:rPr>
          <w:rFonts w:hint="eastAsia" w:ascii="仿宋" w:hAnsi="仿宋" w:eastAsia="仿宋" w:cs="仿宋"/>
          <w:color w:val="000000"/>
          <w:sz w:val="24"/>
          <w:szCs w:val="24"/>
          <w:highlight w:val="none"/>
          <w:lang w:eastAsia="zh-CN"/>
        </w:rPr>
        <w:t>后永久保密。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5.乙方不得擅自将合同项下的权力义务转移第三方，确有必要转移时，需经过甲方的书面同意，并需要签订三方协议。</w:t>
      </w:r>
    </w:p>
    <w:p>
      <w:pPr>
        <w:adjustRightInd w:val="0"/>
        <w:snapToGrid w:val="0"/>
        <w:spacing w:line="360" w:lineRule="auto"/>
        <w:ind w:firstLine="482" w:firstLineChars="200"/>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十一、附件</w:t>
      </w:r>
    </w:p>
    <w:p>
      <w:pPr>
        <w:tabs>
          <w:tab w:val="left" w:pos="4995"/>
        </w:tabs>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1、物业服务费用明细表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2、文化和旅游局“三馆一院”项目物业服务工作质量标准</w:t>
      </w:r>
    </w:p>
    <w:p>
      <w:pPr>
        <w:adjustRightInd w:val="0"/>
        <w:snapToGrid w:val="0"/>
        <w:spacing w:line="30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3、物业人员配置情况</w:t>
      </w:r>
    </w:p>
    <w:p>
      <w:pPr>
        <w:adjustRightInd w:val="0"/>
        <w:snapToGrid w:val="0"/>
        <w:spacing w:line="30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4、文化和旅游局办公楼物业服务工作考核办法</w:t>
      </w:r>
    </w:p>
    <w:p>
      <w:pPr>
        <w:adjustRightInd w:val="0"/>
        <w:snapToGrid w:val="0"/>
        <w:spacing w:line="30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5、顺义区文化和旅游局文化中心物业服务安全生产协议书</w:t>
      </w:r>
    </w:p>
    <w:p>
      <w:pPr>
        <w:bidi w:val="0"/>
        <w:rPr>
          <w:rFonts w:hint="eastAsia" w:ascii="Times New Roman" w:hAnsi="Times New Roman" w:eastAsia="仿宋_GB2312" w:cs="Times New Roman"/>
          <w:kern w:val="2"/>
          <w:sz w:val="32"/>
          <w:szCs w:val="24"/>
          <w:lang w:val="en-US" w:eastAsia="zh-CN" w:bidi="ar-SA"/>
        </w:rPr>
      </w:pPr>
    </w:p>
    <w:p>
      <w:pPr>
        <w:bidi w:val="0"/>
        <w:rPr>
          <w:rFonts w:hint="eastAsia"/>
          <w:lang w:val="en-US" w:eastAsia="zh-CN"/>
        </w:rPr>
      </w:pPr>
      <w:bookmarkStart w:id="0" w:name="_GoBack"/>
      <w:bookmarkEnd w:id="0"/>
    </w:p>
    <w:p>
      <w:pPr>
        <w:bidi w:val="0"/>
        <w:rPr>
          <w:rFonts w:hint="eastAsia"/>
          <w:lang w:val="en-US" w:eastAsia="zh-CN"/>
        </w:rPr>
      </w:pPr>
    </w:p>
    <w:p>
      <w:pPr>
        <w:tabs>
          <w:tab w:val="left" w:pos="1344"/>
        </w:tabs>
        <w:bidi w:val="0"/>
        <w:jc w:val="left"/>
        <w:rPr>
          <w:rFonts w:hint="eastAsia"/>
          <w:lang w:val="en-US" w:eastAsia="zh-CN"/>
        </w:rPr>
      </w:pPr>
      <w:r>
        <w:rPr>
          <w:rFonts w:hint="eastAsia"/>
          <w:lang w:val="en-US" w:eastAsia="zh-CN"/>
        </w:rPr>
        <w:tab/>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tbl>
      <w:tblPr>
        <w:tblStyle w:val="10"/>
        <w:tblpPr w:leftFromText="180" w:rightFromText="180" w:vertAnchor="text" w:horzAnchor="page" w:tblpX="1770" w:tblpY="-902"/>
        <w:tblOverlap w:val="never"/>
        <w:tblW w:w="90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976"/>
        <w:gridCol w:w="1560"/>
        <w:gridCol w:w="2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甲方</w:t>
            </w:r>
          </w:p>
        </w:tc>
        <w:tc>
          <w:tcPr>
            <w:tcW w:w="2976" w:type="dxa"/>
            <w:noWrap w:val="0"/>
            <w:vAlign w:val="top"/>
          </w:tcPr>
          <w:p>
            <w:pPr>
              <w:pageBreakBefore w:val="0"/>
              <w:kinsoku/>
              <w:wordWrap/>
              <w:overflowPunct/>
              <w:topLinePunct w:val="0"/>
              <w:bidi w:val="0"/>
              <w:spacing w:line="440" w:lineRule="exac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北京市顺义区文化和旅游局（盖章）</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乙方</w:t>
            </w:r>
          </w:p>
        </w:tc>
        <w:tc>
          <w:tcPr>
            <w:tcW w:w="2970" w:type="dxa"/>
            <w:noWrap w:val="0"/>
            <w:vAlign w:val="top"/>
          </w:tcPr>
          <w:p>
            <w:pPr>
              <w:pageBreakBefore w:val="0"/>
              <w:kinsoku/>
              <w:wordWrap/>
              <w:overflowPunct/>
              <w:topLinePunct w:val="0"/>
              <w:bidi w:val="0"/>
              <w:spacing w:line="440" w:lineRule="exact"/>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en-US" w:eastAsia="zh-CN"/>
              </w:rPr>
              <w:t>北京馨顺物业管理有限公司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地址</w:t>
            </w:r>
          </w:p>
        </w:tc>
        <w:tc>
          <w:tcPr>
            <w:tcW w:w="2976" w:type="dxa"/>
            <w:noWrap w:val="0"/>
            <w:vAlign w:val="top"/>
          </w:tcPr>
          <w:p>
            <w:pPr>
              <w:pageBreakBefore w:val="0"/>
              <w:kinsoku/>
              <w:wordWrap/>
              <w:overflowPunct/>
              <w:topLinePunct w:val="0"/>
              <w:bidi w:val="0"/>
              <w:spacing w:line="440" w:lineRule="exac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北京市顺义区石园大街10号</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地址</w:t>
            </w:r>
          </w:p>
        </w:tc>
        <w:tc>
          <w:tcPr>
            <w:tcW w:w="2970" w:type="dxa"/>
            <w:noWrap w:val="0"/>
            <w:vAlign w:val="top"/>
          </w:tcPr>
          <w:p>
            <w:pPr>
              <w:pageBreakBefore w:val="0"/>
              <w:kinsoku/>
              <w:wordWrap/>
              <w:overflowPunct/>
              <w:topLinePunct w:val="0"/>
              <w:bidi w:val="0"/>
              <w:spacing w:line="440" w:lineRule="exact"/>
              <w:jc w:val="left"/>
              <w:rPr>
                <w:rFonts w:hint="eastAsia" w:ascii="仿宋_GB2312" w:hAnsi="仿宋_GB2312" w:eastAsia="仿宋_GB2312" w:cs="仿宋_GB2312"/>
                <w:sz w:val="28"/>
                <w:szCs w:val="28"/>
                <w:highlight w:val="none"/>
              </w:rPr>
            </w:pPr>
            <w:r>
              <w:rPr>
                <w:rFonts w:hint="eastAsia" w:ascii="仿宋" w:hAnsi="仿宋" w:eastAsia="仿宋" w:cs="仿宋"/>
                <w:kern w:val="0"/>
                <w:sz w:val="24"/>
                <w:szCs w:val="24"/>
                <w:highlight w:val="none"/>
                <w:lang w:val="en-US" w:eastAsia="zh-CN" w:bidi="ar-SA"/>
              </w:rPr>
              <w:t>北京市顺义区杨镇地区纵二路7-113号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法定代表人</w:t>
            </w:r>
          </w:p>
        </w:tc>
        <w:tc>
          <w:tcPr>
            <w:tcW w:w="2976"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eastAsia="zh-CN"/>
              </w:rPr>
              <w:t>许健</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法定代表人</w:t>
            </w:r>
          </w:p>
        </w:tc>
        <w:tc>
          <w:tcPr>
            <w:tcW w:w="2970" w:type="dxa"/>
            <w:noWrap w:val="0"/>
            <w:vAlign w:val="center"/>
          </w:tcPr>
          <w:p>
            <w:pPr>
              <w:pageBreakBefore w:val="0"/>
              <w:kinsoku/>
              <w:wordWrap/>
              <w:overflowPunct/>
              <w:topLinePunct w:val="0"/>
              <w:bidi w:val="0"/>
              <w:spacing w:line="440" w:lineRule="exact"/>
              <w:jc w:val="left"/>
              <w:rPr>
                <w:rFonts w:hint="eastAsia" w:ascii="仿宋_GB2312" w:hAnsi="仿宋_GB2312" w:eastAsia="仿宋_GB2312" w:cs="仿宋_GB2312"/>
                <w:sz w:val="28"/>
                <w:szCs w:val="28"/>
                <w:highlight w:val="none"/>
                <w:lang w:eastAsia="zh-CN"/>
              </w:rPr>
            </w:pPr>
            <w:r>
              <w:rPr>
                <w:rFonts w:hint="eastAsia" w:ascii="仿宋_GB2312" w:hAnsi="仿宋_GB2312" w:cs="仿宋_GB2312"/>
                <w:sz w:val="28"/>
                <w:szCs w:val="28"/>
                <w:highlight w:val="none"/>
                <w:lang w:eastAsia="zh-CN"/>
              </w:rPr>
              <w:t>于旭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Cs/>
                <w:sz w:val="28"/>
                <w:szCs w:val="28"/>
                <w:highlight w:val="none"/>
                <w:lang w:val="en-US" w:eastAsia="zh-CN"/>
              </w:rPr>
              <w:t>授权代表</w:t>
            </w:r>
          </w:p>
        </w:tc>
        <w:tc>
          <w:tcPr>
            <w:tcW w:w="2976"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Cs/>
                <w:sz w:val="28"/>
                <w:szCs w:val="28"/>
                <w:highlight w:val="none"/>
                <w:lang w:val="en-US" w:eastAsia="zh-CN"/>
              </w:rPr>
              <w:t>授权代表</w:t>
            </w:r>
          </w:p>
        </w:tc>
        <w:tc>
          <w:tcPr>
            <w:tcW w:w="2970" w:type="dxa"/>
            <w:noWrap w:val="0"/>
            <w:vAlign w:val="center"/>
          </w:tcPr>
          <w:p>
            <w:pPr>
              <w:pageBreakBefore w:val="0"/>
              <w:kinsoku/>
              <w:wordWrap/>
              <w:overflowPunct/>
              <w:topLinePunct w:val="0"/>
              <w:bidi w:val="0"/>
              <w:spacing w:line="440" w:lineRule="exact"/>
              <w:jc w:val="left"/>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开户行</w:t>
            </w:r>
          </w:p>
        </w:tc>
        <w:tc>
          <w:tcPr>
            <w:tcW w:w="2976" w:type="dxa"/>
            <w:noWrap w:val="0"/>
            <w:vAlign w:val="center"/>
          </w:tcPr>
          <w:p>
            <w:pPr>
              <w:pageBreakBefore w:val="0"/>
              <w:kinsoku/>
              <w:wordWrap/>
              <w:overflowPunct/>
              <w:topLinePunct w:val="0"/>
              <w:bidi w:val="0"/>
              <w:spacing w:line="440" w:lineRule="exact"/>
              <w:rPr>
                <w:rFonts w:hint="eastAsia" w:ascii="仿宋_GB2312" w:hAnsi="仿宋_GB2312" w:eastAsia="仿宋_GB2312" w:cs="仿宋_GB2312"/>
                <w:sz w:val="28"/>
                <w:szCs w:val="28"/>
                <w:highlight w:val="none"/>
              </w:rPr>
            </w:pPr>
            <w:r>
              <w:rPr>
                <w:rFonts w:hint="eastAsia" w:ascii="仿宋" w:hAnsi="仿宋" w:eastAsia="仿宋" w:cs="仿宋"/>
                <w:kern w:val="0"/>
                <w:sz w:val="24"/>
                <w:szCs w:val="24"/>
                <w:highlight w:val="none"/>
                <w:lang w:val="en-US" w:eastAsia="zh-CN" w:bidi="ar-SA"/>
              </w:rPr>
              <w:t>工商银行顺义支行</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开户行</w:t>
            </w:r>
          </w:p>
        </w:tc>
        <w:tc>
          <w:tcPr>
            <w:tcW w:w="2970" w:type="dxa"/>
            <w:noWrap w:val="0"/>
            <w:vAlign w:val="center"/>
          </w:tcPr>
          <w:p>
            <w:pPr>
              <w:pageBreakBefore w:val="0"/>
              <w:kinsoku/>
              <w:wordWrap/>
              <w:overflowPunct/>
              <w:topLinePunct w:val="0"/>
              <w:bidi w:val="0"/>
              <w:spacing w:line="440" w:lineRule="exact"/>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lang w:val="en-US" w:eastAsia="zh-CN"/>
              </w:rPr>
              <w:t>中国光大银行北京顺义支行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账号</w:t>
            </w:r>
          </w:p>
        </w:tc>
        <w:tc>
          <w:tcPr>
            <w:tcW w:w="2976" w:type="dxa"/>
            <w:noWrap w:val="0"/>
            <w:vAlign w:val="top"/>
          </w:tcPr>
          <w:p>
            <w:pPr>
              <w:pageBreakBefore w:val="0"/>
              <w:shd w:val="clear" w:color="auto" w:fill="FFFFFF"/>
              <w:kinsoku/>
              <w:wordWrap/>
              <w:overflowPunct/>
              <w:topLinePunct w:val="0"/>
              <w:bidi w:val="0"/>
              <w:spacing w:line="440" w:lineRule="exact"/>
              <w:rPr>
                <w:rFonts w:hint="eastAsia" w:ascii="仿宋_GB2312" w:hAnsi="仿宋_GB2312" w:eastAsia="仿宋_GB2312" w:cs="仿宋_GB2312"/>
                <w:bCs/>
                <w:sz w:val="28"/>
                <w:szCs w:val="28"/>
                <w:highlight w:val="none"/>
              </w:rPr>
            </w:pPr>
            <w:r>
              <w:rPr>
                <w:rFonts w:hint="eastAsia" w:ascii="仿宋" w:hAnsi="仿宋" w:eastAsia="仿宋" w:cs="仿宋"/>
                <w:kern w:val="0"/>
                <w:sz w:val="24"/>
                <w:szCs w:val="24"/>
                <w:highlight w:val="none"/>
                <w:lang w:val="en-US" w:eastAsia="zh-CN" w:bidi="ar-SA"/>
              </w:rPr>
              <w:t>020 0005 9092 0009 2393</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账号</w:t>
            </w:r>
          </w:p>
        </w:tc>
        <w:tc>
          <w:tcPr>
            <w:tcW w:w="2970" w:type="dxa"/>
            <w:noWrap w:val="0"/>
            <w:vAlign w:val="top"/>
          </w:tcPr>
          <w:p>
            <w:pPr>
              <w:pageBreakBefore w:val="0"/>
              <w:kinsoku/>
              <w:wordWrap/>
              <w:overflowPunct/>
              <w:topLinePunct w:val="0"/>
              <w:bidi w:val="0"/>
              <w:spacing w:line="440" w:lineRule="exact"/>
              <w:jc w:val="lef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lang w:val="en-US" w:eastAsia="zh-CN"/>
              </w:rPr>
              <w:t>35390188000070075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电话</w:t>
            </w:r>
          </w:p>
        </w:tc>
        <w:tc>
          <w:tcPr>
            <w:tcW w:w="2976" w:type="dxa"/>
            <w:noWrap w:val="0"/>
            <w:vAlign w:val="top"/>
          </w:tcPr>
          <w:p>
            <w:pPr>
              <w:pageBreakBefore w:val="0"/>
              <w:kinsoku/>
              <w:wordWrap/>
              <w:overflowPunct/>
              <w:topLinePunct w:val="0"/>
              <w:bidi w:val="0"/>
              <w:spacing w:line="440" w:lineRule="exact"/>
              <w:rPr>
                <w:rFonts w:hint="eastAsia" w:ascii="仿宋_GB2312" w:hAnsi="仿宋_GB2312" w:eastAsia="仿宋_GB2312" w:cs="仿宋_GB2312"/>
                <w:bCs/>
                <w:sz w:val="28"/>
                <w:szCs w:val="28"/>
                <w:highlight w:val="none"/>
              </w:rPr>
            </w:pPr>
            <w:r>
              <w:rPr>
                <w:rFonts w:hint="eastAsia" w:ascii="仿宋" w:hAnsi="仿宋" w:eastAsia="仿宋" w:cs="仿宋"/>
                <w:kern w:val="0"/>
                <w:sz w:val="24"/>
                <w:szCs w:val="24"/>
                <w:highlight w:val="none"/>
                <w:lang w:val="en-US" w:eastAsia="zh-CN" w:bidi="ar-SA"/>
              </w:rPr>
              <w:t>010-69429918</w:t>
            </w: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Cs/>
                <w:sz w:val="28"/>
                <w:szCs w:val="28"/>
                <w:highlight w:val="none"/>
              </w:rPr>
              <w:t>电话</w:t>
            </w:r>
          </w:p>
        </w:tc>
        <w:tc>
          <w:tcPr>
            <w:tcW w:w="2970" w:type="dxa"/>
            <w:noWrap w:val="0"/>
            <w:vAlign w:val="top"/>
          </w:tcPr>
          <w:p>
            <w:pPr>
              <w:pageBreakBefore w:val="0"/>
              <w:kinsoku/>
              <w:wordWrap/>
              <w:overflowPunct/>
              <w:topLinePunct w:val="0"/>
              <w:bidi w:val="0"/>
              <w:spacing w:line="440" w:lineRule="exact"/>
              <w:jc w:val="left"/>
              <w:rPr>
                <w:rFonts w:hint="default" w:ascii="仿宋_GB2312" w:hAnsi="仿宋_GB2312" w:eastAsia="仿宋_GB2312" w:cs="仿宋_GB2312"/>
                <w:bCs/>
                <w:sz w:val="28"/>
                <w:szCs w:val="28"/>
                <w:highlight w:val="none"/>
                <w:lang w:val="en-US" w:eastAsia="zh-CN"/>
              </w:rPr>
            </w:pPr>
            <w:r>
              <w:rPr>
                <w:rFonts w:hint="eastAsia" w:ascii="仿宋_GB2312" w:hAnsi="仿宋_GB2312" w:cs="仿宋_GB2312"/>
                <w:bCs/>
                <w:sz w:val="28"/>
                <w:szCs w:val="28"/>
                <w:highlight w:val="none"/>
                <w:lang w:val="en-US" w:eastAsia="zh-CN"/>
              </w:rPr>
              <w:t>81498991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传真</w:t>
            </w:r>
          </w:p>
        </w:tc>
        <w:tc>
          <w:tcPr>
            <w:tcW w:w="2976" w:type="dxa"/>
            <w:noWrap w:val="0"/>
            <w:vAlign w:val="top"/>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传真</w:t>
            </w:r>
          </w:p>
        </w:tc>
        <w:tc>
          <w:tcPr>
            <w:tcW w:w="2970" w:type="dxa"/>
            <w:noWrap w:val="0"/>
            <w:vAlign w:val="top"/>
          </w:tcPr>
          <w:p>
            <w:pPr>
              <w:pageBreakBefore w:val="0"/>
              <w:shd w:val="clear" w:color="auto" w:fill="FFFFFF"/>
              <w:kinsoku/>
              <w:wordWrap/>
              <w:overflowPunct/>
              <w:topLinePunct w:val="0"/>
              <w:bidi w:val="0"/>
              <w:spacing w:line="440" w:lineRule="exact"/>
              <w:jc w:val="left"/>
              <w:rPr>
                <w:rFonts w:hint="eastAsia" w:ascii="仿宋_GB2312" w:hAnsi="仿宋_GB2312" w:eastAsia="仿宋_GB2312" w:cs="仿宋_GB2312"/>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tc>
        <w:tc>
          <w:tcPr>
            <w:tcW w:w="2976" w:type="dxa"/>
            <w:noWrap w:val="0"/>
            <w:vAlign w:val="top"/>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p>
        </w:tc>
        <w:tc>
          <w:tcPr>
            <w:tcW w:w="1560" w:type="dxa"/>
            <w:noWrap w:val="0"/>
            <w:vAlign w:val="center"/>
          </w:tcPr>
          <w:p>
            <w:pPr>
              <w:pageBreakBefore w:val="0"/>
              <w:kinsoku/>
              <w:wordWrap/>
              <w:overflowPunct/>
              <w:topLinePunct w:val="0"/>
              <w:bidi w:val="0"/>
              <w:spacing w:line="440" w:lineRule="exact"/>
              <w:jc w:val="center"/>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日期</w:t>
            </w:r>
          </w:p>
        </w:tc>
        <w:tc>
          <w:tcPr>
            <w:tcW w:w="2970" w:type="dxa"/>
            <w:noWrap w:val="0"/>
            <w:vAlign w:val="top"/>
          </w:tcPr>
          <w:p>
            <w:pPr>
              <w:pageBreakBefore w:val="0"/>
              <w:kinsoku/>
              <w:wordWrap/>
              <w:overflowPunct/>
              <w:topLinePunct w:val="0"/>
              <w:bidi w:val="0"/>
              <w:spacing w:line="440" w:lineRule="exact"/>
              <w:rPr>
                <w:rFonts w:hint="eastAsia" w:ascii="仿宋_GB2312" w:hAnsi="仿宋_GB2312" w:eastAsia="仿宋_GB2312" w:cs="仿宋_GB2312"/>
                <w:bCs/>
                <w:sz w:val="28"/>
                <w:szCs w:val="28"/>
                <w:highlight w:val="none"/>
              </w:rPr>
            </w:pPr>
          </w:p>
        </w:tc>
      </w:tr>
    </w:tbl>
    <w:p>
      <w:pPr>
        <w:pStyle w:val="2"/>
        <w:rPr>
          <w:rFonts w:hint="eastAsia"/>
          <w:highlight w:val="none"/>
          <w:lang w:val="en-US" w:eastAsia="zh-CN"/>
        </w:rPr>
      </w:pPr>
    </w:p>
    <w:p>
      <w:pPr>
        <w:pStyle w:val="2"/>
        <w:rPr>
          <w:rFonts w:hint="eastAsia"/>
          <w:lang w:val="en-US" w:eastAsia="zh-CN"/>
        </w:rPr>
      </w:pPr>
    </w:p>
    <w:p>
      <w:pPr>
        <w:adjustRightInd w:val="0"/>
        <w:snapToGrid w:val="0"/>
        <w:spacing w:line="360" w:lineRule="auto"/>
        <w:jc w:val="left"/>
        <w:rPr>
          <w:rFonts w:hint="eastAsia" w:ascii="宋体" w:hAnsi="宋体" w:eastAsia="宋体" w:cs="宋体"/>
          <w:color w:val="000000"/>
          <w:sz w:val="21"/>
          <w:szCs w:val="21"/>
          <w:highlight w:val="none"/>
        </w:rPr>
      </w:pPr>
    </w:p>
    <w:p>
      <w:pPr>
        <w:adjustRightInd w:val="0"/>
        <w:snapToGrid w:val="0"/>
        <w:spacing w:line="360" w:lineRule="auto"/>
        <w:ind w:firstLine="420" w:firstLineChars="200"/>
        <w:jc w:val="left"/>
        <w:rPr>
          <w:rFonts w:hint="eastAsia" w:ascii="宋体" w:hAnsi="宋体" w:eastAsia="宋体" w:cs="宋体"/>
          <w:b/>
          <w:bCs/>
          <w:color w:val="000000"/>
          <w:sz w:val="21"/>
          <w:szCs w:val="21"/>
          <w:highlight w:val="none"/>
        </w:rPr>
      </w:pPr>
      <w:r>
        <w:rPr>
          <w:rFonts w:hint="eastAsia" w:ascii="宋体" w:hAnsi="宋体" w:eastAsia="宋体" w:cs="宋体"/>
          <w:color w:val="000000"/>
          <w:sz w:val="21"/>
          <w:szCs w:val="21"/>
          <w:highlight w:val="none"/>
        </w:rPr>
        <w:t>（以下无正文）</w:t>
      </w: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ind w:left="0" w:leftChars="0" w:firstLine="0" w:firstLineChars="0"/>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tabs>
          <w:tab w:val="left" w:pos="4995"/>
        </w:tabs>
        <w:spacing w:line="360" w:lineRule="auto"/>
        <w:rPr>
          <w:rFonts w:hint="eastAsia" w:ascii="宋体" w:hAnsi="宋体" w:eastAsia="宋体" w:cs="宋体"/>
          <w:b/>
          <w:color w:val="000000"/>
          <w:sz w:val="21"/>
          <w:szCs w:val="21"/>
          <w:highlight w:val="none"/>
        </w:rPr>
      </w:pPr>
      <w:r>
        <w:rPr>
          <w:rFonts w:hint="eastAsia" w:ascii="宋体" w:hAnsi="宋体" w:eastAsia="宋体" w:cs="宋体"/>
          <w:b/>
          <w:bCs/>
          <w:color w:val="000000"/>
          <w:sz w:val="21"/>
          <w:szCs w:val="21"/>
          <w:highlight w:val="none"/>
        </w:rPr>
        <w:t>附件一：</w:t>
      </w:r>
      <w:r>
        <w:rPr>
          <w:rFonts w:hint="eastAsia" w:ascii="宋体" w:hAnsi="宋体" w:eastAsia="宋体" w:cs="宋体"/>
          <w:b/>
          <w:color w:val="000000"/>
          <w:sz w:val="21"/>
          <w:szCs w:val="21"/>
          <w:highlight w:val="none"/>
        </w:rPr>
        <w:t>物业服务费用明细表</w:t>
      </w:r>
    </w:p>
    <w:p>
      <w:pPr>
        <w:tabs>
          <w:tab w:val="left" w:pos="4995"/>
        </w:tabs>
        <w:spacing w:line="360" w:lineRule="auto"/>
        <w:jc w:val="right"/>
        <w:rPr>
          <w:rFonts w:hint="eastAsia" w:ascii="宋体" w:hAnsi="宋体" w:eastAsia="宋体" w:cs="宋体"/>
          <w:b/>
          <w:bCs/>
          <w:color w:val="000000"/>
          <w:sz w:val="21"/>
          <w:szCs w:val="21"/>
          <w:highlight w:val="none"/>
        </w:rPr>
      </w:pPr>
      <w:r>
        <w:rPr>
          <w:rFonts w:hint="eastAsia" w:ascii="宋体" w:hAnsi="宋体" w:eastAsia="宋体" w:cs="宋体"/>
          <w:b/>
          <w:color w:val="000000"/>
          <w:sz w:val="21"/>
          <w:szCs w:val="21"/>
          <w:highlight w:val="none"/>
        </w:rPr>
        <w:t>单位：元</w:t>
      </w:r>
    </w:p>
    <w:p>
      <w:pPr>
        <w:widowControl/>
        <w:jc w:val="center"/>
        <w:rPr>
          <w:rFonts w:hint="eastAsia" w:ascii="宋体" w:hAnsi="宋体" w:eastAsia="宋体" w:cs="宋体"/>
          <w:kern w:val="0"/>
          <w:sz w:val="21"/>
          <w:szCs w:val="21"/>
          <w:highlight w:val="none"/>
        </w:rPr>
      </w:pPr>
    </w:p>
    <w:tbl>
      <w:tblPr>
        <w:tblStyle w:val="10"/>
        <w:tblpPr w:leftFromText="180" w:rightFromText="180" w:vertAnchor="text" w:horzAnchor="page" w:tblpX="882" w:tblpY="54"/>
        <w:tblOverlap w:val="never"/>
        <w:tblW w:w="940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82"/>
        <w:gridCol w:w="2100"/>
        <w:gridCol w:w="16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项目构成</w:t>
            </w:r>
          </w:p>
        </w:tc>
        <w:tc>
          <w:tcPr>
            <w:tcW w:w="2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金额（元）</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95" w:hRule="atLeast"/>
        </w:trPr>
        <w:tc>
          <w:tcPr>
            <w:tcW w:w="5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1.人员费用包括：工资、加班费、工装费用、劳保费用、社会保险费（工伤保险金、养老保险金、生育保险金、失业保障金、医疗保险金、住房公积金）、福利费等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13669420.92</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2. 房屋及共用设备设施维修、维护、运行费用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318000.00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3. 环境清洁、消杀工具及材料费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326401.80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4. 安全管理工具及投入费用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22330.00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5. 绿化养护服务费用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474600.00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6. 物业服务管理固定资产折旧费用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180000.00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7.办公费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27810.00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8.企业利润</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497372.31</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2" w:hRule="atLeast"/>
        </w:trPr>
        <w:tc>
          <w:tcPr>
            <w:tcW w:w="5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9.税、费</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1024586.95</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63"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10.强制性检测费（如：防雷检测、灭火器检测、消电检、烟感的清洗检测、高低压设备检测等）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482456.20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11.专业设施设备系统运行维护费（如：高低压配电设备、消防系统、生活热水、化粪池清掏、生活垃圾、厨余垃圾、可回收物、有害垃圾清运等）</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982058.00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7"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12.物业共用部位、共用设施设备公众责任险、财产险、安责险等保险费用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仿宋_GB2312" w:cs="Times New Roman"/>
                <w:color w:val="auto"/>
                <w:kern w:val="2"/>
                <w:sz w:val="24"/>
                <w:szCs w:val="24"/>
                <w:highlight w:val="none"/>
                <w:lang w:val="en-US" w:eastAsia="zh-CN" w:bidi="ar-SA"/>
              </w:rPr>
            </w:pPr>
            <w:r>
              <w:rPr>
                <w:rFonts w:hint="eastAsia"/>
                <w:color w:val="auto"/>
                <w:sz w:val="24"/>
                <w:highlight w:val="none"/>
                <w:lang w:val="en-US" w:eastAsia="zh-CN"/>
              </w:rPr>
              <w:t>96000.00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2" w:hRule="atLeast"/>
        </w:trPr>
        <w:tc>
          <w:tcPr>
            <w:tcW w:w="5682" w:type="dxa"/>
            <w:tcBorders>
              <w:top w:val="single" w:color="000000" w:sz="4" w:space="0"/>
              <w:left w:val="single" w:color="000000" w:sz="4" w:space="0"/>
              <w:bottom w:val="single" w:color="000000" w:sz="4" w:space="0"/>
              <w:right w:val="nil"/>
            </w:tcBorders>
            <w:noWrap w:val="0"/>
            <w:tcMar>
              <w:top w:w="10" w:type="dxa"/>
              <w:left w:w="10" w:type="dxa"/>
              <w:right w:w="10"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 xml:space="preserve">    13.其他需支付的费用（自行编写）</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0"/>
            <w:tcMar>
              <w:top w:w="10" w:type="dxa"/>
              <w:left w:w="10" w:type="dxa"/>
              <w:right w:w="10" w:type="dxa"/>
            </w:tcMar>
            <w:vAlign w:val="center"/>
          </w:tcPr>
          <w:p>
            <w:pPr>
              <w:adjustRightInd w:val="0"/>
              <w:snapToGrid w:val="0"/>
              <w:jc w:val="left"/>
              <w:rPr>
                <w:rFonts w:hint="eastAsia" w:ascii="Times New Roman" w:hAnsi="Times New Roman" w:eastAsia="宋体" w:cs="Times New Roman"/>
                <w:color w:val="auto"/>
                <w:kern w:val="2"/>
                <w:sz w:val="24"/>
                <w:szCs w:val="24"/>
                <w:highlight w:val="none"/>
                <w:lang w:val="en-US" w:eastAsia="zh-CN" w:bidi="ar-SA"/>
              </w:rPr>
            </w:pPr>
            <w:r>
              <w:rPr>
                <w:rFonts w:hint="eastAsia"/>
                <w:color w:val="auto"/>
                <w:sz w:val="24"/>
                <w:highlight w:val="none"/>
                <w:lang w:val="en-US" w:eastAsia="zh-CN"/>
              </w:rPr>
              <w:t>0</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2" w:hRule="atLeast"/>
        </w:trPr>
        <w:tc>
          <w:tcPr>
            <w:tcW w:w="568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总计</w:t>
            </w:r>
          </w:p>
        </w:tc>
        <w:tc>
          <w:tcPr>
            <w:tcW w:w="210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sz w:val="24"/>
                <w:szCs w:val="24"/>
                <w:highlight w:val="none"/>
                <w:u w:val="none"/>
              </w:rPr>
              <w:t>18101036.18</w:t>
            </w:r>
          </w:p>
        </w:tc>
        <w:tc>
          <w:tcPr>
            <w:tcW w:w="162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p>
        </w:tc>
      </w:tr>
    </w:tbl>
    <w:p>
      <w:pPr>
        <w:widowControl/>
        <w:jc w:val="center"/>
        <w:rPr>
          <w:rFonts w:hint="eastAsia" w:ascii="宋体" w:hAnsi="宋体" w:eastAsia="宋体" w:cs="宋体"/>
          <w:kern w:val="0"/>
          <w:sz w:val="21"/>
          <w:szCs w:val="21"/>
          <w:highlight w:val="none"/>
        </w:rPr>
      </w:pPr>
    </w:p>
    <w:p>
      <w:pPr>
        <w:widowControl/>
        <w:jc w:val="center"/>
        <w:rPr>
          <w:rFonts w:hint="eastAsia" w:ascii="宋体" w:hAnsi="宋体" w:eastAsia="宋体" w:cs="宋体"/>
          <w:kern w:val="0"/>
          <w:sz w:val="21"/>
          <w:szCs w:val="21"/>
          <w:highlight w:val="none"/>
        </w:rPr>
      </w:pPr>
    </w:p>
    <w:p>
      <w:pPr>
        <w:widowControl/>
        <w:jc w:val="center"/>
        <w:rPr>
          <w:rFonts w:hint="eastAsia" w:ascii="宋体" w:hAnsi="宋体" w:eastAsia="宋体" w:cs="宋体"/>
          <w:kern w:val="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p>
    <w:p>
      <w:pPr>
        <w:pStyle w:val="2"/>
        <w:rPr>
          <w:rFonts w:hint="eastAsia"/>
          <w:highlight w:val="none"/>
        </w:rPr>
      </w:pPr>
    </w:p>
    <w:p>
      <w:pPr>
        <w:adjustRightInd w:val="0"/>
        <w:snapToGrid w:val="0"/>
        <w:spacing w:line="300" w:lineRule="auto"/>
        <w:jc w:val="left"/>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附件二：</w:t>
      </w:r>
    </w:p>
    <w:p>
      <w:pPr>
        <w:adjustRightInd w:val="0"/>
        <w:snapToGrid w:val="0"/>
        <w:spacing w:line="300" w:lineRule="auto"/>
        <w:jc w:val="center"/>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文化和旅游局“三馆一院”项目物业服务工作质量标准</w:t>
      </w:r>
    </w:p>
    <w:p>
      <w:pPr>
        <w:pStyle w:val="2"/>
        <w:rPr>
          <w:rFonts w:hint="eastAsia"/>
        </w:rPr>
      </w:pP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一、工程维修</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1、房屋设备设施日常维护保养必须建立严格的管理制度，岗位责任明确。</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2、设立24小时报修中心，值班人员24小时值守，熟悉工作内容，严格执行相关规章制度和岗位职责。</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3、接听电话态度热情，解答问题耐心细致，发现问题及时处理并汇报，值班记录完整、详实。</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4、制定巡查制度，各级管理人员巡检有详细记录，保存完好以备核查。</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5、每月报告一次办公楼设备使用情况，发现问题及时汇报，提出合理化建议。</w:t>
      </w:r>
    </w:p>
    <w:p>
      <w:pPr>
        <w:adjustRightInd w:val="0"/>
        <w:snapToGrid w:val="0"/>
        <w:spacing w:line="300" w:lineRule="auto"/>
        <w:ind w:firstLine="354" w:firstLineChars="147"/>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（一）房屋建筑及附属市政设施管理服务质量要求</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1、确保“三馆一院”房屋的正常使用和完好。</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2、定期巡查，保持对各部位实际状况的有效掌握。</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3、及时完成各项零星维修任务，一般维修任务不得超过24小时。</w:t>
      </w:r>
    </w:p>
    <w:p>
      <w:pPr>
        <w:adjustRightInd w:val="0"/>
        <w:snapToGrid w:val="0"/>
        <w:spacing w:line="300" w:lineRule="auto"/>
        <w:ind w:left="730"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4、定期对房屋进行维护检查，每年至少进行一次房屋安全普查和房屋完损度评定。5、各种标识完好、有效。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6、指定具体人员负责二次装修管理，并有记录。</w:t>
      </w:r>
    </w:p>
    <w:p>
      <w:pPr>
        <w:adjustRightInd w:val="0"/>
        <w:snapToGrid w:val="0"/>
        <w:spacing w:line="300" w:lineRule="auto"/>
        <w:ind w:firstLine="480" w:firstLineChars="20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7、附属构筑物：每周巡查 1 次道路、场地、阶梯及扶手、侧石、管井、沟渠等；每月检查 1 次雨、污水管井等；每周巡查 1 次大门、围墙、围栏等；每周巡查 1 次凉亭、景观等；每年检测 1 次防雷装置并组织维修。</w:t>
      </w:r>
    </w:p>
    <w:p>
      <w:pPr>
        <w:adjustRightInd w:val="0"/>
        <w:snapToGrid w:val="0"/>
        <w:spacing w:line="300" w:lineRule="auto"/>
        <w:ind w:firstLine="354" w:firstLineChars="147"/>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（二）设备设施运行及日常维护服务质量要求</w:t>
      </w:r>
    </w:p>
    <w:p>
      <w:pPr>
        <w:adjustRightInd w:val="0"/>
        <w:snapToGrid w:val="0"/>
        <w:spacing w:line="300" w:lineRule="auto"/>
        <w:ind w:firstLine="354" w:firstLineChars="147"/>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1、基本要求</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（1）设备机房门口应有机房类别及管理标识，保持门窗、锁具完好有效。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（2）设备系统图、管理制度、特种作业人员资格证书等张贴于设备机房明显位置。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（3）值班及非工作人员进出设备机房记录、交接班记录、设施设备运行、巡检、操作记录清晰完整。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（4）设备机房环境整洁，无杂物、渗漏，地面无积水，应按规定配置消防、通风、应急照明、防止小动物进入等设施。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（5）设备机房具备温、湿度检测设备，且环境温度、湿度值在规定范围内。 </w:t>
      </w:r>
    </w:p>
    <w:p>
      <w:pPr>
        <w:adjustRightInd w:val="0"/>
        <w:snapToGrid w:val="0"/>
        <w:spacing w:line="300" w:lineRule="auto"/>
        <w:ind w:firstLine="470" w:firstLineChars="196"/>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lang w:val="en-US" w:eastAsia="zh-CN"/>
        </w:rPr>
        <w:t xml:space="preserve">（6）机房设备无污物、锈蚀，设备表面清洁，无尘土。 </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2、</w:t>
      </w:r>
      <w:r>
        <w:rPr>
          <w:rFonts w:hint="eastAsia" w:ascii="仿宋" w:hAnsi="仿宋" w:eastAsia="仿宋" w:cs="仿宋"/>
          <w:b/>
          <w:color w:val="000000"/>
          <w:sz w:val="24"/>
          <w:szCs w:val="24"/>
          <w:highlight w:val="none"/>
        </w:rPr>
        <w:t>给排水系统日常运行管理及维护（含自来水、中水、直饮水、太阳能）</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（1）建立给排水系统安全管理制度，保证正常运行使用。按照卫生防疫部门的要求使用消毒设备，水质化验（水质检测报告应提交委托方或公示），水质符合国家现行生活饮用水卫生标准，</w:t>
      </w:r>
      <w:r>
        <w:rPr>
          <w:rFonts w:hint="eastAsia" w:ascii="仿宋" w:hAnsi="仿宋" w:eastAsia="仿宋" w:cs="仿宋"/>
          <w:color w:val="000000"/>
          <w:sz w:val="24"/>
          <w:szCs w:val="24"/>
          <w:highlight w:val="none"/>
        </w:rPr>
        <w:t>各项管理制度上墙。</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）加强日常巡视检查，保证给排水系统的正常运行。</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）设备出现故障报修时，维修人员在15分钟内到达现场，零星维修及时率100%，一般故障排除不过夜。</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）做到各项标识完好，对原有遗漏和不明确的标识进行完善。</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（5）注意节约用水，并对节水改造措施提出合理化建议。</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（6）供水系统管路、水泵阀门及机电设备等进行日常维护和定期检修保养；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（7）定期对排水管线进行清通、养护及污垢清除，保证室内外排水系统通畅。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（8）及时发现并排除故障，做到故障排除不过夜，维修合格率达到 100％。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（9）每年汛前对雨、污水井、屋面雨水口等设施进行检查，组织清理、疏通，确保畅通；每次降雨前后及过程中对主要排水口、管井进行检查。 </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（10）汛期每日巡视 1 次，平时每周巡视 1 次，检查设备运行状态；每周进行 1 次手动启动测试；每季度养护 1 次，检查启停泵自动启动功能是否正常。</w:t>
      </w:r>
    </w:p>
    <w:p>
      <w:pPr>
        <w:tabs>
          <w:tab w:val="left" w:pos="3915"/>
        </w:tabs>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3</w:t>
      </w:r>
      <w:r>
        <w:rPr>
          <w:rFonts w:hint="eastAsia" w:ascii="仿宋" w:hAnsi="仿宋" w:eastAsia="仿宋" w:cs="仿宋"/>
          <w:b/>
          <w:color w:val="000000"/>
          <w:sz w:val="24"/>
          <w:szCs w:val="24"/>
          <w:highlight w:val="none"/>
        </w:rPr>
        <w:t>、上、下水等管道、设施及相关阀件</w:t>
      </w:r>
    </w:p>
    <w:p>
      <w:pPr>
        <w:tabs>
          <w:tab w:val="left" w:pos="3915"/>
        </w:tabs>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（1）每日巡视卫生间、茶水间、管道间和设备间，及时维修并做好记录。</w:t>
      </w:r>
    </w:p>
    <w:p>
      <w:pPr>
        <w:tabs>
          <w:tab w:val="left" w:pos="3915"/>
        </w:tabs>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（2）保证各种设备运行正常、有效，管道畅通，各种设施、相关阀件无跑、冒、滴、漏现象，开关灵活。</w:t>
      </w:r>
    </w:p>
    <w:p>
      <w:pPr>
        <w:tabs>
          <w:tab w:val="left" w:pos="3915"/>
        </w:tabs>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（3）做好管道及相关阀件的防锈工作。</w:t>
      </w:r>
    </w:p>
    <w:p>
      <w:pPr>
        <w:tabs>
          <w:tab w:val="left" w:pos="3915"/>
        </w:tabs>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（4）注重季节性预防养护，特别是冬季室外的各类管线防冻保温工作。</w:t>
      </w:r>
    </w:p>
    <w:p>
      <w:pPr>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4</w:t>
      </w:r>
      <w:r>
        <w:rPr>
          <w:rFonts w:hint="eastAsia" w:ascii="仿宋" w:hAnsi="仿宋" w:eastAsia="仿宋" w:cs="仿宋"/>
          <w:b/>
          <w:color w:val="000000"/>
          <w:sz w:val="24"/>
          <w:szCs w:val="24"/>
          <w:highlight w:val="none"/>
        </w:rPr>
        <w:t>、落水管、沟渠、池、井</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（1）室外管井定期巡查，发现问题及时维修，并做好记录。</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（2）保证落水管、沟渠、池、井等使用功能正常，畅通、无堵塞。</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（3）井盖及雨水篦子确保完好无损。</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（4）楼内污水池每日巡视，汛期对污水泵作手动启动检查。</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（5）每年定期清掏化粪池、污水池，保证无淤堵； 污水排放达标。</w:t>
      </w:r>
    </w:p>
    <w:p>
      <w:pPr>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5</w:t>
      </w:r>
      <w:r>
        <w:rPr>
          <w:rFonts w:hint="eastAsia" w:ascii="仿宋" w:hAnsi="仿宋" w:eastAsia="仿宋" w:cs="仿宋"/>
          <w:b/>
          <w:color w:val="000000"/>
          <w:sz w:val="24"/>
          <w:szCs w:val="24"/>
          <w:highlight w:val="none"/>
        </w:rPr>
        <w:t>、二次供水及直饮水设备</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（1）每日定时巡查、及时维护，并做好记录。</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（2）确保无二次污染发生。</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（3）每日按要求做好直饮水设备机房的保洁和设备巡视工作。</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（4）有供水应急预案并进行演练。</w:t>
      </w:r>
    </w:p>
    <w:p>
      <w:pPr>
        <w:adjustRightInd w:val="0"/>
        <w:snapToGrid w:val="0"/>
        <w:spacing w:line="300" w:lineRule="auto"/>
        <w:ind w:firstLine="484" w:firstLineChars="201"/>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lang w:val="en-US" w:eastAsia="zh-CN"/>
        </w:rPr>
        <w:t>6</w:t>
      </w:r>
      <w:r>
        <w:rPr>
          <w:rFonts w:hint="eastAsia" w:ascii="仿宋" w:hAnsi="仿宋" w:eastAsia="仿宋" w:cs="仿宋"/>
          <w:b/>
          <w:color w:val="000000"/>
          <w:sz w:val="24"/>
          <w:szCs w:val="24"/>
          <w:highlight w:val="none"/>
        </w:rPr>
        <w:t>、电开水器</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（1）保证开水供应，定时巡视、检查，维修及时，无延误。</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（2）根据实际情况进行除垢作业，定期消毒。</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（3）电开水器应保持洁净、光亮、无污迹。</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（4）制定操作规程，按规范启动、关闭，不发生安全问题。</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（三）供电系统日常运行管理及维护（含避雷设备管理、公共照明系统运行）</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1、供电运行和维修人员实行持证上岗，变配电室由专业人员进行运行、维护。</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2、变配电室人员与低压运行维护人员要密切配合，保证电器设备的有效运行，安全用电。</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3、对“三馆一院”施工单位用电行为进行监督、检查、管理。</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4、注意节约用电，并对节能改造措施提出合理化建议。</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5、照明：楼内照明，每班巡视 1 次，一般故障 1 小时内修复；复杂故障 1 日内修复；楼外照明，每日巡视 1 次，一般故障 12 小时内修复；复杂故障 2 日内修复；每 2 周调整 1 次时间控制器；应急照明，每日巡视 1 次，每季度充放电1次，发现故障，即时修复。</w:t>
      </w:r>
    </w:p>
    <w:p>
      <w:pPr>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（1）变配电室及供电</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1)各种标识完整有效，有防鼠措施，制度完善，执行有力。</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2)监视运行电气设备的各项参数，使参数值在规定范围内。</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3)值班人员应规范操作，对所辖供电线路每周进行一次全面的检查。</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4)检查、运行、维护记录清晰准确。</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5)变配电室、配电箱、柜每周清洁一次，值班室保持干净整洁。</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6)定期进行应急柴油发电机试车，在试车过程中定期带负荷运行。</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7)有事故应急预案，并定期演练。</w:t>
      </w:r>
    </w:p>
    <w:p>
      <w:pPr>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（2）低压日常运行管理及维护</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1)严格执行用电安全规范，确保用电安全。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2)设备出现故障报修时，维修人员应在15分钟内到达现场，零星维修及时率100%，一般故障排除不过夜。</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3)每日巡视配电竖井及电气设备，检查、运行、维护记录清晰准确，各种标识完整有效。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4)定期进行设备清扫。</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5)确保楼宇的照明灯具、开关、闸箱及电气设备的正常使用。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6)保证夜景照明，每日按时开、关庭院灯及特殊区域的照明灯具。</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7)每日根据巡视情况及时维护楼内各种照明灯具。</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8)保证避雷设施完好、有效、安全。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9）避雷网无脱焊和间断、无明显氧化、脱漆，发现避雷装置的锈蚀、变形、断裂等现象，上报委托方，根据指示组织维修。 </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10）每年雨季前进行防雷装置检测。</w:t>
      </w:r>
    </w:p>
    <w:p>
      <w:pPr>
        <w:adjustRightInd w:val="0"/>
        <w:snapToGrid w:val="0"/>
        <w:spacing w:line="300" w:lineRule="auto"/>
        <w:ind w:firstLine="472" w:firstLineChars="196"/>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（四）通风空调系统日常运行管理及维护</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1、根据季节转换，按规定时间运行，运行前对设施设备进行系统性检查。</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2、设备运行中噪音要达标，无跑、冒、滴、漏现象。</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3、制冷期间每日到各办公区域抽测温度并做记录。</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4、系统采用水处理措施。</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5、每年2次清洗、消毒风机盘管滤网。</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、各种标识完整有效，记录清晰、准确。</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7、空调机房 24 小时安排有人值守，值班人员均须持有制冷资格证书，并具有实际从业经历。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8、设备出现故障时，维修人员在 15 分钟内到达现场，在规定时间内进行维修完毕。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9、建立空调、供暖系统及热水系统运行管理、设备管理、安全管理制度。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10、严格执行 GB1576-96 水质标准，定时进行水质分析，确保空调系统、供热系统及热水系统安全运行。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11、保证空调、供热系统及热水系统正常使用，定期进行日常养护及维修，确保设备设施处于良好状态（包括地源机组管路）。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12、定期对空调、供热系统及热水系统设备进行年检，发现问题及时修理，确保使用功能不受影响。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13、按甲方规定时间供暖，并根据国务院办公厅《关于严格执行公共建筑空调温度控制标准得要求》规定，“夏季室内空调设置温度不得低于 26摄氏度，冬季室内空调设置温度不得高于 20摄氏度”设置温度。系统运行中办公室无噪音和严重滴漏水现象。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14、保证洗手间、食堂、浴室热水不间断供应，且浴室水温不低于 50 度。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15、认真做好设备运行和维修、保养纪录，建立完整设备维修、保养档案。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16、新风机过滤网每季度至少清洗一次，每季度进行 1 次室内新风配比参数和风量测试、调节。 </w:t>
      </w:r>
    </w:p>
    <w:p>
      <w:pPr>
        <w:adjustRightInd w:val="0"/>
        <w:snapToGrid w:val="0"/>
        <w:spacing w:line="300" w:lineRule="auto"/>
        <w:ind w:firstLine="470" w:firstLineChars="196"/>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17、中央空调机组每年两次换季保养，其他电机、风机、水泵等设备每年有计划的进行一次轮修、保养。 </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（五）电梯系统日常运行管理</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1、电梯在使用前应向行政主管部门办理使用登记。</w:t>
      </w:r>
    </w:p>
    <w:p>
      <w:pPr>
        <w:adjustRightInd w:val="0"/>
        <w:snapToGrid w:val="0"/>
        <w:spacing w:line="300" w:lineRule="auto"/>
        <w:ind w:firstLine="470" w:firstLineChars="196"/>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2、与有资质的电梯维修单位签订维保合同。</w:t>
      </w:r>
    </w:p>
    <w:p>
      <w:pPr>
        <w:adjustRightInd w:val="0"/>
        <w:snapToGrid w:val="0"/>
        <w:spacing w:line="300" w:lineRule="auto"/>
        <w:ind w:firstLine="470" w:firstLineChars="196"/>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3、</w:t>
      </w:r>
      <w:r>
        <w:rPr>
          <w:rFonts w:hint="eastAsia" w:ascii="仿宋" w:hAnsi="仿宋" w:eastAsia="仿宋" w:cs="仿宋"/>
          <w:color w:val="000000"/>
          <w:kern w:val="0"/>
          <w:sz w:val="24"/>
          <w:szCs w:val="24"/>
          <w:highlight w:val="none"/>
          <w:lang w:val="en-US" w:eastAsia="zh-CN" w:bidi="ar"/>
        </w:rPr>
        <w:t xml:space="preserve">建立电梯维保单位的作业实施监督管理制度，现场需配置电梯维保人员 1 人，因故障停梯接报修后，5 分钟内到达现场，查明故障原因，一般故障 2 小时内维修完成，其他故障 24 小时内完成维修。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4、制定电梯应急救援预案，定期演练。发生电梯困人或其它重大事件时，应立即启动事故应急预案，及时向委托方和相关行政主管部门报告。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5、年检证明、紧急救援电话和乘客注意事项、安全标识等应置于轿厢醒目位置。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配备电梯安全管理人员，每日对电梯进行巡视。</w:t>
      </w:r>
      <w:r>
        <w:rPr>
          <w:rFonts w:hint="eastAsia" w:ascii="仿宋" w:hAnsi="仿宋" w:eastAsia="仿宋" w:cs="仿宋"/>
          <w:color w:val="000000"/>
          <w:kern w:val="0"/>
          <w:sz w:val="24"/>
          <w:szCs w:val="24"/>
          <w:highlight w:val="none"/>
          <w:lang w:val="en-US" w:eastAsia="zh-CN" w:bidi="ar"/>
        </w:rPr>
        <w:t xml:space="preserve">电梯巡视检查、维修养护记录完整。机房配有平层标识图，盘车救援等工具齐全；轿厢、井道内清洁；消防电梯底坑应有排水装置；电梯运行平稳，无异响，平层、开关正常（按物业服务合同的约定时间运行）。 </w:t>
      </w:r>
    </w:p>
    <w:p>
      <w:pPr>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（六）弱电系统日常运行管理及维护</w:t>
      </w:r>
    </w:p>
    <w:p>
      <w:pPr>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1、楼宇自控系统</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（1）定期检查楼宇自控设备运行状态，对设备发出的故障报警及时处理，故障资料及时存盘。</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（2）定期对模块箱进行巡视清洁，定期对系统进行检测，并根据设备使用情况和季节交替加强监测强度。</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2、综合布线、有限电视系统、停车管理系统  </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（1）保证系统缆线的有效连接，保证“三馆一院”各终端点的正常使用。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（2）出现故障报修时，维修人员应在15分钟内到达现场，零星维修及时率100%，一般故障立即排除。</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（3）定期清扫弱电竖井、机柜、放大器及分配箱等。</w:t>
      </w:r>
    </w:p>
    <w:p>
      <w:pPr>
        <w:adjustRightInd w:val="0"/>
        <w:snapToGrid w:val="0"/>
        <w:spacing w:line="30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（4）各种标识完整、清晰，有效管理技术资料和作业记录。如发生外部故障，及时联系相关单位解决。</w:t>
      </w:r>
    </w:p>
    <w:p>
      <w:pPr>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七</w:t>
      </w:r>
      <w:r>
        <w:rPr>
          <w:rFonts w:hint="eastAsia" w:ascii="仿宋" w:hAnsi="仿宋" w:eastAsia="仿宋" w:cs="仿宋"/>
          <w:b/>
          <w:color w:val="000000"/>
          <w:sz w:val="24"/>
          <w:szCs w:val="24"/>
          <w:highlight w:val="none"/>
        </w:rPr>
        <w:t>）燃气系统日常运行管理及维护</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1、按时巡视，抄表准确，保证安全用气。</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2、严禁烟火标识清晰、完整，维修及时、无贻误，燃气设备完好率达到 100%。</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3、当出现外部故障时，立即与燃气公司联系进行修理。</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4、按时检测，无跑、冒、漏现象。</w:t>
      </w:r>
    </w:p>
    <w:p>
      <w:pPr>
        <w:adjustRightInd w:val="0"/>
        <w:snapToGrid w:val="0"/>
        <w:spacing w:line="300" w:lineRule="auto"/>
        <w:ind w:firstLine="482" w:firstLineChars="20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5、有应急预案，并定期进行演练。</w:t>
      </w:r>
    </w:p>
    <w:p>
      <w:pPr>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八</w:t>
      </w:r>
      <w:r>
        <w:rPr>
          <w:rFonts w:hint="eastAsia" w:ascii="仿宋" w:hAnsi="仿宋" w:eastAsia="仿宋" w:cs="仿宋"/>
          <w:b/>
          <w:color w:val="000000"/>
          <w:sz w:val="24"/>
          <w:szCs w:val="24"/>
          <w:highlight w:val="none"/>
        </w:rPr>
        <w:t>）水景系统日常运行管理及维护</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1、启用前进行防渗漏和防漏电检查，防止渗漏，保证用电安全。</w:t>
      </w:r>
    </w:p>
    <w:p>
      <w:pPr>
        <w:adjustRightInd w:val="0"/>
        <w:snapToGrid w:val="0"/>
        <w:spacing w:line="300" w:lineRule="auto"/>
        <w:ind w:firstLine="482" w:firstLineChars="201"/>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2、使用期间每日巡视水池、水泵及其附属设施，定期检查防漏电设施，设置必要的安全警示标志。</w:t>
      </w:r>
    </w:p>
    <w:p>
      <w:pPr>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九</w:t>
      </w:r>
      <w:r>
        <w:rPr>
          <w:rFonts w:hint="eastAsia" w:ascii="仿宋" w:hAnsi="仿宋" w:eastAsia="仿宋" w:cs="仿宋"/>
          <w:b/>
          <w:color w:val="000000"/>
          <w:sz w:val="24"/>
          <w:szCs w:val="24"/>
          <w:highlight w:val="none"/>
        </w:rPr>
        <w:t>）公共器具及家具的简易维修</w:t>
      </w:r>
    </w:p>
    <w:p>
      <w:pPr>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1、确保“三馆一院”的办公家具正常使用。接到报修，维修人员应在15分钟内到达现场。</w:t>
      </w:r>
    </w:p>
    <w:p>
      <w:pPr>
        <w:adjustRightInd w:val="0"/>
        <w:snapToGrid w:val="0"/>
        <w:spacing w:line="300" w:lineRule="auto"/>
        <w:ind w:firstLine="482" w:firstLineChars="200"/>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（十）节能减排运行管理</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1、在满足甲方实际需求的前提下，制定合适、有效的节约能源方案。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2、合理控制机电设备和照明的开关时间，尽量节约能源。</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3、记录水、电、气及冬季热流量等相关数据，每月提供能源使用情况分析，提出节能改进措施。</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二、消防、安防日常管理</w:t>
      </w:r>
    </w:p>
    <w:p>
      <w:pPr>
        <w:adjustRightInd w:val="0"/>
        <w:snapToGrid w:val="0"/>
        <w:spacing w:line="300" w:lineRule="auto"/>
        <w:ind w:firstLine="472" w:firstLineChars="196"/>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基本要求</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1、安防中控室实行 24 小时值班制度，根据相关规定要求配备人员值守。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2、值班人员熟练掌握中控系统的操作规程，对于系统显示的报警、设备故障和突发事件，及时处理并作好记录。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3、摄像监控的图像清晰，数据、记录清晰完整，按规定时间保存信息。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4、设备运行正常，日常巡视检查、维修养护记录完整，现场测试符合要求。</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5、建立、落实消防安全责任制，设消防安全负责人，逐级逐岗明确消防安全职责。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6、成立专职消防微站队伍，配备必要的消防器材，相关人员掌握消防基本知识和技能；每年组织 2 次物业服务员工、委托方或入驻单位使用人参加消防演练。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7、每日防火巡查 1 次，每月防火检查 2 次，按照规定每年检测 1 次建筑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消防设施；保障疏散通道、安全出口、消防车通道和消防设施、器材符合消防安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全要求。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8、发现消防安全违法行为和火灾隐患，立即纠正、排除；无法立即纠正、排除的，应及时向委托方或公安机关消防机构报告。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9、发生火情初期应立即启动应急预案，组织扑救初起火灾，疏散遇险人员，协助配合公安机关消防机构工作。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10、记录与档案：各项工作记录完整有效、档案齐全。 </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11、每日 24 小时安全防范。 </w:t>
      </w:r>
    </w:p>
    <w:p>
      <w:pPr>
        <w:tabs>
          <w:tab w:val="left" w:pos="1455"/>
        </w:tabs>
        <w:adjustRightInd w:val="0"/>
        <w:snapToGrid w:val="0"/>
        <w:spacing w:line="300" w:lineRule="auto"/>
        <w:ind w:left="730" w:leftChars="228"/>
        <w:rPr>
          <w:rFonts w:hint="eastAsia" w:ascii="仿宋" w:hAnsi="仿宋" w:eastAsia="仿宋" w:cs="仿宋"/>
          <w:b/>
          <w:bCs/>
          <w:color w:val="000000"/>
          <w:sz w:val="24"/>
          <w:szCs w:val="24"/>
          <w:highlight w:val="none"/>
          <w:lang w:val="en-US" w:eastAsia="zh-CN"/>
        </w:rPr>
      </w:pP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）消防日常管理</w:t>
      </w:r>
    </w:p>
    <w:p>
      <w:pPr>
        <w:tabs>
          <w:tab w:val="left" w:pos="1455"/>
        </w:tabs>
        <w:adjustRightInd w:val="0"/>
        <w:snapToGrid w:val="0"/>
        <w:spacing w:line="300" w:lineRule="auto"/>
        <w:ind w:left="730" w:leftChars="228"/>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1、建立、落实消防安全责任制，设消防安全负责人，逐级逐岗明确消防安全职责。2、设置消防安全宣传专栏，组织开展经常性的消防安全宣传教育。</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3、定期对员工进行消防安全培训。</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4、每年组织2 次有员工、业主和入驻单位人员参加的消防演练。</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5、每日进行防火巡查2次，每月进行防火检查。</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6、按照规定每年检测1 次建筑消防设施。</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7、保证疏散通道、安全出口、消防车通道和消防设施、器材符合消防安全管理要求。</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8、发现消防安全违法行为和火灾隐患，立即纠正、排除。</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9、消防中控室设专人24 小时值班，每班2 人，及时处理各类报警、故障信息。</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10、与专业的消防维保公司签订消防维保合同,并监督其实施。</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11、灭火系统：消防泵、喷淋泵每月盘车 1 次，每季度检查 1 次润滑情况； </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每月检查 1 次室内、外消火栓，每年养护 1 次室内、外消火栓。 </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12、电梯：每季度检查测试 1 次按钮和联动控制迫降功能，轿箱内消防电话每月测试 1 次。 </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13、灭火器：每月巡查 1 次灭火器数量、位置情况，检查压力和有效期。保证处于完好状态。 </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14、设立专业微型消防站，配备专职微站队员，每班人员不少于 6 人，保障 24 小时安防巡视检查，确保应急突发事件的处置能力。</w:t>
      </w:r>
    </w:p>
    <w:p>
      <w:pPr>
        <w:tabs>
          <w:tab w:val="left" w:pos="1455"/>
        </w:tabs>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）安防系统</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1、保证安防设备设施正常运行，系统工作稳定。</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2、每日对安防设备进行清洁，保持设备外表无积尘、无污渍。</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3、一般性故障立即排除，零维修合格率100%，暂时不能处理的通知有关部门采取应急措施，应急措施得当有效。</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4、定期对系统硬件进行调试检测。</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5、钥匙接收、保管、发放手续齐备，记录清楚，确保保管钥匙无遗失、错乱的现象出现。</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6、中控室设专人24 小时值守，监控影像资料、报警记录应留存备查。</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7、管理制度、应急预案张贴在显著位置，定期对应急预案进行演练。</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8、对违法行为立即上报后报警，并采取相应处理措施。</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9、备勤人员24 小时待岗，配备必要的应急工具。</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三、环境保洁服务质量要求</w:t>
      </w:r>
    </w:p>
    <w:p>
      <w:pPr>
        <w:adjustRightInd w:val="0"/>
        <w:snapToGrid w:val="0"/>
        <w:spacing w:line="300" w:lineRule="auto"/>
        <w:ind w:firstLine="354" w:firstLineChars="147"/>
        <w:rPr>
          <w:rFonts w:hint="eastAsia"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基本要求</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1、明确保洁范围、流程、频次、效果及评价等服务标准。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2、垃圾实行分类管理，日产日清，并建立台账。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3、保洁工具、设施设备建立台账，实施动态管理。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4、保洁设施设备保持清洁，定期进行卫生消毒。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5、房屋楼道、道路、绿化带、停车场等共用场地保持清洁。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6、冬季下雪或汛期及时清理主干道，确保无积雪，无积水，不影响车辆、人员出行。 </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 xml:space="preserve">7、每日清洁工作分早、晚两班，时间不少于 12 小时。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8、疫情防控期间人员进出，登记、扫码、测温、消毒。</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9、首层大厅、候梯厅、公共通道：每日用清洗车清洗地面 1 次，清拖地面不少于 4 次；每日巡视保洁 2 次；每月擦拭 1 次大堂、候梯厅、通道墙面；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10、每日对各展厅、排练室、图书预览室、会议室、琴房、书法绘画室进行清洁消毒 1 次；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11、每日在剧场演出前对剧场进行全面清洁、消毒；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12、每季度对地毯进行全面清洗 1 次；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13、室外 2 米以下玻璃、平台玻璃及大堂玻璃：每周组织擦拭清刮 1 次；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14、每日清扫、清拖楼道、楼梯地面，擦拭楼梯扶手、栏杆、窗台、防火门、消火栓、指示牌等共用设施；每季度除尘 1 次楼内灯具；根据地面材质，定期做地面清洗、养护；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15、电梯轿箱：每日擦拭 2 次电梯轿厢门、面板。每日清拖 2 次轿厢地面；不锈钢或其他材料装饰的电梯轿厢，每月护理 1 次；石材装饰的电梯轿厢，每季度养护 1 次；每日巡视保洁 2 次电梯轿箱；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16、天台、屋面：每月清扫 1 次天台、屋面；雨季期间，每半月清扫 1 次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17、天台、屋面；每半月巡查 1 次天台、内天井，有杂物及时清扫；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18、楼外道路广场及设施：每日清扫 2 次楼外道路及设施，巡视保洁 2 次；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19、每月清洁 1 次楼外公共照明及共用设施；每季度清洁 1 次雨蓬、门头等；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20、雨雪天气清洁：雨后对园区内主路、广场、干路积水进行清扫；降雪时，及时清扫积雪，铲除结冰。夜间降雪的，主要道路的冰雪在次日 8:00 前清扫干净；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21、公共卫生间每天全面清洁 2-3 次，确保地面无明显积水、污物； </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22、其他未列明建筑小品等景观设施根据需要每周清洁一次。</w:t>
      </w:r>
    </w:p>
    <w:p>
      <w:pPr>
        <w:adjustRightInd w:val="0"/>
        <w:snapToGrid w:val="0"/>
        <w:spacing w:line="300" w:lineRule="auto"/>
        <w:ind w:firstLine="588" w:firstLineChars="245"/>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23、所有公共区域按照疫情防控要求进行消杀工作 </w:t>
      </w:r>
    </w:p>
    <w:p>
      <w:pPr>
        <w:adjustRightInd w:val="0"/>
        <w:snapToGrid w:val="0"/>
        <w:spacing w:line="300" w:lineRule="auto"/>
        <w:ind w:firstLine="354" w:firstLineChars="147"/>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）、大厅及通道</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1、地面无垃圾、无污渍、无灰尘、表面干净。</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2、墙面清洁干净、无污渍、无尘。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3、风口表面无灰尘、无污迹。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4、裸露管线表面无灰尘、无污渍。</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5、通道门无污迹、无灰尘、表面干净。</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6、装饰物表面无污迹、无灰尘。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7、不锈钢饰物表面无污迹、无灰尘、无手印。</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8、玻璃表面无污迹、无灰尘、无手印、干净、明亮。</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9、休息区域干净，皮沙发表面干净、无污迹。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10、配套设施表面干净、无尘。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11、垃圾桶干净、无污迹，桶内垃圾不超过垃圾桶容积的2/3。</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12、围栏扶手表面无污迹、无尘。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13、消防器材干净、无尘。</w:t>
      </w:r>
    </w:p>
    <w:p>
      <w:pPr>
        <w:adjustRightInd w:val="0"/>
        <w:snapToGrid w:val="0"/>
        <w:spacing w:line="300" w:lineRule="auto"/>
        <w:ind w:firstLine="472" w:firstLineChars="196"/>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）、电梯</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1、干净、无杂物，玻璃表面无手印、干净、明亮。</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2、画框清洁干净、无尘。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3、不锈钢表面干净、光亮、无手印，不锈钢扶手清洁干净、无尘。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4、电梯控制板干净、无尘。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5、地毯吸尘全面干净、地垫擦试干净、无垃圾，随时保持地面清洁。</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6、轿厢顶板、灯罩干净、无尘。</w:t>
      </w:r>
    </w:p>
    <w:p>
      <w:pPr>
        <w:adjustRightInd w:val="0"/>
        <w:snapToGrid w:val="0"/>
        <w:spacing w:line="300" w:lineRule="auto"/>
        <w:ind w:firstLine="590" w:firstLineChars="245"/>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）、水房</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1、地面无垃圾、无废弃物、无污迹、无水迹。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2、台面无污迹、无尘、无水迹、无划痕。</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3、玻璃表面光亮干净、明亮。</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4、电热水器、垃圾桶、剩水桶表面干净、无水迹。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5、不锈钢物品表面光亮干净、无污迹、无手印、水迹、无锈蚀和划伤痕迹。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6、茶筐、茶桶无茶渍、无杂物。</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7、瓷砖墙面光亮、无污迹。</w:t>
      </w:r>
    </w:p>
    <w:p>
      <w:pPr>
        <w:adjustRightInd w:val="0"/>
        <w:snapToGrid w:val="0"/>
        <w:spacing w:line="300" w:lineRule="auto"/>
        <w:ind w:firstLine="472" w:firstLineChars="196"/>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五</w:t>
      </w:r>
      <w:r>
        <w:rPr>
          <w:rFonts w:hint="eastAsia" w:ascii="仿宋" w:hAnsi="仿宋" w:eastAsia="仿宋" w:cs="仿宋"/>
          <w:b/>
          <w:color w:val="000000"/>
          <w:sz w:val="24"/>
          <w:szCs w:val="24"/>
          <w:highlight w:val="none"/>
        </w:rPr>
        <w:t>）、卫生间</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1、地面无垃圾、无污迹、无水渍、无灰尘。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2、隔板、门板、无污迹、无灰尘。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3、洁具表面无尘、无污迹。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4、玻璃镜面和不锈钢物品表面无污迹、无水迹、无手印。</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5、装饰画表面无尘、无污迹。</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6、无异味，卫生纸、洗手液补充充足。</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7、垃圾桶无污迹、光亮无尘。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8、垃圾桶及时清倒，桶内垃圾不超过垃圾桶容积的1/2。</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六</w:t>
      </w:r>
      <w:r>
        <w:rPr>
          <w:rFonts w:hint="eastAsia" w:ascii="仿宋" w:hAnsi="仿宋" w:eastAsia="仿宋" w:cs="仿宋"/>
          <w:b/>
          <w:color w:val="000000"/>
          <w:sz w:val="24"/>
          <w:szCs w:val="24"/>
          <w:highlight w:val="none"/>
        </w:rPr>
        <w:t>）、停车场</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1、停车场地面无垃圾、无杂物、无油渍，并定时清洁。</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2、设备设施干净、光亮。</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3、消防器材定期清洁，干净无尘。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4、顶部管线清洁、无积尘。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5、垃圾桶外壁无污渍、光亮无尘、桶内垃圾不超过垃圾桶容积的2/3。</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七</w:t>
      </w:r>
      <w:r>
        <w:rPr>
          <w:rFonts w:hint="eastAsia" w:ascii="仿宋" w:hAnsi="仿宋" w:eastAsia="仿宋" w:cs="仿宋"/>
          <w:b/>
          <w:color w:val="000000"/>
          <w:sz w:val="24"/>
          <w:szCs w:val="24"/>
          <w:highlight w:val="none"/>
        </w:rPr>
        <w:t>）、垃圾房</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1、地面、墙面干净、无污渍、垃圾日产日清。</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2、垃圾外运后，清洗现场地面。</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3、对垃圾收集容器定期清洗和消毒。</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4、无污水外溢、无异味。</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八</w:t>
      </w:r>
      <w:r>
        <w:rPr>
          <w:rFonts w:hint="eastAsia" w:ascii="仿宋" w:hAnsi="仿宋" w:eastAsia="仿宋" w:cs="仿宋"/>
          <w:b/>
          <w:color w:val="000000"/>
          <w:sz w:val="24"/>
          <w:szCs w:val="24"/>
          <w:highlight w:val="none"/>
        </w:rPr>
        <w:t>）、庭院</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1、庭院地面、坡道、门前三包无垃圾、无杂物，定时清扫。</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2、绿地清洁、干净、无杂物。</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3、垃圾桶每日清洁，定期消毒。</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4、垃圾桶外壁无污渍、光亮，桶内垃圾不超过垃圾桶容积的2/3。</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5、照明灯具干净、光亮。</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九</w:t>
      </w:r>
      <w:r>
        <w:rPr>
          <w:rFonts w:hint="eastAsia" w:ascii="仿宋" w:hAnsi="仿宋" w:eastAsia="仿宋" w:cs="仿宋"/>
          <w:b/>
          <w:color w:val="000000"/>
          <w:sz w:val="24"/>
          <w:szCs w:val="24"/>
          <w:highlight w:val="none"/>
        </w:rPr>
        <w:t>）、水景</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1、水面洁净、无杂物。</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2、定期清洁水景表面和水池池底。</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w:t>
      </w:r>
      <w:r>
        <w:rPr>
          <w:rFonts w:hint="eastAsia" w:ascii="仿宋" w:hAnsi="仿宋" w:eastAsia="仿宋" w:cs="仿宋"/>
          <w:b/>
          <w:color w:val="000000"/>
          <w:sz w:val="24"/>
          <w:szCs w:val="24"/>
          <w:highlight w:val="none"/>
          <w:lang w:val="en-US" w:eastAsia="zh-CN"/>
        </w:rPr>
        <w:t>十</w:t>
      </w:r>
      <w:r>
        <w:rPr>
          <w:rFonts w:hint="eastAsia" w:ascii="仿宋" w:hAnsi="仿宋" w:eastAsia="仿宋" w:cs="仿宋"/>
          <w:b/>
          <w:color w:val="000000"/>
          <w:sz w:val="24"/>
          <w:szCs w:val="24"/>
          <w:highlight w:val="none"/>
        </w:rPr>
        <w:t>）、屋面平台</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1、平台地面干净、无杂物，定时清洁。</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2、玻璃窗干净、明亮。</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3、护栏无尘、无污渍。</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4、排水孔、洞干净、无杂物。</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val="en-US" w:eastAsia="zh-CN"/>
        </w:rPr>
        <w:t>一</w:t>
      </w:r>
      <w:r>
        <w:rPr>
          <w:rFonts w:hint="eastAsia" w:ascii="仿宋" w:hAnsi="仿宋" w:eastAsia="仿宋" w:cs="仿宋"/>
          <w:b/>
          <w:color w:val="000000"/>
          <w:sz w:val="24"/>
          <w:szCs w:val="24"/>
          <w:highlight w:val="none"/>
        </w:rPr>
        <w:t>）、外墙</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1、外墙壁表面干净，无污渍、无广告张贴。</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2、外窗清洁后，光亮清洁透明，玻璃窗框无积尘，窗台无污渍及积尘，玻璃雨棚干净、无积尘。</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3、专项保洁使用专业工具、设备和环保清洁剂，按照操作程序清洁。</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4、所清洁物表面干净、无尘、无污迹，消毒全面、彻底。</w:t>
      </w:r>
    </w:p>
    <w:p>
      <w:pPr>
        <w:adjustRightInd w:val="0"/>
        <w:snapToGrid w:val="0"/>
        <w:spacing w:line="300" w:lineRule="auto"/>
        <w:ind w:firstLine="472" w:firstLineChars="196"/>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（十</w:t>
      </w: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）、防鼠灭虫</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1、无刺激性异味，消毒物表面无药剂残留。</w:t>
      </w:r>
    </w:p>
    <w:p>
      <w:pPr>
        <w:adjustRightInd w:val="0"/>
        <w:snapToGrid w:val="0"/>
        <w:spacing w:line="300" w:lineRule="auto"/>
        <w:ind w:firstLine="588" w:firstLineChars="245"/>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2、配合相关单位进行有害生物预防和控制。</w:t>
      </w:r>
    </w:p>
    <w:p>
      <w:pPr>
        <w:adjustRightInd w:val="0"/>
        <w:snapToGrid w:val="0"/>
        <w:spacing w:line="300" w:lineRule="auto"/>
        <w:ind w:firstLine="588" w:firstLineChars="245"/>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3、投放药物应预先告知，投药位置应有明显标志。</w:t>
      </w:r>
    </w:p>
    <w:p>
      <w:pPr>
        <w:adjustRightInd w:val="0"/>
        <w:snapToGrid w:val="0"/>
        <w:spacing w:line="300" w:lineRule="auto"/>
        <w:ind w:firstLine="482" w:firstLineChars="200"/>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四、绿化服务质量标准</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1、乔木植株生长健壮，树冠完整，出现死亡或缺株后应及时补栽，生长季节叶片保存率高于95%。</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2、灌木植株生长健壮，枝叶丰满，主枝分布均匀合理，观赏效果好，符合植物品种的造型特点。</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3、绿篱造型整齐美观，轮廓清晰，高度一致，修剪及时，出现死亡或缺株应及时补栽。</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4、地被和花坛植物地被植物覆盖率高于99%，花坛植物死亡率超过1%后能及时补栽、更换。</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5、草坪整齐，覆盖率高于99%。</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6、病虫害防治采取预防为主，综合防治的方针。</w:t>
      </w:r>
    </w:p>
    <w:p>
      <w:pPr>
        <w:tabs>
          <w:tab w:val="left" w:pos="1455"/>
        </w:tabs>
        <w:adjustRightInd w:val="0"/>
        <w:snapToGrid w:val="0"/>
        <w:spacing w:line="300" w:lineRule="auto"/>
        <w:ind w:firstLine="482" w:firstLineChars="201"/>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7、及时掌控病虫害的发生情况，尽量采用生物、物理方法有效防治病虫害，减少使用化学农药对环境的影响。</w:t>
      </w:r>
    </w:p>
    <w:p>
      <w:pPr>
        <w:tabs>
          <w:tab w:val="left" w:pos="1455"/>
        </w:tabs>
        <w:adjustRightInd w:val="0"/>
        <w:snapToGrid w:val="0"/>
        <w:spacing w:line="300" w:lineRule="auto"/>
        <w:ind w:firstLine="482" w:firstLineChars="201"/>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8、绿化药剂、肥料使用及存放实施计划与管理，记录完整，废弃物处理符合相关规定。（不能使用百草枯等除草药剂）</w:t>
      </w:r>
    </w:p>
    <w:p>
      <w:pPr>
        <w:tabs>
          <w:tab w:val="left" w:pos="1455"/>
        </w:tabs>
        <w:adjustRightInd w:val="0"/>
        <w:snapToGrid w:val="0"/>
        <w:spacing w:line="300" w:lineRule="auto"/>
        <w:ind w:firstLine="484" w:firstLineChars="201"/>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五、突发事件的应急处置管理服务</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1、突发事件应急预案的制定，应目的明确、范围清晰、内容全面、可操作性强、措施有效；符合有关法律、法规以及有关部门和上级单位规范性文件要求。</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2、结合“三馆一院”危险源进行风险识别，结合“三馆一院”现场情况，结合突发事件应急处置能力制定应急预案。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3、预案中的组织体系、信息报送和任务模块等内容科学合理。</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4、应急响应程序和保障措施切实可行、有效。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5、应急预案健全</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（1）上访应急预案。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（2）防恐防暴应急预案。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（3）消防应急预案。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（4）公共性卫生事件应急预案（水污染）。</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（5）防汛应急预案。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（6）强降雨应急预案。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（7）降雪应急预案。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（8）大风应急预案。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（9）跑水事故应急预案。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（10）停水应急预案。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（11）停电应急预案。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（12）触电应急预案。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（13）电梯应急预案。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（14）空调通风系统应急预案。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（15）物业服务类危机应急预案。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（16）高空坠落应急预案。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（17）有限空间应急预案。</w:t>
      </w:r>
    </w:p>
    <w:p>
      <w:pPr>
        <w:adjustRightInd w:val="0"/>
        <w:snapToGrid w:val="0"/>
        <w:spacing w:line="30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（18）燃气泄漏应急预案。</w:t>
      </w:r>
    </w:p>
    <w:p>
      <w:pPr>
        <w:pStyle w:val="2"/>
        <w:rPr>
          <w:rFonts w:hint="eastAsia" w:ascii="仿宋" w:hAnsi="仿宋" w:eastAsia="仿宋" w:cs="仿宋"/>
          <w:color w:val="000000"/>
          <w:sz w:val="24"/>
          <w:szCs w:val="24"/>
          <w:highlight w:val="none"/>
        </w:rPr>
      </w:pPr>
    </w:p>
    <w:p>
      <w:pPr>
        <w:pStyle w:val="2"/>
        <w:rPr>
          <w:rFonts w:hint="eastAsia" w:ascii="仿宋" w:hAnsi="仿宋" w:eastAsia="仿宋" w:cs="仿宋"/>
          <w:color w:val="000000"/>
          <w:sz w:val="24"/>
          <w:szCs w:val="24"/>
          <w:highlight w:val="none"/>
        </w:rPr>
      </w:pPr>
    </w:p>
    <w:p>
      <w:pPr>
        <w:pStyle w:val="2"/>
        <w:rPr>
          <w:rFonts w:hint="eastAsia" w:ascii="仿宋" w:hAnsi="仿宋" w:eastAsia="仿宋" w:cs="仿宋"/>
          <w:color w:val="000000"/>
          <w:sz w:val="24"/>
          <w:szCs w:val="24"/>
          <w:highlight w:val="none"/>
        </w:rPr>
      </w:pPr>
    </w:p>
    <w:p>
      <w:pPr>
        <w:pStyle w:val="2"/>
        <w:rPr>
          <w:rFonts w:hint="eastAsia" w:ascii="仿宋" w:hAnsi="仿宋" w:eastAsia="仿宋" w:cs="仿宋"/>
          <w:color w:val="000000"/>
          <w:sz w:val="24"/>
          <w:szCs w:val="24"/>
          <w:highlight w:val="none"/>
        </w:rPr>
      </w:pPr>
    </w:p>
    <w:p>
      <w:pPr>
        <w:pStyle w:val="2"/>
        <w:ind w:left="0" w:leftChars="0" w:firstLine="0" w:firstLineChars="0"/>
        <w:rPr>
          <w:rFonts w:hint="eastAsia" w:ascii="仿宋" w:hAnsi="仿宋" w:eastAsia="仿宋" w:cs="仿宋"/>
          <w:color w:val="000000"/>
          <w:sz w:val="24"/>
          <w:szCs w:val="24"/>
          <w:highlight w:val="none"/>
        </w:rPr>
      </w:pPr>
    </w:p>
    <w:p>
      <w:pPr>
        <w:pStyle w:val="2"/>
        <w:rPr>
          <w:rFonts w:hint="eastAsia" w:ascii="仿宋" w:hAnsi="仿宋" w:eastAsia="仿宋" w:cs="仿宋"/>
          <w:color w:val="000000"/>
          <w:sz w:val="24"/>
          <w:szCs w:val="24"/>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lang w:eastAsia="zh-CN"/>
        </w:rPr>
      </w:pPr>
      <w:r>
        <w:rPr>
          <w:rFonts w:hint="eastAsia" w:ascii="宋体" w:hAnsi="宋体" w:eastAsia="宋体" w:cs="宋体"/>
          <w:b/>
          <w:bCs/>
          <w:color w:val="000000"/>
          <w:sz w:val="21"/>
          <w:szCs w:val="21"/>
          <w:highlight w:val="none"/>
        </w:rPr>
        <w:t>附件</w:t>
      </w:r>
      <w:r>
        <w:rPr>
          <w:rFonts w:hint="eastAsia" w:ascii="宋体" w:hAnsi="宋体" w:eastAsia="宋体" w:cs="宋体"/>
          <w:b/>
          <w:bCs/>
          <w:color w:val="000000"/>
          <w:sz w:val="21"/>
          <w:szCs w:val="21"/>
          <w:highlight w:val="none"/>
          <w:lang w:eastAsia="zh-CN"/>
        </w:rPr>
        <w:t>三：</w:t>
      </w:r>
      <w:r>
        <w:rPr>
          <w:rFonts w:hint="eastAsia" w:ascii="仿宋_GB2312" w:hAnsi="仿宋_GB2312" w:eastAsia="仿宋_GB2312" w:cs="仿宋_GB2312"/>
          <w:b/>
          <w:bCs/>
          <w:color w:val="000000"/>
          <w:kern w:val="2"/>
          <w:sz w:val="28"/>
          <w:szCs w:val="28"/>
          <w:highlight w:val="none"/>
          <w:lang w:val="en-US" w:eastAsia="zh-CN" w:bidi="ar-SA"/>
        </w:rPr>
        <w:t>物业人员配置情况</w:t>
      </w:r>
    </w:p>
    <w:p>
      <w:pPr>
        <w:pStyle w:val="2"/>
        <w:ind w:firstLine="3092" w:firstLineChars="1100"/>
        <w:rPr>
          <w:rFonts w:hint="eastAsia"/>
          <w:highlight w:val="none"/>
          <w:lang w:val="en-US" w:eastAsia="zh-CN"/>
        </w:rPr>
      </w:pPr>
      <w:r>
        <w:rPr>
          <w:rFonts w:hint="eastAsia" w:ascii="仿宋_GB2312" w:hAnsi="仿宋_GB2312" w:eastAsia="仿宋_GB2312" w:cs="仿宋_GB2312"/>
          <w:b/>
          <w:bCs/>
          <w:color w:val="000000"/>
          <w:sz w:val="28"/>
          <w:szCs w:val="28"/>
          <w:highlight w:val="none"/>
          <w:lang w:val="en-US" w:eastAsia="zh-CN"/>
        </w:rPr>
        <w:t>人员配置</w:t>
      </w:r>
    </w:p>
    <w:tbl>
      <w:tblPr>
        <w:tblStyle w:val="10"/>
        <w:tblW w:w="4622" w:type="dxa"/>
        <w:tblInd w:w="18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3"/>
        <w:gridCol w:w="1995"/>
        <w:gridCol w:w="14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9" w:hRule="atLeast"/>
        </w:trPr>
        <w:tc>
          <w:tcPr>
            <w:tcW w:w="1143" w:type="dxa"/>
            <w:noWrap w:val="0"/>
            <w:vAlign w:val="top"/>
          </w:tcPr>
          <w:p>
            <w:pPr>
              <w:spacing w:before="96" w:line="184" w:lineRule="auto"/>
              <w:ind w:firstLine="337"/>
              <w:rPr>
                <w:rFonts w:ascii="仿宋" w:hAnsi="仿宋" w:eastAsia="仿宋" w:cs="仿宋"/>
                <w:sz w:val="24"/>
                <w:highlight w:val="none"/>
              </w:rPr>
            </w:pPr>
            <w:r>
              <w:rPr>
                <w:rFonts w:ascii="仿宋" w:hAnsi="仿宋" w:eastAsia="仿宋" w:cs="仿宋"/>
                <w:spacing w:val="-4"/>
                <w:sz w:val="24"/>
                <w:highlight w:val="none"/>
              </w:rPr>
              <w:t>序号</w:t>
            </w:r>
          </w:p>
        </w:tc>
        <w:tc>
          <w:tcPr>
            <w:tcW w:w="1995" w:type="dxa"/>
            <w:noWrap w:val="0"/>
            <w:vAlign w:val="top"/>
          </w:tcPr>
          <w:p>
            <w:pPr>
              <w:spacing w:before="96" w:line="184" w:lineRule="auto"/>
              <w:ind w:firstLine="796"/>
              <w:rPr>
                <w:rFonts w:ascii="仿宋" w:hAnsi="仿宋" w:eastAsia="仿宋" w:cs="仿宋"/>
                <w:sz w:val="24"/>
                <w:highlight w:val="none"/>
              </w:rPr>
            </w:pPr>
            <w:r>
              <w:rPr>
                <w:rFonts w:ascii="仿宋" w:hAnsi="仿宋" w:eastAsia="仿宋" w:cs="仿宋"/>
                <w:spacing w:val="-22"/>
                <w:sz w:val="24"/>
                <w:highlight w:val="none"/>
              </w:rPr>
              <w:t>岗位</w:t>
            </w:r>
          </w:p>
        </w:tc>
        <w:tc>
          <w:tcPr>
            <w:tcW w:w="1484" w:type="dxa"/>
            <w:noWrap w:val="0"/>
            <w:vAlign w:val="top"/>
          </w:tcPr>
          <w:p>
            <w:pPr>
              <w:spacing w:before="96" w:line="184" w:lineRule="auto"/>
              <w:ind w:firstLine="510"/>
              <w:rPr>
                <w:rFonts w:ascii="仿宋" w:hAnsi="仿宋" w:eastAsia="仿宋" w:cs="仿宋"/>
                <w:sz w:val="24"/>
                <w:highlight w:val="none"/>
              </w:rPr>
            </w:pPr>
            <w:r>
              <w:rPr>
                <w:rFonts w:ascii="仿宋" w:hAnsi="仿宋" w:eastAsia="仿宋" w:cs="仿宋"/>
                <w:spacing w:val="-6"/>
                <w:sz w:val="24"/>
                <w:highlight w:val="none"/>
              </w:rPr>
              <w:t>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1143" w:type="dxa"/>
            <w:noWrap w:val="0"/>
            <w:vAlign w:val="top"/>
          </w:tcPr>
          <w:p>
            <w:pPr>
              <w:pStyle w:val="13"/>
              <w:spacing w:before="124" w:line="180" w:lineRule="auto"/>
              <w:ind w:left="539" w:leftChars="0"/>
              <w:rPr>
                <w:rFonts w:ascii="仿宋" w:hAnsi="仿宋" w:eastAsia="仿宋" w:cs="仿宋"/>
                <w:sz w:val="24"/>
                <w:highlight w:val="none"/>
              </w:rPr>
            </w:pPr>
            <w:r>
              <w:rPr>
                <w:highlight w:val="none"/>
              </w:rPr>
              <w:t>1</w:t>
            </w:r>
          </w:p>
        </w:tc>
        <w:tc>
          <w:tcPr>
            <w:tcW w:w="1995" w:type="dxa"/>
            <w:noWrap w:val="0"/>
            <w:vAlign w:val="top"/>
          </w:tcPr>
          <w:p>
            <w:pPr>
              <w:pStyle w:val="13"/>
              <w:spacing w:before="93" w:line="219" w:lineRule="auto"/>
              <w:ind w:left="543" w:leftChars="0"/>
              <w:rPr>
                <w:rFonts w:ascii="仿宋" w:hAnsi="仿宋" w:eastAsia="仿宋" w:cs="仿宋"/>
                <w:sz w:val="24"/>
                <w:highlight w:val="none"/>
              </w:rPr>
            </w:pPr>
            <w:r>
              <w:rPr>
                <w:spacing w:val="-7"/>
                <w:highlight w:val="none"/>
              </w:rPr>
              <w:t>项目经理</w:t>
            </w:r>
          </w:p>
        </w:tc>
        <w:tc>
          <w:tcPr>
            <w:tcW w:w="1484" w:type="dxa"/>
            <w:noWrap w:val="0"/>
            <w:vAlign w:val="top"/>
          </w:tcPr>
          <w:p>
            <w:pPr>
              <w:pStyle w:val="13"/>
              <w:spacing w:before="124" w:line="180" w:lineRule="auto"/>
              <w:ind w:left="708" w:leftChars="0"/>
              <w:rPr>
                <w:rFonts w:ascii="仿宋" w:hAnsi="仿宋" w:eastAsia="仿宋" w:cs="仿宋"/>
                <w:sz w:val="24"/>
                <w:highlight w:val="none"/>
              </w:rPr>
            </w:pPr>
            <w:r>
              <w:rPr>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1143" w:type="dxa"/>
            <w:noWrap w:val="0"/>
            <w:vAlign w:val="top"/>
          </w:tcPr>
          <w:p>
            <w:pPr>
              <w:pStyle w:val="13"/>
              <w:spacing w:before="124" w:line="180" w:lineRule="auto"/>
              <w:ind w:left="533" w:leftChars="0"/>
              <w:rPr>
                <w:rFonts w:ascii="仿宋" w:hAnsi="仿宋" w:eastAsia="仿宋" w:cs="仿宋"/>
                <w:sz w:val="24"/>
                <w:highlight w:val="none"/>
              </w:rPr>
            </w:pPr>
            <w:r>
              <w:rPr>
                <w:highlight w:val="none"/>
              </w:rPr>
              <w:t>2</w:t>
            </w:r>
          </w:p>
        </w:tc>
        <w:tc>
          <w:tcPr>
            <w:tcW w:w="1995" w:type="dxa"/>
            <w:noWrap w:val="0"/>
            <w:vAlign w:val="top"/>
          </w:tcPr>
          <w:p>
            <w:pPr>
              <w:pStyle w:val="13"/>
              <w:spacing w:before="94" w:line="218" w:lineRule="auto"/>
              <w:ind w:left="545" w:leftChars="0"/>
              <w:rPr>
                <w:rFonts w:ascii="仿宋" w:hAnsi="仿宋" w:eastAsia="仿宋" w:cs="仿宋"/>
                <w:sz w:val="24"/>
                <w:highlight w:val="none"/>
              </w:rPr>
            </w:pPr>
            <w:r>
              <w:rPr>
                <w:spacing w:val="-7"/>
                <w:highlight w:val="none"/>
              </w:rPr>
              <w:t>工程经理</w:t>
            </w:r>
          </w:p>
        </w:tc>
        <w:tc>
          <w:tcPr>
            <w:tcW w:w="1484" w:type="dxa"/>
            <w:noWrap w:val="0"/>
            <w:vAlign w:val="top"/>
          </w:tcPr>
          <w:p>
            <w:pPr>
              <w:pStyle w:val="13"/>
              <w:spacing w:before="124" w:line="180" w:lineRule="auto"/>
              <w:ind w:left="708" w:leftChars="0"/>
              <w:rPr>
                <w:rFonts w:ascii="仿宋" w:hAnsi="仿宋" w:eastAsia="仿宋" w:cs="仿宋"/>
                <w:sz w:val="24"/>
                <w:highlight w:val="none"/>
              </w:rPr>
            </w:pPr>
            <w:r>
              <w:rPr>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1143" w:type="dxa"/>
            <w:noWrap w:val="0"/>
            <w:vAlign w:val="top"/>
          </w:tcPr>
          <w:p>
            <w:pPr>
              <w:pStyle w:val="13"/>
              <w:spacing w:before="126" w:line="181" w:lineRule="auto"/>
              <w:ind w:left="542" w:leftChars="0"/>
              <w:rPr>
                <w:rFonts w:ascii="仿宋" w:hAnsi="仿宋" w:eastAsia="仿宋" w:cs="仿宋"/>
                <w:sz w:val="24"/>
                <w:highlight w:val="none"/>
              </w:rPr>
            </w:pPr>
            <w:r>
              <w:rPr>
                <w:highlight w:val="none"/>
              </w:rPr>
              <w:t>3</w:t>
            </w:r>
          </w:p>
        </w:tc>
        <w:tc>
          <w:tcPr>
            <w:tcW w:w="1995" w:type="dxa"/>
            <w:noWrap w:val="0"/>
            <w:vAlign w:val="top"/>
          </w:tcPr>
          <w:p>
            <w:pPr>
              <w:pStyle w:val="13"/>
              <w:spacing w:before="94" w:line="219" w:lineRule="auto"/>
              <w:ind w:left="545" w:leftChars="0"/>
              <w:rPr>
                <w:rFonts w:ascii="仿宋" w:hAnsi="仿宋" w:eastAsia="仿宋" w:cs="仿宋"/>
                <w:sz w:val="24"/>
                <w:highlight w:val="none"/>
              </w:rPr>
            </w:pPr>
            <w:r>
              <w:rPr>
                <w:spacing w:val="-7"/>
                <w:highlight w:val="none"/>
              </w:rPr>
              <w:t>安全主管</w:t>
            </w:r>
          </w:p>
        </w:tc>
        <w:tc>
          <w:tcPr>
            <w:tcW w:w="1484" w:type="dxa"/>
            <w:noWrap w:val="0"/>
            <w:vAlign w:val="top"/>
          </w:tcPr>
          <w:p>
            <w:pPr>
              <w:pStyle w:val="13"/>
              <w:spacing w:before="125" w:line="180" w:lineRule="auto"/>
              <w:ind w:left="702" w:leftChars="0"/>
              <w:rPr>
                <w:rFonts w:ascii="仿宋" w:hAnsi="仿宋" w:eastAsia="仿宋" w:cs="仿宋"/>
                <w:sz w:val="24"/>
                <w:highlight w:val="none"/>
              </w:rPr>
            </w:pPr>
            <w:r>
              <w:rPr>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4" w:hRule="atLeast"/>
        </w:trPr>
        <w:tc>
          <w:tcPr>
            <w:tcW w:w="1143" w:type="dxa"/>
            <w:noWrap w:val="0"/>
            <w:vAlign w:val="top"/>
          </w:tcPr>
          <w:p>
            <w:pPr>
              <w:pStyle w:val="13"/>
              <w:spacing w:before="126" w:line="180" w:lineRule="auto"/>
              <w:ind w:left="532" w:leftChars="0"/>
              <w:rPr>
                <w:rFonts w:ascii="仿宋" w:hAnsi="仿宋" w:eastAsia="仿宋" w:cs="仿宋"/>
                <w:sz w:val="24"/>
                <w:highlight w:val="none"/>
              </w:rPr>
            </w:pPr>
            <w:r>
              <w:rPr>
                <w:highlight w:val="none"/>
              </w:rPr>
              <w:t>4</w:t>
            </w:r>
          </w:p>
        </w:tc>
        <w:tc>
          <w:tcPr>
            <w:tcW w:w="1995" w:type="dxa"/>
            <w:noWrap w:val="0"/>
            <w:vAlign w:val="top"/>
          </w:tcPr>
          <w:p>
            <w:pPr>
              <w:pStyle w:val="13"/>
              <w:spacing w:before="95" w:line="216" w:lineRule="auto"/>
              <w:ind w:left="537" w:leftChars="0"/>
              <w:rPr>
                <w:rFonts w:ascii="仿宋" w:hAnsi="仿宋" w:eastAsia="仿宋" w:cs="仿宋"/>
                <w:sz w:val="24"/>
                <w:highlight w:val="none"/>
              </w:rPr>
            </w:pPr>
            <w:r>
              <w:rPr>
                <w:spacing w:val="-5"/>
                <w:highlight w:val="none"/>
              </w:rPr>
              <w:t>保洁主管</w:t>
            </w:r>
          </w:p>
        </w:tc>
        <w:tc>
          <w:tcPr>
            <w:tcW w:w="1484" w:type="dxa"/>
            <w:noWrap w:val="0"/>
            <w:vAlign w:val="top"/>
          </w:tcPr>
          <w:p>
            <w:pPr>
              <w:pStyle w:val="13"/>
              <w:spacing w:before="126" w:line="180" w:lineRule="auto"/>
              <w:ind w:left="708" w:leftChars="0"/>
              <w:rPr>
                <w:rFonts w:ascii="仿宋" w:hAnsi="仿宋" w:eastAsia="仿宋" w:cs="仿宋"/>
                <w:sz w:val="24"/>
                <w:highlight w:val="none"/>
              </w:rPr>
            </w:pPr>
            <w:r>
              <w:rPr>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noWrap w:val="0"/>
            <w:vAlign w:val="top"/>
          </w:tcPr>
          <w:p>
            <w:pPr>
              <w:pStyle w:val="13"/>
              <w:spacing w:before="131" w:line="178" w:lineRule="auto"/>
              <w:ind w:left="536" w:leftChars="0"/>
              <w:rPr>
                <w:rFonts w:ascii="仿宋" w:hAnsi="仿宋" w:eastAsia="仿宋" w:cs="仿宋"/>
                <w:sz w:val="24"/>
                <w:highlight w:val="none"/>
              </w:rPr>
            </w:pPr>
            <w:r>
              <w:rPr>
                <w:highlight w:val="none"/>
              </w:rPr>
              <w:t>5</w:t>
            </w:r>
          </w:p>
        </w:tc>
        <w:tc>
          <w:tcPr>
            <w:tcW w:w="1995" w:type="dxa"/>
            <w:noWrap w:val="0"/>
            <w:vAlign w:val="top"/>
          </w:tcPr>
          <w:p>
            <w:pPr>
              <w:pStyle w:val="13"/>
              <w:spacing w:before="95" w:line="218" w:lineRule="auto"/>
              <w:ind w:left="545" w:leftChars="0"/>
              <w:rPr>
                <w:rFonts w:ascii="仿宋" w:hAnsi="仿宋" w:eastAsia="仿宋" w:cs="仿宋"/>
                <w:sz w:val="24"/>
                <w:highlight w:val="none"/>
              </w:rPr>
            </w:pPr>
            <w:r>
              <w:rPr>
                <w:spacing w:val="-7"/>
                <w:highlight w:val="none"/>
              </w:rPr>
              <w:t>工程主管</w:t>
            </w:r>
          </w:p>
        </w:tc>
        <w:tc>
          <w:tcPr>
            <w:tcW w:w="1484" w:type="dxa"/>
            <w:noWrap w:val="0"/>
            <w:vAlign w:val="top"/>
          </w:tcPr>
          <w:p>
            <w:pPr>
              <w:pStyle w:val="13"/>
              <w:spacing w:before="126" w:line="180" w:lineRule="auto"/>
              <w:ind w:left="708" w:leftChars="0"/>
              <w:rPr>
                <w:rFonts w:ascii="仿宋" w:hAnsi="仿宋" w:eastAsia="仿宋" w:cs="仿宋"/>
                <w:sz w:val="24"/>
                <w:highlight w:val="none"/>
              </w:rPr>
            </w:pPr>
            <w:r>
              <w:rPr>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noWrap w:val="0"/>
            <w:vAlign w:val="top"/>
          </w:tcPr>
          <w:p>
            <w:pPr>
              <w:pStyle w:val="13"/>
              <w:spacing w:before="127" w:line="181" w:lineRule="auto"/>
              <w:ind w:left="535" w:leftChars="0"/>
              <w:rPr>
                <w:rFonts w:ascii="仿宋" w:hAnsi="仿宋" w:eastAsia="仿宋" w:cs="仿宋"/>
                <w:sz w:val="24"/>
                <w:highlight w:val="none"/>
              </w:rPr>
            </w:pPr>
            <w:r>
              <w:rPr>
                <w:highlight w:val="none"/>
              </w:rPr>
              <w:t>6</w:t>
            </w:r>
          </w:p>
        </w:tc>
        <w:tc>
          <w:tcPr>
            <w:tcW w:w="1995" w:type="dxa"/>
            <w:noWrap w:val="0"/>
            <w:vAlign w:val="top"/>
          </w:tcPr>
          <w:p>
            <w:pPr>
              <w:pStyle w:val="13"/>
              <w:spacing w:before="97" w:line="219" w:lineRule="auto"/>
              <w:ind w:left="550" w:leftChars="0"/>
              <w:rPr>
                <w:rFonts w:ascii="仿宋" w:hAnsi="仿宋" w:eastAsia="仿宋" w:cs="仿宋"/>
                <w:sz w:val="24"/>
                <w:highlight w:val="none"/>
              </w:rPr>
            </w:pPr>
            <w:r>
              <w:rPr>
                <w:spacing w:val="-8"/>
                <w:highlight w:val="none"/>
              </w:rPr>
              <w:t>办公文员</w:t>
            </w:r>
          </w:p>
        </w:tc>
        <w:tc>
          <w:tcPr>
            <w:tcW w:w="1484" w:type="dxa"/>
            <w:noWrap w:val="0"/>
            <w:vAlign w:val="top"/>
          </w:tcPr>
          <w:p>
            <w:pPr>
              <w:pStyle w:val="13"/>
              <w:spacing w:before="127" w:line="180" w:lineRule="auto"/>
              <w:ind w:left="708" w:leftChars="0"/>
              <w:rPr>
                <w:rFonts w:ascii="仿宋" w:hAnsi="仿宋" w:eastAsia="仿宋" w:cs="仿宋"/>
                <w:sz w:val="24"/>
                <w:highlight w:val="none"/>
              </w:rPr>
            </w:pPr>
            <w:r>
              <w:rPr>
                <w:highlight w:val="none"/>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noWrap w:val="0"/>
            <w:vAlign w:val="top"/>
          </w:tcPr>
          <w:p>
            <w:pPr>
              <w:pStyle w:val="13"/>
              <w:spacing w:before="131" w:line="178" w:lineRule="auto"/>
              <w:ind w:left="535" w:leftChars="0"/>
              <w:rPr>
                <w:rFonts w:ascii="仿宋" w:hAnsi="仿宋" w:eastAsia="仿宋" w:cs="仿宋"/>
                <w:sz w:val="24"/>
                <w:highlight w:val="none"/>
              </w:rPr>
            </w:pPr>
            <w:r>
              <w:rPr>
                <w:highlight w:val="none"/>
              </w:rPr>
              <w:t>7</w:t>
            </w:r>
          </w:p>
        </w:tc>
        <w:tc>
          <w:tcPr>
            <w:tcW w:w="1995" w:type="dxa"/>
            <w:noWrap w:val="0"/>
            <w:vAlign w:val="top"/>
          </w:tcPr>
          <w:p>
            <w:pPr>
              <w:pStyle w:val="13"/>
              <w:spacing w:before="96" w:line="217" w:lineRule="auto"/>
              <w:ind w:left="656" w:leftChars="0"/>
              <w:rPr>
                <w:rFonts w:ascii="仿宋" w:hAnsi="仿宋" w:eastAsia="仿宋" w:cs="仿宋"/>
                <w:sz w:val="24"/>
                <w:highlight w:val="none"/>
              </w:rPr>
            </w:pPr>
            <w:r>
              <w:rPr>
                <w:spacing w:val="-5"/>
                <w:highlight w:val="none"/>
              </w:rPr>
              <w:t>库管员</w:t>
            </w:r>
          </w:p>
        </w:tc>
        <w:tc>
          <w:tcPr>
            <w:tcW w:w="1484" w:type="dxa"/>
            <w:noWrap w:val="0"/>
            <w:vAlign w:val="top"/>
          </w:tcPr>
          <w:p>
            <w:pPr>
              <w:pStyle w:val="13"/>
              <w:spacing w:before="126" w:line="180" w:lineRule="auto"/>
              <w:ind w:left="702" w:leftChars="0"/>
              <w:rPr>
                <w:rFonts w:ascii="仿宋" w:hAnsi="仿宋" w:eastAsia="仿宋" w:cs="仿宋"/>
                <w:sz w:val="24"/>
                <w:highlight w:val="none"/>
              </w:rPr>
            </w:pPr>
            <w:r>
              <w:rPr>
                <w:highlight w:val="none"/>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9" w:line="181" w:lineRule="auto"/>
              <w:ind w:left="537" w:leftChars="0"/>
              <w:rPr>
                <w:rFonts w:ascii="仿宋" w:hAnsi="仿宋" w:eastAsia="仿宋" w:cs="仿宋"/>
                <w:kern w:val="2"/>
                <w:sz w:val="24"/>
                <w:szCs w:val="24"/>
                <w:highlight w:val="none"/>
                <w:lang w:val="en-US" w:eastAsia="en-US" w:bidi="ar-SA"/>
              </w:rPr>
            </w:pPr>
            <w:r>
              <w:rPr>
                <w:highlight w:val="none"/>
              </w:rPr>
              <w:t>8</w:t>
            </w:r>
          </w:p>
        </w:tc>
        <w:tc>
          <w:tcPr>
            <w:tcW w:w="1995" w:type="dxa"/>
            <w:shd w:val="clear" w:color="auto" w:fill="auto"/>
            <w:noWrap w:val="0"/>
            <w:vAlign w:val="top"/>
          </w:tcPr>
          <w:p>
            <w:pPr>
              <w:pStyle w:val="13"/>
              <w:spacing w:before="98" w:line="216" w:lineRule="auto"/>
              <w:ind w:left="657" w:leftChars="0"/>
              <w:rPr>
                <w:rFonts w:ascii="仿宋" w:hAnsi="仿宋" w:eastAsia="仿宋" w:cs="仿宋"/>
                <w:kern w:val="2"/>
                <w:sz w:val="24"/>
                <w:szCs w:val="24"/>
                <w:highlight w:val="none"/>
                <w:lang w:val="en-US" w:eastAsia="en-US" w:bidi="ar-SA"/>
              </w:rPr>
            </w:pPr>
            <w:r>
              <w:rPr>
                <w:spacing w:val="-5"/>
                <w:highlight w:val="none"/>
              </w:rPr>
              <w:t>保洁员</w:t>
            </w:r>
          </w:p>
        </w:tc>
        <w:tc>
          <w:tcPr>
            <w:tcW w:w="1484" w:type="dxa"/>
            <w:shd w:val="clear" w:color="auto" w:fill="auto"/>
            <w:noWrap w:val="0"/>
            <w:vAlign w:val="top"/>
          </w:tcPr>
          <w:p>
            <w:pPr>
              <w:pStyle w:val="13"/>
              <w:spacing w:before="129" w:line="181" w:lineRule="auto"/>
              <w:ind w:left="650" w:leftChars="0"/>
              <w:rPr>
                <w:rFonts w:ascii="仿宋" w:hAnsi="仿宋" w:eastAsia="仿宋" w:cs="仿宋"/>
                <w:kern w:val="2"/>
                <w:sz w:val="24"/>
                <w:szCs w:val="24"/>
                <w:highlight w:val="none"/>
                <w:lang w:val="en-US" w:eastAsia="en-US" w:bidi="ar-SA"/>
              </w:rPr>
            </w:pPr>
            <w:r>
              <w:rPr>
                <w:spacing w:val="-11"/>
                <w:highlight w:val="none"/>
              </w:rPr>
              <w:t>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2" w:line="181" w:lineRule="auto"/>
              <w:ind w:left="537" w:leftChars="0"/>
              <w:rPr>
                <w:rFonts w:ascii="仿宋" w:hAnsi="仿宋" w:eastAsia="仿宋" w:cs="仿宋"/>
                <w:kern w:val="2"/>
                <w:sz w:val="24"/>
                <w:szCs w:val="24"/>
                <w:highlight w:val="none"/>
                <w:lang w:val="en-US" w:eastAsia="en-US" w:bidi="ar-SA"/>
              </w:rPr>
            </w:pPr>
            <w:r>
              <w:rPr>
                <w:highlight w:val="none"/>
              </w:rPr>
              <w:t>9</w:t>
            </w:r>
          </w:p>
        </w:tc>
        <w:tc>
          <w:tcPr>
            <w:tcW w:w="1995" w:type="dxa"/>
            <w:shd w:val="clear" w:color="auto" w:fill="auto"/>
            <w:noWrap w:val="0"/>
            <w:vAlign w:val="top"/>
          </w:tcPr>
          <w:p>
            <w:pPr>
              <w:pStyle w:val="13"/>
              <w:spacing w:before="92" w:line="216" w:lineRule="auto"/>
              <w:ind w:left="423" w:leftChars="0"/>
              <w:rPr>
                <w:rFonts w:ascii="仿宋" w:hAnsi="仿宋" w:eastAsia="仿宋" w:cs="仿宋"/>
                <w:kern w:val="2"/>
                <w:sz w:val="24"/>
                <w:szCs w:val="24"/>
                <w:highlight w:val="none"/>
                <w:lang w:val="en-US" w:eastAsia="en-US" w:bidi="ar-SA"/>
              </w:rPr>
            </w:pPr>
            <w:r>
              <w:rPr>
                <w:spacing w:val="-6"/>
                <w:highlight w:val="none"/>
              </w:rPr>
              <w:t>工程维修工</w:t>
            </w:r>
          </w:p>
        </w:tc>
        <w:tc>
          <w:tcPr>
            <w:tcW w:w="1484" w:type="dxa"/>
            <w:shd w:val="clear" w:color="auto" w:fill="auto"/>
            <w:noWrap w:val="0"/>
            <w:vAlign w:val="top"/>
          </w:tcPr>
          <w:p>
            <w:pPr>
              <w:pStyle w:val="13"/>
              <w:spacing w:before="122" w:line="181" w:lineRule="auto"/>
              <w:ind w:left="653" w:leftChars="0"/>
              <w:rPr>
                <w:rFonts w:ascii="仿宋" w:hAnsi="仿宋" w:eastAsia="仿宋" w:cs="仿宋"/>
                <w:kern w:val="2"/>
                <w:sz w:val="24"/>
                <w:szCs w:val="24"/>
                <w:highlight w:val="none"/>
                <w:lang w:val="en-US" w:eastAsia="en-US" w:bidi="ar-SA"/>
              </w:rPr>
            </w:pPr>
            <w:r>
              <w:rPr>
                <w:spacing w:val="-13"/>
                <w:highlight w:val="none"/>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5" w:line="181" w:lineRule="auto"/>
              <w:ind w:left="483" w:leftChars="0"/>
              <w:rPr>
                <w:rFonts w:ascii="仿宋" w:hAnsi="仿宋" w:eastAsia="仿宋" w:cs="仿宋"/>
                <w:kern w:val="2"/>
                <w:sz w:val="24"/>
                <w:szCs w:val="24"/>
                <w:highlight w:val="none"/>
                <w:lang w:val="en-US" w:eastAsia="en-US" w:bidi="ar-SA"/>
              </w:rPr>
            </w:pPr>
            <w:r>
              <w:rPr>
                <w:spacing w:val="-13"/>
                <w:highlight w:val="none"/>
              </w:rPr>
              <w:t>10</w:t>
            </w:r>
          </w:p>
        </w:tc>
        <w:tc>
          <w:tcPr>
            <w:tcW w:w="1995" w:type="dxa"/>
            <w:shd w:val="clear" w:color="auto" w:fill="auto"/>
            <w:noWrap w:val="0"/>
            <w:vAlign w:val="top"/>
          </w:tcPr>
          <w:p>
            <w:pPr>
              <w:pStyle w:val="13"/>
              <w:spacing w:before="94" w:line="218" w:lineRule="auto"/>
              <w:ind w:left="428" w:leftChars="0"/>
              <w:rPr>
                <w:rFonts w:ascii="仿宋" w:hAnsi="仿宋" w:eastAsia="仿宋" w:cs="仿宋"/>
                <w:kern w:val="2"/>
                <w:sz w:val="24"/>
                <w:szCs w:val="24"/>
                <w:highlight w:val="none"/>
                <w:lang w:val="en-US" w:eastAsia="en-US" w:bidi="ar-SA"/>
              </w:rPr>
            </w:pPr>
            <w:r>
              <w:rPr>
                <w:spacing w:val="-7"/>
                <w:highlight w:val="none"/>
              </w:rPr>
              <w:t>配电室值班</w:t>
            </w:r>
          </w:p>
        </w:tc>
        <w:tc>
          <w:tcPr>
            <w:tcW w:w="1484" w:type="dxa"/>
            <w:shd w:val="clear" w:color="auto" w:fill="auto"/>
            <w:noWrap w:val="0"/>
            <w:vAlign w:val="top"/>
          </w:tcPr>
          <w:p>
            <w:pPr>
              <w:pStyle w:val="13"/>
              <w:spacing w:before="125" w:line="181" w:lineRule="auto"/>
              <w:ind w:left="704" w:leftChars="0"/>
              <w:rPr>
                <w:rFonts w:ascii="仿宋" w:hAnsi="仿宋" w:eastAsia="仿宋" w:cs="仿宋"/>
                <w:kern w:val="2"/>
                <w:sz w:val="24"/>
                <w:szCs w:val="24"/>
                <w:highlight w:val="none"/>
                <w:lang w:val="en-US" w:eastAsia="en-US" w:bidi="ar-SA"/>
              </w:rPr>
            </w:pPr>
            <w:r>
              <w:rPr>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5" w:line="180" w:lineRule="auto"/>
              <w:ind w:left="483" w:leftChars="0"/>
              <w:rPr>
                <w:rFonts w:ascii="仿宋" w:hAnsi="仿宋" w:eastAsia="仿宋" w:cs="仿宋"/>
                <w:kern w:val="2"/>
                <w:sz w:val="24"/>
                <w:szCs w:val="24"/>
                <w:highlight w:val="none"/>
                <w:lang w:val="en-US" w:eastAsia="en-US" w:bidi="ar-SA"/>
              </w:rPr>
            </w:pPr>
            <w:r>
              <w:rPr>
                <w:spacing w:val="-13"/>
                <w:highlight w:val="none"/>
              </w:rPr>
              <w:t>11</w:t>
            </w:r>
          </w:p>
        </w:tc>
        <w:tc>
          <w:tcPr>
            <w:tcW w:w="1995" w:type="dxa"/>
            <w:shd w:val="clear" w:color="auto" w:fill="auto"/>
            <w:noWrap w:val="0"/>
            <w:vAlign w:val="top"/>
          </w:tcPr>
          <w:p>
            <w:pPr>
              <w:pStyle w:val="13"/>
              <w:spacing w:before="95" w:line="218" w:lineRule="auto"/>
              <w:ind w:left="317" w:leftChars="0"/>
              <w:rPr>
                <w:rFonts w:ascii="仿宋" w:hAnsi="仿宋" w:eastAsia="仿宋" w:cs="仿宋"/>
                <w:kern w:val="2"/>
                <w:sz w:val="24"/>
                <w:szCs w:val="24"/>
                <w:highlight w:val="none"/>
                <w:lang w:val="en-US" w:eastAsia="en-US" w:bidi="ar-SA"/>
              </w:rPr>
            </w:pPr>
            <w:r>
              <w:rPr>
                <w:spacing w:val="-8"/>
                <w:highlight w:val="none"/>
              </w:rPr>
              <w:t>空调设备值班</w:t>
            </w:r>
          </w:p>
        </w:tc>
        <w:tc>
          <w:tcPr>
            <w:tcW w:w="1484" w:type="dxa"/>
            <w:shd w:val="clear" w:color="auto" w:fill="auto"/>
            <w:noWrap w:val="0"/>
            <w:vAlign w:val="top"/>
          </w:tcPr>
          <w:p>
            <w:pPr>
              <w:pStyle w:val="13"/>
              <w:spacing w:before="125" w:line="180" w:lineRule="auto"/>
              <w:ind w:left="647" w:leftChars="0"/>
              <w:rPr>
                <w:rFonts w:ascii="仿宋" w:hAnsi="仿宋" w:eastAsia="仿宋" w:cs="仿宋"/>
                <w:kern w:val="2"/>
                <w:sz w:val="24"/>
                <w:szCs w:val="24"/>
                <w:highlight w:val="none"/>
                <w:lang w:val="en-US" w:eastAsia="en-US" w:bidi="ar-SA"/>
              </w:rPr>
            </w:pPr>
            <w:r>
              <w:rPr>
                <w:spacing w:val="-10"/>
                <w:highlight w:val="none"/>
              </w:rPr>
              <w:t>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5" w:line="180" w:lineRule="auto"/>
              <w:ind w:left="483" w:leftChars="0"/>
              <w:rPr>
                <w:rFonts w:ascii="仿宋" w:hAnsi="仿宋" w:eastAsia="仿宋" w:cs="仿宋"/>
                <w:kern w:val="2"/>
                <w:sz w:val="24"/>
                <w:szCs w:val="24"/>
                <w:highlight w:val="none"/>
                <w:lang w:val="en-US" w:eastAsia="en-US" w:bidi="ar-SA"/>
              </w:rPr>
            </w:pPr>
            <w:r>
              <w:rPr>
                <w:spacing w:val="-13"/>
                <w:highlight w:val="none"/>
              </w:rPr>
              <w:t>12</w:t>
            </w:r>
          </w:p>
        </w:tc>
        <w:tc>
          <w:tcPr>
            <w:tcW w:w="1995" w:type="dxa"/>
            <w:shd w:val="clear" w:color="auto" w:fill="auto"/>
            <w:noWrap w:val="0"/>
            <w:vAlign w:val="top"/>
          </w:tcPr>
          <w:p>
            <w:pPr>
              <w:pStyle w:val="13"/>
              <w:spacing w:before="95" w:line="217" w:lineRule="auto"/>
              <w:ind w:left="328" w:leftChars="0"/>
              <w:rPr>
                <w:rFonts w:ascii="仿宋" w:hAnsi="仿宋" w:eastAsia="仿宋" w:cs="仿宋"/>
                <w:kern w:val="2"/>
                <w:sz w:val="24"/>
                <w:szCs w:val="24"/>
                <w:highlight w:val="none"/>
                <w:lang w:val="en-US" w:eastAsia="en-US" w:bidi="ar-SA"/>
              </w:rPr>
            </w:pPr>
            <w:r>
              <w:rPr>
                <w:spacing w:val="-10"/>
                <w:highlight w:val="none"/>
              </w:rPr>
              <w:t>中控设备值班</w:t>
            </w:r>
          </w:p>
        </w:tc>
        <w:tc>
          <w:tcPr>
            <w:tcW w:w="1484" w:type="dxa"/>
            <w:shd w:val="clear" w:color="auto" w:fill="auto"/>
            <w:noWrap w:val="0"/>
            <w:vAlign w:val="top"/>
          </w:tcPr>
          <w:p>
            <w:pPr>
              <w:pStyle w:val="13"/>
              <w:spacing w:before="126" w:line="181" w:lineRule="auto"/>
              <w:ind w:left="656" w:leftChars="0"/>
              <w:rPr>
                <w:rFonts w:ascii="仿宋" w:hAnsi="仿宋" w:eastAsia="仿宋" w:cs="仿宋"/>
                <w:kern w:val="2"/>
                <w:sz w:val="24"/>
                <w:szCs w:val="24"/>
                <w:highlight w:val="none"/>
                <w:lang w:val="en-US" w:eastAsia="en-US" w:bidi="ar-SA"/>
              </w:rPr>
            </w:pPr>
            <w:r>
              <w:rPr>
                <w:spacing w:val="-15"/>
                <w:highlight w:val="none"/>
              </w:rPr>
              <w:t>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7" w:line="181" w:lineRule="auto"/>
              <w:ind w:left="483" w:leftChars="0"/>
              <w:rPr>
                <w:rFonts w:ascii="仿宋" w:hAnsi="仿宋" w:eastAsia="仿宋" w:cs="仿宋"/>
                <w:kern w:val="2"/>
                <w:sz w:val="24"/>
                <w:szCs w:val="24"/>
                <w:highlight w:val="none"/>
                <w:lang w:val="en-US" w:eastAsia="en-US" w:bidi="ar-SA"/>
              </w:rPr>
            </w:pPr>
            <w:r>
              <w:rPr>
                <w:spacing w:val="-13"/>
                <w:highlight w:val="none"/>
              </w:rPr>
              <w:t>13</w:t>
            </w:r>
          </w:p>
        </w:tc>
        <w:tc>
          <w:tcPr>
            <w:tcW w:w="1995" w:type="dxa"/>
            <w:shd w:val="clear" w:color="auto" w:fill="auto"/>
            <w:noWrap w:val="0"/>
            <w:vAlign w:val="top"/>
          </w:tcPr>
          <w:p>
            <w:pPr>
              <w:pStyle w:val="13"/>
              <w:spacing w:before="96" w:line="216" w:lineRule="auto"/>
              <w:ind w:left="547" w:leftChars="0"/>
              <w:rPr>
                <w:rFonts w:ascii="仿宋" w:hAnsi="仿宋" w:eastAsia="仿宋" w:cs="仿宋"/>
                <w:kern w:val="2"/>
                <w:sz w:val="24"/>
                <w:szCs w:val="24"/>
                <w:highlight w:val="none"/>
                <w:lang w:val="en-US" w:eastAsia="en-US" w:bidi="ar-SA"/>
              </w:rPr>
            </w:pPr>
            <w:r>
              <w:rPr>
                <w:spacing w:val="-8"/>
                <w:highlight w:val="none"/>
              </w:rPr>
              <w:t>消防微站</w:t>
            </w:r>
          </w:p>
        </w:tc>
        <w:tc>
          <w:tcPr>
            <w:tcW w:w="1484" w:type="dxa"/>
            <w:shd w:val="clear" w:color="auto" w:fill="auto"/>
            <w:noWrap w:val="0"/>
            <w:vAlign w:val="top"/>
          </w:tcPr>
          <w:p>
            <w:pPr>
              <w:pStyle w:val="13"/>
              <w:spacing w:before="127" w:line="180" w:lineRule="auto"/>
              <w:ind w:left="647" w:leftChars="0"/>
              <w:rPr>
                <w:rFonts w:ascii="仿宋" w:hAnsi="仿宋" w:eastAsia="仿宋" w:cs="仿宋"/>
                <w:kern w:val="2"/>
                <w:sz w:val="24"/>
                <w:szCs w:val="24"/>
                <w:highlight w:val="none"/>
                <w:lang w:val="en-US" w:eastAsia="en-US" w:bidi="ar-SA"/>
              </w:rPr>
            </w:pPr>
            <w:r>
              <w:rPr>
                <w:spacing w:val="-10"/>
                <w:highlight w:val="none"/>
              </w:rPr>
              <w:t>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5" w:hRule="atLeast"/>
        </w:trPr>
        <w:tc>
          <w:tcPr>
            <w:tcW w:w="1143" w:type="dxa"/>
            <w:shd w:val="clear" w:color="auto" w:fill="auto"/>
            <w:noWrap w:val="0"/>
            <w:vAlign w:val="top"/>
          </w:tcPr>
          <w:p>
            <w:pPr>
              <w:pStyle w:val="13"/>
              <w:spacing w:before="127" w:line="180" w:lineRule="auto"/>
              <w:ind w:left="483" w:leftChars="0"/>
              <w:rPr>
                <w:rFonts w:ascii="仿宋" w:hAnsi="仿宋" w:eastAsia="仿宋" w:cs="仿宋"/>
                <w:kern w:val="2"/>
                <w:sz w:val="24"/>
                <w:szCs w:val="24"/>
                <w:highlight w:val="none"/>
                <w:lang w:val="en-US" w:eastAsia="en-US" w:bidi="ar-SA"/>
              </w:rPr>
            </w:pPr>
            <w:r>
              <w:rPr>
                <w:spacing w:val="-13"/>
                <w:highlight w:val="none"/>
              </w:rPr>
              <w:t>14</w:t>
            </w:r>
          </w:p>
        </w:tc>
        <w:tc>
          <w:tcPr>
            <w:tcW w:w="1995" w:type="dxa"/>
            <w:shd w:val="clear" w:color="auto" w:fill="auto"/>
            <w:noWrap w:val="0"/>
            <w:vAlign w:val="top"/>
          </w:tcPr>
          <w:p>
            <w:pPr>
              <w:pStyle w:val="13"/>
              <w:spacing w:before="114" w:line="217" w:lineRule="auto"/>
              <w:ind w:left="780" w:leftChars="0"/>
              <w:rPr>
                <w:rFonts w:ascii="仿宋" w:hAnsi="仿宋" w:eastAsia="仿宋" w:cs="仿宋"/>
                <w:kern w:val="2"/>
                <w:sz w:val="24"/>
                <w:szCs w:val="24"/>
                <w:highlight w:val="none"/>
                <w:lang w:val="en-US" w:eastAsia="en-US" w:bidi="ar-SA"/>
              </w:rPr>
            </w:pPr>
            <w:r>
              <w:rPr>
                <w:b/>
                <w:bCs/>
                <w:spacing w:val="-9"/>
                <w:highlight w:val="none"/>
              </w:rPr>
              <w:t>合计</w:t>
            </w:r>
          </w:p>
        </w:tc>
        <w:tc>
          <w:tcPr>
            <w:tcW w:w="1484" w:type="dxa"/>
            <w:shd w:val="clear" w:color="auto" w:fill="auto"/>
            <w:noWrap w:val="0"/>
            <w:vAlign w:val="top"/>
          </w:tcPr>
          <w:p>
            <w:pPr>
              <w:pStyle w:val="13"/>
              <w:spacing w:before="145" w:line="181" w:lineRule="auto"/>
              <w:ind w:left="603" w:leftChars="0"/>
              <w:rPr>
                <w:rFonts w:ascii="仿宋" w:hAnsi="仿宋" w:eastAsia="仿宋" w:cs="仿宋"/>
                <w:kern w:val="2"/>
                <w:sz w:val="24"/>
                <w:szCs w:val="24"/>
                <w:highlight w:val="none"/>
                <w:lang w:val="en-US" w:eastAsia="en-US" w:bidi="ar-SA"/>
              </w:rPr>
            </w:pPr>
            <w:r>
              <w:rPr>
                <w:b/>
                <w:bCs/>
                <w:spacing w:val="-16"/>
                <w:highlight w:val="none"/>
              </w:rPr>
              <w:t>163</w:t>
            </w:r>
          </w:p>
        </w:tc>
      </w:tr>
    </w:tbl>
    <w:p>
      <w:pPr>
        <w:pStyle w:val="4"/>
        <w:rPr>
          <w:rFonts w:hint="eastAsia" w:ascii="仿宋_GB2312" w:hAnsi="仿宋_GB2312" w:eastAsia="仿宋_GB2312" w:cs="仿宋_GB2312"/>
          <w:b/>
          <w:bCs/>
          <w:color w:val="000000"/>
          <w:sz w:val="28"/>
          <w:szCs w:val="28"/>
          <w:highlight w:val="yellow"/>
          <w:lang w:val="en-US" w:eastAsia="zh-CN"/>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pStyle w:val="2"/>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b/>
          <w:bCs/>
          <w:color w:val="000000"/>
          <w:sz w:val="21"/>
          <w:szCs w:val="21"/>
          <w:highlight w:val="none"/>
        </w:rPr>
      </w:pPr>
    </w:p>
    <w:p>
      <w:pPr>
        <w:tabs>
          <w:tab w:val="left" w:pos="4995"/>
        </w:tabs>
        <w:spacing w:line="360" w:lineRule="auto"/>
        <w:rPr>
          <w:rFonts w:hint="eastAsia" w:ascii="宋体" w:hAnsi="宋体" w:eastAsia="宋体" w:cs="宋体"/>
          <w:color w:val="000000"/>
          <w:sz w:val="21"/>
          <w:szCs w:val="21"/>
          <w:highlight w:val="none"/>
        </w:rPr>
      </w:pPr>
      <w:r>
        <w:rPr>
          <w:rFonts w:hint="eastAsia" w:ascii="宋体" w:hAnsi="宋体" w:eastAsia="宋体" w:cs="宋体"/>
          <w:b/>
          <w:bCs/>
          <w:color w:val="000000"/>
          <w:sz w:val="21"/>
          <w:szCs w:val="21"/>
          <w:highlight w:val="none"/>
        </w:rPr>
        <w:t>附件</w:t>
      </w:r>
      <w:r>
        <w:rPr>
          <w:rFonts w:hint="eastAsia" w:ascii="宋体" w:hAnsi="宋体" w:eastAsia="宋体" w:cs="宋体"/>
          <w:b/>
          <w:bCs/>
          <w:color w:val="000000"/>
          <w:sz w:val="21"/>
          <w:szCs w:val="21"/>
          <w:highlight w:val="none"/>
          <w:lang w:val="en-US" w:eastAsia="zh-CN"/>
        </w:rPr>
        <w:t>四</w:t>
      </w:r>
      <w:r>
        <w:rPr>
          <w:rFonts w:hint="eastAsia" w:ascii="宋体" w:hAnsi="宋体" w:eastAsia="宋体" w:cs="宋体"/>
          <w:b/>
          <w:bCs/>
          <w:color w:val="000000"/>
          <w:sz w:val="21"/>
          <w:szCs w:val="21"/>
          <w:highlight w:val="none"/>
        </w:rPr>
        <w:t>：</w:t>
      </w:r>
    </w:p>
    <w:p>
      <w:pPr>
        <w:adjustRightInd w:val="0"/>
        <w:snapToGrid w:val="0"/>
        <w:spacing w:line="300" w:lineRule="auto"/>
        <w:ind w:firstLine="420" w:firstLineChars="200"/>
        <w:rPr>
          <w:rFonts w:hint="eastAsia" w:ascii="宋体" w:hAnsi="宋体" w:eastAsia="宋体" w:cs="宋体"/>
          <w:color w:val="000000"/>
          <w:sz w:val="21"/>
          <w:szCs w:val="21"/>
          <w:highlight w:val="none"/>
        </w:rPr>
      </w:pPr>
    </w:p>
    <w:p>
      <w:pPr>
        <w:tabs>
          <w:tab w:val="left" w:pos="6750"/>
        </w:tabs>
        <w:snapToGrid w:val="0"/>
        <w:spacing w:line="480" w:lineRule="atLeast"/>
        <w:jc w:val="center"/>
        <w:rPr>
          <w:rFonts w:hint="eastAsia" w:ascii="宋体" w:hAnsi="宋体" w:cs="Arial"/>
          <w:b/>
          <w:color w:val="000000"/>
          <w:kern w:val="0"/>
          <w:sz w:val="28"/>
          <w:szCs w:val="28"/>
          <w:highlight w:val="none"/>
        </w:rPr>
      </w:pPr>
      <w:r>
        <w:rPr>
          <w:rFonts w:hint="eastAsia" w:ascii="宋体" w:hAnsi="宋体" w:cs="Arial"/>
          <w:b/>
          <w:color w:val="000000"/>
          <w:kern w:val="0"/>
          <w:sz w:val="28"/>
          <w:szCs w:val="28"/>
          <w:highlight w:val="none"/>
          <w:lang w:eastAsia="zh-CN"/>
        </w:rPr>
        <w:t>文化和旅游局</w:t>
      </w:r>
      <w:r>
        <w:rPr>
          <w:rFonts w:hint="eastAsia" w:ascii="宋体" w:hAnsi="宋体" w:cs="Arial"/>
          <w:b/>
          <w:color w:val="000000"/>
          <w:kern w:val="0"/>
          <w:sz w:val="28"/>
          <w:szCs w:val="28"/>
          <w:highlight w:val="none"/>
        </w:rPr>
        <w:t>办公楼物业服务工作考核办法</w:t>
      </w:r>
    </w:p>
    <w:p>
      <w:pPr>
        <w:tabs>
          <w:tab w:val="left" w:pos="6750"/>
        </w:tabs>
        <w:snapToGrid w:val="0"/>
        <w:spacing w:line="480" w:lineRule="atLeast"/>
        <w:jc w:val="center"/>
        <w:rPr>
          <w:rFonts w:hint="eastAsia" w:ascii="宋体" w:hAnsi="宋体" w:cs="Arial"/>
          <w:b/>
          <w:color w:val="000000"/>
          <w:kern w:val="0"/>
          <w:sz w:val="28"/>
          <w:szCs w:val="28"/>
          <w:highlight w:val="none"/>
        </w:rPr>
      </w:pPr>
    </w:p>
    <w:p>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 xml:space="preserve">一、目的 </w:t>
      </w:r>
    </w:p>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提高</w:t>
      </w:r>
      <w:r>
        <w:rPr>
          <w:rFonts w:hint="eastAsia" w:ascii="仿宋" w:hAnsi="仿宋" w:eastAsia="仿宋" w:cs="仿宋"/>
          <w:color w:val="000000"/>
          <w:sz w:val="24"/>
          <w:szCs w:val="24"/>
          <w:highlight w:val="none"/>
          <w:lang w:eastAsia="zh-CN"/>
        </w:rPr>
        <w:t>文化和旅游局</w:t>
      </w:r>
      <w:r>
        <w:rPr>
          <w:rFonts w:hint="eastAsia" w:ascii="仿宋" w:hAnsi="仿宋" w:eastAsia="仿宋" w:cs="仿宋"/>
          <w:color w:val="000000"/>
          <w:sz w:val="24"/>
          <w:szCs w:val="24"/>
          <w:highlight w:val="none"/>
        </w:rPr>
        <w:t>办公楼物业服务品质，监督物业保障团队服务工作，督促及时整改物业服务中存在的不足。</w:t>
      </w:r>
    </w:p>
    <w:p>
      <w:pPr>
        <w:spacing w:line="360" w:lineRule="auto"/>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二</w:t>
      </w:r>
      <w:r>
        <w:rPr>
          <w:rFonts w:hint="eastAsia" w:ascii="仿宋" w:hAnsi="仿宋" w:eastAsia="仿宋" w:cs="仿宋"/>
          <w:b/>
          <w:color w:val="000000"/>
          <w:sz w:val="24"/>
          <w:szCs w:val="24"/>
          <w:highlight w:val="none"/>
        </w:rPr>
        <w:t>、考核周期</w:t>
      </w:r>
    </w:p>
    <w:p>
      <w:pPr>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lang w:val="en-US" w:eastAsia="zh-CN"/>
        </w:rPr>
        <w:t>每季度</w:t>
      </w:r>
      <w:r>
        <w:rPr>
          <w:rFonts w:hint="eastAsia" w:ascii="仿宋" w:hAnsi="仿宋" w:eastAsia="仿宋" w:cs="仿宋"/>
          <w:color w:val="000000"/>
          <w:sz w:val="24"/>
          <w:szCs w:val="24"/>
          <w:highlight w:val="none"/>
        </w:rPr>
        <w:t>对物业保障团队进行考核，考核成绩作为支付物业服务费用的依据。</w:t>
      </w:r>
    </w:p>
    <w:p>
      <w:pPr>
        <w:widowControl/>
        <w:spacing w:before="75" w:line="360" w:lineRule="auto"/>
        <w:jc w:val="left"/>
        <w:rPr>
          <w:rFonts w:hint="eastAsia" w:ascii="仿宋" w:hAnsi="仿宋" w:eastAsia="仿宋" w:cs="仿宋"/>
          <w:color w:val="000000"/>
          <w:kern w:val="0"/>
          <w:sz w:val="24"/>
          <w:szCs w:val="24"/>
          <w:highlight w:val="none"/>
        </w:rPr>
      </w:pPr>
      <w:r>
        <w:rPr>
          <w:rFonts w:hint="eastAsia" w:ascii="仿宋" w:hAnsi="仿宋" w:eastAsia="仿宋" w:cs="仿宋"/>
          <w:b/>
          <w:color w:val="000000"/>
          <w:sz w:val="24"/>
          <w:szCs w:val="24"/>
          <w:highlight w:val="none"/>
          <w:lang w:val="en-US" w:eastAsia="zh-CN"/>
        </w:rPr>
        <w:t>三</w:t>
      </w:r>
      <w:r>
        <w:rPr>
          <w:rFonts w:hint="eastAsia" w:ascii="仿宋" w:hAnsi="仿宋" w:eastAsia="仿宋" w:cs="仿宋"/>
          <w:b/>
          <w:color w:val="000000"/>
          <w:sz w:val="24"/>
          <w:szCs w:val="24"/>
          <w:highlight w:val="none"/>
        </w:rPr>
        <w:t>、</w:t>
      </w:r>
      <w:r>
        <w:rPr>
          <w:rFonts w:hint="eastAsia" w:ascii="仿宋" w:hAnsi="仿宋" w:eastAsia="仿宋" w:cs="仿宋"/>
          <w:b/>
          <w:color w:val="000000"/>
          <w:kern w:val="0"/>
          <w:sz w:val="24"/>
          <w:szCs w:val="24"/>
          <w:highlight w:val="none"/>
        </w:rPr>
        <w:t>考核结果</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考核结果共分</w:t>
      </w:r>
      <w:r>
        <w:rPr>
          <w:rFonts w:hint="eastAsia" w:ascii="仿宋" w:hAnsi="仿宋" w:eastAsia="仿宋" w:cs="仿宋"/>
          <w:color w:val="000000"/>
          <w:kern w:val="0"/>
          <w:sz w:val="24"/>
          <w:szCs w:val="24"/>
          <w:highlight w:val="none"/>
          <w:lang w:val="en-US" w:eastAsia="zh-CN"/>
        </w:rPr>
        <w:t>七</w:t>
      </w:r>
      <w:r>
        <w:rPr>
          <w:rFonts w:hint="eastAsia" w:ascii="仿宋" w:hAnsi="仿宋" w:eastAsia="仿宋" w:cs="仿宋"/>
          <w:color w:val="000000"/>
          <w:kern w:val="0"/>
          <w:sz w:val="24"/>
          <w:szCs w:val="24"/>
          <w:highlight w:val="none"/>
        </w:rPr>
        <w:t>等，将与物业服务费挂钩：</w:t>
      </w:r>
    </w:p>
    <w:tbl>
      <w:tblPr>
        <w:tblStyle w:val="11"/>
        <w:tblpPr w:leftFromText="180" w:rightFromText="180" w:vertAnchor="text" w:horzAnchor="page" w:tblpX="1417" w:tblpY="306"/>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526"/>
        <w:gridCol w:w="1701"/>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4" w:type="dxa"/>
            <w:noWrap w:val="0"/>
            <w:vAlign w:val="top"/>
          </w:tcPr>
          <w:p>
            <w:pPr>
              <w:spacing w:line="360" w:lineRule="auto"/>
              <w:jc w:val="center"/>
              <w:rPr>
                <w:rFonts w:hint="eastAsia" w:ascii="仿宋" w:hAnsi="仿宋" w:eastAsia="仿宋" w:cs="仿宋"/>
                <w:b/>
                <w:color w:val="000000"/>
                <w:kern w:val="0"/>
                <w:sz w:val="24"/>
                <w:szCs w:val="24"/>
                <w:highlight w:val="none"/>
              </w:rPr>
            </w:pPr>
            <w:r>
              <w:rPr>
                <w:rFonts w:hint="eastAsia" w:ascii="仿宋" w:hAnsi="仿宋" w:eastAsia="仿宋" w:cs="仿宋"/>
                <w:b/>
                <w:color w:val="000000"/>
                <w:kern w:val="0"/>
                <w:sz w:val="24"/>
                <w:szCs w:val="24"/>
                <w:highlight w:val="none"/>
              </w:rPr>
              <w:t>考核单位</w:t>
            </w:r>
          </w:p>
        </w:tc>
        <w:tc>
          <w:tcPr>
            <w:tcW w:w="1526"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rPr>
              <w:t>考核项目</w:t>
            </w:r>
          </w:p>
        </w:tc>
        <w:tc>
          <w:tcPr>
            <w:tcW w:w="170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rPr>
              <w:t>考核内容</w:t>
            </w:r>
          </w:p>
        </w:tc>
        <w:tc>
          <w:tcPr>
            <w:tcW w:w="4961" w:type="dxa"/>
            <w:noWrap w:val="0"/>
            <w:vAlign w:val="center"/>
          </w:tcPr>
          <w:p>
            <w:pPr>
              <w:spacing w:line="360" w:lineRule="auto"/>
              <w:jc w:val="center"/>
              <w:rPr>
                <w:rFonts w:hint="eastAsia" w:ascii="仿宋" w:hAnsi="仿宋" w:eastAsia="仿宋" w:cs="仿宋"/>
                <w:color w:val="000000"/>
                <w:sz w:val="24"/>
                <w:szCs w:val="24"/>
                <w:highlight w:val="none"/>
              </w:rPr>
            </w:pPr>
            <w:r>
              <w:rPr>
                <w:rFonts w:hint="eastAsia" w:ascii="仿宋" w:hAnsi="仿宋" w:eastAsia="仿宋" w:cs="仿宋"/>
                <w:b/>
                <w:color w:val="000000"/>
                <w:kern w:val="0"/>
                <w:sz w:val="24"/>
                <w:szCs w:val="24"/>
                <w:highlight w:val="none"/>
              </w:rPr>
              <w:t>考核具体指标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4" w:type="dxa"/>
            <w:vMerge w:val="restart"/>
            <w:noWrap w:val="0"/>
            <w:vAlign w:val="center"/>
          </w:tcPr>
          <w:p>
            <w:pPr>
              <w:spacing w:line="440" w:lineRule="exact"/>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eastAsia="zh-CN"/>
              </w:rPr>
              <w:t>文化和旅游局</w:t>
            </w:r>
          </w:p>
        </w:tc>
        <w:tc>
          <w:tcPr>
            <w:tcW w:w="1526" w:type="dxa"/>
            <w:noWrap w:val="0"/>
            <w:vAlign w:val="center"/>
          </w:tcPr>
          <w:p>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固定指标考核</w:t>
            </w:r>
          </w:p>
        </w:tc>
        <w:tc>
          <w:tcPr>
            <w:tcW w:w="1701" w:type="dxa"/>
            <w:noWrap w:val="0"/>
            <w:vAlign w:val="center"/>
          </w:tcPr>
          <w:p>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工作任务执行和质量情况</w:t>
            </w:r>
          </w:p>
        </w:tc>
        <w:tc>
          <w:tcPr>
            <w:tcW w:w="4961" w:type="dxa"/>
            <w:noWrap w:val="0"/>
            <w:vAlign w:val="center"/>
          </w:tcPr>
          <w:p>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按考核细则进行考核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atLeast"/>
        </w:trPr>
        <w:tc>
          <w:tcPr>
            <w:tcW w:w="1134" w:type="dxa"/>
            <w:vMerge w:val="continue"/>
            <w:noWrap w:val="0"/>
            <w:vAlign w:val="center"/>
          </w:tcPr>
          <w:p>
            <w:pPr>
              <w:spacing w:line="440" w:lineRule="exact"/>
              <w:jc w:val="center"/>
              <w:rPr>
                <w:rFonts w:hint="eastAsia" w:ascii="仿宋" w:hAnsi="仿宋" w:eastAsia="仿宋" w:cs="仿宋"/>
                <w:color w:val="000000"/>
                <w:kern w:val="0"/>
                <w:sz w:val="24"/>
                <w:szCs w:val="24"/>
                <w:highlight w:val="none"/>
              </w:rPr>
            </w:pPr>
          </w:p>
        </w:tc>
        <w:tc>
          <w:tcPr>
            <w:tcW w:w="1526" w:type="dxa"/>
            <w:noWrap w:val="0"/>
            <w:vAlign w:val="center"/>
          </w:tcPr>
          <w:p>
            <w:pPr>
              <w:spacing w:line="4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安全考核</w:t>
            </w:r>
          </w:p>
        </w:tc>
        <w:tc>
          <w:tcPr>
            <w:tcW w:w="1701" w:type="dxa"/>
            <w:noWrap w:val="0"/>
            <w:vAlign w:val="center"/>
          </w:tcPr>
          <w:p>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安全事故处罚</w:t>
            </w:r>
          </w:p>
        </w:tc>
        <w:tc>
          <w:tcPr>
            <w:tcW w:w="4961" w:type="dxa"/>
            <w:noWrap w:val="0"/>
            <w:vAlign w:val="center"/>
          </w:tcPr>
          <w:p>
            <w:pPr>
              <w:spacing w:line="44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按考核细则进行考核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134" w:type="dxa"/>
            <w:vMerge w:val="continue"/>
            <w:noWrap w:val="0"/>
            <w:vAlign w:val="center"/>
          </w:tcPr>
          <w:p>
            <w:pPr>
              <w:spacing w:line="440" w:lineRule="exact"/>
              <w:jc w:val="center"/>
              <w:rPr>
                <w:rFonts w:hint="eastAsia" w:ascii="仿宋" w:hAnsi="仿宋" w:eastAsia="仿宋" w:cs="仿宋"/>
                <w:color w:val="000000"/>
                <w:kern w:val="0"/>
                <w:sz w:val="24"/>
                <w:szCs w:val="24"/>
                <w:highlight w:val="none"/>
              </w:rPr>
            </w:pPr>
          </w:p>
        </w:tc>
        <w:tc>
          <w:tcPr>
            <w:tcW w:w="1526" w:type="dxa"/>
            <w:noWrap w:val="0"/>
            <w:vAlign w:val="center"/>
          </w:tcPr>
          <w:p>
            <w:pPr>
              <w:spacing w:line="4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季度奖励考核</w:t>
            </w:r>
          </w:p>
        </w:tc>
        <w:tc>
          <w:tcPr>
            <w:tcW w:w="1701" w:type="dxa"/>
            <w:noWrap w:val="0"/>
            <w:vAlign w:val="center"/>
          </w:tcPr>
          <w:p>
            <w:pPr>
              <w:spacing w:line="440" w:lineRule="exact"/>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表彰奖励</w:t>
            </w:r>
          </w:p>
        </w:tc>
        <w:tc>
          <w:tcPr>
            <w:tcW w:w="4961" w:type="dxa"/>
            <w:noWrap w:val="0"/>
            <w:vAlign w:val="center"/>
          </w:tcPr>
          <w:p>
            <w:pPr>
              <w:spacing w:line="440" w:lineRule="exact"/>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获得通报表扬、获赠锦旗、获评先进、节能降耗等奖励或贡献，每项加2分，最高奖励10分，每季度一次。</w:t>
            </w:r>
          </w:p>
        </w:tc>
      </w:tr>
    </w:tbl>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1、一等：95分（含）以上，支付100%服务费；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2、二等：90分（含）-95分，支付99%服务费；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3、三等：85分（含）-90分，支付98.5%服务费；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4、四等：80分（含）-85分，支付97%服务费；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5、五等：75分（含）-80分，支付95%服务费；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6、六等：70分（含）-75分，支付92%服务费；</w:t>
      </w:r>
    </w:p>
    <w:p>
      <w:pPr>
        <w:widowControl/>
        <w:spacing w:before="75" w:line="360" w:lineRule="auto"/>
        <w:ind w:firstLine="480" w:firstLineChars="20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7、七等：60分（含）-70分，支付90%服务费</w:t>
      </w:r>
    </w:p>
    <w:p>
      <w:pPr>
        <w:widowControl/>
        <w:spacing w:before="75" w:line="360" w:lineRule="auto"/>
        <w:ind w:firstLine="480" w:firstLineChars="200"/>
        <w:jc w:val="left"/>
        <w:rPr>
          <w:rFonts w:hint="eastAsia" w:ascii="仿宋" w:hAnsi="仿宋" w:eastAsia="仿宋" w:cs="仿宋"/>
          <w:b/>
          <w:color w:val="000000"/>
          <w:sz w:val="24"/>
          <w:szCs w:val="24"/>
          <w:highlight w:val="none"/>
        </w:rPr>
      </w:pPr>
      <w:r>
        <w:rPr>
          <w:rFonts w:hint="eastAsia" w:ascii="仿宋" w:hAnsi="仿宋" w:eastAsia="仿宋" w:cs="仿宋"/>
          <w:kern w:val="0"/>
          <w:sz w:val="24"/>
          <w:szCs w:val="24"/>
          <w:highlight w:val="none"/>
          <w:lang w:val="en-US" w:eastAsia="zh-CN"/>
        </w:rPr>
        <w:t>8、八等：低于60分，支付50%服务费。</w:t>
      </w:r>
      <w:r>
        <w:rPr>
          <w:rFonts w:hint="eastAsia" w:ascii="仿宋" w:hAnsi="仿宋" w:eastAsia="仿宋" w:cs="仿宋"/>
          <w:kern w:val="0"/>
          <w:sz w:val="24"/>
          <w:szCs w:val="24"/>
          <w:highlight w:val="none"/>
        </w:rPr>
        <w:t>连续三个月不满60分，甲方有权终止合同。</w:t>
      </w:r>
    </w:p>
    <w:p>
      <w:pPr>
        <w:spacing w:line="360" w:lineRule="auto"/>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四</w:t>
      </w:r>
      <w:r>
        <w:rPr>
          <w:rFonts w:hint="eastAsia" w:ascii="仿宋" w:hAnsi="仿宋" w:eastAsia="仿宋" w:cs="仿宋"/>
          <w:b/>
          <w:color w:val="000000"/>
          <w:sz w:val="24"/>
          <w:szCs w:val="24"/>
          <w:highlight w:val="none"/>
        </w:rPr>
        <w:t>、考核细则</w:t>
      </w:r>
    </w:p>
    <w:tbl>
      <w:tblPr>
        <w:tblStyle w:val="11"/>
        <w:tblW w:w="917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24"/>
        <w:gridCol w:w="820"/>
        <w:gridCol w:w="3544"/>
        <w:gridCol w:w="1276"/>
        <w:gridCol w:w="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72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考核内容</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分值</w:t>
            </w:r>
          </w:p>
        </w:tc>
        <w:tc>
          <w:tcPr>
            <w:tcW w:w="3544"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考核办法</w:t>
            </w:r>
          </w:p>
        </w:tc>
        <w:tc>
          <w:tcPr>
            <w:tcW w:w="1276"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问题描述</w:t>
            </w:r>
          </w:p>
        </w:tc>
        <w:tc>
          <w:tcPr>
            <w:tcW w:w="81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2724" w:type="dxa"/>
            <w:tcBorders>
              <w:right w:val="single" w:color="auto" w:sz="4" w:space="0"/>
            </w:tcBorders>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基础管理</w:t>
            </w:r>
          </w:p>
        </w:tc>
        <w:tc>
          <w:tcPr>
            <w:tcW w:w="820" w:type="dxa"/>
            <w:tcBorders>
              <w:left w:val="single" w:color="auto" w:sz="4" w:space="0"/>
            </w:tcBorders>
            <w:noWrap w:val="0"/>
            <w:vAlign w:val="center"/>
          </w:tcPr>
          <w:p>
            <w:pPr>
              <w:ind w:firstLine="118" w:firstLineChars="49"/>
              <w:jc w:val="left"/>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35</w:t>
            </w:r>
          </w:p>
        </w:tc>
        <w:tc>
          <w:tcPr>
            <w:tcW w:w="3544" w:type="dxa"/>
            <w:vMerge w:val="continue"/>
            <w:noWrap w:val="0"/>
            <w:vAlign w:val="center"/>
          </w:tcPr>
          <w:p>
            <w:pPr>
              <w:jc w:val="left"/>
              <w:rPr>
                <w:rFonts w:hint="eastAsia" w:ascii="仿宋" w:hAnsi="仿宋" w:eastAsia="仿宋" w:cs="仿宋"/>
                <w:b/>
                <w:color w:val="000000"/>
                <w:sz w:val="24"/>
                <w:szCs w:val="24"/>
                <w:highlight w:val="none"/>
              </w:rPr>
            </w:pPr>
          </w:p>
        </w:tc>
        <w:tc>
          <w:tcPr>
            <w:tcW w:w="1276" w:type="dxa"/>
            <w:vMerge w:val="continue"/>
            <w:noWrap w:val="0"/>
            <w:vAlign w:val="center"/>
          </w:tcPr>
          <w:p>
            <w:pPr>
              <w:jc w:val="left"/>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1、建立健全各项管理制度、各岗位工作标准，并制定具体的落实措施和考核办法。</w:t>
            </w:r>
          </w:p>
        </w:tc>
        <w:tc>
          <w:tcPr>
            <w:tcW w:w="820" w:type="dxa"/>
            <w:tcBorders>
              <w:right w:val="single" w:color="auto" w:sz="4" w:space="0"/>
            </w:tcBorders>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5</w:t>
            </w:r>
          </w:p>
        </w:tc>
        <w:tc>
          <w:tcPr>
            <w:tcW w:w="3544" w:type="dxa"/>
            <w:tcBorders>
              <w:left w:val="single" w:color="auto" w:sz="4" w:space="0"/>
            </w:tcBorders>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1、制度、工作标准建立完善。</w:t>
            </w:r>
            <w:r>
              <w:rPr>
                <w:rFonts w:hint="eastAsia" w:ascii="仿宋" w:hAnsi="仿宋" w:eastAsia="仿宋" w:cs="仿宋"/>
                <w:color w:val="000000"/>
                <w:sz w:val="24"/>
                <w:szCs w:val="24"/>
                <w:highlight w:val="none"/>
              </w:rPr>
              <w:t>主要检查：行政管理制度、人事管理制度、工程管理制度、安保管理制度、保洁管理制度、绿化管理制度、收费管理制度、岗位考核制度等，每发现一处不完整不规范的扣</w:t>
            </w:r>
            <w:r>
              <w:rPr>
                <w:rFonts w:hint="eastAsia" w:ascii="仿宋" w:hAnsi="仿宋" w:eastAsia="仿宋" w:cs="仿宋"/>
                <w:color w:val="000000"/>
                <w:sz w:val="24"/>
                <w:szCs w:val="24"/>
                <w:highlight w:val="none"/>
                <w:lang w:val="en-US" w:eastAsia="zh-CN"/>
              </w:rPr>
              <w:t>1分</w:t>
            </w:r>
            <w:r>
              <w:rPr>
                <w:rFonts w:hint="eastAsia" w:ascii="仿宋" w:hAnsi="仿宋" w:eastAsia="仿宋" w:cs="仿宋"/>
                <w:color w:val="000000"/>
                <w:sz w:val="24"/>
                <w:szCs w:val="24"/>
                <w:highlight w:val="none"/>
              </w:rPr>
              <w:t>；</w:t>
            </w:r>
          </w:p>
          <w:p>
            <w:pPr>
              <w:jc w:val="left"/>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2、制定具体的落实措施和考核办法得</w:t>
            </w:r>
            <w:r>
              <w:rPr>
                <w:rFonts w:hint="eastAsia" w:ascii="仿宋" w:hAnsi="仿宋" w:eastAsia="仿宋" w:cs="仿宋"/>
                <w:b/>
                <w:color w:val="000000"/>
                <w:sz w:val="24"/>
                <w:szCs w:val="24"/>
                <w:highlight w:val="none"/>
                <w:lang w:val="en-US" w:eastAsia="zh-CN"/>
              </w:rPr>
              <w:t>1分</w:t>
            </w:r>
            <w:r>
              <w:rPr>
                <w:rFonts w:hint="eastAsia" w:ascii="仿宋" w:hAnsi="仿宋" w:eastAsia="仿宋" w:cs="仿宋"/>
                <w:b/>
                <w:color w:val="000000"/>
                <w:sz w:val="24"/>
                <w:szCs w:val="24"/>
                <w:highlight w:val="none"/>
              </w:rPr>
              <w:t>，</w:t>
            </w:r>
            <w:r>
              <w:rPr>
                <w:rFonts w:hint="eastAsia" w:ascii="仿宋" w:hAnsi="仿宋" w:eastAsia="仿宋" w:cs="仿宋"/>
                <w:color w:val="000000"/>
                <w:sz w:val="24"/>
                <w:szCs w:val="24"/>
                <w:highlight w:val="none"/>
              </w:rPr>
              <w:t>缺项即不得分。</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2、专业管理人员和技术人员持证上岗。</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2</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专业管理人员及技术人员每发现1人无上岗证书扣</w:t>
            </w:r>
            <w:r>
              <w:rPr>
                <w:rFonts w:hint="eastAsia" w:ascii="仿宋" w:hAnsi="仿宋" w:eastAsia="仿宋" w:cs="仿宋"/>
                <w:color w:val="000000"/>
                <w:kern w:val="0"/>
                <w:sz w:val="24"/>
                <w:szCs w:val="24"/>
                <w:highlight w:val="none"/>
                <w:lang w:val="en-US" w:eastAsia="zh-CN"/>
              </w:rPr>
              <w:t>1分</w:t>
            </w:r>
            <w:r>
              <w:rPr>
                <w:rFonts w:hint="eastAsia" w:ascii="仿宋" w:hAnsi="仿宋" w:eastAsia="仿宋" w:cs="仿宋"/>
                <w:color w:val="000000"/>
                <w:kern w:val="0"/>
                <w:sz w:val="24"/>
                <w:szCs w:val="24"/>
                <w:highlight w:val="none"/>
              </w:rPr>
              <w:t>。</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eastAsia="zh-CN"/>
              </w:rPr>
              <w:t>有人员配置方案并</w:t>
            </w:r>
            <w:r>
              <w:rPr>
                <w:rFonts w:hint="eastAsia" w:ascii="仿宋" w:hAnsi="仿宋" w:eastAsia="仿宋" w:cs="仿宋"/>
                <w:color w:val="000000"/>
                <w:kern w:val="0"/>
                <w:sz w:val="24"/>
                <w:szCs w:val="24"/>
                <w:highlight w:val="none"/>
              </w:rPr>
              <w:t>按岗位编制设置，安排上岗人数，上岗人数不得少于岗位编制人数。</w:t>
            </w:r>
          </w:p>
        </w:tc>
        <w:tc>
          <w:tcPr>
            <w:tcW w:w="820" w:type="dxa"/>
            <w:noWrap w:val="0"/>
            <w:vAlign w:val="center"/>
          </w:tcPr>
          <w:p>
            <w:pPr>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lang w:val="en-US" w:eastAsia="zh-CN"/>
              </w:rPr>
              <w:t>3</w:t>
            </w:r>
          </w:p>
        </w:tc>
        <w:tc>
          <w:tcPr>
            <w:tcW w:w="3544" w:type="dxa"/>
            <w:noWrap w:val="0"/>
            <w:vAlign w:val="center"/>
          </w:tcPr>
          <w:p>
            <w:pPr>
              <w:jc w:val="left"/>
              <w:rPr>
                <w:rFonts w:hint="default"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eastAsia="zh-CN"/>
              </w:rPr>
              <w:t>每发现一次空岗缺岗情况扣</w:t>
            </w:r>
            <w:r>
              <w:rPr>
                <w:rFonts w:hint="eastAsia" w:ascii="仿宋" w:hAnsi="仿宋" w:eastAsia="仿宋" w:cs="仿宋"/>
                <w:color w:val="000000"/>
                <w:kern w:val="0"/>
                <w:sz w:val="24"/>
                <w:szCs w:val="24"/>
                <w:highlight w:val="none"/>
                <w:lang w:val="en-US" w:eastAsia="zh-CN"/>
              </w:rPr>
              <w:t>1分。</w:t>
            </w:r>
            <w:r>
              <w:rPr>
                <w:rFonts w:hint="eastAsia" w:ascii="仿宋" w:hAnsi="仿宋" w:eastAsia="仿宋" w:cs="仿宋"/>
                <w:color w:val="000000"/>
                <w:kern w:val="0"/>
                <w:sz w:val="24"/>
                <w:szCs w:val="24"/>
                <w:highlight w:val="none"/>
              </w:rPr>
              <w:t>因上岗人数不足导致该岗位不能履行必要职责，并影响运行安全，此项考核不得分。</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4、员工培训：培训计划 、培训记录 、签到表考试记录 、培训效果评估</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3</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记录不齐全的每项扣0.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分</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5、</w:t>
            </w:r>
            <w:r>
              <w:rPr>
                <w:rFonts w:hint="eastAsia" w:ascii="仿宋" w:hAnsi="仿宋" w:eastAsia="仿宋" w:cs="仿宋"/>
                <w:color w:val="000000"/>
                <w:kern w:val="0"/>
                <w:sz w:val="24"/>
                <w:szCs w:val="24"/>
                <w:highlight w:val="none"/>
                <w:lang w:eastAsia="zh-CN"/>
              </w:rPr>
              <w:t>工作人员礼貌规范、不与群众发生纠纷</w:t>
            </w:r>
            <w:r>
              <w:rPr>
                <w:rFonts w:hint="eastAsia" w:ascii="仿宋" w:hAnsi="仿宋" w:eastAsia="仿宋" w:cs="仿宋"/>
                <w:color w:val="000000"/>
                <w:kern w:val="0"/>
                <w:sz w:val="24"/>
                <w:szCs w:val="24"/>
                <w:highlight w:val="none"/>
              </w:rPr>
              <w:t>。</w:t>
            </w:r>
          </w:p>
        </w:tc>
        <w:tc>
          <w:tcPr>
            <w:tcW w:w="820" w:type="dxa"/>
            <w:noWrap w:val="0"/>
            <w:vAlign w:val="center"/>
          </w:tcPr>
          <w:p>
            <w:pPr>
              <w:jc w:val="center"/>
              <w:rPr>
                <w:rFonts w:hint="default" w:ascii="仿宋" w:hAnsi="仿宋" w:eastAsia="仿宋" w:cs="仿宋"/>
                <w:b/>
                <w:color w:val="000000"/>
                <w:sz w:val="24"/>
                <w:szCs w:val="24"/>
                <w:highlight w:val="none"/>
                <w:lang w:val="en-US" w:eastAsia="zh-CN"/>
              </w:rPr>
            </w:pPr>
            <w:r>
              <w:rPr>
                <w:rFonts w:hint="eastAsia" w:ascii="仿宋" w:hAnsi="仿宋" w:eastAsia="仿宋" w:cs="仿宋"/>
                <w:b/>
                <w:color w:val="000000"/>
                <w:sz w:val="24"/>
                <w:szCs w:val="24"/>
                <w:highlight w:val="none"/>
                <w:lang w:val="en-US" w:eastAsia="zh-CN"/>
              </w:rPr>
              <w:t>5</w:t>
            </w:r>
          </w:p>
        </w:tc>
        <w:tc>
          <w:tcPr>
            <w:tcW w:w="354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lang w:val="en-US" w:eastAsia="zh-CN"/>
              </w:rPr>
              <w:t>每发现一起对工作人员进行投诉扣0.5分, 每次扣款200元。</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6、房屋及其共用设施设备档案资料齐全，分类成册，管理完善，查阅方便。</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包括房屋总平面图，地下管网图，房屋数量、种类、用途分类统计成册，房屋及共用设施设备大中修记录，共用设施设备的设计安装图纸资料和台帐。每发现一项不齐全或不完善扣0.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both"/>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、上岗人员须了解岗位的性质、熟悉岗位职责、内容与关系等；熟练操作设施设备，能独立处理岗位日常事务；对岗位突发事件能作出恰当的处理。</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3</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未经岗前培训擅自上岗服务或操作设备；不能独立完成所在岗位所需的工作要求；出现突发事件在岗人员未按相关预案进行报告或先期处置；岗位所辖区域内设施设备、相关标识报修不及时；每出现一例扣0.5。非该岗位工作人员擅自操作设备，且造成安全隐患，每出现一例扣2分。</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9、员工劳动纪律。</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2</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每发现一起违纪现象扣0.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,发生重大违纪全扣。</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10、制订规范标准的客户满意度调查操作流程。定期进行满意度调查，对合理的意见和建议及时整改完善，满意率达95％以上。</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2</w:t>
            </w:r>
          </w:p>
        </w:tc>
        <w:tc>
          <w:tcPr>
            <w:tcW w:w="354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不符合全扣。</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10、建立24小时值班制度，设立服务电话，接受甲方使用人对物业管理服务报修、求助、建议、问询、质疑、投诉等各类信息的收集和反馈，并及时处理，有回访制度和记录。</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val="en-US" w:eastAsia="zh-CN"/>
              </w:rPr>
              <w:t>3</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值班制度不符合扣0.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，未设服务电话扣0.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，发现一次处理不及时扣0.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，没有回访录每次扣0.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11、建立并落实维修服务承诺制；维修、急修及时率100％、返修率不高于2％，并有回访记录。</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3</w:t>
            </w:r>
          </w:p>
        </w:tc>
        <w:tc>
          <w:tcPr>
            <w:tcW w:w="354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建立但未落实扣0.5，未建立扣1.0；及时率每降低1个百分点扣0.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，共0.5分扣完为止；返修率不符合扣0.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；回访记录不完整或无回访记录扣0.2。</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1</w:t>
            </w: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采购及库房管理。</w:t>
            </w:r>
          </w:p>
        </w:tc>
        <w:tc>
          <w:tcPr>
            <w:tcW w:w="820"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b/>
                <w:color w:val="000000"/>
                <w:sz w:val="24"/>
                <w:szCs w:val="24"/>
                <w:highlight w:val="none"/>
                <w:lang w:val="en-US" w:eastAsia="zh-CN"/>
              </w:rPr>
              <w:t>2</w:t>
            </w:r>
          </w:p>
        </w:tc>
        <w:tc>
          <w:tcPr>
            <w:tcW w:w="3544"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下列不符合一处扣0.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，扣完为止。</w:t>
            </w:r>
          </w:p>
          <w:p>
            <w:pPr>
              <w:jc w:val="left"/>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1、物品需求计划 2、入库单3、出库单4、物品领用登记表5、物品借用登记表6、库房定期盘点记录7、物品月消耗情况表8、紧急（例外）采购物品单9、报废申报表 10、物品（材料）帐簿</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5" w:hRule="atLeast"/>
          <w:jc w:val="center"/>
        </w:trPr>
        <w:tc>
          <w:tcPr>
            <w:tcW w:w="272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考核内容</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分值</w:t>
            </w:r>
          </w:p>
        </w:tc>
        <w:tc>
          <w:tcPr>
            <w:tcW w:w="3544"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考核办法</w:t>
            </w:r>
          </w:p>
        </w:tc>
        <w:tc>
          <w:tcPr>
            <w:tcW w:w="1276" w:type="dxa"/>
            <w:vMerge w:val="restart"/>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问题描述</w:t>
            </w:r>
          </w:p>
        </w:tc>
        <w:tc>
          <w:tcPr>
            <w:tcW w:w="81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3" w:hRule="atLeast"/>
          <w:jc w:val="center"/>
        </w:trPr>
        <w:tc>
          <w:tcPr>
            <w:tcW w:w="2724" w:type="dxa"/>
            <w:tcBorders>
              <w:right w:val="single" w:color="auto" w:sz="4" w:space="0"/>
            </w:tcBorders>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bCs/>
                <w:color w:val="000000"/>
                <w:kern w:val="0"/>
                <w:sz w:val="24"/>
                <w:szCs w:val="24"/>
                <w:highlight w:val="none"/>
              </w:rPr>
              <w:t>公共设备管理</w:t>
            </w:r>
          </w:p>
        </w:tc>
        <w:tc>
          <w:tcPr>
            <w:tcW w:w="820" w:type="dxa"/>
            <w:tcBorders>
              <w:left w:val="single" w:color="auto" w:sz="4" w:space="0"/>
            </w:tcBorders>
            <w:noWrap w:val="0"/>
            <w:vAlign w:val="center"/>
          </w:tcPr>
          <w:p>
            <w:pPr>
              <w:jc w:val="center"/>
              <w:rPr>
                <w:rFonts w:hint="default" w:ascii="仿宋" w:hAnsi="仿宋" w:eastAsia="仿宋" w:cs="仿宋"/>
                <w:b/>
                <w:sz w:val="24"/>
                <w:szCs w:val="24"/>
                <w:highlight w:val="none"/>
                <w:lang w:val="en-US" w:eastAsia="zh-CN"/>
              </w:rPr>
            </w:pPr>
            <w:r>
              <w:rPr>
                <w:rFonts w:hint="eastAsia" w:ascii="仿宋" w:hAnsi="仿宋" w:eastAsia="仿宋" w:cs="仿宋"/>
                <w:b/>
                <w:sz w:val="24"/>
                <w:szCs w:val="24"/>
                <w:highlight w:val="none"/>
                <w:lang w:val="en-US" w:eastAsia="zh-CN"/>
              </w:rPr>
              <w:t>50</w:t>
            </w:r>
          </w:p>
        </w:tc>
        <w:tc>
          <w:tcPr>
            <w:tcW w:w="3544" w:type="dxa"/>
            <w:vMerge w:val="continue"/>
            <w:noWrap w:val="0"/>
            <w:vAlign w:val="center"/>
          </w:tcPr>
          <w:p>
            <w:pPr>
              <w:jc w:val="center"/>
              <w:rPr>
                <w:rFonts w:hint="eastAsia" w:ascii="仿宋" w:hAnsi="仿宋" w:eastAsia="仿宋" w:cs="仿宋"/>
                <w:b/>
                <w:color w:val="000000"/>
                <w:sz w:val="24"/>
                <w:szCs w:val="24"/>
                <w:highlight w:val="none"/>
              </w:rPr>
            </w:pPr>
          </w:p>
        </w:tc>
        <w:tc>
          <w:tcPr>
            <w:tcW w:w="1276" w:type="dxa"/>
            <w:vMerge w:val="continue"/>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7" w:hRule="atLeast"/>
          <w:jc w:val="center"/>
        </w:trPr>
        <w:tc>
          <w:tcPr>
            <w:tcW w:w="2724" w:type="dxa"/>
            <w:tcBorders>
              <w:right w:val="single" w:color="auto" w:sz="4" w:space="0"/>
            </w:tcBorders>
            <w:noWrap w:val="0"/>
            <w:vAlign w:val="center"/>
          </w:tcPr>
          <w:p>
            <w:pPr>
              <w:widowControl/>
              <w:jc w:val="left"/>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（一）综合要求</w:t>
            </w:r>
          </w:p>
        </w:tc>
        <w:tc>
          <w:tcPr>
            <w:tcW w:w="820" w:type="dxa"/>
            <w:tcBorders>
              <w:left w:val="single" w:color="auto" w:sz="4" w:space="0"/>
              <w:right w:val="single" w:color="auto" w:sz="4" w:space="0"/>
            </w:tcBorders>
            <w:noWrap w:val="0"/>
            <w:vAlign w:val="center"/>
          </w:tcPr>
          <w:p>
            <w:pPr>
              <w:widowControl/>
              <w:ind w:firstLine="120" w:firstLineChars="50"/>
              <w:jc w:val="center"/>
              <w:rPr>
                <w:rFonts w:hint="eastAsia" w:ascii="仿宋" w:hAnsi="仿宋" w:eastAsia="仿宋" w:cs="仿宋"/>
                <w:b/>
                <w:bCs/>
                <w:color w:val="000000"/>
                <w:kern w:val="0"/>
                <w:sz w:val="24"/>
                <w:szCs w:val="24"/>
                <w:highlight w:val="none"/>
              </w:rPr>
            </w:pPr>
            <w:r>
              <w:rPr>
                <w:rFonts w:hint="eastAsia" w:ascii="仿宋" w:hAnsi="仿宋" w:eastAsia="仿宋" w:cs="仿宋"/>
                <w:b/>
                <w:bCs/>
                <w:color w:val="000000"/>
                <w:kern w:val="0"/>
                <w:sz w:val="24"/>
                <w:szCs w:val="24"/>
                <w:highlight w:val="none"/>
              </w:rPr>
              <w:t>10</w:t>
            </w:r>
          </w:p>
        </w:tc>
        <w:tc>
          <w:tcPr>
            <w:tcW w:w="3544" w:type="dxa"/>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highlight w:val="none"/>
              </w:rPr>
            </w:pPr>
          </w:p>
        </w:tc>
        <w:tc>
          <w:tcPr>
            <w:tcW w:w="1276" w:type="dxa"/>
            <w:tcBorders>
              <w:left w:val="single" w:color="auto" w:sz="4" w:space="0"/>
              <w:right w:val="single" w:color="auto" w:sz="4" w:space="0"/>
            </w:tcBorders>
            <w:noWrap w:val="0"/>
            <w:vAlign w:val="center"/>
          </w:tcPr>
          <w:p>
            <w:pPr>
              <w:widowControl/>
              <w:jc w:val="left"/>
              <w:rPr>
                <w:rFonts w:hint="eastAsia" w:ascii="仿宋" w:hAnsi="仿宋" w:eastAsia="仿宋" w:cs="仿宋"/>
                <w:b/>
                <w:bCs/>
                <w:color w:val="000000"/>
                <w:kern w:val="0"/>
                <w:sz w:val="24"/>
                <w:szCs w:val="24"/>
                <w:highlight w:val="none"/>
              </w:rPr>
            </w:pPr>
          </w:p>
        </w:tc>
        <w:tc>
          <w:tcPr>
            <w:tcW w:w="814" w:type="dxa"/>
            <w:tcBorders>
              <w:left w:val="single" w:color="auto" w:sz="4" w:space="0"/>
            </w:tcBorders>
            <w:noWrap w:val="0"/>
            <w:vAlign w:val="center"/>
          </w:tcPr>
          <w:p>
            <w:pPr>
              <w:widowControl/>
              <w:jc w:val="left"/>
              <w:rPr>
                <w:rFonts w:hint="eastAsia" w:ascii="仿宋" w:hAnsi="仿宋" w:eastAsia="仿宋" w:cs="仿宋"/>
                <w:b/>
                <w:bCs/>
                <w:color w:val="000000"/>
                <w:kern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kern w:val="0"/>
                <w:sz w:val="24"/>
                <w:szCs w:val="24"/>
                <w:highlight w:val="none"/>
              </w:rPr>
              <w:t>1、制订设备安全运行、岗位责任制、定期巡回检查、维护保养、运行记录管理、维修档案等管理制度，并严格执行。</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每发现下列一处不符合扣0.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，扣完为止。</w:t>
            </w:r>
          </w:p>
          <w:p>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1、设备安全运行、维护保养制度；</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2、年度设施设备维修养护计划；</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3、设施设备台帐，便于查阅；</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4、岗位制度</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5、各专业岗位人员配置方案；</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6、设施设备巡检、运行、维修养护记录；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7、专业岗位配置符合合同、行业操作要求，现场操作人员持证件上岗；</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8、设施设备标志管理符合规范，统一、完整，满足安全运行需要；</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9、移动电动工具清单、计量用具清单，按规定检测；</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10、排班、交接班记录；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11、突发事件应急物资；</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12、弱电、避雷等安全系统运行正常；</w:t>
            </w:r>
          </w:p>
          <w:p>
            <w:pPr>
              <w:jc w:val="left"/>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13、设备机房有防小动物、防火等安全措施。张贴设备系统图、应急预案流程图、特种作业人员资格证书。</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2、设备及机房环境整洁，无杂物、灰尘，无鼠、虫害发生，机房环境符合设备要求。</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center"/>
              <w:rPr>
                <w:rFonts w:hint="eastAsia" w:ascii="仿宋" w:hAnsi="仿宋" w:eastAsia="仿宋" w:cs="仿宋"/>
                <w:b/>
                <w:color w:val="000000"/>
                <w:sz w:val="24"/>
                <w:szCs w:val="24"/>
                <w:highlight w:val="none"/>
                <w:lang w:eastAsia="zh-CN"/>
              </w:rPr>
            </w:pPr>
            <w:r>
              <w:rPr>
                <w:rFonts w:hint="eastAsia" w:ascii="仿宋" w:hAnsi="仿宋" w:eastAsia="仿宋" w:cs="仿宋"/>
                <w:color w:val="000000"/>
                <w:kern w:val="0"/>
                <w:sz w:val="24"/>
                <w:szCs w:val="24"/>
                <w:highlight w:val="none"/>
              </w:rPr>
              <w:t>每发现一处不符合扣0.</w:t>
            </w:r>
            <w:r>
              <w:rPr>
                <w:rFonts w:hint="eastAsia" w:ascii="仿宋" w:hAnsi="仿宋" w:eastAsia="仿宋" w:cs="仿宋"/>
                <w:color w:val="000000"/>
                <w:kern w:val="0"/>
                <w:sz w:val="24"/>
                <w:szCs w:val="24"/>
                <w:highlight w:val="none"/>
                <w:lang w:val="en-US" w:eastAsia="zh-CN"/>
              </w:rPr>
              <w:t>5</w:t>
            </w:r>
          </w:p>
        </w:tc>
        <w:tc>
          <w:tcPr>
            <w:tcW w:w="1276" w:type="dxa"/>
            <w:noWrap w:val="0"/>
            <w:vAlign w:val="center"/>
          </w:tcPr>
          <w:p>
            <w:pPr>
              <w:jc w:val="center"/>
              <w:rPr>
                <w:rFonts w:hint="eastAsia" w:ascii="仿宋" w:hAnsi="仿宋" w:eastAsia="仿宋" w:cs="仿宋"/>
                <w:b/>
                <w:color w:val="000000"/>
                <w:sz w:val="24"/>
                <w:szCs w:val="24"/>
                <w:highlight w:val="none"/>
                <w:lang w:val="en-US" w:eastAsia="zh-CN"/>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3、配备所需专业技术人员，严格执行操作规程，有各工种操作规程，特殊工种持证上岗。</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每发现一处不符合扣0.</w:t>
            </w:r>
            <w:r>
              <w:rPr>
                <w:rFonts w:hint="eastAsia" w:ascii="仿宋" w:hAnsi="仿宋" w:eastAsia="仿宋"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4、设备良好，运行正常，无重大管理责任事故。</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color w:val="000000"/>
                <w:kern w:val="0"/>
                <w:sz w:val="24"/>
                <w:szCs w:val="24"/>
                <w:highlight w:val="none"/>
              </w:rPr>
              <w:t>不符合全扣。</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5、阀门：每月抽查不同机房至少10个阀门，无跑、冒、滴、漏，无锈蚀，黄油保养及时有效；</w:t>
            </w:r>
          </w:p>
        </w:tc>
        <w:tc>
          <w:tcPr>
            <w:tcW w:w="820"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rPr>
              <w:t>2</w:t>
            </w:r>
          </w:p>
        </w:tc>
        <w:tc>
          <w:tcPr>
            <w:tcW w:w="3544" w:type="dxa"/>
            <w:noWrap w:val="0"/>
            <w:vAlign w:val="center"/>
          </w:tcPr>
          <w:p>
            <w:pPr>
              <w:jc w:val="center"/>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1276" w:type="dxa"/>
            <w:noWrap w:val="0"/>
            <w:vAlign w:val="center"/>
          </w:tcPr>
          <w:p>
            <w:pPr>
              <w:jc w:val="center"/>
              <w:rPr>
                <w:rFonts w:hint="eastAsia" w:ascii="仿宋" w:hAnsi="仿宋" w:eastAsia="仿宋" w:cs="仿宋"/>
                <w:b/>
                <w:color w:val="000000"/>
                <w:sz w:val="24"/>
                <w:szCs w:val="24"/>
                <w:highlight w:val="none"/>
              </w:rPr>
            </w:pPr>
          </w:p>
        </w:tc>
        <w:tc>
          <w:tcPr>
            <w:tcW w:w="814" w:type="dxa"/>
            <w:noWrap w:val="0"/>
            <w:vAlign w:val="center"/>
          </w:tcPr>
          <w:p>
            <w:pPr>
              <w:jc w:val="center"/>
              <w:rPr>
                <w:rFonts w:hint="eastAsia" w:ascii="仿宋" w:hAnsi="仿宋" w:eastAsia="仿宋" w:cs="仿宋"/>
                <w:b/>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6、排水、排污管道通畅，无堵塞外溢现象</w:t>
            </w:r>
          </w:p>
        </w:tc>
        <w:tc>
          <w:tcPr>
            <w:tcW w:w="820"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7、设备房及各楼层设备清洁状况</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水泵房、配电房、电梯机房（抽查2个）、空调机房、新风机房（抽查2个）、消防监控室等地面整洁，无积水，无烟头等杂物，设备无灰尘、配电（柜）无积灰</w:t>
            </w:r>
          </w:p>
        </w:tc>
        <w:tc>
          <w:tcPr>
            <w:tcW w:w="820" w:type="dxa"/>
            <w:noWrap w:val="0"/>
            <w:vAlign w:val="center"/>
          </w:tcPr>
          <w:p>
            <w:pPr>
              <w:jc w:val="center"/>
              <w:rPr>
                <w:rFonts w:hint="eastAsia" w:ascii="仿宋" w:hAnsi="仿宋" w:eastAsia="仿宋" w:cs="仿宋"/>
                <w:color w:val="000000"/>
                <w:sz w:val="24"/>
                <w:szCs w:val="24"/>
                <w:highlight w:val="none"/>
              </w:rPr>
            </w:pPr>
            <w:r>
              <w:rPr>
                <w:rFonts w:hint="eastAsia" w:ascii="仿宋" w:hAnsi="仿宋" w:eastAsia="仿宋" w:cs="仿宋"/>
                <w:b/>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1276" w:type="dxa"/>
            <w:noWrap w:val="0"/>
            <w:vAlign w:val="center"/>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8、道路通畅，路面平整；井盖无缺损、无丢失，路面井盖不影响车辆和行人通行</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1、道路无堆积物，路面无破损</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2、井盖完好，无丢失</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3、井盖与路面保持平齐，无晃动</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以上每发现一处扣0.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（二）供电系统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4</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1.制定供电系统管理措施并严格执行，记录完整；供电设备运行正常，配电管理符合规定，路灯、楼道灯等公共照明设备完好</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1）、供电管理措施（含超负荷用电管理的内容）</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2）、设备保养计划</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3）、设备定期保养记录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4）、设备维修记录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5）、设备运行记录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6）、有紧急情况处理预案</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7）、日常巡视记录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8）、有绝缘设备并年检</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9）、设备台帐</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10）、备用发电机试运行记录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11）、有防、灭鼠及防火措施</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2、保证正常供电，限电、停电有明确的审批权限并按规定时间通知甲方。</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每发现一处不符扣0.5。</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3、制订临时用电管理措施与停电应急处理措施并严格执行。</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临时用电措施或停电应急措施不符合均扣0.5。</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（三）弱电系统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4</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1、按工作标准规定时间排除故障，保证各弱电系统正常工作。</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2、监控系统等智能化设施设备运行正常，有记录并按规定期限保存。并做好弱电维保单位监管。</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3、严格按照设备操作规程使用设备，保证会议音响视频系统正常，发现故障及时维修</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5"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（四）消防系统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8</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1、消防控制中心24小时值班。</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每发现一处不符扣0.5。</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2、消防管理人员掌握消防设施设备的使用方法并能及时处理各种问题。</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3、组织开展消防法规及消防知识的宣传教育，明确各区域防火责任人。</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责任人不明确每发现一处扣0.</w:t>
            </w:r>
            <w:r>
              <w:rPr>
                <w:rFonts w:hint="eastAsia" w:ascii="仿宋" w:hAnsi="仿宋" w:eastAsia="仿宋" w:cs="仿宋"/>
                <w:color w:val="000000"/>
                <w:sz w:val="24"/>
                <w:szCs w:val="24"/>
                <w:highlight w:val="none"/>
                <w:lang w:val="en-US" w:eastAsia="zh-CN"/>
              </w:rPr>
              <w:t>5</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4、有突发火灾的应急方案，设立消防疏散示意图，照明设施、引路标志完好，紧急疏散通道畅通。</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无应急方案扣0.5，各种标志每缺少一个及每发现一处不畅通扣0.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5、无火灾安全隐患。</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每发现一处安全隐患扣0.5。</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6、保证办公楼灭火器材、消火栓、应急灯、防火门、正压送风阀等消防设施设备的完好。</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擅自动用消火栓及搬动灭火器材等现象，未及时发现和纠正扣0.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，未按时完成每月消防设施设备检查扣0.2，消防设施备检查记录不全或填写每份检查表不符合要求0.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，应急灯、防火门、灭火器材等缺失或故障报修不及时，扣0.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center"/>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1"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（五）电梯系统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6</w:t>
            </w:r>
          </w:p>
        </w:tc>
        <w:tc>
          <w:tcPr>
            <w:tcW w:w="3544" w:type="dxa"/>
            <w:noWrap w:val="0"/>
            <w:vAlign w:val="top"/>
          </w:tcPr>
          <w:p>
            <w:pPr>
              <w:jc w:val="left"/>
              <w:rPr>
                <w:rFonts w:hint="eastAsia" w:ascii="仿宋" w:hAnsi="仿宋" w:eastAsia="仿宋" w:cs="仿宋"/>
                <w:color w:val="000000"/>
                <w:sz w:val="24"/>
                <w:szCs w:val="24"/>
                <w:highlight w:val="none"/>
              </w:rPr>
            </w:pP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1、电梯准用证、年检合格证、维修保养合同完备。</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每发现一处不符扣0.5。</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2、电梯按规定时间运行，安全设施齐全，通风、照明及附属设施完好。</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3、轿厢、井道、机房保持清洁。</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轿厢应干净，井道应清洁，无垃圾杂物，机房门道槽应无杂物，发现一起不合格扣0.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4、电梯由专业队伍维修保养，维修、保养人员持证上岗,并做好专业维保单位的监管工作。</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不符合全扣。</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5、运行出现故障后，维修人员应在规定时间内到达现场维修。</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不符合全扣。</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6、运行出现险情后，应有排除险情的应急处理措施。</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0.5</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不符合全扣。</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7、物业公司电梯安全管理员应定期巡视电梯,发现问题及时通知维保单位解决。</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0.5</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不符合全扣。</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rPr>
              <w:t>（六）给排水系统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8</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1、建立用水、供水管理制度，结合项目实际情况合理的用水和节水计划。</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2、设备、阀门、管道工作正常，无跑冒滴漏。消防泵、喷淋泵、排污泵、稳压泵、供水泵等水泵运行、备用切换情况是否良好，控制线路、终端设备试验其动作性能。</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3、按规定对二次供水蓄水池设施设备进行清洁、清毒；二次供水卫生许可证、水质化验单、操作人员健康合格证齐全；水池、水箱清洁卫生，无二次污染。</w:t>
            </w:r>
          </w:p>
        </w:tc>
        <w:tc>
          <w:tcPr>
            <w:tcW w:w="820" w:type="dxa"/>
            <w:noWrap w:val="0"/>
            <w:vAlign w:val="center"/>
          </w:tcPr>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4、高压水泵、水池、水箱有严格的管理措施，水池、水箱周围无污染隐患。</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没有管理措施扣0.5，水箱周围每发现一处隐患扣0.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5、排水系统通畅，汛期道路无积水，地下室、车库、设备房无积水、浸泡发生。</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6、遇有事故，维修人员在规定时间内进行抢修，无大面积跑水、泛水、长时间停水现象。</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每发现一次不符合扣0.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7</w:t>
            </w:r>
            <w:r>
              <w:rPr>
                <w:rFonts w:hint="eastAsia" w:ascii="仿宋" w:hAnsi="仿宋" w:eastAsia="仿宋" w:cs="仿宋"/>
                <w:color w:val="000000"/>
                <w:sz w:val="24"/>
                <w:szCs w:val="24"/>
                <w:highlight w:val="none"/>
              </w:rPr>
              <w:t>、制定事故应急处理方案</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无处理方案扣0.5，方案不完善扣0.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top"/>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七</w:t>
            </w:r>
            <w:r>
              <w:rPr>
                <w:rFonts w:hint="eastAsia" w:ascii="仿宋" w:hAnsi="仿宋" w:eastAsia="仿宋" w:cs="仿宋"/>
                <w:b/>
                <w:bCs/>
                <w:color w:val="000000"/>
                <w:sz w:val="24"/>
                <w:szCs w:val="24"/>
                <w:highlight w:val="none"/>
              </w:rPr>
              <w:t>）</w:t>
            </w:r>
            <w:r>
              <w:rPr>
                <w:rFonts w:hint="eastAsia" w:ascii="仿宋" w:hAnsi="仿宋" w:eastAsia="仿宋" w:cs="仿宋"/>
                <w:b/>
                <w:bCs/>
                <w:color w:val="000000"/>
                <w:sz w:val="24"/>
                <w:szCs w:val="24"/>
                <w:highlight w:val="none"/>
                <w:lang w:eastAsia="zh-CN"/>
              </w:rPr>
              <w:t>空调</w:t>
            </w:r>
            <w:r>
              <w:rPr>
                <w:rFonts w:hint="eastAsia" w:ascii="仿宋" w:hAnsi="仿宋" w:eastAsia="仿宋" w:cs="仿宋"/>
                <w:b/>
                <w:bCs/>
                <w:color w:val="000000"/>
                <w:sz w:val="24"/>
                <w:szCs w:val="24"/>
                <w:highlight w:val="none"/>
              </w:rPr>
              <w:t>系统</w:t>
            </w:r>
          </w:p>
        </w:tc>
        <w:tc>
          <w:tcPr>
            <w:tcW w:w="820" w:type="dxa"/>
            <w:noWrap w:val="0"/>
            <w:vAlign w:val="center"/>
          </w:tcPr>
          <w:p>
            <w:pPr>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10</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top"/>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建立用</w:t>
            </w:r>
            <w:r>
              <w:rPr>
                <w:rFonts w:hint="eastAsia" w:ascii="仿宋" w:hAnsi="仿宋" w:eastAsia="仿宋" w:cs="仿宋"/>
                <w:color w:val="000000"/>
                <w:sz w:val="24"/>
                <w:szCs w:val="24"/>
                <w:highlight w:val="none"/>
                <w:lang w:eastAsia="zh-CN"/>
              </w:rPr>
              <w:t>电</w:t>
            </w:r>
            <w:r>
              <w:rPr>
                <w:rFonts w:hint="eastAsia" w:ascii="仿宋" w:hAnsi="仿宋" w:eastAsia="仿宋" w:cs="仿宋"/>
                <w:color w:val="000000"/>
                <w:sz w:val="24"/>
                <w:szCs w:val="24"/>
                <w:highlight w:val="none"/>
              </w:rPr>
              <w:t>、供</w:t>
            </w:r>
            <w:r>
              <w:rPr>
                <w:rFonts w:hint="eastAsia" w:ascii="仿宋" w:hAnsi="仿宋" w:eastAsia="仿宋" w:cs="仿宋"/>
                <w:color w:val="000000"/>
                <w:sz w:val="24"/>
                <w:szCs w:val="24"/>
                <w:highlight w:val="none"/>
                <w:lang w:eastAsia="zh-CN"/>
              </w:rPr>
              <w:t>电</w:t>
            </w:r>
            <w:r>
              <w:rPr>
                <w:rFonts w:hint="eastAsia" w:ascii="仿宋" w:hAnsi="仿宋" w:eastAsia="仿宋" w:cs="仿宋"/>
                <w:color w:val="000000"/>
                <w:sz w:val="24"/>
                <w:szCs w:val="24"/>
                <w:highlight w:val="none"/>
              </w:rPr>
              <w:t>管理制度，结合项目实际情况合理的用</w:t>
            </w:r>
            <w:r>
              <w:rPr>
                <w:rFonts w:hint="eastAsia" w:ascii="仿宋" w:hAnsi="仿宋" w:eastAsia="仿宋" w:cs="仿宋"/>
                <w:color w:val="000000"/>
                <w:sz w:val="24"/>
                <w:szCs w:val="24"/>
                <w:highlight w:val="none"/>
                <w:lang w:eastAsia="zh-CN"/>
              </w:rPr>
              <w:t>电</w:t>
            </w:r>
            <w:r>
              <w:rPr>
                <w:rFonts w:hint="eastAsia" w:ascii="仿宋" w:hAnsi="仿宋" w:eastAsia="仿宋" w:cs="仿宋"/>
                <w:color w:val="000000"/>
                <w:sz w:val="24"/>
                <w:szCs w:val="24"/>
                <w:highlight w:val="none"/>
              </w:rPr>
              <w:t>和节</w:t>
            </w:r>
            <w:r>
              <w:rPr>
                <w:rFonts w:hint="eastAsia" w:ascii="仿宋" w:hAnsi="仿宋" w:eastAsia="仿宋" w:cs="仿宋"/>
                <w:color w:val="000000"/>
                <w:sz w:val="24"/>
                <w:szCs w:val="24"/>
                <w:highlight w:val="none"/>
                <w:lang w:eastAsia="zh-CN"/>
              </w:rPr>
              <w:t>电</w:t>
            </w:r>
            <w:r>
              <w:rPr>
                <w:rFonts w:hint="eastAsia" w:ascii="仿宋" w:hAnsi="仿宋" w:eastAsia="仿宋" w:cs="仿宋"/>
                <w:color w:val="000000"/>
                <w:sz w:val="24"/>
                <w:szCs w:val="24"/>
                <w:highlight w:val="none"/>
              </w:rPr>
              <w:t>计划。</w:t>
            </w:r>
          </w:p>
        </w:tc>
        <w:tc>
          <w:tcPr>
            <w:tcW w:w="820" w:type="dxa"/>
            <w:noWrap w:val="0"/>
            <w:vAlign w:val="center"/>
          </w:tcPr>
          <w:p>
            <w:pPr>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4</w:t>
            </w:r>
          </w:p>
        </w:tc>
        <w:tc>
          <w:tcPr>
            <w:tcW w:w="3544" w:type="dxa"/>
            <w:noWrap w:val="0"/>
            <w:vAlign w:val="center"/>
          </w:tcPr>
          <w:p>
            <w:pPr>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电费较上年同期上升</w:t>
            </w:r>
            <w:r>
              <w:rPr>
                <w:rFonts w:hint="eastAsia" w:ascii="仿宋" w:hAnsi="仿宋" w:eastAsia="仿宋" w:cs="仿宋"/>
                <w:color w:val="000000"/>
                <w:sz w:val="24"/>
                <w:szCs w:val="24"/>
                <w:highlight w:val="none"/>
                <w:lang w:val="en-US" w:eastAsia="zh-CN"/>
              </w:rPr>
              <w:t>10%-15%扣1分，上升15%-30%扣2分，30%以上扣4分。</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top"/>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.制定</w:t>
            </w:r>
            <w:r>
              <w:rPr>
                <w:rFonts w:hint="eastAsia" w:ascii="仿宋" w:hAnsi="仿宋" w:eastAsia="仿宋" w:cs="仿宋"/>
                <w:color w:val="000000"/>
                <w:sz w:val="24"/>
                <w:szCs w:val="24"/>
                <w:highlight w:val="none"/>
                <w:lang w:eastAsia="zh-CN"/>
              </w:rPr>
              <w:t>空调</w:t>
            </w:r>
            <w:r>
              <w:rPr>
                <w:rFonts w:hint="eastAsia" w:ascii="仿宋" w:hAnsi="仿宋" w:eastAsia="仿宋" w:cs="仿宋"/>
                <w:color w:val="000000"/>
                <w:sz w:val="24"/>
                <w:szCs w:val="24"/>
                <w:highlight w:val="none"/>
              </w:rPr>
              <w:t>系统管理措施并严格执行，记录完整；</w:t>
            </w:r>
            <w:r>
              <w:rPr>
                <w:rFonts w:hint="eastAsia" w:ascii="仿宋" w:hAnsi="仿宋" w:eastAsia="仿宋" w:cs="仿宋"/>
                <w:color w:val="000000"/>
                <w:sz w:val="24"/>
                <w:szCs w:val="24"/>
                <w:highlight w:val="none"/>
                <w:lang w:eastAsia="zh-CN"/>
              </w:rPr>
              <w:t>空调</w:t>
            </w:r>
            <w:r>
              <w:rPr>
                <w:rFonts w:hint="eastAsia" w:ascii="仿宋" w:hAnsi="仿宋" w:eastAsia="仿宋" w:cs="仿宋"/>
                <w:color w:val="000000"/>
                <w:sz w:val="24"/>
                <w:szCs w:val="24"/>
                <w:highlight w:val="none"/>
              </w:rPr>
              <w:t>设备运行正常，设备完好</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）、设备保养计划</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）、设备定期保养记录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）、设备维修记录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）、设备运行记录</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）、有紧急情况处理预案</w:t>
            </w:r>
          </w:p>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6</w:t>
            </w:r>
            <w:r>
              <w:rPr>
                <w:rFonts w:hint="eastAsia" w:ascii="仿宋" w:hAnsi="仿宋" w:eastAsia="仿宋" w:cs="仿宋"/>
                <w:color w:val="000000"/>
                <w:sz w:val="24"/>
                <w:szCs w:val="24"/>
                <w:highlight w:val="none"/>
              </w:rPr>
              <w:t>）、日常巡视记录</w:t>
            </w:r>
          </w:p>
          <w:p>
            <w:pPr>
              <w:jc w:val="left"/>
              <w:rPr>
                <w:rFonts w:hint="eastAsia" w:ascii="仿宋" w:hAnsi="仿宋" w:eastAsia="仿宋" w:cs="仿宋"/>
                <w:color w:val="000000"/>
                <w:sz w:val="24"/>
                <w:szCs w:val="24"/>
                <w:highlight w:val="none"/>
                <w:lang w:val="en-US" w:eastAsia="zh-CN"/>
              </w:rPr>
            </w:pPr>
          </w:p>
        </w:tc>
        <w:tc>
          <w:tcPr>
            <w:tcW w:w="820" w:type="dxa"/>
            <w:noWrap w:val="0"/>
            <w:vAlign w:val="center"/>
          </w:tcPr>
          <w:p>
            <w:pPr>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top"/>
          </w:tcPr>
          <w:p>
            <w:pPr>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3、保证冬季供暖、夏季制冷，温度保证22-26℃</w:t>
            </w:r>
          </w:p>
        </w:tc>
        <w:tc>
          <w:tcPr>
            <w:tcW w:w="820" w:type="dxa"/>
            <w:noWrap w:val="0"/>
            <w:vAlign w:val="center"/>
          </w:tcPr>
          <w:p>
            <w:pPr>
              <w:jc w:val="center"/>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3</w:t>
            </w:r>
          </w:p>
        </w:tc>
        <w:tc>
          <w:tcPr>
            <w:tcW w:w="3544" w:type="dxa"/>
            <w:noWrap w:val="0"/>
            <w:vAlign w:val="center"/>
          </w:tcPr>
          <w:p>
            <w:pPr>
              <w:jc w:val="left"/>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eastAsia="zh-CN"/>
              </w:rPr>
              <w:t>夏季温度高于</w:t>
            </w:r>
            <w:r>
              <w:rPr>
                <w:rFonts w:hint="eastAsia" w:ascii="仿宋" w:hAnsi="仿宋" w:eastAsia="仿宋" w:cs="仿宋"/>
                <w:color w:val="000000"/>
                <w:sz w:val="24"/>
                <w:szCs w:val="24"/>
                <w:highlight w:val="none"/>
                <w:lang w:val="en-US" w:eastAsia="zh-CN"/>
              </w:rPr>
              <w:t>26℃，冬季低于22℃天数5-10天扣1分，10-15天扣2分，15天以上扣3分。</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9" w:hRule="atLeast"/>
          <w:jc w:val="center"/>
        </w:trPr>
        <w:tc>
          <w:tcPr>
            <w:tcW w:w="2724" w:type="dxa"/>
            <w:noWrap w:val="0"/>
            <w:vAlign w:val="center"/>
          </w:tcPr>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考核内容</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分值</w:t>
            </w:r>
          </w:p>
        </w:tc>
        <w:tc>
          <w:tcPr>
            <w:tcW w:w="3544" w:type="dxa"/>
            <w:vMerge w:val="restart"/>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考核办法</w:t>
            </w:r>
          </w:p>
        </w:tc>
        <w:tc>
          <w:tcPr>
            <w:tcW w:w="1276" w:type="dxa"/>
            <w:vMerge w:val="restart"/>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问题描述</w:t>
            </w:r>
          </w:p>
        </w:tc>
        <w:tc>
          <w:tcPr>
            <w:tcW w:w="81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1" w:hRule="atLeast"/>
          <w:jc w:val="center"/>
        </w:trPr>
        <w:tc>
          <w:tcPr>
            <w:tcW w:w="2724" w:type="dxa"/>
            <w:noWrap w:val="0"/>
            <w:vAlign w:val="center"/>
          </w:tcPr>
          <w:p>
            <w:pPr>
              <w:jc w:val="lef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环境卫生</w:t>
            </w:r>
          </w:p>
        </w:tc>
        <w:tc>
          <w:tcPr>
            <w:tcW w:w="820" w:type="dxa"/>
            <w:noWrap w:val="0"/>
            <w:vAlign w:val="center"/>
          </w:tcPr>
          <w:p>
            <w:pPr>
              <w:jc w:val="center"/>
              <w:rPr>
                <w:rFonts w:hint="default"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15</w:t>
            </w:r>
          </w:p>
        </w:tc>
        <w:tc>
          <w:tcPr>
            <w:tcW w:w="3544" w:type="dxa"/>
            <w:vMerge w:val="continue"/>
            <w:noWrap w:val="0"/>
            <w:vAlign w:val="top"/>
          </w:tcPr>
          <w:p>
            <w:pPr>
              <w:jc w:val="left"/>
              <w:rPr>
                <w:rFonts w:hint="eastAsia" w:ascii="仿宋" w:hAnsi="仿宋" w:eastAsia="仿宋" w:cs="仿宋"/>
                <w:color w:val="000000"/>
                <w:sz w:val="24"/>
                <w:szCs w:val="24"/>
                <w:highlight w:val="none"/>
              </w:rPr>
            </w:pPr>
          </w:p>
        </w:tc>
        <w:tc>
          <w:tcPr>
            <w:tcW w:w="1276" w:type="dxa"/>
            <w:vMerge w:val="continue"/>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1、环卫设施完备，设有垃圾箱、果皮箱、垃圾中转站。</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2、清洁卫生实行责任制，有专职清洁人员和明确的责任范围及清洁记录，实行标准化清洁保洁。</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未实行责任制的扣0.5，无专职清洁人员、无责任范围和清洁记录欠缺的扣0.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，未实行标准化保洁的扣0.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4"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3、垃圾日产日清，定期进行卫生消毒灭杀。</w:t>
            </w:r>
          </w:p>
        </w:tc>
        <w:tc>
          <w:tcPr>
            <w:tcW w:w="820" w:type="dxa"/>
            <w:noWrap w:val="0"/>
            <w:vAlign w:val="center"/>
          </w:tcPr>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5</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每发现一处垃极扣0.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，未达到垃圾日产日清的扣0.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，未定期进行卫生消毒灭杀扣0.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4、房屋共用部位保持清洁，无乱贴、乱画，无擅自占用和堆放杂物现象；大堂、楼梯扶拦、天台、共用玻璃窗等保持洁净；共用场地无纸屑、烟头等废弃物。</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eastAsia="zh-CN"/>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5、卫生间（地面、墙面、天花、隔断及门锁、座便器及水箱、小便斗、盥洗台及水嘴、镜子等）无污迹、无积水、无垃圾、无积灰、无异味、无阻塞、镜子和洁具光亮。</w:t>
            </w:r>
          </w:p>
        </w:tc>
        <w:tc>
          <w:tcPr>
            <w:tcW w:w="820" w:type="dxa"/>
            <w:noWrap w:val="0"/>
            <w:vAlign w:val="center"/>
          </w:tcPr>
          <w:p>
            <w:pPr>
              <w:jc w:val="center"/>
              <w:rPr>
                <w:rFonts w:hint="eastAsia" w:ascii="仿宋" w:hAnsi="仿宋" w:eastAsia="仿宋" w:cs="仿宋"/>
                <w:b/>
                <w:bCs/>
                <w:color w:val="000000"/>
                <w:sz w:val="24"/>
                <w:szCs w:val="24"/>
                <w:highlight w:val="none"/>
                <w:lang w:eastAsia="zh-CN"/>
              </w:rPr>
            </w:pPr>
            <w:r>
              <w:rPr>
                <w:rFonts w:hint="eastAsia" w:ascii="仿宋" w:hAnsi="仿宋" w:eastAsia="仿宋" w:cs="仿宋"/>
                <w:b/>
                <w:bCs/>
                <w:color w:val="000000"/>
                <w:sz w:val="24"/>
                <w:szCs w:val="24"/>
                <w:highlight w:val="none"/>
                <w:lang w:val="en-US" w:eastAsia="zh-CN"/>
              </w:rPr>
              <w:t>3</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每次每间发现一处不符合扣0.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lang w:val="en-US" w:eastAsia="zh-CN"/>
              </w:rPr>
            </w:pPr>
          </w:p>
        </w:tc>
        <w:tc>
          <w:tcPr>
            <w:tcW w:w="814" w:type="dxa"/>
            <w:noWrap w:val="0"/>
            <w:vAlign w:val="top"/>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6、负责清洁设备的领用、使用、保养和日常管理，每天统计清洁设备的完好情况，设备保修及时，建立设备台卡。</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2</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记录不完整每次扣0.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分，未正确合理使用保洁设备每发现一次扣0.</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w:t>
            </w: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top"/>
          </w:tcPr>
          <w:p>
            <w:pPr>
              <w:jc w:val="left"/>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3" w:hRule="atLeast"/>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合计</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lang w:val="en-US" w:eastAsia="zh-CN"/>
              </w:rPr>
              <w:t>100</w:t>
            </w:r>
            <w:r>
              <w:rPr>
                <w:rFonts w:hint="eastAsia" w:ascii="仿宋" w:hAnsi="仿宋" w:eastAsia="仿宋" w:cs="仿宋"/>
                <w:color w:val="000000"/>
                <w:sz w:val="24"/>
                <w:szCs w:val="24"/>
                <w:highlight w:val="none"/>
              </w:rPr>
              <w:t>分</w:t>
            </w:r>
          </w:p>
        </w:tc>
        <w:tc>
          <w:tcPr>
            <w:tcW w:w="3544" w:type="dxa"/>
            <w:noWrap w:val="0"/>
            <w:vAlign w:val="center"/>
          </w:tcPr>
          <w:p>
            <w:pPr>
              <w:jc w:val="left"/>
              <w:rPr>
                <w:rFonts w:hint="eastAsia" w:ascii="仿宋" w:hAnsi="仿宋" w:eastAsia="仿宋" w:cs="仿宋"/>
                <w:color w:val="000000"/>
                <w:sz w:val="24"/>
                <w:szCs w:val="24"/>
                <w:highlight w:val="none"/>
              </w:rPr>
            </w:pPr>
          </w:p>
        </w:tc>
        <w:tc>
          <w:tcPr>
            <w:tcW w:w="1276" w:type="dxa"/>
            <w:noWrap w:val="0"/>
            <w:vAlign w:val="top"/>
          </w:tcPr>
          <w:p>
            <w:pPr>
              <w:jc w:val="left"/>
              <w:rPr>
                <w:rFonts w:hint="eastAsia" w:ascii="仿宋" w:hAnsi="仿宋" w:eastAsia="仿宋" w:cs="仿宋"/>
                <w:color w:val="000000"/>
                <w:sz w:val="24"/>
                <w:szCs w:val="24"/>
                <w:highlight w:val="none"/>
              </w:rPr>
            </w:pPr>
          </w:p>
        </w:tc>
        <w:tc>
          <w:tcPr>
            <w:tcW w:w="814" w:type="dxa"/>
            <w:noWrap w:val="0"/>
            <w:vAlign w:val="center"/>
          </w:tcPr>
          <w:p>
            <w:pPr>
              <w:jc w:val="center"/>
              <w:rPr>
                <w:rFonts w:hint="eastAsia" w:ascii="仿宋" w:hAnsi="仿宋" w:eastAsia="仿宋" w:cs="仿宋"/>
                <w:color w:val="00000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jc w:val="center"/>
        </w:trPr>
        <w:tc>
          <w:tcPr>
            <w:tcW w:w="2724" w:type="dxa"/>
            <w:noWrap w:val="0"/>
            <w:vAlign w:val="center"/>
          </w:tcPr>
          <w:p>
            <w:pPr>
              <w:jc w:val="left"/>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奖励考核内容</w:t>
            </w:r>
          </w:p>
        </w:tc>
        <w:tc>
          <w:tcPr>
            <w:tcW w:w="820" w:type="dxa"/>
            <w:noWrap w:val="0"/>
            <w:vAlign w:val="center"/>
          </w:tcPr>
          <w:p>
            <w:pPr>
              <w:jc w:val="center"/>
              <w:rPr>
                <w:rFonts w:hint="eastAsia" w:ascii="仿宋" w:hAnsi="仿宋" w:eastAsia="仿宋" w:cs="仿宋"/>
                <w:b/>
                <w:bCs/>
                <w:color w:val="000000"/>
                <w:sz w:val="24"/>
                <w:szCs w:val="24"/>
                <w:highlight w:val="none"/>
              </w:rPr>
            </w:pPr>
          </w:p>
        </w:tc>
        <w:tc>
          <w:tcPr>
            <w:tcW w:w="3544" w:type="dxa"/>
            <w:vMerge w:val="restart"/>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考核内容</w:t>
            </w:r>
          </w:p>
        </w:tc>
        <w:tc>
          <w:tcPr>
            <w:tcW w:w="1276" w:type="dxa"/>
            <w:vMerge w:val="restart"/>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情况描述</w:t>
            </w:r>
          </w:p>
        </w:tc>
        <w:tc>
          <w:tcPr>
            <w:tcW w:w="814" w:type="dxa"/>
            <w:noWrap w:val="0"/>
            <w:vAlign w:val="center"/>
          </w:tcPr>
          <w:p>
            <w:pPr>
              <w:jc w:val="left"/>
              <w:rPr>
                <w:rFonts w:hint="eastAsia" w:ascii="仿宋" w:hAnsi="仿宋" w:eastAsia="仿宋" w:cs="仿宋"/>
                <w:color w:val="000000"/>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2724" w:type="dxa"/>
            <w:noWrap w:val="0"/>
            <w:vAlign w:val="center"/>
          </w:tcPr>
          <w:p>
            <w:pPr>
              <w:jc w:val="left"/>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季度奖励考核</w:t>
            </w:r>
          </w:p>
        </w:tc>
        <w:tc>
          <w:tcPr>
            <w:tcW w:w="820" w:type="dxa"/>
            <w:noWrap w:val="0"/>
            <w:vAlign w:val="center"/>
          </w:tcPr>
          <w:p>
            <w:pPr>
              <w:jc w:val="left"/>
              <w:rPr>
                <w:rFonts w:hint="eastAsia" w:ascii="仿宋" w:hAnsi="仿宋" w:eastAsia="仿宋" w:cs="仿宋"/>
                <w:b/>
                <w:bCs/>
                <w:color w:val="000000"/>
                <w:sz w:val="24"/>
                <w:szCs w:val="24"/>
                <w:highlight w:val="none"/>
              </w:rPr>
            </w:pPr>
            <w:r>
              <w:rPr>
                <w:rFonts w:hint="eastAsia" w:ascii="仿宋" w:hAnsi="仿宋" w:eastAsia="仿宋" w:cs="仿宋"/>
                <w:color w:val="000000"/>
                <w:sz w:val="24"/>
                <w:szCs w:val="24"/>
                <w:highlight w:val="none"/>
              </w:rPr>
              <w:t>10分</w:t>
            </w:r>
          </w:p>
        </w:tc>
        <w:tc>
          <w:tcPr>
            <w:tcW w:w="3544" w:type="dxa"/>
            <w:vMerge w:val="continue"/>
            <w:noWrap w:val="0"/>
            <w:vAlign w:val="center"/>
          </w:tcPr>
          <w:p>
            <w:pPr>
              <w:jc w:val="left"/>
              <w:rPr>
                <w:rFonts w:hint="eastAsia" w:ascii="仿宋" w:hAnsi="仿宋" w:eastAsia="仿宋" w:cs="仿宋"/>
                <w:color w:val="000000"/>
                <w:sz w:val="24"/>
                <w:szCs w:val="24"/>
                <w:highlight w:val="none"/>
              </w:rPr>
            </w:pPr>
          </w:p>
        </w:tc>
        <w:tc>
          <w:tcPr>
            <w:tcW w:w="1276" w:type="dxa"/>
            <w:vMerge w:val="continue"/>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72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表彰、奖励、贡献</w:t>
            </w:r>
          </w:p>
        </w:tc>
        <w:tc>
          <w:tcPr>
            <w:tcW w:w="820" w:type="dxa"/>
            <w:noWrap w:val="0"/>
            <w:vAlign w:val="center"/>
          </w:tcPr>
          <w:p>
            <w:pPr>
              <w:jc w:val="cente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10</w:t>
            </w:r>
          </w:p>
        </w:tc>
        <w:tc>
          <w:tcPr>
            <w:tcW w:w="3544" w:type="dxa"/>
            <w:noWrap w:val="0"/>
            <w:vAlign w:val="center"/>
          </w:tcPr>
          <w:p>
            <w:pPr>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获得通报表扬、获赠锦旗、获评先进、节能降耗等奖励或贡献，每项加</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分，最高10分，。</w:t>
            </w:r>
          </w:p>
        </w:tc>
        <w:tc>
          <w:tcPr>
            <w:tcW w:w="1276" w:type="dxa"/>
            <w:noWrap w:val="0"/>
            <w:vAlign w:val="center"/>
          </w:tcPr>
          <w:p>
            <w:pPr>
              <w:jc w:val="left"/>
              <w:rPr>
                <w:rFonts w:hint="eastAsia" w:ascii="仿宋" w:hAnsi="仿宋" w:eastAsia="仿宋" w:cs="仿宋"/>
                <w:color w:val="000000"/>
                <w:sz w:val="24"/>
                <w:szCs w:val="24"/>
                <w:highlight w:val="none"/>
              </w:rPr>
            </w:pPr>
          </w:p>
        </w:tc>
        <w:tc>
          <w:tcPr>
            <w:tcW w:w="814" w:type="dxa"/>
            <w:noWrap w:val="0"/>
            <w:vAlign w:val="center"/>
          </w:tcPr>
          <w:p>
            <w:pPr>
              <w:jc w:val="left"/>
              <w:rPr>
                <w:rFonts w:hint="eastAsia" w:ascii="仿宋" w:hAnsi="仿宋" w:eastAsia="仿宋" w:cs="仿宋"/>
                <w:color w:val="000000"/>
                <w:sz w:val="24"/>
                <w:szCs w:val="24"/>
                <w:highlight w:val="none"/>
                <w:lang w:val="en-US" w:eastAsia="zh-CN"/>
              </w:rPr>
            </w:pPr>
          </w:p>
        </w:tc>
      </w:tr>
    </w:tbl>
    <w:p>
      <w:pPr>
        <w:spacing w:line="360" w:lineRule="auto"/>
        <w:jc w:val="both"/>
        <w:rPr>
          <w:rFonts w:hint="eastAsia" w:ascii="宋体" w:hAnsi="宋体" w:eastAsia="宋体"/>
          <w:color w:val="000000"/>
          <w:sz w:val="24"/>
          <w:szCs w:val="24"/>
          <w:highlight w:val="non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both"/>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b/>
          <w:bCs/>
          <w:color w:val="000000"/>
          <w:sz w:val="24"/>
          <w:szCs w:val="24"/>
          <w:highlight w:val="none"/>
          <w:u w:val="single"/>
          <w:lang w:val="en-US" w:eastAsia="zh-CN"/>
        </w:rPr>
      </w:pPr>
    </w:p>
    <w:p>
      <w:pPr>
        <w:spacing w:line="360" w:lineRule="auto"/>
        <w:jc w:val="center"/>
        <w:rPr>
          <w:rFonts w:hint="eastAsia" w:ascii="宋体" w:hAnsi="宋体" w:eastAsia="宋体"/>
          <w:b/>
          <w:bCs/>
          <w:color w:val="000000"/>
          <w:sz w:val="24"/>
          <w:szCs w:val="24"/>
          <w:highlight w:val="none"/>
          <w:lang w:val="en-US" w:eastAsia="zh-CN"/>
        </w:rPr>
      </w:pPr>
      <w:r>
        <w:rPr>
          <w:rFonts w:hint="eastAsia" w:ascii="宋体" w:hAnsi="宋体"/>
          <w:b/>
          <w:bCs/>
          <w:color w:val="000000"/>
          <w:sz w:val="24"/>
          <w:szCs w:val="24"/>
          <w:highlight w:val="none"/>
          <w:u w:val="single"/>
          <w:lang w:val="en-US" w:eastAsia="zh-CN"/>
        </w:rPr>
        <w:t xml:space="preserve">      </w:t>
      </w:r>
      <w:r>
        <w:rPr>
          <w:rFonts w:hint="eastAsia" w:ascii="宋体" w:hAnsi="宋体" w:eastAsia="宋体"/>
          <w:b/>
          <w:bCs/>
          <w:color w:val="000000"/>
          <w:sz w:val="24"/>
          <w:szCs w:val="24"/>
          <w:highlight w:val="none"/>
          <w:lang w:val="en-US" w:eastAsia="zh-CN"/>
        </w:rPr>
        <w:t>考核得分汇总报表</w:t>
      </w:r>
    </w:p>
    <w:p>
      <w:pPr>
        <w:spacing w:line="360" w:lineRule="auto"/>
        <w:jc w:val="center"/>
        <w:rPr>
          <w:rFonts w:hint="eastAsia" w:ascii="宋体" w:hAnsi="宋体" w:eastAsia="宋体"/>
          <w:color w:val="000000"/>
          <w:sz w:val="24"/>
          <w:szCs w:val="24"/>
          <w:highlight w:val="none"/>
          <w:lang w:val="en-US" w:eastAsia="zh-CN"/>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序号</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考核内容</w:t>
            </w: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考核得分</w:t>
            </w: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1</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基础服务</w:t>
            </w: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2</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公共设备管理</w:t>
            </w:r>
          </w:p>
        </w:tc>
        <w:tc>
          <w:tcPr>
            <w:tcW w:w="2322" w:type="dxa"/>
            <w:noWrap w:val="0"/>
            <w:vAlign w:val="top"/>
          </w:tcPr>
          <w:p>
            <w:pPr>
              <w:spacing w:line="360" w:lineRule="auto"/>
              <w:jc w:val="center"/>
              <w:rPr>
                <w:rFonts w:hint="default" w:ascii="宋体" w:hAnsi="宋体" w:eastAsia="宋体"/>
                <w:color w:val="000000"/>
                <w:sz w:val="24"/>
                <w:szCs w:val="24"/>
                <w:highlight w:val="none"/>
                <w:vertAlign w:val="baseline"/>
                <w:lang w:val="en-US" w:eastAsia="zh-CN"/>
              </w:rPr>
            </w:pP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3</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保安及车辆管理</w:t>
            </w:r>
          </w:p>
        </w:tc>
        <w:tc>
          <w:tcPr>
            <w:tcW w:w="2322" w:type="dxa"/>
            <w:noWrap w:val="0"/>
            <w:vAlign w:val="top"/>
          </w:tcPr>
          <w:p>
            <w:pPr>
              <w:spacing w:line="360" w:lineRule="auto"/>
              <w:jc w:val="both"/>
              <w:rPr>
                <w:rFonts w:hint="default" w:ascii="宋体" w:hAnsi="宋体" w:eastAsia="宋体"/>
                <w:color w:val="000000"/>
                <w:sz w:val="24"/>
                <w:szCs w:val="24"/>
                <w:highlight w:val="none"/>
                <w:vertAlign w:val="baseline"/>
                <w:lang w:val="en-US" w:eastAsia="zh-CN"/>
              </w:rPr>
            </w:pP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4</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环境卫生</w:t>
            </w: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5</w:t>
            </w:r>
          </w:p>
        </w:tc>
        <w:tc>
          <w:tcPr>
            <w:tcW w:w="2321"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r>
              <w:rPr>
                <w:rFonts w:hint="eastAsia" w:ascii="宋体" w:hAnsi="宋体" w:eastAsia="宋体"/>
                <w:color w:val="000000"/>
                <w:sz w:val="24"/>
                <w:szCs w:val="24"/>
                <w:highlight w:val="none"/>
                <w:vertAlign w:val="baseline"/>
                <w:lang w:val="en-US" w:eastAsia="zh-CN"/>
              </w:rPr>
              <w:t>合计</w:t>
            </w:r>
          </w:p>
        </w:tc>
        <w:tc>
          <w:tcPr>
            <w:tcW w:w="2322" w:type="dxa"/>
            <w:noWrap w:val="0"/>
            <w:vAlign w:val="top"/>
          </w:tcPr>
          <w:p>
            <w:pPr>
              <w:spacing w:line="360" w:lineRule="auto"/>
              <w:jc w:val="center"/>
              <w:rPr>
                <w:rFonts w:hint="default" w:ascii="宋体" w:hAnsi="宋体" w:eastAsia="宋体"/>
                <w:color w:val="000000"/>
                <w:sz w:val="24"/>
                <w:szCs w:val="24"/>
                <w:highlight w:val="none"/>
                <w:vertAlign w:val="baseline"/>
                <w:lang w:val="en-US" w:eastAsia="zh-CN"/>
              </w:rPr>
            </w:pPr>
          </w:p>
        </w:tc>
        <w:tc>
          <w:tcPr>
            <w:tcW w:w="2322" w:type="dxa"/>
            <w:noWrap w:val="0"/>
            <w:vAlign w:val="top"/>
          </w:tcPr>
          <w:p>
            <w:pPr>
              <w:spacing w:line="360" w:lineRule="auto"/>
              <w:jc w:val="center"/>
              <w:rPr>
                <w:rFonts w:hint="eastAsia" w:ascii="宋体" w:hAnsi="宋体" w:eastAsia="宋体"/>
                <w:color w:val="000000"/>
                <w:sz w:val="24"/>
                <w:szCs w:val="24"/>
                <w:highlight w:val="none"/>
                <w:vertAlign w:val="baseline"/>
                <w:lang w:val="en-US" w:eastAsia="zh-CN"/>
              </w:rPr>
            </w:pPr>
          </w:p>
        </w:tc>
      </w:tr>
    </w:tbl>
    <w:p>
      <w:pPr>
        <w:adjustRightInd w:val="0"/>
        <w:snapToGrid w:val="0"/>
        <w:spacing w:line="300" w:lineRule="auto"/>
        <w:rPr>
          <w:rFonts w:hint="eastAsia" w:ascii="宋体" w:hAnsi="宋体" w:eastAsia="宋体" w:cs="宋体"/>
          <w:color w:val="000000"/>
          <w:sz w:val="21"/>
          <w:szCs w:val="21"/>
          <w:highlight w:val="none"/>
        </w:rPr>
      </w:pPr>
    </w:p>
    <w:p>
      <w:pPr>
        <w:adjustRightInd w:val="0"/>
        <w:snapToGrid w:val="0"/>
        <w:spacing w:line="300" w:lineRule="auto"/>
        <w:rPr>
          <w:rFonts w:hint="eastAsia" w:ascii="黑体" w:hAnsi="黑体" w:eastAsia="黑体" w:cs="黑体"/>
          <w:highlight w:val="none"/>
          <w:lang w:val="en-US" w:eastAsia="zh-CN"/>
        </w:rPr>
      </w:pPr>
      <w:r>
        <w:rPr>
          <w:rFonts w:hint="eastAsia" w:ascii="宋体" w:hAnsi="宋体" w:eastAsia="宋体" w:cs="宋体"/>
          <w:color w:val="000000"/>
          <w:sz w:val="21"/>
          <w:szCs w:val="21"/>
          <w:highlight w:val="none"/>
          <w:lang w:val="en-US" w:eastAsia="zh-CN"/>
        </w:rPr>
        <w:t xml:space="preserve">       甲方签字：                                    乙方签字：                            </w:t>
      </w:r>
    </w:p>
    <w:p>
      <w:pPr>
        <w:pStyle w:val="4"/>
        <w:spacing w:line="560" w:lineRule="exact"/>
        <w:rPr>
          <w:rFonts w:hint="eastAsia" w:eastAsia="黑体"/>
          <w:highlight w:val="none"/>
          <w:lang w:eastAsia="zh-CN"/>
        </w:rPr>
      </w:pPr>
    </w:p>
    <w:p>
      <w:pPr>
        <w:spacing w:line="560" w:lineRule="exact"/>
        <w:rPr>
          <w:rFonts w:hint="eastAsia"/>
          <w:highlight w:val="none"/>
        </w:rPr>
      </w:pPr>
    </w:p>
    <w:p>
      <w:pPr>
        <w:pStyle w:val="4"/>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spacing w:line="560" w:lineRule="exact"/>
        <w:rPr>
          <w:highlight w:val="none"/>
        </w:rPr>
      </w:pPr>
    </w:p>
    <w:p>
      <w:pPr>
        <w:tabs>
          <w:tab w:val="left" w:pos="4995"/>
        </w:tabs>
        <w:spacing w:line="360" w:lineRule="auto"/>
        <w:rPr>
          <w:rFonts w:hint="eastAsia" w:ascii="宋体" w:hAnsi="宋体" w:eastAsia="宋体" w:cs="宋体"/>
          <w:b/>
          <w:bCs/>
          <w:color w:val="000000"/>
          <w:sz w:val="21"/>
          <w:szCs w:val="21"/>
          <w:highlight w:val="none"/>
          <w:lang w:eastAsia="zh-CN"/>
        </w:rPr>
      </w:pPr>
    </w:p>
    <w:p>
      <w:pPr>
        <w:tabs>
          <w:tab w:val="left" w:pos="4995"/>
        </w:tabs>
        <w:spacing w:line="360" w:lineRule="auto"/>
        <w:rPr>
          <w:rFonts w:hint="eastAsia" w:ascii="宋体" w:hAnsi="宋体" w:eastAsia="宋体" w:cs="宋体"/>
          <w:b/>
          <w:bCs/>
          <w:color w:val="000000"/>
          <w:sz w:val="21"/>
          <w:szCs w:val="21"/>
          <w:highlight w:val="none"/>
          <w:lang w:eastAsia="zh-CN"/>
        </w:rPr>
      </w:pPr>
      <w:r>
        <w:rPr>
          <w:rFonts w:hint="eastAsia" w:ascii="宋体" w:hAnsi="宋体" w:eastAsia="宋体" w:cs="宋体"/>
          <w:b/>
          <w:bCs/>
          <w:color w:val="000000"/>
          <w:sz w:val="21"/>
          <w:szCs w:val="21"/>
          <w:highlight w:val="none"/>
          <w:lang w:eastAsia="zh-CN"/>
        </w:rPr>
        <w:t>附件五：顺义区文化和旅游局文化中心物业服务安全生产协议书</w:t>
      </w:r>
    </w:p>
    <w:p>
      <w:pPr>
        <w:spacing w:line="560" w:lineRule="exact"/>
        <w:jc w:val="center"/>
        <w:rPr>
          <w:rFonts w:hint="eastAsia" w:ascii="楷体_GB2312" w:hAnsi="楷体_GB2312" w:eastAsia="楷体_GB2312" w:cs="楷体_GB2312"/>
          <w:b/>
          <w:bCs w:val="0"/>
          <w:color w:val="auto"/>
          <w:sz w:val="32"/>
          <w:szCs w:val="32"/>
          <w:u w:val="single"/>
          <w:lang w:val="en-US" w:eastAsia="zh-CN"/>
        </w:rPr>
      </w:pPr>
    </w:p>
    <w:p>
      <w:pPr>
        <w:spacing w:line="560" w:lineRule="exact"/>
        <w:jc w:val="center"/>
        <w:rPr>
          <w:rFonts w:hint="eastAsia" w:ascii="宋体" w:hAnsi="宋体" w:cs="Arial"/>
          <w:b/>
          <w:sz w:val="30"/>
          <w:szCs w:val="30"/>
        </w:rPr>
      </w:pPr>
      <w:r>
        <w:rPr>
          <w:rFonts w:hint="eastAsia" w:ascii="楷体_GB2312" w:hAnsi="楷体_GB2312" w:eastAsia="楷体_GB2312" w:cs="楷体_GB2312"/>
          <w:b/>
          <w:bCs w:val="0"/>
          <w:color w:val="auto"/>
          <w:sz w:val="32"/>
          <w:szCs w:val="32"/>
          <w:u w:val="single"/>
          <w:lang w:val="en-US" w:eastAsia="zh-CN"/>
        </w:rPr>
        <w:t>顺义区文化和旅游局文化中心物业服务</w:t>
      </w:r>
      <w:r>
        <w:rPr>
          <w:rFonts w:hint="eastAsia" w:ascii="宋体" w:hAnsi="宋体" w:cs="Arial"/>
          <w:b/>
          <w:sz w:val="30"/>
          <w:szCs w:val="30"/>
        </w:rPr>
        <w:t>安全生产协议书</w:t>
      </w:r>
    </w:p>
    <w:p>
      <w:pPr>
        <w:pStyle w:val="9"/>
      </w:pPr>
    </w:p>
    <w:p>
      <w:pPr>
        <w:pStyle w:val="9"/>
        <w:ind w:firstLine="240"/>
        <w:rPr>
          <w:rFonts w:hint="eastAsia" w:ascii="仿宋" w:hAnsi="仿宋" w:eastAsia="仿宋"/>
          <w:sz w:val="24"/>
        </w:rPr>
      </w:pPr>
    </w:p>
    <w:p>
      <w:pPr>
        <w:pStyle w:val="9"/>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default" w:ascii="仿宋" w:hAnsi="仿宋" w:eastAsia="仿宋"/>
          <w:sz w:val="24"/>
          <w:lang w:val="en-US"/>
        </w:rPr>
      </w:pPr>
      <w:r>
        <w:rPr>
          <w:rFonts w:hint="eastAsia" w:ascii="仿宋" w:hAnsi="仿宋" w:eastAsia="仿宋"/>
          <w:sz w:val="24"/>
        </w:rPr>
        <w:t>甲方：</w:t>
      </w:r>
      <w:r>
        <w:rPr>
          <w:rFonts w:ascii="仿宋" w:hAnsi="仿宋" w:eastAsia="仿宋"/>
          <w:sz w:val="24"/>
        </w:rPr>
        <w:t xml:space="preserve"> </w:t>
      </w:r>
      <w:r>
        <w:rPr>
          <w:rFonts w:hint="eastAsia" w:ascii="楷体_GB2312" w:hAnsi="楷体_GB2312" w:eastAsia="楷体_GB2312" w:cs="楷体_GB2312"/>
          <w:b/>
          <w:bCs w:val="0"/>
          <w:color w:val="auto"/>
          <w:sz w:val="32"/>
          <w:szCs w:val="32"/>
          <w:u w:val="single"/>
          <w:lang w:val="en-US" w:eastAsia="zh-CN"/>
        </w:rPr>
        <w:t xml:space="preserve"> </w:t>
      </w:r>
      <w:r>
        <w:rPr>
          <w:rFonts w:hint="eastAsia" w:ascii="仿宋" w:hAnsi="仿宋" w:eastAsia="仿宋"/>
          <w:sz w:val="24"/>
          <w:u w:val="single"/>
          <w:lang w:val="en-US" w:eastAsia="zh-CN"/>
        </w:rPr>
        <w:t xml:space="preserve"> 北京市顺义区文化和旅游局 </w:t>
      </w:r>
      <w:r>
        <w:rPr>
          <w:rFonts w:hint="eastAsia" w:ascii="仿宋" w:hAnsi="仿宋" w:eastAsia="仿宋"/>
          <w:sz w:val="24"/>
          <w:lang w:val="en-US" w:eastAsia="zh-CN"/>
        </w:rPr>
        <w:t xml:space="preserve">   </w:t>
      </w:r>
    </w:p>
    <w:p>
      <w:pPr>
        <w:pStyle w:val="9"/>
        <w:keepNext w:val="0"/>
        <w:keepLines w:val="0"/>
        <w:pageBreakBefore w:val="0"/>
        <w:kinsoku/>
        <w:wordWrap/>
        <w:overflowPunct/>
        <w:topLinePunct w:val="0"/>
        <w:autoSpaceDE/>
        <w:autoSpaceDN/>
        <w:bidi w:val="0"/>
        <w:adjustRightInd/>
        <w:snapToGrid/>
        <w:spacing w:after="0" w:line="360" w:lineRule="auto"/>
        <w:ind w:firstLine="480" w:firstLineChars="200"/>
        <w:jc w:val="both"/>
        <w:textAlignment w:val="auto"/>
        <w:rPr>
          <w:rFonts w:hint="eastAsia" w:ascii="楷体_GB2312" w:hAnsi="楷体_GB2312" w:eastAsia="楷体_GB2312" w:cs="楷体_GB2312"/>
          <w:b/>
          <w:bCs w:val="0"/>
          <w:color w:val="auto"/>
          <w:sz w:val="32"/>
          <w:szCs w:val="32"/>
          <w:u w:val="single"/>
          <w:lang w:val="en-US" w:eastAsia="zh-CN"/>
        </w:rPr>
      </w:pPr>
      <w:r>
        <w:rPr>
          <w:rFonts w:hint="eastAsia" w:ascii="仿宋" w:hAnsi="仿宋" w:eastAsia="仿宋"/>
          <w:sz w:val="24"/>
        </w:rPr>
        <w:t>乙方：</w:t>
      </w:r>
      <w:r>
        <w:rPr>
          <w:rFonts w:ascii="仿宋" w:hAnsi="仿宋" w:eastAsia="仿宋"/>
          <w:sz w:val="24"/>
        </w:rPr>
        <w:t xml:space="preserve"> </w:t>
      </w:r>
      <w:r>
        <w:rPr>
          <w:rFonts w:hint="eastAsia" w:ascii="楷体_GB2312" w:hAnsi="楷体_GB2312" w:eastAsia="楷体_GB2312" w:cs="楷体_GB2312"/>
          <w:b/>
          <w:bCs w:val="0"/>
          <w:color w:val="auto"/>
          <w:sz w:val="32"/>
          <w:szCs w:val="32"/>
          <w:u w:val="single"/>
          <w:lang w:val="en-US" w:eastAsia="zh-CN"/>
        </w:rPr>
        <w:t xml:space="preserve">  </w:t>
      </w:r>
      <w:r>
        <w:rPr>
          <w:rFonts w:hint="eastAsia" w:ascii="仿宋" w:hAnsi="仿宋" w:eastAsia="仿宋"/>
          <w:sz w:val="24"/>
          <w:u w:val="single"/>
          <w:lang w:val="en-US" w:eastAsia="zh-CN"/>
        </w:rPr>
        <w:t>北京馨顺物业管理有限公司</w:t>
      </w:r>
      <w:r>
        <w:rPr>
          <w:rFonts w:hint="eastAsia" w:ascii="楷体_GB2312" w:hAnsi="楷体_GB2312" w:eastAsia="楷体_GB2312" w:cs="楷体_GB2312"/>
          <w:b/>
          <w:bCs w:val="0"/>
          <w:color w:val="auto"/>
          <w:sz w:val="32"/>
          <w:szCs w:val="32"/>
          <w:u w:val="single"/>
          <w:lang w:val="en-US" w:eastAsia="zh-CN"/>
        </w:rPr>
        <w:t xml:space="preserve"> </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color w:val="auto"/>
        </w:rPr>
      </w:pPr>
      <w:r>
        <w:rPr>
          <w:rFonts w:hint="eastAsia" w:cs="宋体"/>
          <w:b/>
          <w:bCs/>
          <w:color w:val="auto"/>
          <w:shd w:val="clear" w:color="auto" w:fill="FDFDFE"/>
        </w:rPr>
        <w:t>一、安全目标</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预防和杜绝各类安全事故的发生，确保安全生产各项制度和措施落到实处，保障员工和合作伙伴的人身安全，维护共同利益。</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color w:val="auto"/>
          <w:shd w:val="clear" w:color="auto" w:fill="FDFDFE"/>
        </w:rPr>
      </w:pPr>
      <w:r>
        <w:rPr>
          <w:rFonts w:hint="eastAsia" w:cs="宋体"/>
          <w:b/>
          <w:bCs/>
          <w:color w:val="auto"/>
          <w:shd w:val="clear" w:color="auto" w:fill="FDFDFE"/>
        </w:rPr>
        <w:t>二、甲方的权利、责任和义务</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1</w:t>
      </w:r>
      <w:r>
        <w:rPr>
          <w:rFonts w:hint="eastAsia"/>
          <w:bCs/>
          <w:sz w:val="24"/>
          <w:lang w:eastAsia="zh-CN"/>
        </w:rPr>
        <w:t>、</w:t>
      </w:r>
      <w:r>
        <w:rPr>
          <w:rFonts w:hint="eastAsia"/>
          <w:bCs/>
          <w:sz w:val="24"/>
        </w:rPr>
        <w:t>甲方有权指导、检查、督促乙方执行有关安全生产制度规定，对发现不安全隐患有权要求乙方及时排除，对乙方不符合安全生产制度规定的行为有权制止、纠正，对乙方不按时限及时整改的有权清退。</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lang w:val="en-US" w:eastAsia="zh-CN"/>
        </w:rPr>
        <w:t>2</w:t>
      </w:r>
      <w:r>
        <w:rPr>
          <w:rFonts w:hint="eastAsia"/>
          <w:bCs/>
          <w:sz w:val="24"/>
          <w:lang w:eastAsia="zh-CN"/>
        </w:rPr>
        <w:t>、</w:t>
      </w:r>
      <w:r>
        <w:rPr>
          <w:rFonts w:hint="eastAsia"/>
          <w:bCs/>
          <w:sz w:val="24"/>
        </w:rPr>
        <w:t>甲方指派专人负责与乙方联系安全生产方面工作。</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color w:val="auto"/>
          <w:shd w:val="clear" w:color="auto" w:fill="FDFDFE"/>
        </w:rPr>
      </w:pPr>
      <w:r>
        <w:rPr>
          <w:rFonts w:hint="eastAsia" w:cs="宋体"/>
          <w:b/>
          <w:bCs/>
          <w:color w:val="auto"/>
          <w:shd w:val="clear" w:color="auto" w:fill="FDFDFE"/>
        </w:rPr>
        <w:t>三、乙方的权利、责任和义务</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1</w:t>
      </w:r>
      <w:r>
        <w:rPr>
          <w:rFonts w:hint="eastAsia" w:ascii="Times New Roman" w:hAnsi="Times New Roman" w:eastAsia="仿宋_GB2312"/>
          <w:kern w:val="2"/>
          <w:lang w:eastAsia="zh-CN"/>
        </w:rPr>
        <w:t>、</w:t>
      </w:r>
      <w:r>
        <w:rPr>
          <w:rFonts w:hint="eastAsia" w:ascii="Times New Roman" w:hAnsi="Times New Roman" w:eastAsia="仿宋_GB2312" w:cs="Times New Roman"/>
          <w:bCs/>
          <w:kern w:val="2"/>
          <w:sz w:val="24"/>
          <w:szCs w:val="24"/>
          <w:lang w:val="en-US" w:eastAsia="zh-CN" w:bidi="ar-SA"/>
        </w:rPr>
        <w:t>乙方是</w:t>
      </w:r>
      <w:r>
        <w:rPr>
          <w:rFonts w:hint="eastAsia" w:ascii="Times New Roman" w:hAnsi="Times New Roman" w:eastAsia="仿宋_GB2312"/>
          <w:kern w:val="2"/>
          <w:lang w:eastAsia="zh-CN"/>
        </w:rPr>
        <w:t>服务</w:t>
      </w:r>
      <w:r>
        <w:rPr>
          <w:rFonts w:hint="eastAsia" w:ascii="Times New Roman" w:hAnsi="Times New Roman" w:eastAsia="仿宋_GB2312" w:cs="Times New Roman"/>
          <w:bCs/>
          <w:kern w:val="2"/>
          <w:sz w:val="24"/>
          <w:szCs w:val="24"/>
          <w:lang w:val="en-US" w:eastAsia="zh-CN" w:bidi="ar-SA"/>
        </w:rPr>
        <w:t>期间安全生产第</w:t>
      </w:r>
      <w:r>
        <w:rPr>
          <w:rFonts w:hint="eastAsia" w:ascii="Times New Roman" w:hAnsi="Times New Roman" w:eastAsia="仿宋_GB2312"/>
          <w:kern w:val="2"/>
        </w:rPr>
        <w:t>一责任方，对安全生产负全责。</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2</w:t>
      </w:r>
      <w:r>
        <w:rPr>
          <w:rFonts w:hint="eastAsia" w:ascii="Times New Roman" w:hAnsi="Times New Roman" w:eastAsia="仿宋_GB2312"/>
          <w:kern w:val="2"/>
          <w:lang w:eastAsia="zh-CN"/>
        </w:rPr>
        <w:t>、</w:t>
      </w:r>
      <w:r>
        <w:rPr>
          <w:rFonts w:hint="eastAsia" w:ascii="Times New Roman" w:hAnsi="Times New Roman" w:eastAsia="仿宋_GB2312"/>
          <w:kern w:val="2"/>
        </w:rPr>
        <w:t>乙方必须严格遵守国家有关治安、安全生产、消防安全等法律法规，</w:t>
      </w:r>
      <w:r>
        <w:rPr>
          <w:rFonts w:hint="eastAsia" w:ascii="Times New Roman" w:hAnsi="Times New Roman" w:eastAsia="仿宋_GB2312"/>
          <w:kern w:val="2"/>
          <w:lang w:eastAsia="zh-CN"/>
        </w:rPr>
        <w:t>服务</w:t>
      </w:r>
      <w:r>
        <w:rPr>
          <w:rFonts w:hint="eastAsia" w:ascii="Times New Roman" w:hAnsi="Times New Roman" w:eastAsia="仿宋_GB2312"/>
          <w:kern w:val="2"/>
        </w:rPr>
        <w:t>期间对违反法律法规的行为负全责。</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3</w:t>
      </w:r>
      <w:r>
        <w:rPr>
          <w:rFonts w:hint="eastAsia" w:ascii="Times New Roman" w:hAnsi="Times New Roman" w:eastAsia="仿宋_GB2312"/>
          <w:kern w:val="2"/>
          <w:lang w:eastAsia="zh-CN"/>
        </w:rPr>
        <w:t>、</w:t>
      </w:r>
      <w:r>
        <w:rPr>
          <w:rFonts w:hint="eastAsia" w:ascii="Times New Roman" w:hAnsi="Times New Roman" w:eastAsia="仿宋_GB2312"/>
          <w:kern w:val="2"/>
        </w:rPr>
        <w:t>乙方必须严格执行国家有关安全生产制度规定，</w:t>
      </w:r>
      <w:r>
        <w:rPr>
          <w:rFonts w:hint="eastAsia" w:ascii="Times New Roman" w:hAnsi="Times New Roman" w:eastAsia="仿宋_GB2312"/>
          <w:kern w:val="2"/>
          <w:lang w:eastAsia="zh-CN"/>
        </w:rPr>
        <w:t>服务</w:t>
      </w:r>
      <w:r>
        <w:rPr>
          <w:rFonts w:hint="eastAsia" w:ascii="Times New Roman" w:hAnsi="Times New Roman" w:eastAsia="仿宋_GB2312"/>
          <w:kern w:val="2"/>
        </w:rPr>
        <w:t>期间</w:t>
      </w:r>
      <w:r>
        <w:rPr>
          <w:rFonts w:hint="eastAsia" w:asciiTheme="minorEastAsia" w:hAnsiTheme="minorEastAsia" w:eastAsiaTheme="minorEastAsia"/>
          <w:kern w:val="2"/>
        </w:rPr>
        <w:t>对</w:t>
      </w:r>
      <w:r>
        <w:rPr>
          <w:rFonts w:hint="eastAsia" w:ascii="Times New Roman" w:hAnsi="Times New Roman" w:eastAsia="仿宋_GB2312"/>
          <w:kern w:val="2"/>
        </w:rPr>
        <w:t>违反安全生产制度规定</w:t>
      </w:r>
      <w:r>
        <w:rPr>
          <w:rFonts w:hint="eastAsia" w:asciiTheme="minorEastAsia" w:hAnsiTheme="minorEastAsia" w:eastAsiaTheme="minorEastAsia"/>
          <w:kern w:val="2"/>
        </w:rPr>
        <w:t>的</w:t>
      </w:r>
      <w:r>
        <w:rPr>
          <w:rFonts w:hint="eastAsia" w:ascii="Times New Roman" w:hAnsi="Times New Roman" w:eastAsia="仿宋_GB2312"/>
          <w:kern w:val="2"/>
        </w:rPr>
        <w:t>行为负全责，造成财产损失和人员伤亡的，由乙方负责。</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4</w:t>
      </w:r>
      <w:r>
        <w:rPr>
          <w:rFonts w:hint="eastAsia" w:ascii="Times New Roman" w:hAnsi="Times New Roman" w:eastAsia="仿宋_GB2312"/>
          <w:kern w:val="2"/>
          <w:lang w:eastAsia="zh-CN"/>
        </w:rPr>
        <w:t>、</w:t>
      </w:r>
      <w:r>
        <w:rPr>
          <w:rFonts w:hint="eastAsia" w:ascii="Times New Roman" w:hAnsi="Times New Roman" w:eastAsia="仿宋_GB2312"/>
          <w:kern w:val="2"/>
        </w:rPr>
        <w:t>乙方</w:t>
      </w:r>
      <w:r>
        <w:rPr>
          <w:rFonts w:hint="eastAsia" w:ascii="Times New Roman" w:hAnsi="Times New Roman" w:eastAsia="仿宋_GB2312"/>
          <w:kern w:val="2"/>
          <w:lang w:eastAsia="zh-CN"/>
        </w:rPr>
        <w:t>服务</w:t>
      </w:r>
      <w:r>
        <w:rPr>
          <w:rFonts w:hint="eastAsia" w:ascii="Times New Roman" w:hAnsi="Times New Roman" w:eastAsia="仿宋_GB2312"/>
          <w:kern w:val="2"/>
        </w:rPr>
        <w:t>期间必须制定相应的安全管理制度，设立专职安全生产管理人员，建立安全责任制。</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Theme="minorEastAsia"/>
          <w:kern w:val="2"/>
        </w:rPr>
      </w:pPr>
      <w:r>
        <w:rPr>
          <w:rFonts w:hint="eastAsia" w:ascii="Times New Roman" w:hAnsi="Times New Roman" w:eastAsia="仿宋_GB2312"/>
          <w:kern w:val="2"/>
        </w:rPr>
        <w:t>5</w:t>
      </w:r>
      <w:r>
        <w:rPr>
          <w:rFonts w:hint="eastAsia" w:ascii="Times New Roman" w:hAnsi="Times New Roman" w:eastAsia="仿宋_GB2312"/>
          <w:kern w:val="2"/>
          <w:lang w:eastAsia="zh-CN"/>
        </w:rPr>
        <w:t>、</w:t>
      </w:r>
      <w:r>
        <w:rPr>
          <w:rFonts w:hint="eastAsia" w:ascii="Times New Roman" w:hAnsi="Times New Roman" w:eastAsia="仿宋_GB2312"/>
          <w:kern w:val="2"/>
        </w:rPr>
        <w:t>乙方应制定相应的应急预案或现场处置方案，加强应急处置培训，开展应急演练，并配备必要的安全设备、消防器材。</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Theme="minorEastAsia"/>
          <w:kern w:val="2"/>
        </w:rPr>
        <w:t>6</w:t>
      </w:r>
      <w:r>
        <w:rPr>
          <w:rFonts w:hint="eastAsia" w:ascii="Times New Roman" w:hAnsi="Times New Roman" w:eastAsiaTheme="minorEastAsia"/>
          <w:kern w:val="2"/>
          <w:lang w:eastAsia="zh-CN"/>
        </w:rPr>
        <w:t>、</w:t>
      </w:r>
      <w:r>
        <w:rPr>
          <w:rFonts w:hint="eastAsia" w:ascii="Times New Roman" w:hAnsi="Times New Roman" w:eastAsia="仿宋_GB2312"/>
          <w:kern w:val="2"/>
        </w:rPr>
        <w:t>发生包括但不限于以下情况造成的违约责任由乙方承担：</w:t>
      </w:r>
      <w:r>
        <w:rPr>
          <w:rFonts w:hint="eastAsia" w:ascii="Times New Roman" w:hAnsi="Times New Roman" w:eastAsia="仿宋_GB2312"/>
          <w:kern w:val="2"/>
          <w:lang w:eastAsia="zh-CN"/>
        </w:rPr>
        <w:t>服务</w:t>
      </w:r>
      <w:r>
        <w:rPr>
          <w:rFonts w:hint="eastAsia" w:ascii="Times New Roman" w:hAnsi="Times New Roman" w:eastAsia="仿宋_GB2312"/>
          <w:kern w:val="2"/>
        </w:rPr>
        <w:t>期间造成人员伤亡事故；</w:t>
      </w:r>
      <w:r>
        <w:rPr>
          <w:rFonts w:hint="eastAsia" w:ascii="Times New Roman" w:hAnsi="Times New Roman" w:eastAsia="仿宋_GB2312"/>
          <w:kern w:val="2"/>
          <w:lang w:eastAsia="zh-CN"/>
        </w:rPr>
        <w:t>服务</w:t>
      </w:r>
      <w:r>
        <w:rPr>
          <w:rFonts w:hint="eastAsia" w:ascii="Times New Roman" w:hAnsi="Times New Roman" w:eastAsia="仿宋_GB2312"/>
          <w:kern w:val="2"/>
        </w:rPr>
        <w:t>期间发生火灾事故；</w:t>
      </w:r>
      <w:r>
        <w:rPr>
          <w:rFonts w:hint="eastAsia" w:ascii="Times New Roman" w:hAnsi="Times New Roman" w:eastAsia="仿宋_GB2312"/>
          <w:kern w:val="2"/>
          <w:lang w:eastAsia="zh-CN"/>
        </w:rPr>
        <w:t>服务</w:t>
      </w:r>
      <w:r>
        <w:rPr>
          <w:rFonts w:hint="eastAsia" w:ascii="Times New Roman" w:hAnsi="Times New Roman" w:eastAsia="仿宋_GB2312"/>
          <w:kern w:val="2"/>
        </w:rPr>
        <w:t>期间发生施工机械、生产主设备严重损坏事故；</w:t>
      </w:r>
      <w:r>
        <w:rPr>
          <w:rFonts w:hint="eastAsia" w:ascii="Times New Roman" w:hAnsi="Times New Roman" w:eastAsia="仿宋_GB2312"/>
          <w:kern w:val="2"/>
          <w:lang w:eastAsia="zh-CN"/>
        </w:rPr>
        <w:t>服务</w:t>
      </w:r>
      <w:r>
        <w:rPr>
          <w:rFonts w:hint="eastAsia" w:ascii="Times New Roman" w:hAnsi="Times New Roman" w:eastAsia="仿宋_GB2312"/>
          <w:kern w:val="2"/>
        </w:rPr>
        <w:t>期间发生违章作业、冒险作业不听劝告的；</w:t>
      </w:r>
      <w:r>
        <w:rPr>
          <w:rFonts w:hint="eastAsia" w:ascii="Times New Roman" w:hAnsi="Times New Roman" w:eastAsia="仿宋_GB2312"/>
          <w:kern w:val="2"/>
          <w:lang w:eastAsia="zh-CN"/>
        </w:rPr>
        <w:t>服务</w:t>
      </w:r>
      <w:r>
        <w:rPr>
          <w:rFonts w:hint="eastAsia" w:ascii="Times New Roman" w:hAnsi="Times New Roman" w:eastAsia="仿宋_GB2312"/>
          <w:kern w:val="2"/>
        </w:rPr>
        <w:t>期间现场脏、乱、差，不能保障安全要求的。</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color w:val="auto"/>
          <w:shd w:val="clear" w:color="auto" w:fill="FDFDFE"/>
        </w:rPr>
      </w:pPr>
      <w:r>
        <w:rPr>
          <w:rFonts w:hint="eastAsia" w:cs="宋体"/>
          <w:b/>
          <w:bCs/>
          <w:color w:val="auto"/>
          <w:shd w:val="clear" w:color="auto" w:fill="FDFDFE"/>
        </w:rPr>
        <w:t>四、违约责任</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1</w:t>
      </w:r>
      <w:r>
        <w:rPr>
          <w:rFonts w:hint="eastAsia" w:ascii="Times New Roman" w:hAnsi="Times New Roman" w:eastAsia="仿宋_GB2312"/>
          <w:kern w:val="2"/>
          <w:lang w:eastAsia="zh-CN"/>
        </w:rPr>
        <w:t>、</w:t>
      </w:r>
      <w:r>
        <w:rPr>
          <w:rFonts w:hint="eastAsia" w:ascii="Times New Roman" w:hAnsi="Times New Roman" w:eastAsia="仿宋_GB2312"/>
          <w:kern w:val="2"/>
        </w:rPr>
        <w:t>乙方所雇用的管理人员和工人等的人身伤亡事故，由乙方负责，由此造成的经济损失由乙方负担。</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2、在协议有效期内，乙方如不遵守法律法规或甲方管理规定，未能达到</w:t>
      </w:r>
      <w:r>
        <w:rPr>
          <w:rFonts w:hint="eastAsia" w:ascii="Times New Roman" w:hAnsi="Times New Roman" w:eastAsia="仿宋_GB2312"/>
          <w:kern w:val="2"/>
          <w:lang w:eastAsia="zh-CN"/>
        </w:rPr>
        <w:t>服务</w:t>
      </w:r>
      <w:r>
        <w:rPr>
          <w:rFonts w:hint="eastAsia" w:ascii="Times New Roman" w:hAnsi="Times New Roman" w:eastAsia="仿宋_GB2312"/>
          <w:kern w:val="2"/>
        </w:rPr>
        <w:t>期间合同与本协议约定的标准和要求，甲方有权按照考核规定进行扣减服务费，在结算时进行扣除。造成人员伤亡、其他事故、设备设施的财产损失或对第三方造成损失的，甲方有权单方终止合同，并由乙方承担由此造成的一切直接和间接经济损失。</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ascii="Times New Roman" w:hAnsi="Times New Roman" w:eastAsia="仿宋_GB2312"/>
          <w:kern w:val="2"/>
        </w:rPr>
      </w:pPr>
      <w:r>
        <w:rPr>
          <w:rFonts w:hint="eastAsia" w:ascii="Times New Roman" w:hAnsi="Times New Roman" w:eastAsia="仿宋_GB2312"/>
          <w:kern w:val="2"/>
        </w:rPr>
        <w:t>3、对违反甲方及现场有关安全、消防规定的人员，根据情节的严重程度给以相应的处罚</w:t>
      </w:r>
      <w:r>
        <w:rPr>
          <w:rFonts w:hint="eastAsia" w:ascii="Times New Roman" w:hAnsi="Times New Roman" w:eastAsiaTheme="minorEastAsia"/>
          <w:kern w:val="2"/>
        </w:rPr>
        <w:t>，</w:t>
      </w:r>
      <w:r>
        <w:rPr>
          <w:rFonts w:hint="eastAsia" w:ascii="Times New Roman" w:hAnsi="Times New Roman" w:eastAsia="仿宋_GB2312"/>
          <w:kern w:val="2"/>
        </w:rPr>
        <w:t>严重者清除出场。</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2" w:firstLineChars="200"/>
        <w:jc w:val="both"/>
        <w:textAlignment w:val="auto"/>
        <w:rPr>
          <w:rFonts w:hint="eastAsia" w:cs="宋体"/>
          <w:b/>
          <w:bCs/>
          <w:color w:val="auto"/>
          <w:shd w:val="clear" w:color="auto" w:fill="FDFDFE"/>
        </w:rPr>
      </w:pPr>
      <w:r>
        <w:rPr>
          <w:rFonts w:hint="eastAsia" w:cs="宋体"/>
          <w:b/>
          <w:bCs/>
          <w:color w:val="auto"/>
          <w:shd w:val="clear" w:color="auto" w:fill="FDFDFE"/>
        </w:rPr>
        <w:t>五、其它</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1、本协议有效期与</w:t>
      </w:r>
      <w:r>
        <w:rPr>
          <w:rFonts w:hint="eastAsia" w:ascii="Times New Roman" w:hAnsi="Times New Roman" w:eastAsia="仿宋_GB2312"/>
          <w:kern w:val="2"/>
          <w:lang w:eastAsia="zh-CN"/>
        </w:rPr>
        <w:t>《顺义区文化和旅游局文化中心物业服务合同》</w:t>
      </w:r>
      <w:r>
        <w:rPr>
          <w:rFonts w:hint="eastAsia" w:ascii="Times New Roman" w:hAnsi="Times New Roman" w:eastAsia="仿宋_GB2312"/>
          <w:kern w:val="2"/>
        </w:rPr>
        <w:t>有效期相同。</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2、本协议经双方法定代表人或授权代表签字、盖章后生效。</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3、本协议作为</w:t>
      </w:r>
      <w:r>
        <w:rPr>
          <w:rFonts w:hint="eastAsia" w:ascii="Times New Roman" w:hAnsi="Times New Roman" w:eastAsia="仿宋_GB2312"/>
          <w:kern w:val="2"/>
          <w:lang w:eastAsia="zh-CN"/>
        </w:rPr>
        <w:t>服务</w:t>
      </w:r>
      <w:r>
        <w:rPr>
          <w:rFonts w:hint="eastAsia" w:ascii="Times New Roman" w:hAnsi="Times New Roman" w:eastAsia="仿宋_GB2312"/>
          <w:kern w:val="2"/>
        </w:rPr>
        <w:t>期间合同附件，与合同具有同等法律效力。</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rPr>
          <w:rFonts w:hint="eastAsia" w:ascii="Times New Roman" w:hAnsi="Times New Roman" w:eastAsia="仿宋_GB2312"/>
          <w:kern w:val="2"/>
        </w:rPr>
      </w:pPr>
      <w:r>
        <w:rPr>
          <w:rFonts w:hint="eastAsia" w:ascii="Times New Roman" w:hAnsi="Times New Roman" w:eastAsia="仿宋_GB2312"/>
          <w:kern w:val="2"/>
        </w:rPr>
        <w:t>4、本协议书一式</w:t>
      </w:r>
      <w:r>
        <w:rPr>
          <w:rFonts w:hint="eastAsia" w:ascii="Times New Roman" w:hAnsi="Times New Roman" w:eastAsia="仿宋_GB2312"/>
          <w:kern w:val="2"/>
          <w:lang w:eastAsia="zh-CN"/>
        </w:rPr>
        <w:t>陆</w:t>
      </w:r>
      <w:r>
        <w:rPr>
          <w:rFonts w:hint="eastAsia" w:ascii="Times New Roman" w:hAnsi="Times New Roman" w:eastAsia="仿宋_GB2312"/>
          <w:kern w:val="2"/>
        </w:rPr>
        <w:t>份，甲方执</w:t>
      </w:r>
      <w:r>
        <w:rPr>
          <w:rFonts w:hint="eastAsia" w:ascii="Times New Roman" w:hAnsi="Times New Roman" w:eastAsia="仿宋_GB2312"/>
          <w:kern w:val="2"/>
          <w:lang w:eastAsia="zh-CN"/>
        </w:rPr>
        <w:t>叁</w:t>
      </w:r>
      <w:r>
        <w:rPr>
          <w:rFonts w:hint="eastAsia" w:ascii="Times New Roman" w:hAnsi="Times New Roman" w:eastAsia="仿宋_GB2312"/>
          <w:kern w:val="2"/>
        </w:rPr>
        <w:t>份，乙方执</w:t>
      </w:r>
      <w:r>
        <w:rPr>
          <w:rFonts w:hint="eastAsia" w:ascii="Times New Roman" w:hAnsi="Times New Roman" w:eastAsia="仿宋_GB2312"/>
          <w:kern w:val="2"/>
          <w:lang w:eastAsia="zh-CN"/>
        </w:rPr>
        <w:t>叁</w:t>
      </w:r>
      <w:r>
        <w:rPr>
          <w:rFonts w:hint="eastAsia" w:ascii="Times New Roman" w:hAnsi="Times New Roman" w:eastAsia="仿宋_GB2312"/>
          <w:kern w:val="2"/>
        </w:rPr>
        <w:t>份，签订</w:t>
      </w:r>
      <w:r>
        <w:rPr>
          <w:rFonts w:hint="eastAsia" w:ascii="Times New Roman" w:hAnsi="Times New Roman" w:eastAsia="仿宋_GB2312"/>
          <w:kern w:val="2"/>
          <w:lang w:eastAsia="zh-CN"/>
        </w:rPr>
        <w:t>《顺义区文化和旅游局文化中心物业服务合同》</w:t>
      </w:r>
      <w:r>
        <w:rPr>
          <w:rFonts w:hint="eastAsia" w:ascii="Times New Roman" w:hAnsi="Times New Roman" w:eastAsia="仿宋_GB2312"/>
          <w:kern w:val="2"/>
        </w:rPr>
        <w:t>的同时签订本协议。</w:t>
      </w:r>
      <w:r>
        <w:rPr>
          <w:rFonts w:hint="eastAsia" w:ascii="Times New Roman" w:hAnsi="Times New Roman" w:eastAsia="仿宋_GB2312"/>
          <w:kern w:val="2"/>
          <w:lang w:eastAsia="zh-CN"/>
        </w:rPr>
        <w:t>《顺义区文化和旅游局文化中心物业服务合同》</w:t>
      </w:r>
      <w:r>
        <w:rPr>
          <w:rFonts w:hint="eastAsia" w:ascii="Times New Roman" w:hAnsi="Times New Roman" w:eastAsia="仿宋_GB2312"/>
          <w:kern w:val="2"/>
        </w:rPr>
        <w:t>到期后，本协议同时终止。</w:t>
      </w:r>
    </w:p>
    <w:p>
      <w:pPr>
        <w:pStyle w:val="8"/>
        <w:keepNext w:val="0"/>
        <w:keepLines w:val="0"/>
        <w:pageBreakBefore w:val="0"/>
        <w:shd w:val="clear" w:color="auto" w:fill="FDFDFE"/>
        <w:kinsoku/>
        <w:wordWrap/>
        <w:overflowPunct/>
        <w:topLinePunct w:val="0"/>
        <w:autoSpaceDE/>
        <w:autoSpaceDN/>
        <w:bidi w:val="0"/>
        <w:adjustRightInd/>
        <w:snapToGrid/>
        <w:spacing w:before="0" w:beforeAutospacing="0" w:after="0" w:afterAutospacing="0" w:line="360" w:lineRule="auto"/>
        <w:ind w:firstLine="480" w:firstLineChars="200"/>
        <w:jc w:val="both"/>
        <w:textAlignment w:val="auto"/>
      </w:pPr>
      <w:r>
        <w:rPr>
          <w:rFonts w:hint="eastAsia" w:ascii="Times New Roman" w:hAnsi="Times New Roman" w:eastAsia="仿宋_GB2312"/>
          <w:kern w:val="2"/>
        </w:rPr>
        <w:t>本协议双方签署:</w:t>
      </w:r>
    </w:p>
    <w:p>
      <w:pPr>
        <w:spacing w:line="380" w:lineRule="exact"/>
        <w:jc w:val="left"/>
        <w:rPr>
          <w:bCs/>
          <w:sz w:val="24"/>
        </w:rPr>
      </w:pPr>
      <w:r>
        <w:rPr>
          <w:rFonts w:hint="eastAsia"/>
          <w:bCs/>
          <w:sz w:val="24"/>
        </w:rPr>
        <w:t>甲方（盖章）：</w:t>
      </w:r>
      <w:r>
        <w:rPr>
          <w:rFonts w:hint="eastAsia" w:ascii="楷体_GB2312" w:hAnsi="楷体_GB2312" w:eastAsia="楷体_GB2312" w:cs="楷体_GB2312"/>
          <w:b/>
          <w:bCs w:val="0"/>
          <w:color w:val="auto"/>
          <w:sz w:val="32"/>
          <w:szCs w:val="32"/>
          <w:u w:val="single"/>
          <w:lang w:val="en-US" w:eastAsia="zh-CN"/>
        </w:rPr>
        <w:t xml:space="preserve">                </w:t>
      </w:r>
      <w:r>
        <w:rPr>
          <w:rFonts w:hint="eastAsia" w:ascii="宋体" w:hAnsi="宋体" w:cs="宋体"/>
          <w:sz w:val="24"/>
          <w:lang w:val="en-US" w:eastAsia="zh-CN"/>
        </w:rPr>
        <w:t xml:space="preserve">  </w:t>
      </w:r>
      <w:r>
        <w:rPr>
          <w:rFonts w:hint="eastAsia"/>
          <w:bCs/>
          <w:sz w:val="24"/>
        </w:rPr>
        <w:t>乙方（盖章）：</w:t>
      </w:r>
      <w:r>
        <w:rPr>
          <w:rFonts w:hint="eastAsia" w:ascii="楷体_GB2312" w:hAnsi="楷体_GB2312" w:eastAsia="楷体_GB2312" w:cs="楷体_GB2312"/>
          <w:b/>
          <w:bCs w:val="0"/>
          <w:color w:val="auto"/>
          <w:sz w:val="32"/>
          <w:szCs w:val="32"/>
          <w:u w:val="single"/>
          <w:lang w:val="en-US" w:eastAsia="zh-CN"/>
        </w:rPr>
        <w:t xml:space="preserve">                 </w:t>
      </w:r>
    </w:p>
    <w:p>
      <w:pPr>
        <w:spacing w:line="340" w:lineRule="exact"/>
        <w:jc w:val="left"/>
        <w:rPr>
          <w:bCs/>
          <w:sz w:val="24"/>
        </w:rPr>
      </w:pPr>
    </w:p>
    <w:p>
      <w:pPr>
        <w:spacing w:line="340" w:lineRule="exact"/>
        <w:jc w:val="left"/>
        <w:rPr>
          <w:bCs/>
          <w:sz w:val="24"/>
        </w:rPr>
      </w:pPr>
      <w:r>
        <w:rPr>
          <w:rFonts w:hint="eastAsia"/>
          <w:bCs/>
          <w:sz w:val="24"/>
        </w:rPr>
        <w:t>法定代表人：                            法定代表人：</w:t>
      </w:r>
    </w:p>
    <w:p>
      <w:pPr>
        <w:spacing w:line="340" w:lineRule="exact"/>
        <w:jc w:val="left"/>
      </w:pPr>
      <w:r>
        <w:rPr>
          <w:rFonts w:hint="eastAsia"/>
          <w:bCs/>
          <w:sz w:val="24"/>
        </w:rPr>
        <w:t xml:space="preserve">或授权代表：                            或授权代表：          </w:t>
      </w:r>
    </w:p>
    <w:p>
      <w:pPr>
        <w:spacing w:line="340" w:lineRule="exact"/>
        <w:jc w:val="left"/>
        <w:rPr>
          <w:rFonts w:hint="eastAsia" w:eastAsiaTheme="minorEastAsia"/>
        </w:rPr>
      </w:pPr>
      <w:r>
        <w:rPr>
          <w:rFonts w:hint="eastAsia"/>
          <w:bCs/>
          <w:sz w:val="24"/>
        </w:rPr>
        <w:t>签署日期：     年   月   日             签署日期：     年   月   日</w:t>
      </w:r>
    </w:p>
    <w:p>
      <w:pPr>
        <w:tabs>
          <w:tab w:val="left" w:pos="4995"/>
        </w:tabs>
        <w:spacing w:line="360" w:lineRule="auto"/>
        <w:rPr>
          <w:rFonts w:hint="eastAsia" w:ascii="宋体" w:hAnsi="宋体" w:eastAsia="宋体" w:cs="宋体"/>
          <w:b/>
          <w:bCs/>
          <w:color w:val="000000"/>
          <w:sz w:val="21"/>
          <w:szCs w:val="21"/>
          <w:highlight w:val="none"/>
          <w:lang w:eastAsia="zh-CN"/>
        </w:rPr>
      </w:pPr>
    </w:p>
    <w:p>
      <w:pPr>
        <w:pStyle w:val="4"/>
        <w:spacing w:line="560" w:lineRule="exact"/>
        <w:rPr>
          <w:highlight w:val="none"/>
        </w:rPr>
      </w:pPr>
    </w:p>
    <w:p>
      <w:pPr>
        <w:spacing w:line="560" w:lineRule="exact"/>
        <w:rPr>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102D6E"/>
    <w:multiLevelType w:val="singleLevel"/>
    <w:tmpl w:val="E5102D6E"/>
    <w:lvl w:ilvl="0" w:tentative="0">
      <w:start w:val="9"/>
      <w:numFmt w:val="decimal"/>
      <w:suff w:val="nothing"/>
      <w:lvlText w:val="%1、"/>
      <w:lvlJc w:val="left"/>
    </w:lvl>
  </w:abstractNum>
  <w:abstractNum w:abstractNumId="1">
    <w:nsid w:val="5BC01225"/>
    <w:multiLevelType w:val="singleLevel"/>
    <w:tmpl w:val="5BC01225"/>
    <w:lvl w:ilvl="0" w:tentative="0">
      <w:start w:val="5"/>
      <w:numFmt w:val="chineseCounting"/>
      <w:suff w:val="nothing"/>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kMWVjZTc3ZjVjM2NjYjY5YzllZWE4MTM3ODhmMDUifQ=="/>
  </w:docVars>
  <w:rsids>
    <w:rsidRoot w:val="74C70120"/>
    <w:rsid w:val="07633082"/>
    <w:rsid w:val="0891444C"/>
    <w:rsid w:val="0FEB70B7"/>
    <w:rsid w:val="15717158"/>
    <w:rsid w:val="1C764AED"/>
    <w:rsid w:val="1D9C2807"/>
    <w:rsid w:val="2A292433"/>
    <w:rsid w:val="2C6C77F8"/>
    <w:rsid w:val="2E240FB6"/>
    <w:rsid w:val="343B19A8"/>
    <w:rsid w:val="36491FC8"/>
    <w:rsid w:val="37103370"/>
    <w:rsid w:val="37B55CDB"/>
    <w:rsid w:val="39BB7717"/>
    <w:rsid w:val="3B1479D8"/>
    <w:rsid w:val="459A0536"/>
    <w:rsid w:val="4D9E093B"/>
    <w:rsid w:val="4DD4550E"/>
    <w:rsid w:val="4F63121D"/>
    <w:rsid w:val="55832BA7"/>
    <w:rsid w:val="5C95546E"/>
    <w:rsid w:val="5E5B0985"/>
    <w:rsid w:val="60851CC7"/>
    <w:rsid w:val="651D7105"/>
    <w:rsid w:val="6AFD1D3B"/>
    <w:rsid w:val="6D5711F4"/>
    <w:rsid w:val="6EA56166"/>
    <w:rsid w:val="71BF4A53"/>
    <w:rsid w:val="73CC655A"/>
    <w:rsid w:val="73D34837"/>
    <w:rsid w:val="74C70120"/>
    <w:rsid w:val="78B005C0"/>
    <w:rsid w:val="7ADB314B"/>
    <w:rsid w:val="7F56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spacing w:line="480" w:lineRule="auto"/>
      <w:jc w:val="center"/>
      <w:outlineLvl w:val="0"/>
    </w:pPr>
    <w:rPr>
      <w:rFonts w:ascii="华文细黑" w:hAnsi="华文细黑" w:eastAsia="华文细黑"/>
      <w:b/>
      <w:sz w:val="36"/>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Cs w:val="20"/>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autoSpaceDE w:val="0"/>
      <w:autoSpaceDN w:val="0"/>
      <w:adjustRightInd w:val="0"/>
      <w:ind w:firstLine="420"/>
      <w:jc w:val="left"/>
    </w:pPr>
    <w:rPr>
      <w:rFonts w:ascii="宋体" w:hAnsi="Calibri"/>
      <w:sz w:val="24"/>
    </w:rPr>
  </w:style>
  <w:style w:type="paragraph" w:styleId="5">
    <w:name w:val="Body Text"/>
    <w:basedOn w:val="1"/>
    <w:next w:val="1"/>
    <w:semiHidden/>
    <w:unhideWhenUsed/>
    <w:qFormat/>
    <w:uiPriority w:val="99"/>
    <w:pPr>
      <w:spacing w:after="120"/>
    </w:pPr>
  </w:style>
  <w:style w:type="paragraph" w:styleId="6">
    <w:name w:val="Plain Text"/>
    <w:basedOn w:val="1"/>
    <w:qFormat/>
    <w:uiPriority w:val="99"/>
    <w:rPr>
      <w:rFonts w:ascii="宋体" w:hAnsi="Courier New"/>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kern w:val="0"/>
      <w:sz w:val="24"/>
    </w:rPr>
  </w:style>
  <w:style w:type="paragraph" w:styleId="9">
    <w:name w:val="Body Text First Indent"/>
    <w:basedOn w:val="5"/>
    <w:qFormat/>
    <w:uiPriority w:val="0"/>
    <w:pPr>
      <w:ind w:firstLine="420" w:firstLineChars="100"/>
    </w:pPr>
  </w:style>
  <w:style w:type="table" w:styleId="11">
    <w:name w:val="Table Grid"/>
    <w:basedOn w:val="1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3">
    <w:name w:val="Table Text"/>
    <w:basedOn w:val="1"/>
    <w:semiHidden/>
    <w:qFormat/>
    <w:uiPriority w:val="0"/>
    <w:rPr>
      <w:rFonts w:ascii="仿宋" w:hAnsi="仿宋" w:eastAsia="仿宋" w:cs="仿宋"/>
      <w:sz w:val="24"/>
      <w:szCs w:val="24"/>
      <w:lang w:val="en-US" w:eastAsia="en-US" w:bidi="ar-SA"/>
    </w:rPr>
  </w:style>
  <w:style w:type="table" w:customStyle="1" w:styleId="14">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17909</Words>
  <Characters>18551</Characters>
  <Lines>0</Lines>
  <Paragraphs>0</Paragraphs>
  <TotalTime>0</TotalTime>
  <ScaleCrop>false</ScaleCrop>
  <LinksUpToDate>false</LinksUpToDate>
  <CharactersWithSpaces>18976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2025-02-06T01:25:00Z</dcterms:created>
  <dc:creator>田琨</dc:creator>
  <cp:lastModifiedBy>田琨</cp:lastModifiedBy>
  <dcterms:modified xsi:type="dcterms:W3CDTF">2025-02-11T02:29:39Z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A43F0A2639064D2BA3AA4C808E223338_12</vt:lpwstr>
  </property>
</Properties>
</file>