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920A2">
      <w:pPr>
        <w:rPr>
          <w:rFonts w:ascii="宋体"/>
          <w:b/>
          <w:bCs/>
          <w:sz w:val="30"/>
          <w:szCs w:val="30"/>
          <w:highlight w:val="none"/>
        </w:rPr>
      </w:pPr>
      <w:r>
        <w:rPr>
          <w:rFonts w:hint="eastAsia" w:ascii="宋体" w:hAnsi="宋体" w:cs="宋体"/>
          <w:b/>
          <w:bCs/>
          <w:sz w:val="30"/>
          <w:szCs w:val="30"/>
          <w:highlight w:val="none"/>
        </w:rPr>
        <w:t>合同登记编号：</w:t>
      </w:r>
    </w:p>
    <w:tbl>
      <w:tblPr>
        <w:tblStyle w:val="7"/>
        <w:tblW w:w="76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44"/>
        <w:gridCol w:w="544"/>
        <w:gridCol w:w="544"/>
        <w:gridCol w:w="544"/>
        <w:gridCol w:w="544"/>
        <w:gridCol w:w="544"/>
        <w:gridCol w:w="544"/>
        <w:gridCol w:w="544"/>
        <w:gridCol w:w="544"/>
        <w:gridCol w:w="544"/>
        <w:gridCol w:w="544"/>
        <w:gridCol w:w="544"/>
        <w:gridCol w:w="544"/>
      </w:tblGrid>
      <w:tr w14:paraId="253EA1EC">
        <w:trPr>
          <w:trHeight w:val="315" w:hRule="atLeast"/>
        </w:trPr>
        <w:tc>
          <w:tcPr>
            <w:tcW w:w="544" w:type="dxa"/>
          </w:tcPr>
          <w:p w14:paraId="4F011C48">
            <w:pPr>
              <w:rPr>
                <w:rFonts w:ascii="??_GB2312" w:eastAsia="Times New Roman"/>
                <w:b/>
                <w:bCs/>
                <w:sz w:val="28"/>
                <w:szCs w:val="28"/>
                <w:highlight w:val="none"/>
              </w:rPr>
            </w:pPr>
          </w:p>
        </w:tc>
        <w:tc>
          <w:tcPr>
            <w:tcW w:w="544" w:type="dxa"/>
          </w:tcPr>
          <w:p w14:paraId="77705704">
            <w:pPr>
              <w:rPr>
                <w:rFonts w:ascii="??_GB2312" w:eastAsia="Times New Roman"/>
                <w:b/>
                <w:bCs/>
                <w:sz w:val="28"/>
                <w:szCs w:val="28"/>
                <w:highlight w:val="none"/>
              </w:rPr>
            </w:pPr>
          </w:p>
        </w:tc>
        <w:tc>
          <w:tcPr>
            <w:tcW w:w="544" w:type="dxa"/>
          </w:tcPr>
          <w:p w14:paraId="7A4E4CB0">
            <w:pPr>
              <w:rPr>
                <w:rFonts w:ascii="??_GB2312" w:eastAsia="Times New Roman"/>
                <w:b/>
                <w:bCs/>
                <w:sz w:val="28"/>
                <w:szCs w:val="28"/>
                <w:highlight w:val="none"/>
              </w:rPr>
            </w:pPr>
          </w:p>
        </w:tc>
        <w:tc>
          <w:tcPr>
            <w:tcW w:w="544" w:type="dxa"/>
          </w:tcPr>
          <w:p w14:paraId="7D64D2A5">
            <w:pPr>
              <w:rPr>
                <w:rFonts w:ascii="??_GB2312" w:eastAsia="Times New Roman"/>
                <w:b/>
                <w:bCs/>
                <w:sz w:val="28"/>
                <w:szCs w:val="28"/>
                <w:highlight w:val="none"/>
              </w:rPr>
            </w:pPr>
          </w:p>
        </w:tc>
        <w:tc>
          <w:tcPr>
            <w:tcW w:w="544" w:type="dxa"/>
          </w:tcPr>
          <w:p w14:paraId="08792DB5">
            <w:pPr>
              <w:rPr>
                <w:rFonts w:ascii="??_GB2312" w:eastAsia="Times New Roman"/>
                <w:b/>
                <w:bCs/>
                <w:sz w:val="28"/>
                <w:szCs w:val="28"/>
                <w:highlight w:val="none"/>
              </w:rPr>
            </w:pPr>
          </w:p>
        </w:tc>
        <w:tc>
          <w:tcPr>
            <w:tcW w:w="544" w:type="dxa"/>
          </w:tcPr>
          <w:p w14:paraId="6AD52D51">
            <w:pPr>
              <w:rPr>
                <w:rFonts w:ascii="??_GB2312" w:eastAsia="Times New Roman"/>
                <w:b/>
                <w:bCs/>
                <w:sz w:val="28"/>
                <w:szCs w:val="28"/>
                <w:highlight w:val="none"/>
              </w:rPr>
            </w:pPr>
          </w:p>
        </w:tc>
        <w:tc>
          <w:tcPr>
            <w:tcW w:w="544" w:type="dxa"/>
          </w:tcPr>
          <w:p w14:paraId="5DEEDD08">
            <w:pPr>
              <w:rPr>
                <w:rFonts w:ascii="??_GB2312" w:eastAsia="Times New Roman"/>
                <w:b/>
                <w:bCs/>
                <w:sz w:val="28"/>
                <w:szCs w:val="28"/>
                <w:highlight w:val="none"/>
              </w:rPr>
            </w:pPr>
          </w:p>
        </w:tc>
        <w:tc>
          <w:tcPr>
            <w:tcW w:w="544" w:type="dxa"/>
          </w:tcPr>
          <w:p w14:paraId="4B216F0C">
            <w:pPr>
              <w:rPr>
                <w:rFonts w:ascii="??_GB2312" w:eastAsia="Times New Roman"/>
                <w:b/>
                <w:bCs/>
                <w:sz w:val="28"/>
                <w:szCs w:val="28"/>
                <w:highlight w:val="none"/>
              </w:rPr>
            </w:pPr>
          </w:p>
        </w:tc>
        <w:tc>
          <w:tcPr>
            <w:tcW w:w="544" w:type="dxa"/>
          </w:tcPr>
          <w:p w14:paraId="610B8431">
            <w:pPr>
              <w:rPr>
                <w:rFonts w:ascii="??_GB2312" w:eastAsia="Times New Roman"/>
                <w:b/>
                <w:bCs/>
                <w:sz w:val="28"/>
                <w:szCs w:val="28"/>
                <w:highlight w:val="none"/>
              </w:rPr>
            </w:pPr>
          </w:p>
        </w:tc>
        <w:tc>
          <w:tcPr>
            <w:tcW w:w="544" w:type="dxa"/>
          </w:tcPr>
          <w:p w14:paraId="2EB85A08">
            <w:pPr>
              <w:rPr>
                <w:rFonts w:ascii="??_GB2312" w:eastAsia="Times New Roman"/>
                <w:b/>
                <w:bCs/>
                <w:sz w:val="28"/>
                <w:szCs w:val="28"/>
                <w:highlight w:val="none"/>
              </w:rPr>
            </w:pPr>
          </w:p>
        </w:tc>
        <w:tc>
          <w:tcPr>
            <w:tcW w:w="544" w:type="dxa"/>
          </w:tcPr>
          <w:p w14:paraId="47E15798">
            <w:pPr>
              <w:rPr>
                <w:rFonts w:ascii="??_GB2312" w:eastAsia="Times New Roman"/>
                <w:b/>
                <w:bCs/>
                <w:sz w:val="28"/>
                <w:szCs w:val="28"/>
                <w:highlight w:val="none"/>
              </w:rPr>
            </w:pPr>
          </w:p>
        </w:tc>
        <w:tc>
          <w:tcPr>
            <w:tcW w:w="544" w:type="dxa"/>
          </w:tcPr>
          <w:p w14:paraId="79C3A705">
            <w:pPr>
              <w:rPr>
                <w:rFonts w:ascii="??_GB2312" w:eastAsia="Times New Roman"/>
                <w:b/>
                <w:bCs/>
                <w:sz w:val="28"/>
                <w:szCs w:val="28"/>
                <w:highlight w:val="none"/>
              </w:rPr>
            </w:pPr>
          </w:p>
        </w:tc>
        <w:tc>
          <w:tcPr>
            <w:tcW w:w="544" w:type="dxa"/>
          </w:tcPr>
          <w:p w14:paraId="5B5A6C79">
            <w:pPr>
              <w:rPr>
                <w:rFonts w:ascii="??_GB2312" w:eastAsia="Times New Roman"/>
                <w:b/>
                <w:bCs/>
                <w:sz w:val="28"/>
                <w:szCs w:val="28"/>
                <w:highlight w:val="none"/>
              </w:rPr>
            </w:pPr>
          </w:p>
        </w:tc>
        <w:tc>
          <w:tcPr>
            <w:tcW w:w="544" w:type="dxa"/>
          </w:tcPr>
          <w:p w14:paraId="52ED2C0D">
            <w:pPr>
              <w:rPr>
                <w:rFonts w:ascii="??_GB2312" w:eastAsia="Times New Roman"/>
                <w:b/>
                <w:bCs/>
                <w:sz w:val="28"/>
                <w:szCs w:val="28"/>
                <w:highlight w:val="none"/>
              </w:rPr>
            </w:pPr>
          </w:p>
        </w:tc>
      </w:tr>
    </w:tbl>
    <w:p w14:paraId="2BE6F37F">
      <w:pPr>
        <w:rPr>
          <w:rFonts w:ascii="??_GB2312" w:eastAsia="Times New Roman"/>
          <w:b/>
          <w:bCs/>
          <w:sz w:val="28"/>
          <w:szCs w:val="28"/>
          <w:highlight w:val="none"/>
        </w:rPr>
      </w:pPr>
    </w:p>
    <w:p w14:paraId="27D4DA90">
      <w:pPr>
        <w:rPr>
          <w:rFonts w:ascii="??_GB2312"/>
          <w:b/>
          <w:bCs/>
          <w:sz w:val="28"/>
          <w:szCs w:val="28"/>
          <w:highlight w:val="none"/>
        </w:rPr>
      </w:pPr>
    </w:p>
    <w:p w14:paraId="4C7B5BDD">
      <w:pPr>
        <w:jc w:val="center"/>
        <w:rPr>
          <w:rFonts w:ascii="??_GB2312" w:eastAsia="Times New Roman" w:cs="??_GB2312"/>
          <w:b/>
          <w:bCs/>
          <w:sz w:val="44"/>
          <w:szCs w:val="44"/>
          <w:highlight w:val="none"/>
        </w:rPr>
      </w:pPr>
    </w:p>
    <w:p w14:paraId="28E58A4D">
      <w:pPr>
        <w:jc w:val="center"/>
        <w:rPr>
          <w:rFonts w:ascii="宋体"/>
          <w:b/>
          <w:bCs/>
          <w:sz w:val="44"/>
          <w:szCs w:val="44"/>
          <w:highlight w:val="none"/>
        </w:rPr>
      </w:pPr>
      <w:r>
        <w:rPr>
          <w:rFonts w:hint="eastAsia" w:ascii="宋体" w:hAnsi="宋体" w:cs="宋体"/>
          <w:b/>
          <w:bCs/>
          <w:sz w:val="44"/>
          <w:szCs w:val="44"/>
          <w:highlight w:val="none"/>
        </w:rPr>
        <w:t>安全技术服务合同</w:t>
      </w:r>
    </w:p>
    <w:p w14:paraId="677B2B5B">
      <w:pPr>
        <w:rPr>
          <w:rFonts w:ascii="??_GB2312" w:eastAsia="Times New Roman"/>
          <w:b/>
          <w:bCs/>
          <w:sz w:val="28"/>
          <w:szCs w:val="28"/>
          <w:highlight w:val="none"/>
        </w:rPr>
      </w:pPr>
    </w:p>
    <w:p w14:paraId="28AC4A87">
      <w:pPr>
        <w:rPr>
          <w:rFonts w:ascii="??_GB2312" w:eastAsia="Times New Roman"/>
          <w:b/>
          <w:bCs/>
          <w:sz w:val="28"/>
          <w:szCs w:val="28"/>
          <w:highlight w:val="none"/>
        </w:rPr>
      </w:pPr>
    </w:p>
    <w:p w14:paraId="0801BEBD">
      <w:pPr>
        <w:rPr>
          <w:rFonts w:ascii="??_GB2312" w:eastAsia="Times New Roman"/>
          <w:b/>
          <w:bCs/>
          <w:sz w:val="32"/>
          <w:szCs w:val="32"/>
          <w:highlight w:val="none"/>
        </w:rPr>
      </w:pPr>
    </w:p>
    <w:p w14:paraId="1A318D34">
      <w:pPr>
        <w:rPr>
          <w:rFonts w:hint="default" w:ascii="宋体" w:hAnsi="宋体" w:cs="宋体"/>
          <w:sz w:val="32"/>
          <w:szCs w:val="32"/>
          <w:highlight w:val="none"/>
          <w:u w:val="none"/>
          <w:lang w:val="en"/>
        </w:rPr>
      </w:pPr>
      <w:r>
        <w:rPr>
          <w:rFonts w:hint="eastAsia" w:ascii="宋体" w:hAnsi="宋体" w:cs="宋体"/>
          <w:b/>
          <w:bCs/>
          <w:sz w:val="32"/>
          <w:szCs w:val="32"/>
          <w:highlight w:val="none"/>
        </w:rPr>
        <w:t>委托人：</w:t>
      </w:r>
      <w:r>
        <w:rPr>
          <w:rFonts w:hint="default" w:ascii="宋体" w:hAnsi="宋体" w:cs="宋体"/>
          <w:b/>
          <w:bCs/>
          <w:sz w:val="32"/>
          <w:szCs w:val="32"/>
          <w:highlight w:val="none"/>
          <w:u w:val="single"/>
          <w:lang w:val="en"/>
        </w:rPr>
        <w:t xml:space="preserve"> </w:t>
      </w:r>
      <w:r>
        <w:rPr>
          <w:rFonts w:hint="eastAsia" w:ascii="宋体" w:hAnsi="宋体" w:cs="宋体"/>
          <w:sz w:val="32"/>
          <w:szCs w:val="32"/>
          <w:highlight w:val="none"/>
          <w:u w:val="single"/>
        </w:rPr>
        <w:t>北京市海淀区商务局</w:t>
      </w:r>
      <w:r>
        <w:rPr>
          <w:rFonts w:hint="default" w:ascii="宋体" w:hAnsi="宋体" w:cs="宋体"/>
          <w:sz w:val="32"/>
          <w:szCs w:val="32"/>
          <w:highlight w:val="none"/>
          <w:u w:val="single"/>
          <w:lang w:val="en"/>
        </w:rPr>
        <w:t xml:space="preserve"> </w:t>
      </w:r>
    </w:p>
    <w:p w14:paraId="1269024B">
      <w:pPr>
        <w:rPr>
          <w:rFonts w:ascii="宋体"/>
          <w:b/>
          <w:bCs/>
          <w:sz w:val="32"/>
          <w:szCs w:val="32"/>
          <w:highlight w:val="none"/>
        </w:rPr>
      </w:pPr>
      <w:r>
        <w:rPr>
          <w:rFonts w:hint="eastAsia" w:ascii="宋体" w:hAnsi="宋体" w:cs="宋体"/>
          <w:b/>
          <w:bCs/>
          <w:sz w:val="32"/>
          <w:szCs w:val="32"/>
          <w:highlight w:val="none"/>
        </w:rPr>
        <w:t>（甲方）</w:t>
      </w:r>
    </w:p>
    <w:p w14:paraId="7AE2E29F">
      <w:pPr>
        <w:rPr>
          <w:rFonts w:ascii="宋体"/>
          <w:b/>
          <w:bCs/>
          <w:sz w:val="32"/>
          <w:szCs w:val="32"/>
          <w:highlight w:val="none"/>
        </w:rPr>
      </w:pPr>
    </w:p>
    <w:p w14:paraId="46B635CA">
      <w:pPr>
        <w:rPr>
          <w:rFonts w:ascii="宋体"/>
          <w:b/>
          <w:bCs/>
          <w:sz w:val="32"/>
          <w:szCs w:val="32"/>
          <w:highlight w:val="none"/>
        </w:rPr>
      </w:pPr>
    </w:p>
    <w:p w14:paraId="6139275E">
      <w:pPr>
        <w:rPr>
          <w:rFonts w:hint="eastAsia" w:ascii="宋体" w:hAnsi="宋体" w:cs="宋体"/>
          <w:b/>
          <w:bCs/>
          <w:sz w:val="32"/>
          <w:szCs w:val="32"/>
          <w:highlight w:val="none"/>
          <w:u w:val="single"/>
          <w:lang w:val="en-US" w:eastAsia="zh-CN"/>
        </w:rPr>
      </w:pPr>
      <w:r>
        <w:rPr>
          <w:rFonts w:hint="eastAsia" w:ascii="宋体" w:hAnsi="宋体" w:cs="宋体"/>
          <w:b/>
          <w:bCs/>
          <w:sz w:val="32"/>
          <w:szCs w:val="32"/>
          <w:highlight w:val="none"/>
        </w:rPr>
        <w:t>受托人：</w:t>
      </w:r>
      <w:r>
        <w:rPr>
          <w:rFonts w:hint="eastAsia" w:ascii="宋体" w:hAnsi="宋体" w:cs="宋体"/>
          <w:b/>
          <w:bCs/>
          <w:sz w:val="32"/>
          <w:szCs w:val="32"/>
          <w:highlight w:val="none"/>
          <w:u w:val="single"/>
          <w:lang w:val="en-US" w:eastAsia="zh-CN"/>
        </w:rPr>
        <w:t xml:space="preserve"> </w:t>
      </w:r>
      <w:r>
        <w:rPr>
          <w:rFonts w:hint="eastAsia" w:ascii="宋体" w:hAnsi="宋体" w:cs="宋体"/>
          <w:sz w:val="32"/>
          <w:szCs w:val="32"/>
          <w:highlight w:val="none"/>
          <w:u w:val="single"/>
          <w:lang w:val="en-US" w:eastAsia="zh-CN"/>
        </w:rPr>
        <w:t>北京华瑞恒安注册安全工程师事务所有限公司</w:t>
      </w:r>
      <w:r>
        <w:rPr>
          <w:rFonts w:hint="eastAsia" w:ascii="宋体" w:hAnsi="宋体" w:cs="宋体"/>
          <w:b/>
          <w:bCs/>
          <w:sz w:val="32"/>
          <w:szCs w:val="32"/>
          <w:highlight w:val="none"/>
          <w:u w:val="single"/>
          <w:lang w:val="en-US" w:eastAsia="zh-CN"/>
        </w:rPr>
        <w:t xml:space="preserve"> </w:t>
      </w:r>
    </w:p>
    <w:p w14:paraId="72CCF942">
      <w:pPr>
        <w:rPr>
          <w:rFonts w:ascii="??_GB2312" w:eastAsia="Times New Roman"/>
          <w:b/>
          <w:bCs/>
          <w:sz w:val="28"/>
          <w:szCs w:val="28"/>
          <w:highlight w:val="none"/>
        </w:rPr>
      </w:pPr>
      <w:r>
        <w:rPr>
          <w:rFonts w:hint="eastAsia" w:ascii="宋体" w:hAnsi="宋体" w:cs="宋体"/>
          <w:b/>
          <w:bCs/>
          <w:sz w:val="32"/>
          <w:szCs w:val="32"/>
          <w:highlight w:val="none"/>
        </w:rPr>
        <w:t>（乙方）</w:t>
      </w:r>
    </w:p>
    <w:p w14:paraId="14C057DD">
      <w:pPr>
        <w:rPr>
          <w:rFonts w:ascii="??_GB2312" w:eastAsia="Times New Roman"/>
          <w:b/>
          <w:bCs/>
          <w:sz w:val="28"/>
          <w:szCs w:val="28"/>
          <w:highlight w:val="none"/>
        </w:rPr>
      </w:pPr>
    </w:p>
    <w:p w14:paraId="71733197">
      <w:pPr>
        <w:rPr>
          <w:rFonts w:ascii="??_GB2312" w:eastAsia="Times New Roman"/>
          <w:b/>
          <w:bCs/>
          <w:sz w:val="28"/>
          <w:szCs w:val="28"/>
          <w:highlight w:val="none"/>
        </w:rPr>
      </w:pPr>
    </w:p>
    <w:p w14:paraId="3A3B7FC4">
      <w:pPr>
        <w:rPr>
          <w:rFonts w:ascii="宋体"/>
          <w:b/>
          <w:bCs/>
          <w:sz w:val="28"/>
          <w:szCs w:val="28"/>
          <w:highlight w:val="none"/>
        </w:rPr>
      </w:pPr>
      <w:r>
        <w:rPr>
          <w:rFonts w:hint="eastAsia" w:ascii="宋体" w:hAnsi="宋体" w:cs="宋体"/>
          <w:b/>
          <w:bCs/>
          <w:sz w:val="28"/>
          <w:szCs w:val="28"/>
          <w:highlight w:val="none"/>
        </w:rPr>
        <w:t>签订地点：     北  京</w:t>
      </w:r>
    </w:p>
    <w:p w14:paraId="5395477D">
      <w:pPr>
        <w:rPr>
          <w:rFonts w:ascii="宋体"/>
          <w:b/>
          <w:bCs/>
          <w:sz w:val="28"/>
          <w:szCs w:val="28"/>
          <w:highlight w:val="none"/>
        </w:rPr>
      </w:pPr>
      <w:r>
        <w:rPr>
          <w:rFonts w:hint="eastAsia" w:ascii="宋体" w:hAnsi="宋体" w:cs="宋体"/>
          <w:b/>
          <w:bCs/>
          <w:sz w:val="28"/>
          <w:szCs w:val="28"/>
          <w:highlight w:val="none"/>
        </w:rPr>
        <w:t>签订日期：</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rPr>
        <w:t xml:space="preserve"> 月</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rPr>
        <w:t>日</w:t>
      </w:r>
    </w:p>
    <w:p w14:paraId="2F6839B5">
      <w:pPr>
        <w:pStyle w:val="6"/>
        <w:spacing w:after="120"/>
        <w:jc w:val="left"/>
        <w:rPr>
          <w:rFonts w:cs="Times New Roman"/>
          <w:caps w:val="0"/>
          <w:kern w:val="2"/>
          <w:sz w:val="28"/>
          <w:szCs w:val="28"/>
          <w:highlight w:val="none"/>
          <w:lang w:val="en-US" w:eastAsia="zh-CN"/>
        </w:rPr>
      </w:pPr>
      <w:r>
        <w:rPr>
          <w:rFonts w:hint="eastAsia"/>
          <w:caps w:val="0"/>
          <w:kern w:val="2"/>
          <w:sz w:val="28"/>
          <w:szCs w:val="28"/>
          <w:highlight w:val="none"/>
          <w:lang w:val="en-US" w:eastAsia="zh-CN"/>
        </w:rPr>
        <w:t>有效期限：    年    月     日 至  2026  年  02  月  28  日</w:t>
      </w:r>
    </w:p>
    <w:p w14:paraId="10F276EA">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根据《中华人民共和国民法典》的规定，双方就安全技术服务项目协商一致，签订</w:t>
      </w:r>
      <w:commentRangeStart w:id="0"/>
      <w:r>
        <w:rPr>
          <w:rFonts w:hint="eastAsia"/>
          <w:b w:val="0"/>
          <w:bCs w:val="0"/>
          <w:sz w:val="32"/>
          <w:szCs w:val="32"/>
          <w:highlight w:val="none"/>
          <w:lang w:eastAsia="zh-CN"/>
        </w:rPr>
        <w:t>本合同</w:t>
      </w:r>
      <w:commentRangeEnd w:id="0"/>
      <w:r>
        <w:commentReference w:id="0"/>
      </w:r>
      <w:r>
        <w:rPr>
          <w:rFonts w:hint="eastAsia"/>
          <w:b w:val="0"/>
          <w:bCs w:val="0"/>
          <w:sz w:val="32"/>
          <w:szCs w:val="32"/>
          <w:highlight w:val="none"/>
          <w:lang w:eastAsia="zh-CN"/>
        </w:rPr>
        <w:t>。</w:t>
      </w:r>
    </w:p>
    <w:p w14:paraId="2DDD85CB">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一、总则</w:t>
      </w:r>
    </w:p>
    <w:p w14:paraId="58DC1CB2">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根据《安全生产法》要求：安全生产工作应当以人为本，坚持安全发展，安全第一、预防为主、综合治理的方针，强化和落实生产经营单位的主体责任，建立生产经营单位负责、职工参与、政府监管、行业自律和社会监督的机制。依法设立的为安全生产提供技术、管理服务的机构，依照法律、行政法规和执业准则，接受生产经营单位的委托为其安全生产工作提供技术、管理服务。为进一步做好海淀区商务行业安全工作，根据北京市商务局（原北京市商务委员会）关于印发</w:t>
      </w:r>
      <w:r>
        <w:rPr>
          <w:b w:val="0"/>
          <w:bCs w:val="0"/>
          <w:sz w:val="32"/>
          <w:szCs w:val="32"/>
          <w:highlight w:val="none"/>
          <w:lang w:eastAsia="zh-CN"/>
        </w:rPr>
        <w:t>2016</w:t>
      </w:r>
      <w:r>
        <w:rPr>
          <w:rFonts w:hint="eastAsia"/>
          <w:b w:val="0"/>
          <w:bCs w:val="0"/>
          <w:sz w:val="32"/>
          <w:szCs w:val="32"/>
          <w:highlight w:val="none"/>
          <w:lang w:eastAsia="zh-CN"/>
        </w:rPr>
        <w:t>年商务行业“企业送安工程”工作方案的通知和《北京市海淀区人民政府关于政府向社会力量购买服务的实施意见》，甲方聘用乙方安全生产技术人员为商务行业企业开展“一对一”的隐患排查治理、培训教育、应急演练</w:t>
      </w:r>
      <w:r>
        <w:rPr>
          <w:rFonts w:hint="eastAsia"/>
          <w:b w:val="0"/>
          <w:bCs w:val="0"/>
          <w:sz w:val="32"/>
          <w:szCs w:val="32"/>
          <w:highlight w:val="none"/>
          <w:lang w:val="en-US" w:eastAsia="zh-CN"/>
        </w:rPr>
        <w:t>指导</w:t>
      </w:r>
      <w:r>
        <w:rPr>
          <w:rFonts w:hint="eastAsia"/>
          <w:b w:val="0"/>
          <w:bCs w:val="0"/>
          <w:sz w:val="32"/>
          <w:szCs w:val="32"/>
          <w:highlight w:val="none"/>
          <w:lang w:eastAsia="zh-CN"/>
        </w:rPr>
        <w:t>等服务。</w:t>
      </w:r>
    </w:p>
    <w:p w14:paraId="01CF5353">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二、甲乙双方</w:t>
      </w:r>
    </w:p>
    <w:p w14:paraId="311F6ACF">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甲方：</w:t>
      </w:r>
      <w:r>
        <w:rPr>
          <w:rFonts w:hint="eastAsia"/>
          <w:b w:val="0"/>
          <w:bCs w:val="0"/>
          <w:sz w:val="32"/>
          <w:szCs w:val="32"/>
          <w:highlight w:val="none"/>
          <w:lang w:val="en-US" w:eastAsia="zh-CN"/>
        </w:rPr>
        <w:t>北京市海淀区商务局</w:t>
      </w:r>
    </w:p>
    <w:p w14:paraId="55D11F9E">
      <w:pPr>
        <w:ind w:firstLine="640" w:firstLineChars="200"/>
        <w:rPr>
          <w:rFonts w:hint="eastAsia" w:ascii="宋体" w:eastAsiaTheme="minorEastAsia"/>
          <w:b/>
          <w:bCs/>
          <w:sz w:val="28"/>
          <w:szCs w:val="28"/>
          <w:highlight w:val="none"/>
          <w:u w:val="single"/>
          <w:lang w:eastAsia="zh-CN"/>
        </w:rPr>
      </w:pPr>
      <w:r>
        <w:rPr>
          <w:rFonts w:hint="eastAsia"/>
          <w:b w:val="0"/>
          <w:bCs w:val="0"/>
          <w:sz w:val="32"/>
          <w:szCs w:val="32"/>
          <w:highlight w:val="none"/>
          <w:lang w:eastAsia="zh-CN"/>
        </w:rPr>
        <w:t>乙方：北京华瑞恒安注册安全工程师事务所有限公司</w:t>
      </w:r>
    </w:p>
    <w:p w14:paraId="72BEB854">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三、乙方义务</w:t>
      </w:r>
    </w:p>
    <w:p w14:paraId="2312B558">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（一）服务范围</w:t>
      </w:r>
    </w:p>
    <w:p w14:paraId="38A6CD77">
      <w:pPr>
        <w:pStyle w:val="6"/>
        <w:spacing w:after="120" w:line="600" w:lineRule="exact"/>
        <w:ind w:firstLine="640" w:firstLineChars="200"/>
        <w:jc w:val="both"/>
        <w:rPr>
          <w:b w:val="0"/>
          <w:bCs w:val="0"/>
          <w:sz w:val="32"/>
          <w:szCs w:val="32"/>
          <w:highlight w:val="none"/>
          <w:lang w:eastAsia="zh-CN"/>
        </w:rPr>
      </w:pPr>
      <w:r>
        <w:rPr>
          <w:rFonts w:hint="eastAsia"/>
          <w:b w:val="0"/>
          <w:bCs w:val="0"/>
          <w:sz w:val="32"/>
          <w:szCs w:val="32"/>
          <w:highlight w:val="none"/>
          <w:lang w:val="en-US" w:eastAsia="zh-CN"/>
        </w:rPr>
        <w:t>企业数量动态管理，可依据甲方适时提供的街镇名单进行增减，规模以下餐饮经营单位及生活服务业经营单位由乙方初步取得相关街镇企业名录后，予甲方审核隐患排查行业领域范围，经甲方审核通过后展开相关工作。</w:t>
      </w:r>
    </w:p>
    <w:p w14:paraId="1F75CE1F">
      <w:pPr>
        <w:pStyle w:val="6"/>
        <w:spacing w:after="120" w:line="60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 xml:space="preserve"> </w:t>
      </w:r>
      <w:r>
        <w:rPr>
          <w:rFonts w:hint="eastAsia"/>
          <w:b w:val="0"/>
          <w:bCs w:val="0"/>
          <w:sz w:val="32"/>
          <w:szCs w:val="32"/>
          <w:highlight w:val="none"/>
          <w:lang w:eastAsia="zh-CN"/>
        </w:rPr>
        <w:t>（二）服务内容</w:t>
      </w:r>
    </w:p>
    <w:p w14:paraId="361146B4">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安全隐患排查，安全知识培训，应急演练及相关情况书面报告。</w:t>
      </w:r>
    </w:p>
    <w:p w14:paraId="185155E7">
      <w:pPr>
        <w:spacing w:line="560" w:lineRule="exact"/>
        <w:ind w:firstLine="640" w:firstLineChars="200"/>
        <w:rPr>
          <w:rFonts w:ascii="宋体"/>
          <w:sz w:val="32"/>
          <w:szCs w:val="32"/>
          <w:highlight w:val="none"/>
        </w:rPr>
      </w:pPr>
      <w:r>
        <w:rPr>
          <w:rFonts w:ascii="宋体" w:hAnsi="宋体" w:cs="宋体"/>
          <w:bCs/>
          <w:sz w:val="32"/>
          <w:szCs w:val="32"/>
          <w:highlight w:val="none"/>
        </w:rPr>
        <w:t>1</w:t>
      </w:r>
      <w:r>
        <w:rPr>
          <w:rFonts w:hint="eastAsia" w:ascii="宋体" w:hAnsi="宋体" w:cs="宋体"/>
          <w:bCs/>
          <w:sz w:val="32"/>
          <w:szCs w:val="32"/>
          <w:highlight w:val="none"/>
        </w:rPr>
        <w:t>.安全隐患排查</w:t>
      </w:r>
      <w:r>
        <w:rPr>
          <w:rFonts w:hint="eastAsia" w:ascii="宋体" w:hAnsi="宋体" w:cs="宋体"/>
          <w:b/>
          <w:bCs/>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2025</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10</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20</w:t>
      </w:r>
      <w:r>
        <w:rPr>
          <w:rFonts w:hint="eastAsia" w:ascii="宋体" w:hAnsi="宋体" w:cs="宋体"/>
          <w:sz w:val="32"/>
          <w:szCs w:val="32"/>
          <w:highlight w:val="none"/>
          <w:u w:val="single"/>
        </w:rPr>
        <w:t xml:space="preserve"> </w:t>
      </w:r>
      <w:r>
        <w:rPr>
          <w:rFonts w:hint="eastAsia" w:ascii="宋体" w:hAnsi="宋体" w:cs="宋体"/>
          <w:sz w:val="32"/>
          <w:szCs w:val="32"/>
          <w:highlight w:val="none"/>
        </w:rPr>
        <w:t>日前对甲方划定范围内的</w:t>
      </w:r>
      <w:r>
        <w:rPr>
          <w:rFonts w:hint="eastAsia"/>
          <w:sz w:val="32"/>
          <w:szCs w:val="32"/>
          <w:highlight w:val="none"/>
        </w:rPr>
        <w:t>规模以下餐饮经营单位</w:t>
      </w:r>
      <w:r>
        <w:rPr>
          <w:rFonts w:hint="eastAsia"/>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3000</w:t>
      </w:r>
      <w:r>
        <w:rPr>
          <w:rFonts w:hint="eastAsia"/>
          <w:sz w:val="32"/>
          <w:szCs w:val="32"/>
          <w:highlight w:val="none"/>
          <w:u w:val="none"/>
          <w:lang w:val="en-US" w:eastAsia="zh-CN"/>
        </w:rPr>
        <w:t>家次</w:t>
      </w:r>
      <w:r>
        <w:rPr>
          <w:rFonts w:hint="eastAsia"/>
          <w:sz w:val="32"/>
          <w:szCs w:val="32"/>
          <w:highlight w:val="none"/>
          <w:lang w:eastAsia="zh-CN"/>
        </w:rPr>
        <w:t>）、生活服务业经营单位（</w:t>
      </w:r>
      <w:r>
        <w:rPr>
          <w:rFonts w:hint="eastAsia" w:ascii="仿宋_GB2312" w:hAnsi="仿宋_GB2312" w:eastAsia="仿宋_GB2312" w:cs="仿宋_GB2312"/>
          <w:sz w:val="32"/>
          <w:szCs w:val="32"/>
          <w:highlight w:val="none"/>
          <w:u w:val="single"/>
          <w:lang w:val="en-US" w:eastAsia="zh-CN"/>
        </w:rPr>
        <w:t>1000家</w:t>
      </w:r>
      <w:r>
        <w:rPr>
          <w:rFonts w:hint="eastAsia"/>
          <w:sz w:val="32"/>
          <w:szCs w:val="32"/>
          <w:highlight w:val="none"/>
          <w:lang w:eastAsia="zh-CN"/>
        </w:rPr>
        <w:t>）</w:t>
      </w:r>
      <w:r>
        <w:rPr>
          <w:rFonts w:hint="eastAsia" w:ascii="宋体" w:hAnsi="宋体" w:cs="宋体"/>
          <w:sz w:val="32"/>
          <w:szCs w:val="32"/>
          <w:highlight w:val="none"/>
        </w:rPr>
        <w:t>完成隐患排查工作。以《</w:t>
      </w:r>
      <w:r>
        <w:rPr>
          <w:rFonts w:hint="eastAsia" w:ascii="宋体" w:hAnsi="宋体" w:cs="宋体"/>
          <w:sz w:val="32"/>
          <w:szCs w:val="32"/>
          <w:highlight w:val="none"/>
          <w:lang w:eastAsia="zh-CN"/>
        </w:rPr>
        <w:t>中华人民共和国安全生产法</w:t>
      </w:r>
      <w:r>
        <w:rPr>
          <w:rFonts w:hint="eastAsia" w:ascii="宋体" w:hAnsi="宋体" w:cs="宋体"/>
          <w:sz w:val="32"/>
          <w:szCs w:val="32"/>
          <w:highlight w:val="none"/>
        </w:rPr>
        <w:t>》和《</w:t>
      </w:r>
      <w:r>
        <w:rPr>
          <w:rFonts w:hint="eastAsia" w:ascii="宋体" w:hAnsi="宋体" w:cs="宋体"/>
          <w:sz w:val="32"/>
          <w:szCs w:val="32"/>
          <w:highlight w:val="none"/>
          <w:lang w:eastAsia="zh-CN"/>
        </w:rPr>
        <w:t>中华人民共和国消防法</w:t>
      </w:r>
      <w:r>
        <w:rPr>
          <w:rFonts w:hint="eastAsia" w:ascii="宋体" w:hAnsi="宋体" w:cs="宋体"/>
          <w:sz w:val="32"/>
          <w:szCs w:val="32"/>
          <w:highlight w:val="none"/>
        </w:rPr>
        <w:t>》</w:t>
      </w:r>
      <w:r>
        <w:rPr>
          <w:rFonts w:hint="eastAsia" w:ascii="宋体" w:hAnsi="宋体" w:cs="宋体"/>
          <w:sz w:val="32"/>
          <w:szCs w:val="32"/>
          <w:highlight w:val="none"/>
          <w:lang w:eastAsia="zh-CN"/>
        </w:rPr>
        <w:t>等法律法规</w:t>
      </w:r>
      <w:r>
        <w:rPr>
          <w:rFonts w:hint="eastAsia" w:ascii="宋体" w:hAnsi="宋体" w:cs="宋体"/>
          <w:sz w:val="32"/>
          <w:szCs w:val="32"/>
          <w:highlight w:val="none"/>
        </w:rPr>
        <w:t>为依据，进行全面排查，内容包括安全生产标准化建设达标、用电安全、燃气安全、消防安全等各项法规、制度落实情况。</w:t>
      </w:r>
      <w:r>
        <w:rPr>
          <w:rFonts w:hint="eastAsia" w:ascii="宋体" w:hAnsi="宋体" w:cs="宋体"/>
          <w:sz w:val="32"/>
          <w:szCs w:val="32"/>
          <w:highlight w:val="none"/>
          <w:lang w:eastAsia="zh-CN"/>
        </w:rPr>
        <w:t>“企安安”隐患排查系统使用情况，企业自查自改等内容</w:t>
      </w:r>
      <w:r>
        <w:rPr>
          <w:rFonts w:hint="eastAsia" w:ascii="宋体" w:hAnsi="宋体" w:cs="宋体"/>
          <w:sz w:val="32"/>
          <w:szCs w:val="32"/>
          <w:highlight w:val="none"/>
        </w:rPr>
        <w:t>。</w:t>
      </w:r>
    </w:p>
    <w:p w14:paraId="1B558C0B">
      <w:pPr>
        <w:spacing w:line="600" w:lineRule="exact"/>
        <w:ind w:firstLine="640" w:firstLineChars="200"/>
        <w:rPr>
          <w:rFonts w:ascii="宋体"/>
          <w:sz w:val="32"/>
          <w:szCs w:val="32"/>
          <w:highlight w:val="none"/>
        </w:rPr>
      </w:pPr>
      <w:r>
        <w:rPr>
          <w:rFonts w:ascii="宋体" w:hAnsi="宋体" w:cs="宋体"/>
          <w:sz w:val="32"/>
          <w:szCs w:val="32"/>
          <w:highlight w:val="none"/>
        </w:rPr>
        <w:t>2</w:t>
      </w:r>
      <w:r>
        <w:rPr>
          <w:rFonts w:hint="eastAsia" w:ascii="宋体" w:hAnsi="宋体" w:cs="宋体"/>
          <w:sz w:val="32"/>
          <w:szCs w:val="32"/>
          <w:highlight w:val="none"/>
        </w:rPr>
        <w:t>.安全知识培训：每次隐患排查完成后，对企业进行一次</w:t>
      </w:r>
      <w:r>
        <w:rPr>
          <w:rFonts w:hint="eastAsia" w:ascii="宋体" w:hAnsi="宋体" w:cs="宋体"/>
          <w:sz w:val="32"/>
          <w:szCs w:val="32"/>
          <w:highlight w:val="none"/>
          <w:lang w:eastAsia="zh-CN"/>
        </w:rPr>
        <w:t>当班人员</w:t>
      </w:r>
      <w:r>
        <w:rPr>
          <w:rFonts w:hint="eastAsia" w:ascii="宋体" w:hAnsi="宋体" w:cs="宋体"/>
          <w:sz w:val="32"/>
          <w:szCs w:val="32"/>
          <w:highlight w:val="none"/>
        </w:rPr>
        <w:t>安全知识培训，主要内容是通报检查中发现的安全隐患、整改要求以及相关安全生产知识。</w:t>
      </w:r>
    </w:p>
    <w:p w14:paraId="7B4414EC">
      <w:pPr>
        <w:spacing w:line="600" w:lineRule="exact"/>
        <w:ind w:left="141" w:leftChars="67" w:firstLine="480" w:firstLineChars="150"/>
        <w:jc w:val="left"/>
        <w:rPr>
          <w:rFonts w:ascii="宋体" w:hAnsi="宋体" w:cs="宋体"/>
          <w:sz w:val="32"/>
          <w:szCs w:val="32"/>
          <w:highlight w:val="none"/>
        </w:rPr>
      </w:pPr>
      <w:r>
        <w:rPr>
          <w:rFonts w:hint="eastAsia" w:ascii="宋体" w:hAnsi="宋体" w:cs="宋体"/>
          <w:sz w:val="32"/>
          <w:szCs w:val="32"/>
          <w:highlight w:val="none"/>
        </w:rPr>
        <w:t>3.应急预案编制服务：指导企业按照《生产经营单位生产安全事故应急预案编制导则》完成应急预案编制服务工作。</w:t>
      </w:r>
    </w:p>
    <w:p w14:paraId="53D63959">
      <w:pPr>
        <w:spacing w:line="600" w:lineRule="exact"/>
        <w:ind w:firstLine="640" w:firstLineChars="200"/>
        <w:rPr>
          <w:rFonts w:ascii="宋体" w:hAnsi="宋体" w:cs="宋体"/>
          <w:sz w:val="32"/>
          <w:szCs w:val="32"/>
          <w:highlight w:val="none"/>
        </w:rPr>
      </w:pPr>
      <w:r>
        <w:rPr>
          <w:rFonts w:hint="eastAsia" w:ascii="宋体" w:hAnsi="宋体" w:cs="宋体"/>
          <w:sz w:val="32"/>
          <w:szCs w:val="32"/>
          <w:highlight w:val="none"/>
        </w:rPr>
        <w:t>4.安全隐患整改：对检查出的问题、隐患，说明每项对应的标准规范，对存在问题进行相应的技术分析，阐明可能导致的相关事故或后果，并提出对策及建议，指导企业整改到位。</w:t>
      </w:r>
    </w:p>
    <w:p w14:paraId="77A102EB">
      <w:pPr>
        <w:spacing w:line="600" w:lineRule="exact"/>
        <w:ind w:firstLine="640" w:firstLineChars="200"/>
        <w:rPr>
          <w:rFonts w:ascii="宋体" w:hAnsi="宋体" w:cs="宋体"/>
          <w:sz w:val="32"/>
          <w:szCs w:val="32"/>
          <w:highlight w:val="none"/>
        </w:rPr>
      </w:pPr>
      <w:r>
        <w:rPr>
          <w:rFonts w:hint="eastAsia" w:ascii="宋体" w:hAnsi="宋体" w:cs="宋体"/>
          <w:bCs/>
          <w:sz w:val="32"/>
          <w:szCs w:val="32"/>
          <w:highlight w:val="none"/>
        </w:rPr>
        <w:t>5.企业主要风险点辨识：</w:t>
      </w:r>
      <w:r>
        <w:rPr>
          <w:rFonts w:hint="eastAsia" w:ascii="宋体" w:hAnsi="宋体" w:cs="宋体"/>
          <w:sz w:val="32"/>
          <w:szCs w:val="32"/>
          <w:highlight w:val="none"/>
        </w:rPr>
        <w:t>对企业现场主要风险点进行辨识，辨识内容包括：危险化学品、特种设备、有限空间等，并将识别出的企业主要风险点记入《海淀区商务行业企业风险评估及隐患排查报告》之中。</w:t>
      </w:r>
    </w:p>
    <w:p w14:paraId="05155E73">
      <w:pPr>
        <w:spacing w:line="600" w:lineRule="exact"/>
        <w:ind w:firstLine="640" w:firstLineChars="200"/>
        <w:rPr>
          <w:rFonts w:ascii="宋体"/>
          <w:sz w:val="32"/>
          <w:szCs w:val="32"/>
          <w:highlight w:val="none"/>
        </w:rPr>
      </w:pPr>
      <w:r>
        <w:rPr>
          <w:rFonts w:hint="eastAsia" w:ascii="宋体" w:hAnsi="宋体" w:cs="宋体"/>
          <w:sz w:val="32"/>
          <w:szCs w:val="32"/>
          <w:highlight w:val="none"/>
        </w:rPr>
        <w:t>6.出具整体报告：现场检查完毕后</w:t>
      </w:r>
      <w:r>
        <w:rPr>
          <w:rFonts w:hint="eastAsia" w:ascii="宋体" w:hAnsi="宋体" w:cs="宋体"/>
          <w:sz w:val="32"/>
          <w:szCs w:val="32"/>
          <w:highlight w:val="none"/>
          <w:u w:val="single"/>
        </w:rPr>
        <w:t xml:space="preserve"> 十五 </w:t>
      </w:r>
      <w:r>
        <w:rPr>
          <w:rFonts w:hint="eastAsia" w:ascii="宋体" w:hAnsi="宋体" w:cs="宋体"/>
          <w:sz w:val="32"/>
          <w:szCs w:val="32"/>
          <w:highlight w:val="none"/>
        </w:rPr>
        <w:t>日内出具《海淀区商务行业企业风险评估及隐患排查报告》，报告内容包括：检查的单位、时间、人员、内容、安全隐患、整改措施和建议。检查完毕后将排查报告电子版发送至甲方。纸质报告按月汇总一次交予甲方，包括检查、培训教育和应急演练的培训图片和视频资料。</w:t>
      </w:r>
    </w:p>
    <w:p w14:paraId="2D1E9CD1">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val="en-US" w:eastAsia="zh-CN"/>
        </w:rPr>
        <w:t>7.</w:t>
      </w:r>
      <w:r>
        <w:rPr>
          <w:rFonts w:hint="eastAsia"/>
          <w:b w:val="0"/>
          <w:bCs w:val="0"/>
          <w:sz w:val="32"/>
          <w:szCs w:val="32"/>
          <w:highlight w:val="none"/>
          <w:lang w:eastAsia="zh-CN"/>
        </w:rPr>
        <w:t xml:space="preserve">信息统计汇总：加强信息沟通，乙方在检查中发现重大隐患应及时向甲方汇报，并提出防范措施和整改建议。    </w:t>
      </w:r>
      <w:r>
        <w:rPr>
          <w:rFonts w:hint="eastAsia"/>
          <w:b w:val="0"/>
          <w:bCs w:val="0"/>
          <w:sz w:val="32"/>
          <w:szCs w:val="32"/>
          <w:highlight w:val="none"/>
          <w:u w:val="single"/>
          <w:lang w:eastAsia="zh-CN"/>
        </w:rPr>
        <w:t xml:space="preserve">      202</w:t>
      </w:r>
      <w:r>
        <w:rPr>
          <w:rFonts w:hint="eastAsia"/>
          <w:b w:val="0"/>
          <w:bCs w:val="0"/>
          <w:sz w:val="32"/>
          <w:szCs w:val="32"/>
          <w:highlight w:val="none"/>
          <w:u w:val="single"/>
          <w:lang w:val="en-US" w:eastAsia="zh-CN"/>
        </w:rPr>
        <w:t xml:space="preserve">5 </w:t>
      </w:r>
      <w:r>
        <w:rPr>
          <w:rFonts w:hint="eastAsia"/>
          <w:b w:val="0"/>
          <w:bCs w:val="0"/>
          <w:sz w:val="32"/>
          <w:szCs w:val="32"/>
          <w:highlight w:val="none"/>
          <w:lang w:eastAsia="zh-CN"/>
        </w:rPr>
        <w:t>年</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10</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月</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20</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日至</w:t>
      </w:r>
      <w:r>
        <w:rPr>
          <w:rFonts w:hint="eastAsia"/>
          <w:b w:val="0"/>
          <w:bCs w:val="0"/>
          <w:sz w:val="32"/>
          <w:szCs w:val="32"/>
          <w:highlight w:val="none"/>
          <w:u w:val="single"/>
          <w:lang w:eastAsia="zh-CN"/>
        </w:rPr>
        <w:t xml:space="preserve"> 202</w:t>
      </w:r>
      <w:r>
        <w:rPr>
          <w:rFonts w:hint="eastAsia"/>
          <w:b w:val="0"/>
          <w:bCs w:val="0"/>
          <w:sz w:val="32"/>
          <w:szCs w:val="32"/>
          <w:highlight w:val="none"/>
          <w:u w:val="single"/>
          <w:lang w:val="en-US" w:eastAsia="zh-CN"/>
        </w:rPr>
        <w:t xml:space="preserve">5 </w:t>
      </w:r>
      <w:r>
        <w:rPr>
          <w:rFonts w:hint="eastAsia"/>
          <w:b w:val="0"/>
          <w:bCs w:val="0"/>
          <w:sz w:val="32"/>
          <w:szCs w:val="32"/>
          <w:highlight w:val="none"/>
          <w:lang w:eastAsia="zh-CN"/>
        </w:rPr>
        <w:t>年</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11</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月</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10</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日前就排查规</w:t>
      </w:r>
      <w:r>
        <w:rPr>
          <w:rFonts w:hint="eastAsia" w:asciiTheme="minorEastAsia" w:hAnsiTheme="minorEastAsia" w:eastAsiaTheme="minorEastAsia" w:cstheme="minorEastAsia"/>
          <w:b w:val="0"/>
          <w:bCs w:val="0"/>
          <w:sz w:val="32"/>
          <w:szCs w:val="32"/>
          <w:highlight w:val="none"/>
          <w:lang w:eastAsia="zh-CN"/>
        </w:rPr>
        <w:t>经营单位</w:t>
      </w:r>
      <w:r>
        <w:rPr>
          <w:rFonts w:hint="eastAsia"/>
          <w:b w:val="0"/>
          <w:bCs w:val="0"/>
          <w:sz w:val="32"/>
          <w:szCs w:val="32"/>
          <w:highlight w:val="none"/>
          <w:lang w:eastAsia="zh-CN"/>
        </w:rPr>
        <w:t>存在的共性问题进行归纳整理，对年度企业送安活动进行梳理和总结，形成工作绩效报告交予甲方。报告内容应包括服务指导过程中排查出的隐患问题、治理措施、意见建议和取得的成效等情况。</w:t>
      </w:r>
    </w:p>
    <w:p w14:paraId="346CC1ED">
      <w:pPr>
        <w:spacing w:line="600" w:lineRule="exact"/>
        <w:ind w:firstLine="640" w:firstLineChars="200"/>
        <w:rPr>
          <w:rFonts w:hint="eastAsia"/>
          <w:b w:val="0"/>
          <w:bCs w:val="0"/>
          <w:sz w:val="32"/>
          <w:szCs w:val="32"/>
          <w:highlight w:val="none"/>
          <w:lang w:val="en-US" w:eastAsia="zh-CN"/>
        </w:rPr>
      </w:pPr>
      <w:r>
        <w:rPr>
          <w:rFonts w:hint="eastAsia" w:asciiTheme="minorEastAsia" w:hAnsiTheme="minorEastAsia" w:cstheme="minorEastAsia"/>
          <w:b w:val="0"/>
          <w:sz w:val="32"/>
          <w:szCs w:val="32"/>
          <w:highlight w:val="none"/>
          <w:lang w:eastAsia="zh-CN"/>
        </w:rPr>
        <w:t>8</w:t>
      </w:r>
      <w:r>
        <w:rPr>
          <w:rFonts w:hint="eastAsia"/>
          <w:b w:val="0"/>
          <w:sz w:val="32"/>
          <w:szCs w:val="32"/>
          <w:highlight w:val="none"/>
          <w:lang w:val="en-US" w:eastAsia="zh-CN"/>
        </w:rPr>
        <w:t>.督办事项：</w:t>
      </w:r>
      <w:r>
        <w:rPr>
          <w:rFonts w:hint="eastAsia"/>
          <w:b w:val="0"/>
          <w:bCs w:val="0"/>
          <w:sz w:val="32"/>
          <w:szCs w:val="32"/>
          <w:highlight w:val="none"/>
          <w:lang w:val="en-US" w:eastAsia="zh-CN"/>
        </w:rPr>
        <w:t>乙方进行隐患排查工作的同时，对企业安全生产安责险、安全生产标准化和城市安全风险评估工作落实情况进行跟进，实地了解工作进展。上述四项督办事项及时向甲方汇报工作进展情况。</w:t>
      </w:r>
    </w:p>
    <w:p w14:paraId="33BEF832">
      <w:pPr>
        <w:pStyle w:val="6"/>
        <w:spacing w:after="0" w:line="240" w:lineRule="auto"/>
        <w:ind w:firstLine="640" w:firstLineChars="200"/>
        <w:jc w:val="both"/>
        <w:rPr>
          <w:rFonts w:hint="eastAsia"/>
          <w:b w:val="0"/>
          <w:bCs w:val="0"/>
          <w:sz w:val="32"/>
          <w:szCs w:val="32"/>
          <w:highlight w:val="none"/>
          <w:lang w:val="en-US" w:eastAsia="zh-CN"/>
        </w:rPr>
      </w:pPr>
      <w:r>
        <w:rPr>
          <w:rFonts w:hint="eastAsia"/>
          <w:b w:val="0"/>
          <w:sz w:val="32"/>
          <w:szCs w:val="32"/>
          <w:highlight w:val="none"/>
          <w:lang w:val="en-US" w:eastAsia="zh-CN"/>
        </w:rPr>
        <w:t>9.商务行业安全生产培训及顾问工作：</w:t>
      </w:r>
    </w:p>
    <w:p w14:paraId="43A0B03F">
      <w:pPr>
        <w:pStyle w:val="6"/>
        <w:spacing w:after="0" w:line="240" w:lineRule="auto"/>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1）针对海淀区商务行业企业定期组织开展有关安全生产工作新颁布的法律法规及规章制度的宣贯工作，以及与安全生产工作相关的法律法规、规章制度、政府性文件的培训工作。对我局安全生产督查检查队进行不少于24学时业务技能培训。</w:t>
      </w:r>
    </w:p>
    <w:p w14:paraId="2A4697A8">
      <w:pPr>
        <w:pStyle w:val="6"/>
        <w:spacing w:after="0" w:line="240" w:lineRule="auto"/>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2）按照城市安全风险云系统，结合企业实际情况，现场指导10家企业进行填报，并确保填报准确无误。依据企业自评结果进行全面的统计分析，根据分析的情况提出行业风险管控的意见建议并指导甲方出具相关风险评估报告。</w:t>
      </w:r>
    </w:p>
    <w:p w14:paraId="559C2FBB">
      <w:pPr>
        <w:pStyle w:val="6"/>
        <w:spacing w:after="120" w:line="56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3）对安全生产重点专项整治、安全宣传“五进”等重点工作以及其他安全生产工作提供顾问。针对市委市政府、区委区政府等政府部门督察过程中反馈企业的问题进行督促和指导，督促、指导企业按时按要求完成整改工作，出具整改报告。</w:t>
      </w:r>
    </w:p>
    <w:p w14:paraId="5DA862BD">
      <w:pPr>
        <w:pStyle w:val="6"/>
        <w:spacing w:after="120" w:line="60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 xml:space="preserve"> </w:t>
      </w:r>
      <w:r>
        <w:rPr>
          <w:rFonts w:hint="eastAsia"/>
          <w:b w:val="0"/>
          <w:bCs w:val="0"/>
          <w:sz w:val="32"/>
          <w:szCs w:val="32"/>
          <w:highlight w:val="none"/>
          <w:lang w:eastAsia="zh-CN"/>
        </w:rPr>
        <w:t>（三）服务人员</w:t>
      </w:r>
    </w:p>
    <w:p w14:paraId="40E1C97F">
      <w:pPr>
        <w:pStyle w:val="6"/>
        <w:spacing w:after="120" w:line="600" w:lineRule="exact"/>
        <w:ind w:firstLine="640" w:firstLineChars="200"/>
        <w:jc w:val="both"/>
        <w:rPr>
          <w:rFonts w:hint="eastAsia" w:ascii="仿宋_GB2312" w:hAnsi="仿宋_GB2312" w:eastAsia="仿宋_GB2312" w:cs="仿宋_GB2312"/>
          <w:b w:val="0"/>
          <w:bCs w:val="0"/>
          <w:kern w:val="0"/>
          <w:sz w:val="32"/>
          <w:szCs w:val="32"/>
          <w:highlight w:val="none"/>
        </w:rPr>
      </w:pPr>
      <w:r>
        <w:rPr>
          <w:rFonts w:hint="eastAsia" w:asciiTheme="minorEastAsia" w:hAnsiTheme="minorEastAsia" w:cstheme="minorEastAsia"/>
          <w:b w:val="0"/>
          <w:bCs w:val="0"/>
          <w:kern w:val="0"/>
          <w:sz w:val="32"/>
          <w:szCs w:val="32"/>
          <w:highlight w:val="none"/>
          <w:lang w:eastAsia="zh-CN"/>
        </w:rPr>
        <w:t>乙方</w:t>
      </w:r>
      <w:r>
        <w:rPr>
          <w:rFonts w:hint="eastAsia" w:asciiTheme="minorEastAsia" w:hAnsiTheme="minorEastAsia" w:eastAsiaTheme="minorEastAsia" w:cstheme="minorEastAsia"/>
          <w:b w:val="0"/>
          <w:bCs w:val="0"/>
          <w:kern w:val="0"/>
          <w:sz w:val="32"/>
          <w:szCs w:val="32"/>
          <w:highlight w:val="none"/>
        </w:rPr>
        <w:t>需具有独立营业执照、安全生产标准化评审资质，具有承接商务行业隐患排查项目2次及以上者优先，具有承接企业安全生产培训和现场隐患排查指导培训项目2次及以上者优先。项目团队人数需15人及以上，且具有中级以上职称，其中项目组成员不得少于5人为高级工程师。</w:t>
      </w:r>
    </w:p>
    <w:p w14:paraId="484301A4">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四、甲方义务</w:t>
      </w:r>
    </w:p>
    <w:p w14:paraId="14912BFB">
      <w:pPr>
        <w:pStyle w:val="6"/>
        <w:spacing w:after="120" w:line="600" w:lineRule="exact"/>
        <w:ind w:firstLine="640" w:firstLineChars="200"/>
        <w:jc w:val="both"/>
        <w:rPr>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甲方划分检查范围，检查家数以甲方验收合格为准。</w:t>
      </w:r>
    </w:p>
    <w:p w14:paraId="03B50347">
      <w:pPr>
        <w:pStyle w:val="6"/>
        <w:spacing w:after="120" w:line="600" w:lineRule="exact"/>
        <w:ind w:firstLine="480" w:firstLineChars="150"/>
        <w:jc w:val="both"/>
        <w:rPr>
          <w:rFonts w:cs="Times New Roman"/>
          <w:b w:val="0"/>
          <w:bCs w:val="0"/>
          <w:sz w:val="32"/>
          <w:szCs w:val="32"/>
          <w:highlight w:val="none"/>
          <w:lang w:eastAsia="zh-CN"/>
        </w:rPr>
      </w:pPr>
      <w:r>
        <w:rPr>
          <w:b w:val="0"/>
          <w:bCs w:val="0"/>
          <w:sz w:val="32"/>
          <w:szCs w:val="32"/>
          <w:highlight w:val="none"/>
          <w:lang w:eastAsia="zh-CN"/>
        </w:rPr>
        <w:t xml:space="preserve"> 2</w:t>
      </w:r>
      <w:r>
        <w:rPr>
          <w:rFonts w:hint="eastAsia"/>
          <w:b w:val="0"/>
          <w:bCs w:val="0"/>
          <w:sz w:val="32"/>
          <w:szCs w:val="32"/>
          <w:highlight w:val="none"/>
          <w:lang w:val="en-US" w:eastAsia="zh-CN"/>
        </w:rPr>
        <w:t>.</w:t>
      </w:r>
      <w:r>
        <w:rPr>
          <w:rFonts w:hint="eastAsia"/>
          <w:b w:val="0"/>
          <w:bCs w:val="0"/>
          <w:sz w:val="32"/>
          <w:szCs w:val="32"/>
          <w:highlight w:val="none"/>
          <w:lang w:eastAsia="zh-CN"/>
        </w:rPr>
        <w:t>甲方在安全技术服务期间安排专人对接，协助乙方开展相应的工作，提供必要的沟通、协调。</w:t>
      </w:r>
    </w:p>
    <w:p w14:paraId="0A9CFE53">
      <w:pPr>
        <w:pStyle w:val="6"/>
        <w:spacing w:after="120" w:line="60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3</w:t>
      </w:r>
      <w:r>
        <w:rPr>
          <w:rFonts w:hint="eastAsia"/>
          <w:b w:val="0"/>
          <w:bCs w:val="0"/>
          <w:sz w:val="32"/>
          <w:szCs w:val="32"/>
          <w:highlight w:val="none"/>
          <w:lang w:val="en-US" w:eastAsia="zh-CN"/>
        </w:rPr>
        <w:t>.</w:t>
      </w:r>
      <w:r>
        <w:rPr>
          <w:rFonts w:hint="eastAsia"/>
          <w:b w:val="0"/>
          <w:bCs w:val="0"/>
          <w:sz w:val="32"/>
          <w:szCs w:val="32"/>
          <w:highlight w:val="none"/>
          <w:lang w:eastAsia="zh-CN"/>
        </w:rPr>
        <w:t>甲方按合同规定对乙方所提供的服务进行验收，验收合格后支付乙方安全技术服务费用。</w:t>
      </w:r>
    </w:p>
    <w:p w14:paraId="43CAC919">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五、付款金额及方式</w:t>
      </w:r>
    </w:p>
    <w:p w14:paraId="4AB77D6F">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安全技术服务费由甲方按照以下原则给付乙方：</w:t>
      </w:r>
    </w:p>
    <w:p w14:paraId="112C2ADC">
      <w:pPr>
        <w:pStyle w:val="6"/>
        <w:spacing w:after="120" w:line="60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服务费用的确定标准为：规模以下餐饮经营单位每家200元，生活服务业经营单位每家</w:t>
      </w:r>
      <w:r>
        <w:rPr>
          <w:rFonts w:hint="eastAsia"/>
          <w:b w:val="0"/>
          <w:bCs w:val="0"/>
          <w:sz w:val="32"/>
          <w:szCs w:val="32"/>
          <w:highlight w:val="none"/>
          <w:lang w:val="en-US" w:eastAsia="zh-CN"/>
        </w:rPr>
        <w:t>200元。</w:t>
      </w:r>
      <w:r>
        <w:rPr>
          <w:rFonts w:hint="eastAsia"/>
          <w:b w:val="0"/>
          <w:bCs w:val="0"/>
          <w:sz w:val="32"/>
          <w:szCs w:val="32"/>
          <w:highlight w:val="none"/>
          <w:lang w:eastAsia="zh-CN"/>
        </w:rPr>
        <w:t>按照预计排查企业数量：</w:t>
      </w:r>
      <w:r>
        <w:rPr>
          <w:rFonts w:hint="eastAsia" w:asciiTheme="minorEastAsia" w:hAnsiTheme="minorEastAsia" w:eastAsiaTheme="minorEastAsia" w:cstheme="minorEastAsia"/>
          <w:b w:val="0"/>
          <w:bCs w:val="0"/>
          <w:sz w:val="32"/>
          <w:szCs w:val="32"/>
          <w:highlight w:val="none"/>
        </w:rPr>
        <w:t>规模以下餐饮经营单位</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eastAsiaTheme="minorEastAsia" w:cstheme="minorEastAsia"/>
          <w:b w:val="0"/>
          <w:bCs w:val="0"/>
          <w:sz w:val="32"/>
          <w:szCs w:val="32"/>
          <w:highlight w:val="none"/>
          <w:u w:val="single"/>
          <w:lang w:val="en-US" w:eastAsia="zh-CN"/>
        </w:rPr>
        <w:t>3000</w:t>
      </w:r>
      <w:r>
        <w:rPr>
          <w:rFonts w:hint="eastAsia" w:asciiTheme="minorEastAsia" w:hAnsiTheme="minorEastAsia" w:eastAsiaTheme="minorEastAsia" w:cstheme="minorEastAsia"/>
          <w:b w:val="0"/>
          <w:bCs w:val="0"/>
          <w:sz w:val="32"/>
          <w:szCs w:val="32"/>
          <w:highlight w:val="none"/>
          <w:u w:val="none"/>
          <w:lang w:val="en-US" w:eastAsia="zh-CN"/>
        </w:rPr>
        <w:t>家次</w:t>
      </w:r>
      <w:r>
        <w:rPr>
          <w:rFonts w:hint="eastAsia" w:asciiTheme="minorEastAsia" w:hAnsiTheme="minorEastAsia" w:eastAsiaTheme="minorEastAsia" w:cstheme="minorEastAsia"/>
          <w:b w:val="0"/>
          <w:bCs w:val="0"/>
          <w:sz w:val="32"/>
          <w:szCs w:val="32"/>
          <w:highlight w:val="none"/>
          <w:lang w:eastAsia="zh-CN"/>
        </w:rPr>
        <w:t>）、生活服务业经营单位（</w:t>
      </w:r>
      <w:r>
        <w:rPr>
          <w:rFonts w:hint="eastAsia" w:asciiTheme="minorEastAsia" w:hAnsiTheme="minorEastAsia" w:eastAsiaTheme="minorEastAsia" w:cstheme="minorEastAsia"/>
          <w:b w:val="0"/>
          <w:bCs w:val="0"/>
          <w:sz w:val="32"/>
          <w:szCs w:val="32"/>
          <w:highlight w:val="none"/>
          <w:u w:val="single"/>
          <w:lang w:val="en-US" w:eastAsia="zh-CN"/>
        </w:rPr>
        <w:t>1000家</w:t>
      </w:r>
      <w:r>
        <w:rPr>
          <w:rFonts w:hint="eastAsia" w:asciiTheme="minorEastAsia" w:hAnsiTheme="minorEastAsia" w:eastAsiaTheme="minorEastAsia" w:cstheme="minorEastAsia"/>
          <w:b w:val="0"/>
          <w:bCs w:val="0"/>
          <w:sz w:val="32"/>
          <w:szCs w:val="32"/>
          <w:highlight w:val="none"/>
          <w:lang w:eastAsia="zh-CN"/>
        </w:rPr>
        <w:t>）</w:t>
      </w:r>
      <w:r>
        <w:rPr>
          <w:rFonts w:hint="eastAsia" w:asciiTheme="minorEastAsia" w:hAnsiTheme="minorEastAsia" w:eastAsiaTheme="minorEastAsia" w:cstheme="minorEastAsia"/>
          <w:b w:val="0"/>
          <w:bCs w:val="0"/>
          <w:sz w:val="32"/>
          <w:szCs w:val="32"/>
          <w:highlight w:val="none"/>
        </w:rPr>
        <w:t>完成隐患排查工作。</w:t>
      </w:r>
      <w:r>
        <w:rPr>
          <w:rFonts w:hint="eastAsia"/>
          <w:b w:val="0"/>
          <w:bCs w:val="0"/>
          <w:sz w:val="32"/>
          <w:szCs w:val="32"/>
          <w:highlight w:val="none"/>
          <w:lang w:eastAsia="zh-CN"/>
        </w:rPr>
        <w:t>合同金额预计为：</w:t>
      </w:r>
      <w:r>
        <w:rPr>
          <w:rFonts w:hint="eastAsia"/>
          <w:b w:val="0"/>
          <w:bCs w:val="0"/>
          <w:sz w:val="32"/>
          <w:szCs w:val="32"/>
          <w:highlight w:val="none"/>
          <w:lang w:val="en-US" w:eastAsia="zh-CN"/>
        </w:rPr>
        <w:t>800000.00元，最终实际结算的排查</w:t>
      </w:r>
      <w:r>
        <w:rPr>
          <w:rFonts w:hint="eastAsia"/>
          <w:b w:val="0"/>
          <w:bCs w:val="0"/>
          <w:sz w:val="32"/>
          <w:szCs w:val="32"/>
          <w:highlight w:val="none"/>
          <w:lang w:eastAsia="zh-CN"/>
        </w:rPr>
        <w:t>企业数量以实际完成并验收合格后的家数为准。</w:t>
      </w:r>
    </w:p>
    <w:p w14:paraId="7EF03592">
      <w:pPr>
        <w:pStyle w:val="6"/>
        <w:spacing w:after="120" w:line="600" w:lineRule="exact"/>
        <w:ind w:firstLine="640" w:firstLineChars="200"/>
        <w:jc w:val="both"/>
        <w:rPr>
          <w:rFonts w:hint="eastAsia"/>
          <w:b w:val="0"/>
          <w:bCs w:val="0"/>
          <w:sz w:val="32"/>
          <w:szCs w:val="32"/>
          <w:highlight w:val="none"/>
          <w:lang w:val="en-US" w:eastAsia="zh-CN"/>
        </w:rPr>
      </w:pPr>
      <w:r>
        <w:rPr>
          <w:b w:val="0"/>
          <w:bCs w:val="0"/>
          <w:sz w:val="32"/>
          <w:szCs w:val="32"/>
          <w:highlight w:val="none"/>
          <w:lang w:eastAsia="zh-CN"/>
        </w:rPr>
        <w:t>2</w:t>
      </w:r>
      <w:r>
        <w:rPr>
          <w:rFonts w:hint="eastAsia"/>
          <w:b w:val="0"/>
          <w:bCs w:val="0"/>
          <w:sz w:val="32"/>
          <w:szCs w:val="32"/>
          <w:highlight w:val="none"/>
          <w:lang w:val="en-US" w:eastAsia="zh-CN"/>
        </w:rPr>
        <w:t>.</w:t>
      </w:r>
      <w:r>
        <w:rPr>
          <w:rFonts w:hint="eastAsia"/>
          <w:b w:val="0"/>
          <w:bCs w:val="0"/>
          <w:sz w:val="32"/>
          <w:szCs w:val="32"/>
          <w:highlight w:val="none"/>
          <w:lang w:eastAsia="zh-CN"/>
        </w:rPr>
        <w:t>服务费用</w:t>
      </w:r>
      <w:r>
        <w:rPr>
          <w:rFonts w:hint="eastAsia"/>
          <w:b w:val="0"/>
          <w:bCs w:val="0"/>
          <w:sz w:val="32"/>
          <w:szCs w:val="32"/>
          <w:highlight w:val="none"/>
          <w:lang w:val="en-US" w:eastAsia="zh-CN"/>
        </w:rPr>
        <w:t>结算</w:t>
      </w:r>
      <w:r>
        <w:rPr>
          <w:rFonts w:hint="eastAsia"/>
          <w:b w:val="0"/>
          <w:bCs w:val="0"/>
          <w:sz w:val="32"/>
          <w:szCs w:val="32"/>
          <w:highlight w:val="none"/>
          <w:lang w:eastAsia="zh-CN"/>
        </w:rPr>
        <w:t>：服务费用分两笔支付。第一笔预付款按照合同预算金额的30%，费用共计</w:t>
      </w:r>
      <w:r>
        <w:rPr>
          <w:rFonts w:hint="eastAsia"/>
          <w:b w:val="0"/>
          <w:bCs w:val="0"/>
          <w:sz w:val="32"/>
          <w:szCs w:val="32"/>
          <w:highlight w:val="none"/>
          <w:lang w:val="en-US" w:eastAsia="zh-CN"/>
        </w:rPr>
        <w:t>240000.00</w:t>
      </w:r>
      <w:r>
        <w:rPr>
          <w:rFonts w:hint="eastAsia"/>
          <w:b w:val="0"/>
          <w:bCs w:val="0"/>
          <w:sz w:val="32"/>
          <w:szCs w:val="32"/>
          <w:highlight w:val="none"/>
          <w:lang w:eastAsia="zh-CN"/>
        </w:rPr>
        <w:t>元（人民币贰拾肆万元整）于合同生效之日起十日内支付；剩余款项按照</w:t>
      </w:r>
      <w:r>
        <w:rPr>
          <w:rFonts w:hint="eastAsia"/>
          <w:b w:val="0"/>
          <w:bCs w:val="0"/>
          <w:sz w:val="32"/>
          <w:szCs w:val="32"/>
          <w:highlight w:val="none"/>
          <w:lang w:val="en-US" w:eastAsia="zh-CN"/>
        </w:rPr>
        <w:t>乙方提交隐患排查报告和三联单</w:t>
      </w:r>
      <w:r>
        <w:rPr>
          <w:rFonts w:hint="eastAsia"/>
          <w:b w:val="0"/>
          <w:bCs w:val="0"/>
          <w:sz w:val="32"/>
          <w:szCs w:val="32"/>
          <w:highlight w:val="none"/>
          <w:lang w:eastAsia="zh-CN"/>
        </w:rPr>
        <w:t>且经甲方确认验收合格的</w:t>
      </w:r>
      <w:r>
        <w:rPr>
          <w:rFonts w:hint="eastAsia"/>
          <w:b w:val="0"/>
          <w:bCs w:val="0"/>
          <w:sz w:val="32"/>
          <w:szCs w:val="32"/>
          <w:highlight w:val="none"/>
          <w:lang w:val="en-US" w:eastAsia="zh-CN"/>
        </w:rPr>
        <w:t>数量结算，于乙方完成所有工作30日内，甲方向乙方支付剩余款项。</w:t>
      </w:r>
    </w:p>
    <w:p w14:paraId="387ADCA1">
      <w:pPr>
        <w:pStyle w:val="6"/>
        <w:spacing w:after="120" w:line="60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3.安全生产顾问及培训工作费用为56268.00元（人民币伍万陆仟贰佰陆拾捌元整），</w:t>
      </w:r>
      <w:r>
        <w:rPr>
          <w:rFonts w:hint="eastAsia"/>
          <w:b w:val="0"/>
          <w:bCs w:val="0"/>
          <w:sz w:val="32"/>
          <w:szCs w:val="32"/>
          <w:highlight w:val="none"/>
          <w:u w:val="single"/>
          <w:lang w:val="en-US" w:eastAsia="zh-CN"/>
        </w:rPr>
        <w:t xml:space="preserve"> 2025 </w:t>
      </w:r>
      <w:r>
        <w:rPr>
          <w:rFonts w:hint="eastAsia"/>
          <w:b w:val="0"/>
          <w:bCs w:val="0"/>
          <w:sz w:val="32"/>
          <w:szCs w:val="32"/>
          <w:highlight w:val="none"/>
          <w:lang w:val="en-US" w:eastAsia="zh-CN"/>
        </w:rPr>
        <w:t>年</w:t>
      </w:r>
      <w:r>
        <w:rPr>
          <w:rFonts w:hint="eastAsia"/>
          <w:b w:val="0"/>
          <w:bCs w:val="0"/>
          <w:sz w:val="32"/>
          <w:szCs w:val="32"/>
          <w:highlight w:val="none"/>
          <w:u w:val="single"/>
          <w:lang w:val="en-US" w:eastAsia="zh-CN"/>
        </w:rPr>
        <w:t xml:space="preserve"> 11 </w:t>
      </w:r>
      <w:r>
        <w:rPr>
          <w:rFonts w:hint="eastAsia"/>
          <w:b w:val="0"/>
          <w:bCs w:val="0"/>
          <w:sz w:val="32"/>
          <w:szCs w:val="32"/>
          <w:highlight w:val="none"/>
          <w:lang w:val="en-US" w:eastAsia="zh-CN"/>
        </w:rPr>
        <w:t>月</w:t>
      </w:r>
      <w:r>
        <w:rPr>
          <w:rFonts w:hint="eastAsia"/>
          <w:b w:val="0"/>
          <w:bCs w:val="0"/>
          <w:sz w:val="32"/>
          <w:szCs w:val="32"/>
          <w:highlight w:val="none"/>
          <w:u w:val="single"/>
          <w:lang w:val="en-US" w:eastAsia="zh-CN"/>
        </w:rPr>
        <w:t xml:space="preserve"> 10 </w:t>
      </w:r>
      <w:r>
        <w:rPr>
          <w:rFonts w:hint="eastAsia"/>
          <w:b w:val="0"/>
          <w:bCs w:val="0"/>
          <w:sz w:val="32"/>
          <w:szCs w:val="32"/>
          <w:highlight w:val="none"/>
          <w:lang w:val="en-US" w:eastAsia="zh-CN"/>
        </w:rPr>
        <w:t xml:space="preserve">日前完成相关工作后一次性支付， </w:t>
      </w:r>
      <w:r>
        <w:rPr>
          <w:rFonts w:hint="eastAsia"/>
          <w:b w:val="0"/>
          <w:bCs w:val="0"/>
          <w:sz w:val="32"/>
          <w:szCs w:val="32"/>
          <w:highlight w:val="none"/>
          <w:u w:val="single"/>
          <w:lang w:val="en-US" w:eastAsia="zh-CN"/>
        </w:rPr>
        <w:t xml:space="preserve"> 2026 </w:t>
      </w:r>
      <w:r>
        <w:rPr>
          <w:rFonts w:hint="eastAsia"/>
          <w:b w:val="0"/>
          <w:bCs w:val="0"/>
          <w:sz w:val="32"/>
          <w:szCs w:val="32"/>
          <w:highlight w:val="none"/>
          <w:lang w:val="en-US" w:eastAsia="zh-CN"/>
        </w:rPr>
        <w:t>年</w:t>
      </w:r>
      <w:r>
        <w:rPr>
          <w:rFonts w:hint="eastAsia"/>
          <w:b w:val="0"/>
          <w:bCs w:val="0"/>
          <w:sz w:val="32"/>
          <w:szCs w:val="32"/>
          <w:highlight w:val="none"/>
          <w:u w:val="single"/>
          <w:lang w:val="en-US" w:eastAsia="zh-CN"/>
        </w:rPr>
        <w:t xml:space="preserve"> 02 </w:t>
      </w:r>
      <w:r>
        <w:rPr>
          <w:rFonts w:hint="eastAsia"/>
          <w:b w:val="0"/>
          <w:bCs w:val="0"/>
          <w:sz w:val="32"/>
          <w:szCs w:val="32"/>
          <w:highlight w:val="none"/>
          <w:lang w:val="en-US" w:eastAsia="zh-CN"/>
        </w:rPr>
        <w:t>月</w:t>
      </w:r>
      <w:r>
        <w:rPr>
          <w:rFonts w:hint="eastAsia"/>
          <w:b w:val="0"/>
          <w:bCs w:val="0"/>
          <w:sz w:val="32"/>
          <w:szCs w:val="32"/>
          <w:highlight w:val="none"/>
          <w:u w:val="single"/>
          <w:lang w:val="en-US" w:eastAsia="zh-CN"/>
        </w:rPr>
        <w:t xml:space="preserve"> 28 </w:t>
      </w:r>
      <w:r>
        <w:rPr>
          <w:rFonts w:hint="eastAsia"/>
          <w:b w:val="0"/>
          <w:bCs w:val="0"/>
          <w:sz w:val="32"/>
          <w:szCs w:val="32"/>
          <w:highlight w:val="none"/>
          <w:lang w:val="en-US" w:eastAsia="zh-CN"/>
        </w:rPr>
        <w:t>日底前完成后续服务工作。</w:t>
      </w:r>
    </w:p>
    <w:p w14:paraId="4D99638A">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乙方开户银行名称和账号为：</w:t>
      </w:r>
    </w:p>
    <w:p w14:paraId="4306A9D9">
      <w:pPr>
        <w:pStyle w:val="6"/>
        <w:spacing w:after="120" w:line="600" w:lineRule="exact"/>
        <w:ind w:left="2238" w:leftChars="304" w:hanging="1600" w:hangingChars="500"/>
        <w:jc w:val="both"/>
        <w:rPr>
          <w:b w:val="0"/>
          <w:bCs w:val="0"/>
          <w:sz w:val="32"/>
          <w:szCs w:val="32"/>
          <w:highlight w:val="none"/>
          <w:lang w:val="en-US" w:eastAsia="zh-CN"/>
        </w:rPr>
      </w:pPr>
      <w:r>
        <w:rPr>
          <w:rFonts w:hint="eastAsia"/>
          <w:b w:val="0"/>
          <w:bCs w:val="0"/>
          <w:sz w:val="32"/>
          <w:szCs w:val="32"/>
          <w:highlight w:val="none"/>
          <w:lang w:eastAsia="zh-CN"/>
        </w:rPr>
        <w:t>收款单位：北京华瑞恒安注册安全工程师事务所有限公司</w:t>
      </w:r>
    </w:p>
    <w:p w14:paraId="1509CF05">
      <w:pPr>
        <w:pStyle w:val="6"/>
        <w:spacing w:after="120" w:line="600" w:lineRule="exact"/>
        <w:ind w:firstLine="640" w:firstLineChars="200"/>
        <w:jc w:val="both"/>
        <w:rPr>
          <w:rFonts w:hint="eastAsia"/>
          <w:b w:val="0"/>
          <w:bCs w:val="0"/>
          <w:sz w:val="32"/>
          <w:szCs w:val="32"/>
          <w:highlight w:val="none"/>
          <w:lang w:eastAsia="zh-CN"/>
        </w:rPr>
      </w:pPr>
      <w:r>
        <w:rPr>
          <w:rFonts w:hint="eastAsia"/>
          <w:b w:val="0"/>
          <w:bCs w:val="0"/>
          <w:sz w:val="32"/>
          <w:szCs w:val="32"/>
          <w:highlight w:val="none"/>
          <w:lang w:eastAsia="zh-CN"/>
        </w:rPr>
        <w:t>开户银行：中国工商银行北京大兴支行</w:t>
      </w:r>
    </w:p>
    <w:p w14:paraId="5100F7F3">
      <w:pPr>
        <w:pStyle w:val="6"/>
        <w:spacing w:after="120" w:line="600" w:lineRule="exact"/>
        <w:ind w:firstLine="640" w:firstLineChars="200"/>
        <w:jc w:val="both"/>
        <w:rPr>
          <w:rFonts w:hint="default" w:ascii="黑体" w:hAnsi="仿宋" w:eastAsia="黑体" w:cs="黑体"/>
          <w:b w:val="0"/>
          <w:bCs w:val="0"/>
          <w:sz w:val="32"/>
          <w:szCs w:val="32"/>
          <w:highlight w:val="none"/>
          <w:lang w:val="en-US" w:eastAsia="zh-CN"/>
        </w:rPr>
      </w:pPr>
      <w:r>
        <w:rPr>
          <w:rFonts w:hint="eastAsia"/>
          <w:b w:val="0"/>
          <w:bCs w:val="0"/>
          <w:sz w:val="32"/>
          <w:szCs w:val="32"/>
          <w:highlight w:val="none"/>
          <w:lang w:eastAsia="zh-CN"/>
        </w:rPr>
        <w:t>账</w:t>
      </w:r>
      <w:r>
        <w:rPr>
          <w:rFonts w:hint="eastAsia"/>
          <w:b w:val="0"/>
          <w:bCs w:val="0"/>
          <w:sz w:val="32"/>
          <w:szCs w:val="32"/>
          <w:highlight w:val="none"/>
          <w:lang w:val="en-US" w:eastAsia="zh-CN"/>
        </w:rPr>
        <w:t xml:space="preserve">    </w:t>
      </w:r>
      <w:r>
        <w:rPr>
          <w:rFonts w:hint="eastAsia"/>
          <w:b w:val="0"/>
          <w:bCs w:val="0"/>
          <w:sz w:val="32"/>
          <w:szCs w:val="32"/>
          <w:highlight w:val="none"/>
          <w:lang w:eastAsia="zh-CN"/>
        </w:rPr>
        <w:t>号：0200262109200007682</w:t>
      </w:r>
    </w:p>
    <w:p w14:paraId="45670EC5">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六、本合同的生效和效力</w:t>
      </w:r>
    </w:p>
    <w:p w14:paraId="1E310C19">
      <w:pPr>
        <w:pStyle w:val="6"/>
        <w:spacing w:after="120" w:line="600" w:lineRule="exact"/>
        <w:ind w:left="105" w:leftChars="50" w:firstLine="480" w:firstLineChars="150"/>
        <w:jc w:val="both"/>
        <w:rPr>
          <w:rFonts w:cs="Times New Roman"/>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本合同自</w:t>
      </w:r>
      <w:r>
        <w:rPr>
          <w:rFonts w:hint="eastAsia"/>
          <w:b w:val="0"/>
          <w:bCs w:val="0"/>
          <w:sz w:val="32"/>
          <w:szCs w:val="32"/>
          <w:highlight w:val="none"/>
          <w:u w:val="single"/>
          <w:lang w:val="en-US" w:eastAsia="zh-CN"/>
        </w:rPr>
        <w:t xml:space="preserve"> </w:t>
      </w:r>
      <w:r>
        <w:rPr>
          <w:rFonts w:hint="eastAsia"/>
          <w:b w:val="0"/>
          <w:bCs w:val="0"/>
          <w:sz w:val="32"/>
          <w:szCs w:val="32"/>
          <w:highlight w:val="none"/>
          <w:u w:val="single"/>
          <w:lang w:eastAsia="zh-CN"/>
        </w:rPr>
        <w:t>202</w:t>
      </w:r>
      <w:r>
        <w:rPr>
          <w:rFonts w:hint="eastAsia"/>
          <w:b w:val="0"/>
          <w:bCs w:val="0"/>
          <w:sz w:val="32"/>
          <w:szCs w:val="32"/>
          <w:highlight w:val="none"/>
          <w:u w:val="single"/>
          <w:lang w:val="en-US" w:eastAsia="zh-CN"/>
        </w:rPr>
        <w:t xml:space="preserve">5 </w:t>
      </w:r>
      <w:r>
        <w:rPr>
          <w:rFonts w:hint="eastAsia"/>
          <w:b w:val="0"/>
          <w:bCs w:val="0"/>
          <w:sz w:val="32"/>
          <w:szCs w:val="32"/>
          <w:highlight w:val="none"/>
          <w:lang w:eastAsia="zh-CN"/>
        </w:rPr>
        <w:t>年</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 xml:space="preserve">   </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月</w:t>
      </w:r>
      <w:r>
        <w:rPr>
          <w:rFonts w:hint="eastAsia"/>
          <w:b w:val="0"/>
          <w:bCs w:val="0"/>
          <w:sz w:val="32"/>
          <w:szCs w:val="32"/>
          <w:highlight w:val="none"/>
          <w:u w:val="single"/>
          <w:lang w:eastAsia="zh-CN"/>
        </w:rPr>
        <w:t xml:space="preserve"> </w:t>
      </w:r>
      <w:r>
        <w:rPr>
          <w:rFonts w:hint="eastAsia"/>
          <w:b w:val="0"/>
          <w:bCs w:val="0"/>
          <w:sz w:val="32"/>
          <w:szCs w:val="32"/>
          <w:highlight w:val="none"/>
          <w:u w:val="single"/>
          <w:lang w:val="en-US" w:eastAsia="zh-CN"/>
        </w:rPr>
        <w:t xml:space="preserve">   </w:t>
      </w:r>
      <w:r>
        <w:rPr>
          <w:rFonts w:hint="eastAsia"/>
          <w:b w:val="0"/>
          <w:bCs w:val="0"/>
          <w:sz w:val="32"/>
          <w:szCs w:val="32"/>
          <w:highlight w:val="none"/>
          <w:u w:val="single"/>
          <w:lang w:eastAsia="zh-CN"/>
        </w:rPr>
        <w:t xml:space="preserve"> </w:t>
      </w:r>
      <w:r>
        <w:rPr>
          <w:rFonts w:hint="eastAsia"/>
          <w:b w:val="0"/>
          <w:bCs w:val="0"/>
          <w:sz w:val="32"/>
          <w:szCs w:val="32"/>
          <w:highlight w:val="none"/>
          <w:lang w:eastAsia="zh-CN"/>
        </w:rPr>
        <w:t>日签订，</w:t>
      </w:r>
      <w:r>
        <w:rPr>
          <w:rFonts w:hint="eastAsia"/>
          <w:b w:val="0"/>
          <w:bCs w:val="0"/>
          <w:sz w:val="32"/>
          <w:szCs w:val="32"/>
          <w:highlight w:val="none"/>
          <w:u w:val="single"/>
          <w:lang w:val="en-US" w:eastAsia="zh-CN"/>
        </w:rPr>
        <w:t xml:space="preserve"> </w:t>
      </w:r>
      <w:r>
        <w:rPr>
          <w:rFonts w:hint="eastAsia"/>
          <w:b w:val="0"/>
          <w:bCs w:val="0"/>
          <w:sz w:val="32"/>
          <w:szCs w:val="32"/>
          <w:highlight w:val="none"/>
          <w:u w:val="single"/>
          <w:lang w:eastAsia="zh-CN"/>
        </w:rPr>
        <w:t>202</w:t>
      </w:r>
      <w:r>
        <w:rPr>
          <w:rFonts w:hint="eastAsia"/>
          <w:b w:val="0"/>
          <w:bCs w:val="0"/>
          <w:sz w:val="32"/>
          <w:szCs w:val="32"/>
          <w:highlight w:val="none"/>
          <w:u w:val="single"/>
          <w:lang w:val="en-US" w:eastAsia="zh-CN"/>
        </w:rPr>
        <w:t xml:space="preserve">6 </w:t>
      </w:r>
      <w:r>
        <w:rPr>
          <w:rFonts w:hint="eastAsia"/>
          <w:b w:val="0"/>
          <w:bCs w:val="0"/>
          <w:sz w:val="32"/>
          <w:szCs w:val="32"/>
          <w:highlight w:val="none"/>
          <w:lang w:eastAsia="zh-CN"/>
        </w:rPr>
        <w:t>年</w:t>
      </w:r>
      <w:r>
        <w:rPr>
          <w:rFonts w:hint="eastAsia"/>
          <w:b w:val="0"/>
          <w:bCs w:val="0"/>
          <w:sz w:val="32"/>
          <w:szCs w:val="32"/>
          <w:highlight w:val="none"/>
          <w:u w:val="single"/>
          <w:lang w:val="en-US" w:eastAsia="zh-CN"/>
        </w:rPr>
        <w:t>02</w:t>
      </w:r>
      <w:r>
        <w:rPr>
          <w:rFonts w:hint="eastAsia"/>
          <w:b w:val="0"/>
          <w:bCs w:val="0"/>
          <w:sz w:val="32"/>
          <w:szCs w:val="32"/>
          <w:highlight w:val="none"/>
          <w:lang w:eastAsia="zh-CN"/>
        </w:rPr>
        <w:t>月</w:t>
      </w:r>
      <w:r>
        <w:rPr>
          <w:rFonts w:hint="eastAsia"/>
          <w:b w:val="0"/>
          <w:bCs w:val="0"/>
          <w:sz w:val="32"/>
          <w:szCs w:val="32"/>
          <w:highlight w:val="none"/>
          <w:u w:val="single"/>
          <w:lang w:val="en-US" w:eastAsia="zh-CN"/>
        </w:rPr>
        <w:t xml:space="preserve"> 28 </w:t>
      </w:r>
      <w:r>
        <w:rPr>
          <w:rFonts w:hint="eastAsia"/>
          <w:b w:val="0"/>
          <w:bCs w:val="0"/>
          <w:sz w:val="32"/>
          <w:szCs w:val="32"/>
          <w:highlight w:val="none"/>
          <w:lang w:eastAsia="zh-CN"/>
        </w:rPr>
        <w:t>日终止。</w:t>
      </w:r>
    </w:p>
    <w:p w14:paraId="6EFCFEFB">
      <w:pPr>
        <w:pStyle w:val="6"/>
        <w:spacing w:after="120" w:line="600" w:lineRule="exact"/>
        <w:ind w:firstLine="640" w:firstLineChars="200"/>
        <w:jc w:val="both"/>
        <w:rPr>
          <w:rFonts w:hint="eastAsia"/>
          <w:b w:val="0"/>
          <w:bCs w:val="0"/>
          <w:sz w:val="32"/>
          <w:szCs w:val="32"/>
          <w:highlight w:val="none"/>
          <w:lang w:eastAsia="zh-CN"/>
        </w:rPr>
      </w:pPr>
      <w:r>
        <w:rPr>
          <w:rFonts w:hint="eastAsia"/>
          <w:b w:val="0"/>
          <w:bCs w:val="0"/>
          <w:sz w:val="32"/>
          <w:szCs w:val="32"/>
          <w:highlight w:val="none"/>
          <w:lang w:val="en-US" w:eastAsia="zh-CN"/>
        </w:rPr>
        <w:t>2.</w:t>
      </w:r>
      <w:r>
        <w:rPr>
          <w:rFonts w:hint="eastAsia"/>
          <w:b w:val="0"/>
          <w:bCs w:val="0"/>
          <w:sz w:val="32"/>
          <w:szCs w:val="32"/>
          <w:highlight w:val="none"/>
          <w:lang w:eastAsia="zh-CN"/>
        </w:rPr>
        <w:t>本合同正本一式肆份，甲方持叁份，乙方持有壹份。合同文本对甲乙双方均具有同等约束力。</w:t>
      </w:r>
    </w:p>
    <w:p w14:paraId="38B2F47E">
      <w:pPr>
        <w:pStyle w:val="6"/>
        <w:spacing w:after="120" w:line="60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3.协议期满经双方协商一致，可续订本协议。</w:t>
      </w:r>
    </w:p>
    <w:p w14:paraId="7AEAA09E">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七、违约责任</w:t>
      </w:r>
    </w:p>
    <w:p w14:paraId="12D7956F">
      <w:pPr>
        <w:pStyle w:val="6"/>
        <w:spacing w:after="120" w:line="560" w:lineRule="exact"/>
        <w:ind w:firstLine="640" w:firstLineChars="200"/>
        <w:jc w:val="both"/>
        <w:rPr>
          <w:b w:val="0"/>
          <w:bCs w:val="0"/>
          <w:sz w:val="32"/>
          <w:szCs w:val="32"/>
          <w:highlight w:val="none"/>
          <w:lang w:eastAsia="zh-CN"/>
        </w:rPr>
      </w:pPr>
      <w:r>
        <w:rPr>
          <w:rFonts w:hint="eastAsia"/>
          <w:b w:val="0"/>
          <w:bCs w:val="0"/>
          <w:sz w:val="32"/>
          <w:szCs w:val="32"/>
          <w:highlight w:val="none"/>
          <w:lang w:val="en-US" w:eastAsia="zh-CN"/>
        </w:rPr>
        <w:t>1.</w:t>
      </w:r>
      <w:r>
        <w:rPr>
          <w:rFonts w:hint="eastAsia"/>
          <w:b w:val="0"/>
          <w:bCs w:val="0"/>
          <w:sz w:val="32"/>
          <w:szCs w:val="32"/>
          <w:highlight w:val="none"/>
          <w:lang w:eastAsia="zh-CN"/>
        </w:rPr>
        <w:t>在本合同有效期限内，乙方如有违约行为，经甲方提出后，乙方未立即改正，甲方则有权单方面解除合同，如给甲方造成声誉和经济上的损失，应由乙方全额赔偿，甲方有权按经济损失总额的1</w:t>
      </w:r>
      <w:r>
        <w:rPr>
          <w:b w:val="0"/>
          <w:bCs w:val="0"/>
          <w:sz w:val="32"/>
          <w:szCs w:val="32"/>
          <w:highlight w:val="none"/>
          <w:lang w:eastAsia="zh-CN"/>
        </w:rPr>
        <w:t>0%</w:t>
      </w:r>
      <w:r>
        <w:rPr>
          <w:rFonts w:hint="eastAsia"/>
          <w:b w:val="0"/>
          <w:bCs w:val="0"/>
          <w:sz w:val="32"/>
          <w:szCs w:val="32"/>
          <w:highlight w:val="none"/>
          <w:lang w:eastAsia="zh-CN"/>
        </w:rPr>
        <w:t>主张违约金。</w:t>
      </w:r>
    </w:p>
    <w:p w14:paraId="693F396E">
      <w:pPr>
        <w:pStyle w:val="6"/>
        <w:spacing w:after="120" w:line="600" w:lineRule="exact"/>
        <w:ind w:firstLine="640" w:firstLineChars="200"/>
        <w:jc w:val="both"/>
        <w:rPr>
          <w:b w:val="0"/>
          <w:bCs w:val="0"/>
          <w:sz w:val="32"/>
          <w:szCs w:val="32"/>
          <w:highlight w:val="none"/>
          <w:lang w:val="en-US" w:eastAsia="zh-CN"/>
        </w:rPr>
      </w:pPr>
      <w:r>
        <w:rPr>
          <w:rFonts w:hint="eastAsia"/>
          <w:b w:val="0"/>
          <w:bCs w:val="0"/>
          <w:sz w:val="32"/>
          <w:szCs w:val="32"/>
          <w:highlight w:val="none"/>
          <w:lang w:val="en-US" w:eastAsia="zh-CN"/>
        </w:rPr>
        <w:t>2.如乙方未按照本合同约定的内容履行相关义务或所提供的服务人员不具有相关资质，甲方有权要求解除合同，不支付相关服务费用，并有权按合同金额的5%主张违约金。如给甲方造成其他损失，甲方有权要求赔偿。</w:t>
      </w:r>
    </w:p>
    <w:p w14:paraId="6D608498">
      <w:pPr>
        <w:pStyle w:val="6"/>
        <w:spacing w:after="120" w:line="600" w:lineRule="exact"/>
        <w:ind w:firstLine="640" w:firstLineChars="200"/>
        <w:jc w:val="both"/>
        <w:rPr>
          <w:b w:val="0"/>
          <w:bCs w:val="0"/>
          <w:sz w:val="32"/>
          <w:szCs w:val="32"/>
          <w:highlight w:val="none"/>
          <w:lang w:val="en-US" w:eastAsia="zh-CN"/>
        </w:rPr>
      </w:pPr>
      <w:r>
        <w:rPr>
          <w:rFonts w:hint="eastAsia"/>
          <w:b w:val="0"/>
          <w:bCs w:val="0"/>
          <w:sz w:val="32"/>
          <w:szCs w:val="32"/>
          <w:highlight w:val="none"/>
          <w:lang w:val="en-US" w:eastAsia="zh-CN"/>
        </w:rPr>
        <w:t>3.如乙方未在本合同约定的期限内完成合同相关的义务，每延迟一日，按合同金额的3％向甲方支付违约金的。延迟履行超过15天的，甲方有权解除合同，乙方应退回甲方已支付的合同款项。</w:t>
      </w:r>
    </w:p>
    <w:p w14:paraId="46EC41A7">
      <w:pPr>
        <w:pStyle w:val="6"/>
        <w:spacing w:after="120" w:line="60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4.如乙方向甲方提供虚假现场记录或书面报告等材料，甲方有权解除合同，乙方应退回甲方已支付的合同款项并甲方有权按合同金额的10%主张违约金。</w:t>
      </w:r>
    </w:p>
    <w:p w14:paraId="5D8EB620">
      <w:pPr>
        <w:pStyle w:val="6"/>
        <w:spacing w:after="120" w:line="600" w:lineRule="exact"/>
        <w:ind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八、保密义务</w:t>
      </w:r>
    </w:p>
    <w:p w14:paraId="2A4C5A49">
      <w:pPr>
        <w:pStyle w:val="6"/>
        <w:spacing w:after="120" w:line="60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1.甲乙双方对本协议的内容，以及在本协议履行过程中获得的对方信息，均负有保密的义务。除双方另有约定外，保密信息包括但不限于本协议报价、协议文本、企业的基本信息、以及双方标有保密字样的往来文件等；保密义务是指在未经对方书面同意前，一方不得用于任何与履行本协议无关的事项，或以任何形式向任何第三方泄漏，双方均有义务尽其一切努力防止任何第三方窃取秘密信息。</w:t>
      </w:r>
    </w:p>
    <w:p w14:paraId="7F5937C7">
      <w:pPr>
        <w:pStyle w:val="6"/>
        <w:spacing w:after="120" w:line="600" w:lineRule="exact"/>
        <w:ind w:firstLine="640" w:firstLineChars="200"/>
        <w:jc w:val="both"/>
        <w:rPr>
          <w:rFonts w:hint="eastAsia"/>
          <w:b w:val="0"/>
          <w:bCs w:val="0"/>
          <w:sz w:val="32"/>
          <w:szCs w:val="32"/>
          <w:highlight w:val="none"/>
          <w:lang w:val="en-US" w:eastAsia="zh-CN"/>
        </w:rPr>
      </w:pPr>
      <w:r>
        <w:rPr>
          <w:rFonts w:hint="eastAsia"/>
          <w:b w:val="0"/>
          <w:bCs w:val="0"/>
          <w:sz w:val="32"/>
          <w:szCs w:val="32"/>
          <w:highlight w:val="none"/>
          <w:lang w:val="en-US" w:eastAsia="zh-CN"/>
        </w:rPr>
        <w:t>2.任何一方违反以上保密义务给对方造成损失，违约方对受损失方负有停止侵害、消除影响、赔偿损失的责任。</w:t>
      </w:r>
    </w:p>
    <w:p w14:paraId="63DC8AE7">
      <w:pPr>
        <w:pStyle w:val="6"/>
        <w:spacing w:after="120" w:line="600" w:lineRule="exact"/>
        <w:ind w:firstLine="640" w:firstLineChars="200"/>
        <w:jc w:val="both"/>
        <w:rPr>
          <w:rFonts w:hint="eastAsia" w:ascii="黑体" w:hAnsi="仿宋" w:eastAsia="黑体" w:cs="黑体"/>
          <w:b w:val="0"/>
          <w:bCs w:val="0"/>
          <w:sz w:val="32"/>
          <w:szCs w:val="32"/>
          <w:highlight w:val="none"/>
          <w:lang w:eastAsia="zh-CN"/>
        </w:rPr>
      </w:pPr>
      <w:r>
        <w:rPr>
          <w:rFonts w:hint="eastAsia" w:asciiTheme="minorEastAsia" w:hAnsiTheme="minorEastAsia" w:eastAsiaTheme="minorEastAsia" w:cstheme="minorEastAsia"/>
          <w:b w:val="0"/>
          <w:bCs w:val="0"/>
          <w:sz w:val="32"/>
          <w:szCs w:val="32"/>
          <w:highlight w:val="none"/>
          <w:lang w:val="en-US" w:eastAsia="zh-CN"/>
        </w:rPr>
        <w:t>3.乙方在履行本协议中获得的电子、纸质资料，合同终止后按照甲方要求交还甲方。</w:t>
      </w:r>
    </w:p>
    <w:p w14:paraId="339E9172">
      <w:pPr>
        <w:pStyle w:val="6"/>
        <w:spacing w:after="120" w:line="600" w:lineRule="exact"/>
        <w:ind w:firstLine="640" w:firstLineChars="200"/>
        <w:jc w:val="both"/>
        <w:rPr>
          <w:rFonts w:ascii="黑体" w:hAnsi="仿宋" w:eastAsia="黑体" w:cs="Times New Roman"/>
          <w:b w:val="0"/>
          <w:bCs w:val="0"/>
          <w:sz w:val="32"/>
          <w:szCs w:val="32"/>
          <w:highlight w:val="none"/>
          <w:lang w:eastAsia="zh-CN"/>
        </w:rPr>
      </w:pPr>
      <w:r>
        <w:rPr>
          <w:rFonts w:hint="eastAsia" w:ascii="黑体" w:hAnsi="仿宋" w:eastAsia="黑体" w:cs="黑体"/>
          <w:b w:val="0"/>
          <w:bCs w:val="0"/>
          <w:sz w:val="32"/>
          <w:szCs w:val="32"/>
          <w:highlight w:val="none"/>
          <w:lang w:eastAsia="zh-CN"/>
        </w:rPr>
        <w:t>九、其它责任</w:t>
      </w:r>
    </w:p>
    <w:p w14:paraId="6A22353D">
      <w:pPr>
        <w:pStyle w:val="6"/>
        <w:spacing w:after="120" w:line="60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1</w:t>
      </w:r>
      <w:r>
        <w:rPr>
          <w:rFonts w:hint="eastAsia"/>
          <w:b w:val="0"/>
          <w:bCs w:val="0"/>
          <w:sz w:val="32"/>
          <w:szCs w:val="32"/>
          <w:highlight w:val="none"/>
          <w:lang w:val="en-US" w:eastAsia="zh-CN"/>
        </w:rPr>
        <w:t>.</w:t>
      </w:r>
      <w:r>
        <w:rPr>
          <w:rFonts w:hint="eastAsia"/>
          <w:b w:val="0"/>
          <w:bCs w:val="0"/>
          <w:sz w:val="32"/>
          <w:szCs w:val="32"/>
          <w:highlight w:val="none"/>
          <w:lang w:eastAsia="zh-CN"/>
        </w:rPr>
        <w:t>在本合同有效期限内，乙方工作人员在为甲方提供安全技术服务过程中，非因甲方责任造成乙方人员伤害或第三方人员人身伤害或意外伤害，均由乙方负责，如甲方为此承担责任可向乙方追偿。</w:t>
      </w:r>
    </w:p>
    <w:p w14:paraId="5E0DC22D">
      <w:pPr>
        <w:pStyle w:val="6"/>
        <w:spacing w:after="120" w:line="600" w:lineRule="exact"/>
        <w:ind w:firstLine="640" w:firstLineChars="200"/>
        <w:jc w:val="both"/>
        <w:rPr>
          <w:rFonts w:cs="Times New Roman"/>
          <w:b w:val="0"/>
          <w:bCs w:val="0"/>
          <w:sz w:val="32"/>
          <w:szCs w:val="32"/>
          <w:highlight w:val="none"/>
          <w:lang w:eastAsia="zh-CN"/>
        </w:rPr>
      </w:pPr>
      <w:r>
        <w:rPr>
          <w:b w:val="0"/>
          <w:bCs w:val="0"/>
          <w:sz w:val="32"/>
          <w:szCs w:val="32"/>
          <w:highlight w:val="none"/>
          <w:lang w:eastAsia="zh-CN"/>
        </w:rPr>
        <w:t>2</w:t>
      </w:r>
      <w:r>
        <w:rPr>
          <w:rFonts w:hint="eastAsia"/>
          <w:b w:val="0"/>
          <w:bCs w:val="0"/>
          <w:sz w:val="32"/>
          <w:szCs w:val="32"/>
          <w:highlight w:val="none"/>
          <w:lang w:val="en-US" w:eastAsia="zh-CN"/>
        </w:rPr>
        <w:t>.</w:t>
      </w:r>
      <w:r>
        <w:rPr>
          <w:rFonts w:hint="eastAsia"/>
          <w:b w:val="0"/>
          <w:bCs w:val="0"/>
          <w:sz w:val="32"/>
          <w:szCs w:val="32"/>
          <w:highlight w:val="none"/>
          <w:lang w:eastAsia="zh-CN"/>
        </w:rPr>
        <w:t>在本合同有效期限内，甲方应为乙方提供法律依据及授权，乙方工作人员在法律授权范围内开展技术服务，超出双方约定服务范围的造成不良后果的由乙方负责。</w:t>
      </w:r>
    </w:p>
    <w:p w14:paraId="5A886CD5">
      <w:pPr>
        <w:pStyle w:val="6"/>
        <w:spacing w:after="120" w:line="600" w:lineRule="exact"/>
        <w:ind w:firstLine="640" w:firstLineChars="200"/>
        <w:jc w:val="both"/>
        <w:rPr>
          <w:b w:val="0"/>
          <w:bCs w:val="0"/>
          <w:sz w:val="32"/>
          <w:szCs w:val="32"/>
          <w:highlight w:val="none"/>
          <w:lang w:eastAsia="zh-CN"/>
        </w:rPr>
      </w:pPr>
      <w:r>
        <w:rPr>
          <w:b w:val="0"/>
          <w:bCs w:val="0"/>
          <w:sz w:val="32"/>
          <w:szCs w:val="32"/>
          <w:highlight w:val="none"/>
          <w:lang w:eastAsia="zh-CN"/>
        </w:rPr>
        <w:t>3</w:t>
      </w:r>
      <w:r>
        <w:rPr>
          <w:rFonts w:hint="eastAsia"/>
          <w:b w:val="0"/>
          <w:bCs w:val="0"/>
          <w:sz w:val="32"/>
          <w:szCs w:val="32"/>
          <w:highlight w:val="none"/>
          <w:lang w:val="en-US" w:eastAsia="zh-CN"/>
        </w:rPr>
        <w:t>.</w:t>
      </w:r>
      <w:r>
        <w:rPr>
          <w:rFonts w:hint="eastAsia"/>
          <w:b w:val="0"/>
          <w:bCs w:val="0"/>
          <w:sz w:val="32"/>
          <w:szCs w:val="32"/>
          <w:highlight w:val="none"/>
          <w:lang w:eastAsia="zh-CN"/>
        </w:rPr>
        <w:t>甲乙双方本着互惠互谅的原则，友好协商，如双方协商不成，可向甲方所在地法院起诉。</w:t>
      </w:r>
    </w:p>
    <w:p w14:paraId="66CEEA3C">
      <w:pPr>
        <w:pStyle w:val="6"/>
        <w:spacing w:after="120" w:line="600" w:lineRule="exact"/>
        <w:ind w:firstLine="641" w:firstLineChars="200"/>
        <w:jc w:val="both"/>
        <w:rPr>
          <w:bCs w:val="0"/>
          <w:sz w:val="32"/>
          <w:szCs w:val="32"/>
          <w:highlight w:val="none"/>
          <w:lang w:eastAsia="zh-CN"/>
        </w:rPr>
      </w:pPr>
      <w:r>
        <w:rPr>
          <w:rFonts w:hint="eastAsia"/>
          <w:bCs w:val="0"/>
          <w:sz w:val="32"/>
          <w:szCs w:val="32"/>
          <w:highlight w:val="none"/>
          <w:lang w:eastAsia="zh-CN"/>
        </w:rPr>
        <w:t>十、备注</w:t>
      </w:r>
    </w:p>
    <w:p w14:paraId="087BF2B0">
      <w:pPr>
        <w:pStyle w:val="6"/>
        <w:spacing w:after="120" w:line="600" w:lineRule="exact"/>
        <w:ind w:firstLine="640" w:firstLineChars="200"/>
        <w:jc w:val="both"/>
        <w:rPr>
          <w:rFonts w:hint="eastAsia"/>
          <w:b w:val="0"/>
          <w:bCs w:val="0"/>
          <w:sz w:val="32"/>
          <w:szCs w:val="32"/>
          <w:highlight w:val="none"/>
          <w:lang w:eastAsia="zh-CN"/>
        </w:rPr>
      </w:pPr>
      <w:r>
        <w:rPr>
          <w:rFonts w:hint="eastAsia" w:cs="Times New Roman"/>
          <w:b w:val="0"/>
          <w:bCs w:val="0"/>
          <w:sz w:val="32"/>
          <w:szCs w:val="32"/>
          <w:highlight w:val="none"/>
          <w:lang w:eastAsia="zh-CN"/>
        </w:rPr>
        <w:t>合同中“规模以下餐饮经营单位”指建筑面积500平方米以下的餐饮经营单位，生活服务业是指家电维修、洗染、美容美发、家政、人像摄影、洗浴、便利店等经营单位。</w:t>
      </w:r>
    </w:p>
    <w:p w14:paraId="7F705126">
      <w:pPr>
        <w:pStyle w:val="6"/>
        <w:spacing w:after="120" w:line="600" w:lineRule="exact"/>
        <w:ind w:firstLine="0" w:firstLineChars="0"/>
        <w:jc w:val="both"/>
        <w:rPr>
          <w:rFonts w:cs="Times New Roman"/>
          <w:b w:val="0"/>
          <w:bCs w:val="0"/>
          <w:sz w:val="32"/>
          <w:szCs w:val="32"/>
          <w:highlight w:val="none"/>
          <w:lang w:eastAsia="zh-CN"/>
        </w:rPr>
      </w:pPr>
      <w:r>
        <w:rPr>
          <w:rFonts w:hint="eastAsia"/>
          <w:b w:val="0"/>
          <w:bCs w:val="0"/>
          <w:sz w:val="32"/>
          <w:szCs w:val="32"/>
          <w:highlight w:val="none"/>
          <w:lang w:eastAsia="zh-CN"/>
        </w:rPr>
        <w:t>甲方（委托方）：</w:t>
      </w:r>
      <w:r>
        <w:rPr>
          <w:rFonts w:hint="eastAsia"/>
          <w:b w:val="0"/>
          <w:bCs w:val="0"/>
          <w:sz w:val="32"/>
          <w:szCs w:val="32"/>
          <w:highlight w:val="none"/>
          <w:lang w:val="en-US" w:eastAsia="zh-CN"/>
        </w:rPr>
        <w:t>北京市海淀区商务局</w:t>
      </w:r>
    </w:p>
    <w:p w14:paraId="0FC30521">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授权代表：李少丹</w:t>
      </w:r>
    </w:p>
    <w:p w14:paraId="3516BC46">
      <w:pPr>
        <w:pStyle w:val="6"/>
        <w:spacing w:after="120" w:line="600" w:lineRule="exact"/>
        <w:ind w:firstLine="640" w:firstLineChars="200"/>
        <w:jc w:val="both"/>
        <w:rPr>
          <w:b w:val="0"/>
          <w:bCs w:val="0"/>
          <w:sz w:val="32"/>
          <w:szCs w:val="32"/>
          <w:highlight w:val="none"/>
          <w:lang w:eastAsia="zh-CN"/>
        </w:rPr>
      </w:pPr>
      <w:r>
        <w:rPr>
          <w:rFonts w:hint="eastAsia"/>
          <w:b w:val="0"/>
          <w:bCs w:val="0"/>
          <w:sz w:val="32"/>
          <w:szCs w:val="32"/>
          <w:highlight w:val="none"/>
          <w:lang w:eastAsia="zh-CN"/>
        </w:rPr>
        <w:t>地址：北京市海淀区四季青路6号招商大厦四层东侧</w:t>
      </w:r>
    </w:p>
    <w:p w14:paraId="7449EFE2">
      <w:pPr>
        <w:pStyle w:val="6"/>
        <w:spacing w:after="120" w:line="600" w:lineRule="exact"/>
        <w:ind w:firstLine="640" w:firstLineChars="200"/>
        <w:jc w:val="both"/>
        <w:rPr>
          <w:rFonts w:cs="Times New Roman"/>
          <w:b w:val="0"/>
          <w:bCs w:val="0"/>
          <w:sz w:val="32"/>
          <w:szCs w:val="32"/>
          <w:highlight w:val="none"/>
          <w:lang w:eastAsia="zh-CN"/>
        </w:rPr>
      </w:pPr>
      <w:r>
        <w:rPr>
          <w:rFonts w:hint="eastAsia"/>
          <w:b w:val="0"/>
          <w:bCs w:val="0"/>
          <w:sz w:val="32"/>
          <w:szCs w:val="32"/>
          <w:highlight w:val="none"/>
          <w:lang w:eastAsia="zh-CN"/>
        </w:rPr>
        <w:t>邮政编码：100195</w:t>
      </w:r>
    </w:p>
    <w:p w14:paraId="658E5AC9">
      <w:pPr>
        <w:pStyle w:val="6"/>
        <w:spacing w:after="120" w:line="600" w:lineRule="exact"/>
        <w:ind w:firstLine="640" w:firstLineChars="200"/>
        <w:jc w:val="both"/>
        <w:rPr>
          <w:rFonts w:hint="default"/>
          <w:b w:val="0"/>
          <w:bCs w:val="0"/>
          <w:sz w:val="32"/>
          <w:szCs w:val="32"/>
          <w:highlight w:val="none"/>
          <w:lang w:val="en-US" w:eastAsia="zh-CN"/>
        </w:rPr>
      </w:pPr>
      <w:r>
        <w:rPr>
          <w:rFonts w:hint="eastAsia"/>
          <w:b w:val="0"/>
          <w:bCs w:val="0"/>
          <w:sz w:val="32"/>
          <w:szCs w:val="32"/>
          <w:highlight w:val="none"/>
          <w:lang w:eastAsia="zh-CN"/>
        </w:rPr>
        <w:t>有效联系方式：010-8849</w:t>
      </w:r>
      <w:r>
        <w:rPr>
          <w:rFonts w:hint="eastAsia"/>
          <w:b w:val="0"/>
          <w:bCs w:val="0"/>
          <w:sz w:val="32"/>
          <w:szCs w:val="32"/>
          <w:highlight w:val="none"/>
          <w:lang w:val="en-US" w:eastAsia="zh-CN"/>
        </w:rPr>
        <w:t>7370</w:t>
      </w:r>
    </w:p>
    <w:p w14:paraId="301D7430">
      <w:pPr>
        <w:pStyle w:val="6"/>
        <w:spacing w:after="120" w:line="600" w:lineRule="exact"/>
        <w:ind w:left="3205" w:leftChars="307" w:hanging="2560" w:hangingChars="800"/>
        <w:jc w:val="both"/>
        <w:rPr>
          <w:b w:val="0"/>
          <w:bCs w:val="0"/>
          <w:sz w:val="32"/>
          <w:szCs w:val="32"/>
          <w:highlight w:val="none"/>
          <w:lang w:eastAsia="zh-CN"/>
        </w:rPr>
      </w:pPr>
      <w:r>
        <w:rPr>
          <w:rFonts w:hint="eastAsia"/>
          <w:b w:val="0"/>
          <w:bCs w:val="0"/>
          <w:sz w:val="32"/>
          <w:szCs w:val="32"/>
          <w:highlight w:val="none"/>
          <w:lang w:eastAsia="zh-CN"/>
        </w:rPr>
        <w:t>乙方（受托方）：北京华瑞恒安注册安全工程师事务所有限公司</w:t>
      </w:r>
    </w:p>
    <w:p w14:paraId="06F2058F">
      <w:pPr>
        <w:pStyle w:val="6"/>
        <w:spacing w:after="120" w:line="600" w:lineRule="exact"/>
        <w:ind w:firstLine="640" w:firstLineChars="200"/>
        <w:jc w:val="both"/>
        <w:rPr>
          <w:rFonts w:hint="default"/>
          <w:b w:val="0"/>
          <w:bCs w:val="0"/>
          <w:sz w:val="32"/>
          <w:szCs w:val="32"/>
          <w:highlight w:val="none"/>
          <w:lang w:val="en-US" w:eastAsia="zh-CN"/>
        </w:rPr>
      </w:pPr>
      <w:r>
        <w:rPr>
          <w:rFonts w:hint="eastAsia"/>
          <w:b w:val="0"/>
          <w:bCs w:val="0"/>
          <w:sz w:val="32"/>
          <w:szCs w:val="32"/>
          <w:highlight w:val="none"/>
          <w:lang w:eastAsia="zh-CN"/>
        </w:rPr>
        <w:t>授权代表：</w:t>
      </w:r>
      <w:r>
        <w:rPr>
          <w:rFonts w:hint="eastAsia"/>
          <w:b w:val="0"/>
          <w:bCs w:val="0"/>
          <w:sz w:val="32"/>
          <w:szCs w:val="32"/>
          <w:highlight w:val="none"/>
          <w:lang w:val="en-US" w:eastAsia="zh-CN"/>
        </w:rPr>
        <w:t>梁玲玲</w:t>
      </w:r>
    </w:p>
    <w:p w14:paraId="6AF147DC">
      <w:pPr>
        <w:pStyle w:val="6"/>
        <w:spacing w:after="120" w:line="600" w:lineRule="exact"/>
        <w:ind w:left="2238" w:leftChars="304" w:hanging="1600" w:hangingChars="500"/>
        <w:jc w:val="both"/>
        <w:rPr>
          <w:rFonts w:hint="default"/>
          <w:b w:val="0"/>
          <w:bCs w:val="0"/>
          <w:sz w:val="32"/>
          <w:szCs w:val="32"/>
          <w:highlight w:val="none"/>
          <w:lang w:val="en-US" w:eastAsia="zh-CN"/>
        </w:rPr>
      </w:pPr>
      <w:r>
        <w:rPr>
          <w:rFonts w:hint="eastAsia"/>
          <w:b w:val="0"/>
          <w:bCs w:val="0"/>
          <w:sz w:val="32"/>
          <w:szCs w:val="32"/>
          <w:highlight w:val="none"/>
          <w:lang w:eastAsia="zh-CN"/>
        </w:rPr>
        <w:t>地</w:t>
      </w:r>
      <w:r>
        <w:rPr>
          <w:rFonts w:hint="eastAsia"/>
          <w:b w:val="0"/>
          <w:bCs w:val="0"/>
          <w:sz w:val="32"/>
          <w:szCs w:val="32"/>
          <w:highlight w:val="none"/>
          <w:lang w:val="en-US" w:eastAsia="zh-CN"/>
        </w:rPr>
        <w:t xml:space="preserve">    </w:t>
      </w:r>
      <w:r>
        <w:rPr>
          <w:rFonts w:hint="eastAsia"/>
          <w:b w:val="0"/>
          <w:bCs w:val="0"/>
          <w:sz w:val="32"/>
          <w:szCs w:val="32"/>
          <w:highlight w:val="none"/>
          <w:lang w:eastAsia="zh-CN"/>
        </w:rPr>
        <w:t>址：北京市大兴区魏善庄镇吴庄南街55号</w:t>
      </w:r>
    </w:p>
    <w:p w14:paraId="48DA6B90">
      <w:pPr>
        <w:pStyle w:val="6"/>
        <w:spacing w:after="120" w:line="600" w:lineRule="exact"/>
        <w:ind w:firstLine="640" w:firstLineChars="200"/>
        <w:jc w:val="both"/>
        <w:rPr>
          <w:rFonts w:hint="default"/>
          <w:b w:val="0"/>
          <w:bCs w:val="0"/>
          <w:sz w:val="32"/>
          <w:szCs w:val="32"/>
          <w:highlight w:val="none"/>
          <w:lang w:val="en-US" w:eastAsia="zh-CN"/>
        </w:rPr>
      </w:pPr>
      <w:r>
        <w:rPr>
          <w:rFonts w:hint="eastAsia"/>
          <w:b w:val="0"/>
          <w:bCs w:val="0"/>
          <w:sz w:val="32"/>
          <w:szCs w:val="32"/>
          <w:highlight w:val="none"/>
          <w:lang w:eastAsia="zh-CN"/>
        </w:rPr>
        <w:t>邮政编码：</w:t>
      </w:r>
      <w:r>
        <w:rPr>
          <w:rFonts w:hint="eastAsia"/>
          <w:b w:val="0"/>
          <w:bCs w:val="0"/>
          <w:sz w:val="32"/>
          <w:szCs w:val="32"/>
          <w:highlight w:val="none"/>
          <w:lang w:val="en-US" w:eastAsia="zh-CN"/>
        </w:rPr>
        <w:t>102611</w:t>
      </w:r>
    </w:p>
    <w:p w14:paraId="7EDC72F2">
      <w:pPr>
        <w:pStyle w:val="6"/>
        <w:spacing w:after="120" w:line="600" w:lineRule="exact"/>
        <w:ind w:firstLine="640" w:firstLineChars="200"/>
        <w:jc w:val="both"/>
        <w:rPr>
          <w:rFonts w:hint="default" w:cs="Times New Roman"/>
          <w:b w:val="0"/>
          <w:bCs w:val="0"/>
          <w:sz w:val="32"/>
          <w:szCs w:val="32"/>
          <w:highlight w:val="none"/>
          <w:lang w:val="en-US" w:eastAsia="zh-CN"/>
        </w:rPr>
      </w:pPr>
      <w:r>
        <w:rPr>
          <w:rFonts w:hint="eastAsia"/>
          <w:b w:val="0"/>
          <w:bCs w:val="0"/>
          <w:sz w:val="32"/>
          <w:szCs w:val="32"/>
          <w:highlight w:val="none"/>
          <w:lang w:eastAsia="zh-CN"/>
        </w:rPr>
        <w:t>有效联系方式：</w:t>
      </w:r>
      <w:r>
        <w:rPr>
          <w:rFonts w:hint="eastAsia"/>
          <w:b w:val="0"/>
          <w:bCs w:val="0"/>
          <w:sz w:val="32"/>
          <w:szCs w:val="32"/>
          <w:highlight w:val="none"/>
          <w:lang w:val="en-US" w:eastAsia="zh-CN"/>
        </w:rPr>
        <w:t>15801515302</w:t>
      </w:r>
    </w:p>
    <w:p w14:paraId="72D76B73">
      <w:pPr>
        <w:pStyle w:val="6"/>
        <w:spacing w:after="120"/>
        <w:ind w:firstLine="300" w:firstLineChars="100"/>
        <w:jc w:val="both"/>
        <w:rPr>
          <w:rFonts w:cs="Times New Roman"/>
          <w:b w:val="0"/>
          <w:bCs w:val="0"/>
          <w:sz w:val="30"/>
          <w:szCs w:val="30"/>
          <w:highlight w:val="none"/>
          <w:lang w:eastAsia="zh-CN"/>
        </w:rPr>
      </w:pPr>
      <w:r>
        <w:rPr>
          <w:rFonts w:hint="eastAsia"/>
          <w:b w:val="0"/>
          <w:bCs w:val="0"/>
          <w:sz w:val="30"/>
          <w:szCs w:val="30"/>
          <w:highlight w:val="none"/>
          <w:lang w:eastAsia="zh-CN"/>
        </w:rPr>
        <w:t>甲方（委托方）：              乙方（受托方）：</w:t>
      </w:r>
    </w:p>
    <w:p w14:paraId="0066E620">
      <w:pPr>
        <w:pStyle w:val="6"/>
        <w:spacing w:after="120"/>
        <w:ind w:firstLine="600" w:firstLineChars="200"/>
        <w:jc w:val="both"/>
        <w:rPr>
          <w:b w:val="0"/>
          <w:bCs w:val="0"/>
          <w:sz w:val="30"/>
          <w:szCs w:val="30"/>
          <w:highlight w:val="none"/>
          <w:lang w:eastAsia="zh-CN"/>
        </w:rPr>
      </w:pPr>
      <w:r>
        <w:rPr>
          <w:rFonts w:hint="eastAsia"/>
          <w:b w:val="0"/>
          <w:bCs w:val="0"/>
          <w:sz w:val="30"/>
          <w:szCs w:val="30"/>
          <w:highlight w:val="none"/>
          <w:lang w:eastAsia="zh-CN"/>
        </w:rPr>
        <w:t>（盖章）</w:t>
      </w:r>
      <w:r>
        <w:rPr>
          <w:b w:val="0"/>
          <w:bCs w:val="0"/>
          <w:sz w:val="30"/>
          <w:szCs w:val="30"/>
          <w:highlight w:val="none"/>
          <w:lang w:eastAsia="zh-CN"/>
        </w:rPr>
        <w:t xml:space="preserve">                       (</w:t>
      </w:r>
      <w:r>
        <w:rPr>
          <w:rFonts w:hint="eastAsia"/>
          <w:b w:val="0"/>
          <w:bCs w:val="0"/>
          <w:sz w:val="30"/>
          <w:szCs w:val="30"/>
          <w:highlight w:val="none"/>
          <w:lang w:eastAsia="zh-CN"/>
        </w:rPr>
        <w:t>盖章</w:t>
      </w:r>
      <w:r>
        <w:rPr>
          <w:b w:val="0"/>
          <w:bCs w:val="0"/>
          <w:sz w:val="30"/>
          <w:szCs w:val="30"/>
          <w:highlight w:val="none"/>
          <w:lang w:eastAsia="zh-CN"/>
        </w:rPr>
        <w:t xml:space="preserve">) </w:t>
      </w:r>
    </w:p>
    <w:p w14:paraId="5E3116E4">
      <w:pPr>
        <w:pStyle w:val="6"/>
        <w:spacing w:after="120"/>
        <w:ind w:firstLine="600" w:firstLineChars="200"/>
        <w:jc w:val="both"/>
        <w:rPr>
          <w:b w:val="0"/>
          <w:bCs w:val="0"/>
          <w:sz w:val="30"/>
          <w:szCs w:val="30"/>
          <w:highlight w:val="none"/>
          <w:lang w:eastAsia="zh-CN"/>
        </w:rPr>
      </w:pPr>
    </w:p>
    <w:p w14:paraId="652EF354">
      <w:pPr>
        <w:pStyle w:val="6"/>
        <w:spacing w:after="120"/>
        <w:jc w:val="both"/>
        <w:rPr>
          <w:b w:val="0"/>
          <w:bCs w:val="0"/>
          <w:sz w:val="30"/>
          <w:szCs w:val="30"/>
          <w:highlight w:val="none"/>
          <w:lang w:eastAsia="zh-CN"/>
        </w:rPr>
      </w:pPr>
      <w:r>
        <w:rPr>
          <w:rFonts w:hint="eastAsia"/>
          <w:b w:val="0"/>
          <w:bCs w:val="0"/>
          <w:sz w:val="30"/>
          <w:szCs w:val="30"/>
          <w:highlight w:val="none"/>
          <w:lang w:eastAsia="zh-CN"/>
        </w:rPr>
        <w:t>授权代表（签字）</w:t>
      </w:r>
      <w:r>
        <w:rPr>
          <w:b w:val="0"/>
          <w:bCs w:val="0"/>
          <w:sz w:val="30"/>
          <w:szCs w:val="30"/>
          <w:highlight w:val="none"/>
          <w:lang w:eastAsia="zh-CN"/>
        </w:rPr>
        <w:t xml:space="preserve">:_________    </w:t>
      </w:r>
      <w:r>
        <w:rPr>
          <w:rFonts w:hint="eastAsia"/>
          <w:b w:val="0"/>
          <w:bCs w:val="0"/>
          <w:sz w:val="30"/>
          <w:szCs w:val="30"/>
          <w:highlight w:val="none"/>
          <w:lang w:eastAsia="zh-CN"/>
        </w:rPr>
        <w:t>授权代表</w:t>
      </w:r>
      <w:r>
        <w:rPr>
          <w:b w:val="0"/>
          <w:bCs w:val="0"/>
          <w:sz w:val="30"/>
          <w:szCs w:val="30"/>
          <w:highlight w:val="none"/>
          <w:lang w:eastAsia="zh-CN"/>
        </w:rPr>
        <w:t>(</w:t>
      </w:r>
      <w:r>
        <w:rPr>
          <w:rFonts w:hint="eastAsia"/>
          <w:b w:val="0"/>
          <w:bCs w:val="0"/>
          <w:sz w:val="30"/>
          <w:szCs w:val="30"/>
          <w:highlight w:val="none"/>
          <w:lang w:eastAsia="zh-CN"/>
        </w:rPr>
        <w:t>签字</w:t>
      </w:r>
      <w:r>
        <w:rPr>
          <w:b w:val="0"/>
          <w:bCs w:val="0"/>
          <w:sz w:val="30"/>
          <w:szCs w:val="30"/>
          <w:highlight w:val="none"/>
          <w:lang w:eastAsia="zh-CN"/>
        </w:rPr>
        <w:t>):___________</w:t>
      </w:r>
    </w:p>
    <w:p w14:paraId="2AA1897A">
      <w:pPr>
        <w:pStyle w:val="6"/>
        <w:spacing w:after="120"/>
        <w:jc w:val="both"/>
        <w:rPr>
          <w:highlight w:val="none"/>
        </w:rPr>
      </w:pP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年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月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日                年</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 xml:space="preserve"> 月 </w:t>
      </w:r>
      <w:r>
        <w:rPr>
          <w:rFonts w:hint="eastAsia"/>
          <w:b w:val="0"/>
          <w:bCs w:val="0"/>
          <w:sz w:val="30"/>
          <w:szCs w:val="30"/>
          <w:highlight w:val="none"/>
          <w:lang w:val="en-US" w:eastAsia="zh-CN"/>
        </w:rPr>
        <w:t xml:space="preserve">   </w:t>
      </w:r>
      <w:r>
        <w:rPr>
          <w:rFonts w:hint="eastAsia"/>
          <w:b w:val="0"/>
          <w:bCs w:val="0"/>
          <w:sz w:val="30"/>
          <w:szCs w:val="30"/>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QS" w:date="2025-05-28T12:12:43Z" w:initials="JQS">
    <w:p w14:paraId="528F88CD">
      <w:pPr>
        <w:pStyle w:val="2"/>
        <w:rPr>
          <w:rFonts w:hint="default" w:eastAsiaTheme="minorEastAsia"/>
          <w:lang w:val="en-US" w:eastAsia="zh-CN"/>
        </w:rPr>
      </w:pPr>
      <w:r>
        <w:rPr>
          <w:rFonts w:hint="eastAsia"/>
          <w:lang w:val="en-US" w:eastAsia="zh-CN"/>
        </w:rPr>
        <w:t>请参考第一包的审核意见。</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8F88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_GB2312">
    <w:altName w:val="苹方-简"/>
    <w:panose1 w:val="020B0604020202020204"/>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QS">
    <w15:presenceInfo w15:providerId="None" w15:userId="JQ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WI0N2NjNDA0YzYyNzQ1OTFkYzU5NGIzY2QxNjAifQ=="/>
  </w:docVars>
  <w:rsids>
    <w:rsidRoot w:val="00C42A94"/>
    <w:rsid w:val="00007CE5"/>
    <w:rsid w:val="00105403"/>
    <w:rsid w:val="00106DEF"/>
    <w:rsid w:val="00114115"/>
    <w:rsid w:val="00150363"/>
    <w:rsid w:val="001532D7"/>
    <w:rsid w:val="001A4417"/>
    <w:rsid w:val="001C4587"/>
    <w:rsid w:val="001E4CE5"/>
    <w:rsid w:val="00235C5D"/>
    <w:rsid w:val="002667BB"/>
    <w:rsid w:val="00270897"/>
    <w:rsid w:val="002923D4"/>
    <w:rsid w:val="00306D10"/>
    <w:rsid w:val="00345D88"/>
    <w:rsid w:val="003A7540"/>
    <w:rsid w:val="003E46F0"/>
    <w:rsid w:val="00470D7B"/>
    <w:rsid w:val="004C49A1"/>
    <w:rsid w:val="0057128E"/>
    <w:rsid w:val="00592AF4"/>
    <w:rsid w:val="005E140E"/>
    <w:rsid w:val="00627171"/>
    <w:rsid w:val="006E58DB"/>
    <w:rsid w:val="006F1023"/>
    <w:rsid w:val="00787C4F"/>
    <w:rsid w:val="0079551F"/>
    <w:rsid w:val="008066F9"/>
    <w:rsid w:val="00824A3F"/>
    <w:rsid w:val="00847A96"/>
    <w:rsid w:val="008A4B96"/>
    <w:rsid w:val="008D770C"/>
    <w:rsid w:val="00902A95"/>
    <w:rsid w:val="00910889"/>
    <w:rsid w:val="00982199"/>
    <w:rsid w:val="009A4EA1"/>
    <w:rsid w:val="00A02630"/>
    <w:rsid w:val="00A11ABD"/>
    <w:rsid w:val="00A15B01"/>
    <w:rsid w:val="00A42968"/>
    <w:rsid w:val="00A4601A"/>
    <w:rsid w:val="00A47945"/>
    <w:rsid w:val="00A76551"/>
    <w:rsid w:val="00AB5806"/>
    <w:rsid w:val="00B03094"/>
    <w:rsid w:val="00B032CC"/>
    <w:rsid w:val="00B12817"/>
    <w:rsid w:val="00B63665"/>
    <w:rsid w:val="00BA50B6"/>
    <w:rsid w:val="00C2000B"/>
    <w:rsid w:val="00C42A94"/>
    <w:rsid w:val="00C64DA5"/>
    <w:rsid w:val="00C827A3"/>
    <w:rsid w:val="00CC171D"/>
    <w:rsid w:val="00D15299"/>
    <w:rsid w:val="00D23ABF"/>
    <w:rsid w:val="00D33D95"/>
    <w:rsid w:val="00D663EB"/>
    <w:rsid w:val="00DD367D"/>
    <w:rsid w:val="00DE1BD0"/>
    <w:rsid w:val="00DF2D4D"/>
    <w:rsid w:val="00E05C2C"/>
    <w:rsid w:val="00E26C7F"/>
    <w:rsid w:val="00ED1DB0"/>
    <w:rsid w:val="00ED6B49"/>
    <w:rsid w:val="00F11050"/>
    <w:rsid w:val="00F205E8"/>
    <w:rsid w:val="00F660F8"/>
    <w:rsid w:val="00FB02BB"/>
    <w:rsid w:val="00FD6E86"/>
    <w:rsid w:val="05DB9F73"/>
    <w:rsid w:val="15EFF48E"/>
    <w:rsid w:val="1A7E9855"/>
    <w:rsid w:val="1BDFD440"/>
    <w:rsid w:val="1F9C3B0E"/>
    <w:rsid w:val="22405740"/>
    <w:rsid w:val="27EB9690"/>
    <w:rsid w:val="2898621F"/>
    <w:rsid w:val="29622939"/>
    <w:rsid w:val="2BDFC233"/>
    <w:rsid w:val="3ACB4137"/>
    <w:rsid w:val="3EFFAA01"/>
    <w:rsid w:val="42F21FE1"/>
    <w:rsid w:val="46F95745"/>
    <w:rsid w:val="4A4E563D"/>
    <w:rsid w:val="4F8B3084"/>
    <w:rsid w:val="506F032E"/>
    <w:rsid w:val="52DF827B"/>
    <w:rsid w:val="55F71D63"/>
    <w:rsid w:val="571E2D41"/>
    <w:rsid w:val="57DC57FC"/>
    <w:rsid w:val="5EE73B69"/>
    <w:rsid w:val="5FFD8695"/>
    <w:rsid w:val="5FFEC872"/>
    <w:rsid w:val="67FFBE79"/>
    <w:rsid w:val="6C655B11"/>
    <w:rsid w:val="6D793877"/>
    <w:rsid w:val="73A45638"/>
    <w:rsid w:val="76F74048"/>
    <w:rsid w:val="775E3504"/>
    <w:rsid w:val="7DBABDB8"/>
    <w:rsid w:val="7DBB44BE"/>
    <w:rsid w:val="7FEEC0FF"/>
    <w:rsid w:val="7FEF9A77"/>
    <w:rsid w:val="7FFA3771"/>
    <w:rsid w:val="93F641B7"/>
    <w:rsid w:val="93F64A86"/>
    <w:rsid w:val="95DFFEF2"/>
    <w:rsid w:val="9FF1CB0C"/>
    <w:rsid w:val="AFF3FF23"/>
    <w:rsid w:val="B17F7720"/>
    <w:rsid w:val="B4EE5E0D"/>
    <w:rsid w:val="BFB62E1C"/>
    <w:rsid w:val="BFFBBBA5"/>
    <w:rsid w:val="D4F7B3AB"/>
    <w:rsid w:val="D68F7FF6"/>
    <w:rsid w:val="DBEA9C57"/>
    <w:rsid w:val="DE699D3C"/>
    <w:rsid w:val="E7FEF893"/>
    <w:rsid w:val="EB3FFD40"/>
    <w:rsid w:val="EBAF49E6"/>
    <w:rsid w:val="EDFFC028"/>
    <w:rsid w:val="EFAE4FFD"/>
    <w:rsid w:val="EFD3D842"/>
    <w:rsid w:val="EFFD605F"/>
    <w:rsid w:val="F1FEFC8D"/>
    <w:rsid w:val="F2D8B098"/>
    <w:rsid w:val="F5F1B656"/>
    <w:rsid w:val="F75F83B2"/>
    <w:rsid w:val="F7FF8EDB"/>
    <w:rsid w:val="FB1618DC"/>
    <w:rsid w:val="FB771D16"/>
    <w:rsid w:val="FB7F8FBC"/>
    <w:rsid w:val="FBEE54E0"/>
    <w:rsid w:val="FD4E0885"/>
    <w:rsid w:val="FEFF5FE6"/>
    <w:rsid w:val="FF5F8B3F"/>
    <w:rsid w:val="FFAB30C9"/>
    <w:rsid w:val="FFB7B65B"/>
    <w:rsid w:val="FFEF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1"/>
    <w:qFormat/>
    <w:uiPriority w:val="99"/>
    <w:pPr>
      <w:widowControl/>
      <w:autoSpaceDE w:val="0"/>
      <w:autoSpaceDN w:val="0"/>
      <w:jc w:val="center"/>
    </w:pPr>
    <w:rPr>
      <w:rFonts w:ascii="宋体" w:hAnsi="宋体" w:cs="宋体"/>
      <w:b/>
      <w:bCs/>
      <w:caps/>
      <w:kern w:val="0"/>
      <w:sz w:val="26"/>
      <w:szCs w:val="26"/>
      <w:lang w:val="en-GB" w:eastAsia="en-US"/>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字符"/>
    <w:basedOn w:val="8"/>
    <w:link w:val="6"/>
    <w:qFormat/>
    <w:uiPriority w:val="99"/>
    <w:rPr>
      <w:rFonts w:ascii="宋体" w:hAnsi="宋体" w:cs="宋体"/>
      <w:b/>
      <w:bCs/>
      <w:caps/>
      <w:kern w:val="0"/>
      <w:sz w:val="26"/>
      <w:szCs w:val="26"/>
      <w:lang w:val="en-GB" w:eastAsia="en-US"/>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3629</Words>
  <Characters>3822</Characters>
  <Lines>23</Lines>
  <Paragraphs>6</Paragraphs>
  <TotalTime>2</TotalTime>
  <ScaleCrop>false</ScaleCrop>
  <LinksUpToDate>false</LinksUpToDate>
  <CharactersWithSpaces>4049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2021-04-21T23:25:00Z</dcterms:created>
  <dc:creator>杨娜</dc:creator>
  <cp:lastModifiedBy>JQS</cp:lastModifiedBy>
  <cp:lastPrinted>2024-04-21T20:28:00Z</cp:lastPrinted>
  <dcterms:modified xsi:type="dcterms:W3CDTF">2025-05-28T12:13:00Z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32C736FC226E4C4CBE48FBFC374BC203_13</vt:lpwstr>
  </property>
  <property fmtid="{D5CDD505-2E9C-101B-9397-08002B2CF9AE}" pid="4" name="KSOTemplateDocerSaveRecord">
    <vt:lpwstr>eyJoZGlkIjoiYWRjMGZjYzg2NTBiY2M3MTMyOTMzNmQzNjhiOGEyN2EiLCJ1c2VySWQiOiI4ODc5MjQyNTUifQ==</vt:lpwstr>
  </property>
</Properties>
</file>