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tabs>
          <w:tab w:val="left" w:pos="900"/>
          <w:tab w:val="left" w:pos="1080"/>
        </w:tabs>
        <w:snapToGrid w:val="0"/>
        <w:spacing w:line="360" w:lineRule="auto"/>
        <w:rPr>
          <w:kern w:val="0"/>
          <w:sz w:val="18"/>
          <w:szCs w:val="18"/>
        </w:rPr>
      </w:pPr>
      <w:bookmarkStart w:id="0" w:name="_Toc353825545"/>
      <w:bookmarkStart w:id="1" w:name="_Toc150480793"/>
      <w:bookmarkStart w:id="2" w:name="_Toc142311057"/>
      <w:bookmarkStart w:id="3" w:name="_Toc353873935"/>
      <w:bookmarkStart w:id="4" w:name="_Toc150774760"/>
      <w:bookmarkStart w:id="5" w:name="_Toc226337251"/>
      <w:bookmarkStart w:id="6" w:name="_Toc305158823"/>
      <w:bookmarkStart w:id="7" w:name="_Toc195842920"/>
      <w:bookmarkStart w:id="8" w:name="_Toc127151555"/>
      <w:bookmarkStart w:id="9" w:name="_Toc226965828"/>
      <w:bookmarkStart w:id="10" w:name="_Toc265228393"/>
      <w:bookmarkStart w:id="11" w:name="_Toc305158897"/>
      <w:bookmarkStart w:id="12" w:name="_Toc353873665"/>
      <w:bookmarkStart w:id="13" w:name="_Toc264969245"/>
    </w:p>
    <w:p>
      <w:pPr>
        <w:adjustRightInd w:val="0"/>
        <w:snapToGrid w:val="0"/>
        <w:spacing w:line="300" w:lineRule="auto"/>
        <w:jc w:val="center"/>
        <w:rPr>
          <w:b/>
          <w:sz w:val="32"/>
          <w:szCs w:val="32"/>
        </w:rPr>
      </w:pPr>
      <w:r>
        <w:rPr>
          <w:b/>
          <w:sz w:val="32"/>
          <w:szCs w:val="32"/>
        </w:rPr>
        <w:t>采购合同（货物类）</w:t>
      </w:r>
    </w:p>
    <w:p>
      <w:pPr>
        <w:adjustRightInd w:val="0"/>
        <w:snapToGrid w:val="0"/>
        <w:spacing w:line="300" w:lineRule="auto"/>
      </w:pPr>
    </w:p>
    <w:p>
      <w:pPr>
        <w:adjustRightInd w:val="0"/>
        <w:snapToGrid w:val="0"/>
        <w:spacing w:line="300" w:lineRule="auto"/>
      </w:pPr>
    </w:p>
    <w:p>
      <w:pPr>
        <w:adjustRightInd w:val="0"/>
        <w:snapToGrid w:val="0"/>
        <w:spacing w:line="300" w:lineRule="auto"/>
        <w:ind w:firstLine="1400" w:firstLineChars="500"/>
        <w:rPr>
          <w:sz w:val="28"/>
          <w:szCs w:val="28"/>
        </w:rPr>
      </w:pPr>
      <w:r>
        <w:rPr>
          <w:sz w:val="28"/>
          <w:szCs w:val="28"/>
        </w:rPr>
        <w:t>合同编号：</w:t>
      </w:r>
    </w:p>
    <w:p>
      <w:pPr>
        <w:adjustRightInd w:val="0"/>
        <w:snapToGrid w:val="0"/>
        <w:spacing w:line="300" w:lineRule="auto"/>
        <w:ind w:firstLine="1400" w:firstLineChars="500"/>
        <w:rPr>
          <w:sz w:val="28"/>
          <w:szCs w:val="28"/>
        </w:rPr>
      </w:pPr>
    </w:p>
    <w:p>
      <w:pPr>
        <w:adjustRightInd w:val="0"/>
        <w:snapToGrid w:val="0"/>
        <w:spacing w:line="300" w:lineRule="auto"/>
        <w:ind w:left="2796" w:leftChars="665" w:hanging="1400" w:hangingChars="500"/>
        <w:jc w:val="left"/>
        <w:rPr>
          <w:sz w:val="28"/>
          <w:szCs w:val="28"/>
        </w:rPr>
      </w:pPr>
      <w:r>
        <w:rPr>
          <w:sz w:val="28"/>
          <w:szCs w:val="28"/>
        </w:rPr>
        <w:t>项目名称：五里坨精神卫生专科医院新院开办设备购置其他医疗设备采购项目</w:t>
      </w:r>
    </w:p>
    <w:p>
      <w:pPr>
        <w:adjustRightInd w:val="0"/>
        <w:snapToGrid w:val="0"/>
        <w:spacing w:line="300" w:lineRule="auto"/>
        <w:ind w:firstLine="1400" w:firstLineChars="500"/>
        <w:rPr>
          <w:sz w:val="28"/>
          <w:szCs w:val="28"/>
        </w:rPr>
      </w:pPr>
    </w:p>
    <w:p>
      <w:pPr>
        <w:adjustRightInd w:val="0"/>
        <w:snapToGrid w:val="0"/>
        <w:spacing w:line="300" w:lineRule="auto"/>
        <w:ind w:firstLine="1400" w:firstLineChars="500"/>
        <w:rPr>
          <w:rFonts w:hint="default" w:eastAsia="宋体"/>
          <w:sz w:val="28"/>
          <w:szCs w:val="28"/>
          <w:lang w:val="en-US" w:eastAsia="zh-CN"/>
        </w:rPr>
      </w:pPr>
      <w:r>
        <w:rPr>
          <w:sz w:val="28"/>
          <w:szCs w:val="28"/>
        </w:rPr>
        <w:t>项目编号：</w:t>
      </w:r>
      <w:bookmarkStart w:id="14" w:name="_Hlk132899169"/>
      <w:r>
        <w:rPr>
          <w:sz w:val="28"/>
          <w:szCs w:val="28"/>
        </w:rPr>
        <w:t>11010725210200017751-XM001</w:t>
      </w:r>
      <w:r>
        <w:rPr>
          <w:rFonts w:hint="eastAsia"/>
          <w:sz w:val="28"/>
          <w:szCs w:val="28"/>
          <w:lang w:val="en-US" w:eastAsia="zh-CN"/>
        </w:rPr>
        <w:t>-3</w:t>
      </w:r>
    </w:p>
    <w:bookmarkEnd w:id="14"/>
    <w:p>
      <w:pPr>
        <w:adjustRightInd w:val="0"/>
        <w:snapToGrid w:val="0"/>
        <w:spacing w:line="300" w:lineRule="auto"/>
        <w:rPr>
          <w:sz w:val="28"/>
          <w:szCs w:val="28"/>
        </w:rPr>
      </w:pPr>
      <w:r>
        <w:rPr>
          <w:sz w:val="28"/>
          <w:szCs w:val="28"/>
        </w:rPr>
        <w:t xml:space="preserve">          </w:t>
      </w:r>
    </w:p>
    <w:p>
      <w:pPr>
        <w:adjustRightInd w:val="0"/>
        <w:snapToGrid w:val="0"/>
        <w:spacing w:line="300" w:lineRule="auto"/>
        <w:ind w:firstLine="1400" w:firstLineChars="500"/>
        <w:rPr>
          <w:rFonts w:ascii="微软雅黑" w:hAnsi="微软雅黑" w:eastAsia="微软雅黑" w:cs="微软雅黑"/>
          <w:i w:val="0"/>
          <w:iCs w:val="0"/>
          <w:caps w:val="0"/>
          <w:color w:val="404040"/>
          <w:spacing w:val="0"/>
          <w:sz w:val="24"/>
          <w:szCs w:val="24"/>
          <w:shd w:val="clear" w:fill="FFFFFF"/>
        </w:rPr>
      </w:pPr>
      <w:r>
        <w:rPr>
          <w:sz w:val="28"/>
          <w:szCs w:val="28"/>
        </w:rPr>
        <w:t>货物名称：五里坨医院新院开办更新购置医疗设备</w:t>
      </w:r>
    </w:p>
    <w:p>
      <w:pPr>
        <w:adjustRightInd w:val="0"/>
        <w:snapToGrid w:val="0"/>
        <w:spacing w:line="300" w:lineRule="auto"/>
        <w:ind w:firstLine="1400" w:firstLineChars="500"/>
        <w:rPr>
          <w:sz w:val="28"/>
          <w:szCs w:val="28"/>
        </w:rPr>
      </w:pPr>
      <w:r>
        <w:rPr>
          <w:sz w:val="28"/>
          <w:szCs w:val="28"/>
        </w:rPr>
        <w:t>买　　方：</w:t>
      </w:r>
      <w:r>
        <w:rPr>
          <w:rFonts w:hint="eastAsia"/>
          <w:sz w:val="28"/>
          <w:szCs w:val="28"/>
          <w:lang w:val="en-US" w:eastAsia="zh-CN"/>
        </w:rPr>
        <w:t>北京市石景山区五里坨医院</w:t>
      </w:r>
    </w:p>
    <w:p>
      <w:pPr>
        <w:adjustRightInd w:val="0"/>
        <w:snapToGrid w:val="0"/>
        <w:spacing w:line="300" w:lineRule="auto"/>
        <w:ind w:left="1380" w:leftChars="657"/>
        <w:rPr>
          <w:sz w:val="28"/>
          <w:szCs w:val="28"/>
        </w:rPr>
      </w:pPr>
    </w:p>
    <w:p>
      <w:pPr>
        <w:adjustRightInd w:val="0"/>
        <w:snapToGrid w:val="0"/>
        <w:spacing w:line="300" w:lineRule="auto"/>
        <w:ind w:firstLine="1400" w:firstLineChars="500"/>
        <w:rPr>
          <w:rFonts w:hint="eastAsia" w:eastAsia="宋体"/>
          <w:sz w:val="28"/>
          <w:szCs w:val="28"/>
          <w:u w:val="single"/>
          <w:lang w:val="en-US" w:eastAsia="zh-CN"/>
        </w:rPr>
      </w:pPr>
      <w:r>
        <w:rPr>
          <w:sz w:val="28"/>
          <w:szCs w:val="28"/>
        </w:rPr>
        <w:t>卖　　方：</w:t>
      </w:r>
      <w:r>
        <w:rPr>
          <w:rFonts w:hint="eastAsia"/>
          <w:sz w:val="28"/>
          <w:szCs w:val="28"/>
          <w:lang w:val="en-US" w:eastAsia="zh-CN"/>
        </w:rPr>
        <w:t>北京建强伟业科技有限公司</w:t>
      </w:r>
    </w:p>
    <w:p>
      <w:pPr>
        <w:adjustRightInd w:val="0"/>
        <w:snapToGrid w:val="0"/>
        <w:spacing w:line="300" w:lineRule="auto"/>
        <w:ind w:left="1380" w:leftChars="657"/>
        <w:jc w:val="center"/>
        <w:rPr>
          <w:sz w:val="28"/>
          <w:szCs w:val="28"/>
        </w:rPr>
      </w:pPr>
    </w:p>
    <w:p>
      <w:pPr>
        <w:adjustRightInd w:val="0"/>
        <w:snapToGrid w:val="0"/>
        <w:spacing w:line="300" w:lineRule="auto"/>
        <w:ind w:firstLine="960"/>
        <w:rPr>
          <w:sz w:val="28"/>
          <w:szCs w:val="28"/>
          <w:u w:val="single"/>
        </w:rPr>
      </w:pPr>
      <w:r>
        <w:rPr>
          <w:sz w:val="28"/>
          <w:szCs w:val="28"/>
        </w:rPr>
        <w:t>签署日期：</w:t>
      </w:r>
      <w:r>
        <w:rPr>
          <w:sz w:val="28"/>
          <w:szCs w:val="28"/>
          <w:u w:val="single"/>
        </w:rPr>
        <w:t>　　　　　　　　　</w:t>
      </w:r>
    </w:p>
    <w:p>
      <w:pPr>
        <w:spacing w:line="312" w:lineRule="auto"/>
        <w:jc w:val="center"/>
        <w:rPr>
          <w:b/>
          <w:sz w:val="24"/>
        </w:rPr>
      </w:pPr>
      <w:r>
        <w:rPr>
          <w:b/>
          <w:sz w:val="24"/>
        </w:rPr>
        <w:br w:type="page"/>
      </w:r>
      <w:r>
        <w:rPr>
          <w:b/>
          <w:sz w:val="24"/>
        </w:rPr>
        <w:t>采购合同（货物类）</w:t>
      </w:r>
    </w:p>
    <w:tbl>
      <w:tblPr>
        <w:tblStyle w:val="51"/>
        <w:tblW w:w="9142" w:type="dxa"/>
        <w:jc w:val="center"/>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5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50" w:type="dxa"/>
          </w:tcPr>
          <w:p>
            <w:pPr>
              <w:adjustRightInd w:val="0"/>
              <w:snapToGrid w:val="0"/>
              <w:spacing w:line="400" w:lineRule="exact"/>
              <w:ind w:firstLine="315" w:firstLineChars="150"/>
              <w:rPr>
                <w:rFonts w:hint="eastAsia"/>
                <w:lang w:eastAsia="zh-CN"/>
              </w:rPr>
            </w:pPr>
            <w:r>
              <w:t>甲方</w:t>
            </w:r>
            <w:r>
              <w:rPr>
                <w:rFonts w:hint="eastAsia"/>
                <w:lang w:eastAsia="zh-CN"/>
              </w:rPr>
              <w:t>：</w:t>
            </w:r>
            <w:r>
              <w:rPr>
                <w:rFonts w:hint="eastAsia"/>
                <w:lang w:val="en-US" w:eastAsia="zh-CN"/>
              </w:rPr>
              <w:t>北京市石景山区五里坨医院</w:t>
            </w:r>
          </w:p>
        </w:tc>
        <w:tc>
          <w:tcPr>
            <w:tcW w:w="5092" w:type="dxa"/>
          </w:tcPr>
          <w:p>
            <w:pPr>
              <w:adjustRightInd w:val="0"/>
              <w:snapToGrid w:val="0"/>
              <w:spacing w:line="400" w:lineRule="exact"/>
              <w:ind w:firstLine="315" w:firstLineChars="150"/>
            </w:pPr>
            <w:r>
              <w:t>乙方：</w:t>
            </w:r>
            <w:r>
              <w:rPr>
                <w:rFonts w:hint="eastAsia"/>
                <w:lang w:val="en-US" w:eastAsia="zh-CN"/>
              </w:rPr>
              <w:t>北京建强伟业科技有限公司</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50" w:type="dxa"/>
          </w:tcPr>
          <w:p>
            <w:pPr>
              <w:adjustRightInd w:val="0"/>
              <w:snapToGrid w:val="0"/>
              <w:spacing w:line="400" w:lineRule="exact"/>
              <w:ind w:firstLine="315" w:firstLineChars="150"/>
              <w:rPr>
                <w:rFonts w:hint="eastAsia"/>
                <w:lang w:eastAsia="zh-CN"/>
              </w:rPr>
            </w:pPr>
            <w:r>
              <w:t>法定代表人</w:t>
            </w:r>
            <w:r>
              <w:rPr>
                <w:rFonts w:hint="eastAsia"/>
                <w:lang w:eastAsia="zh-CN"/>
              </w:rPr>
              <w:t>：张小芊</w:t>
            </w:r>
          </w:p>
        </w:tc>
        <w:tc>
          <w:tcPr>
            <w:tcW w:w="5092" w:type="dxa"/>
          </w:tcPr>
          <w:p>
            <w:pPr>
              <w:adjustRightInd w:val="0"/>
              <w:snapToGrid w:val="0"/>
              <w:spacing w:line="400" w:lineRule="exact"/>
              <w:ind w:firstLine="315" w:firstLineChars="150"/>
            </w:pPr>
            <w:r>
              <w:t>法定代表人：</w:t>
            </w:r>
            <w:r>
              <w:rPr>
                <w:rFonts w:hint="eastAsia"/>
                <w:lang w:val="en-US" w:eastAsia="zh-CN"/>
              </w:rPr>
              <w:t>高建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50" w:type="dxa"/>
          </w:tcPr>
          <w:p>
            <w:pPr>
              <w:adjustRightInd w:val="0"/>
              <w:snapToGrid w:val="0"/>
              <w:spacing w:line="400" w:lineRule="exact"/>
              <w:ind w:firstLine="315" w:firstLineChars="150"/>
              <w:rPr>
                <w:rFonts w:hint="eastAsia"/>
                <w:lang w:val="en-US" w:eastAsia="zh-CN"/>
              </w:rPr>
            </w:pPr>
            <w:r>
              <w:rPr>
                <w:rFonts w:hint="eastAsia"/>
                <w:lang w:val="en-US" w:eastAsia="zh-CN"/>
              </w:rPr>
              <w:t>邮编：100042</w:t>
            </w:r>
          </w:p>
        </w:tc>
        <w:tc>
          <w:tcPr>
            <w:tcW w:w="5092" w:type="dxa"/>
          </w:tcPr>
          <w:p>
            <w:pPr>
              <w:adjustRightInd w:val="0"/>
              <w:snapToGrid w:val="0"/>
              <w:spacing w:line="400" w:lineRule="exact"/>
              <w:ind w:firstLine="315" w:firstLineChars="150"/>
            </w:pPr>
            <w:r>
              <w:t>邮编：</w:t>
            </w:r>
            <w:r>
              <w:rPr>
                <w:rFonts w:hint="eastAsia"/>
                <w:lang w:val="en-US" w:eastAsia="zh-CN"/>
              </w:rPr>
              <w:t>100095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50" w:type="dxa"/>
          </w:tcPr>
          <w:p>
            <w:pPr>
              <w:adjustRightInd w:val="0"/>
              <w:snapToGrid w:val="0"/>
              <w:spacing w:line="400" w:lineRule="exact"/>
              <w:ind w:firstLine="315" w:firstLineChars="150"/>
              <w:rPr>
                <w:rFonts w:hint="eastAsia"/>
                <w:lang w:val="en-US" w:eastAsia="zh-CN"/>
              </w:rPr>
            </w:pPr>
            <w:r>
              <w:rPr>
                <w:rFonts w:hint="eastAsia"/>
                <w:lang w:val="en-US" w:eastAsia="zh-CN"/>
              </w:rPr>
              <w:t>电话：</w:t>
            </w:r>
            <w:r>
              <w:rPr>
                <w:rFonts w:hint="eastAsia"/>
              </w:rPr>
              <w:t>010-51510511</w:t>
            </w:r>
          </w:p>
        </w:tc>
        <w:tc>
          <w:tcPr>
            <w:tcW w:w="5092" w:type="dxa"/>
          </w:tcPr>
          <w:p>
            <w:pPr>
              <w:adjustRightInd w:val="0"/>
              <w:snapToGrid w:val="0"/>
              <w:spacing w:line="400" w:lineRule="exact"/>
              <w:ind w:firstLine="315" w:firstLineChars="150"/>
            </w:pPr>
            <w:r>
              <w:t>电话：010-61199474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50" w:type="dxa"/>
          </w:tcPr>
          <w:p>
            <w:pPr>
              <w:adjustRightInd w:val="0"/>
              <w:snapToGrid w:val="0"/>
              <w:spacing w:line="400" w:lineRule="exact"/>
              <w:ind w:firstLine="315" w:firstLineChars="150"/>
              <w:rPr>
                <w:rFonts w:hint="eastAsia"/>
                <w:lang w:val="en-US" w:eastAsia="zh-CN"/>
              </w:rPr>
            </w:pPr>
            <w:r>
              <w:rPr>
                <w:rFonts w:hint="eastAsia"/>
                <w:lang w:val="en-US" w:eastAsia="zh-CN"/>
              </w:rPr>
              <w:t>开户行：北京农商银行石景山支行营业部</w:t>
            </w:r>
          </w:p>
        </w:tc>
        <w:tc>
          <w:tcPr>
            <w:tcW w:w="5092" w:type="dxa"/>
          </w:tcPr>
          <w:p>
            <w:pPr>
              <w:adjustRightInd w:val="0"/>
              <w:snapToGrid w:val="0"/>
              <w:spacing w:line="400" w:lineRule="exact"/>
              <w:ind w:firstLine="315" w:firstLineChars="150"/>
            </w:pPr>
            <w:r>
              <w:t>开户行：</w:t>
            </w:r>
            <w:r>
              <w:rPr>
                <w:rFonts w:hint="eastAsia"/>
                <w:lang w:val="en-US" w:eastAsia="zh-CN"/>
              </w:rPr>
              <w:t>招商银行股份有限公司北京分行营业部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50" w:type="dxa"/>
          </w:tcPr>
          <w:p>
            <w:pPr>
              <w:adjustRightInd w:val="0"/>
              <w:snapToGrid w:val="0"/>
              <w:spacing w:line="400" w:lineRule="exact"/>
              <w:ind w:firstLine="315" w:firstLineChars="150"/>
              <w:rPr>
                <w:rFonts w:hint="default"/>
                <w:lang w:val="en-US" w:eastAsia="zh-CN"/>
              </w:rPr>
            </w:pPr>
            <w:r>
              <w:rPr>
                <w:rFonts w:hint="eastAsia"/>
                <w:lang w:val="en-US" w:eastAsia="zh-CN"/>
              </w:rPr>
              <w:t>银行账号：</w:t>
            </w:r>
            <w:r>
              <w:rPr>
                <w:rFonts w:hint="eastAsia"/>
              </w:rPr>
              <w:t>12110107400867084M</w:t>
            </w:r>
          </w:p>
        </w:tc>
        <w:tc>
          <w:tcPr>
            <w:tcW w:w="5092" w:type="dxa"/>
          </w:tcPr>
          <w:p>
            <w:pPr>
              <w:adjustRightInd w:val="0"/>
              <w:snapToGrid w:val="0"/>
              <w:spacing w:line="400" w:lineRule="exact"/>
              <w:ind w:firstLine="315" w:firstLineChars="150"/>
            </w:pPr>
            <w:r>
              <w:t>银行</w:t>
            </w:r>
            <w:r>
              <w:rPr>
                <w:rFonts w:hint="eastAsia"/>
              </w:rPr>
              <w:t>账号</w:t>
            </w:r>
            <w:r>
              <w:t>：110946791910805</w:t>
            </w:r>
          </w:p>
        </w:tc>
      </w:tr>
    </w:tbl>
    <w:p>
      <w:pPr>
        <w:adjustRightInd w:val="0"/>
        <w:snapToGrid w:val="0"/>
        <w:spacing w:line="400" w:lineRule="exact"/>
        <w:ind w:firstLine="420" w:firstLineChars="200"/>
      </w:pPr>
      <w:r>
        <w:t>甲乙双方依据《中华人民共和国民法典》及相关法律法规，本着相互合作、互利互惠的原则，经充分协商，订立本合同，以兹共同遵照履行。</w:t>
      </w:r>
    </w:p>
    <w:p>
      <w:pPr>
        <w:adjustRightInd w:val="0"/>
        <w:snapToGrid w:val="0"/>
        <w:spacing w:line="400" w:lineRule="exact"/>
      </w:pPr>
    </w:p>
    <w:p>
      <w:pPr>
        <w:adjustRightInd w:val="0"/>
        <w:snapToGrid w:val="0"/>
        <w:spacing w:line="400" w:lineRule="exact"/>
      </w:pPr>
      <w:r>
        <w:rPr>
          <w:b/>
        </w:rPr>
        <w:t>1、合同文件</w:t>
      </w:r>
    </w:p>
    <w:p>
      <w:pPr>
        <w:adjustRightInd w:val="0"/>
        <w:snapToGrid w:val="0"/>
        <w:spacing w:line="400" w:lineRule="exact"/>
        <w:ind w:firstLine="315" w:firstLineChars="150"/>
      </w:pPr>
      <w:r>
        <w:t>下列文件构成本合同的组成部分，应该认为是一个整体，彼此相互解释</w:t>
      </w:r>
      <w:r>
        <w:rPr>
          <w:rFonts w:hint="eastAsia"/>
        </w:rPr>
        <w:t>、</w:t>
      </w:r>
      <w:r>
        <w:t>相互补充。为便于解释，组成合同的多个文件的优先支配地位的次序如下：</w:t>
      </w:r>
    </w:p>
    <w:p>
      <w:pPr>
        <w:adjustRightInd w:val="0"/>
        <w:snapToGrid w:val="0"/>
        <w:spacing w:line="400" w:lineRule="exact"/>
        <w:ind w:firstLine="540"/>
      </w:pPr>
      <w:r>
        <w:t>a.</w:t>
      </w:r>
      <w:r>
        <w:tab/>
      </w:r>
      <w:r>
        <w:t>本合同　</w:t>
      </w:r>
    </w:p>
    <w:p>
      <w:pPr>
        <w:adjustRightInd w:val="0"/>
        <w:snapToGrid w:val="0"/>
        <w:spacing w:line="400" w:lineRule="exact"/>
        <w:ind w:firstLine="540"/>
      </w:pPr>
      <w:r>
        <w:t>b.</w:t>
      </w:r>
      <w:r>
        <w:tab/>
      </w:r>
      <w:r>
        <w:t>中标通知书</w:t>
      </w:r>
    </w:p>
    <w:p>
      <w:pPr>
        <w:adjustRightInd w:val="0"/>
        <w:snapToGrid w:val="0"/>
        <w:spacing w:line="400" w:lineRule="exact"/>
        <w:rPr>
          <w:b/>
        </w:rPr>
      </w:pPr>
      <w:r>
        <w:rPr>
          <w:b/>
        </w:rPr>
        <w:t>2、项目内容</w:t>
      </w:r>
    </w:p>
    <w:p>
      <w:pPr>
        <w:adjustRightInd w:val="0"/>
        <w:snapToGrid w:val="0"/>
        <w:spacing w:line="400" w:lineRule="exact"/>
        <w:ind w:firstLine="420" w:firstLineChars="200"/>
      </w:pPr>
      <w:r>
        <w:t>甲方同意作为买方向乙方购买下列产品，乙方同意作为卖方向甲方出售下列产品：</w:t>
      </w:r>
    </w:p>
    <w:p>
      <w:pPr>
        <w:adjustRightInd w:val="0"/>
        <w:snapToGrid w:val="0"/>
        <w:spacing w:line="400" w:lineRule="exact"/>
      </w:pPr>
      <w:r>
        <w:t xml:space="preserve">                                                     人民币：</w:t>
      </w:r>
      <w:r>
        <w:rPr>
          <w:rFonts w:hint="eastAsia" w:ascii="Times New Roman"/>
          <w:sz w:val="21"/>
          <w:szCs w:val="21"/>
        </w:rPr>
        <w:t>伍佰陆拾柒万陆仟陆佰捌拾元</w:t>
      </w:r>
    </w:p>
    <w:tbl>
      <w:tblPr>
        <w:tblStyle w:val="50"/>
        <w:tblW w:w="8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95"/>
        <w:gridCol w:w="1039"/>
        <w:gridCol w:w="662"/>
        <w:gridCol w:w="1043"/>
        <w:gridCol w:w="513"/>
        <w:gridCol w:w="1195"/>
        <w:gridCol w:w="103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20" w:type="dxa"/>
            <w:shd w:val="clear" w:color="auto" w:fill="E6E6E6"/>
            <w:vAlign w:val="center"/>
          </w:tcPr>
          <w:p>
            <w:pPr>
              <w:pStyle w:val="4"/>
              <w:snapToGrid w:val="0"/>
              <w:spacing w:line="400" w:lineRule="exact"/>
              <w:ind w:firstLine="360"/>
              <w:jc w:val="center"/>
              <w:rPr>
                <w:rFonts w:ascii="Times New Roman"/>
                <w:sz w:val="18"/>
                <w:szCs w:val="18"/>
              </w:rPr>
            </w:pPr>
            <w:r>
              <w:rPr>
                <w:rFonts w:ascii="Times New Roman"/>
                <w:sz w:val="18"/>
                <w:szCs w:val="18"/>
              </w:rPr>
              <w:t>序号</w:t>
            </w:r>
          </w:p>
        </w:tc>
        <w:tc>
          <w:tcPr>
            <w:tcW w:w="1195" w:type="dxa"/>
            <w:shd w:val="clear" w:color="auto" w:fill="E6E6E6"/>
            <w:vAlign w:val="center"/>
          </w:tcPr>
          <w:p>
            <w:pPr>
              <w:pStyle w:val="4"/>
              <w:snapToGrid w:val="0"/>
              <w:spacing w:line="400" w:lineRule="exact"/>
              <w:ind w:firstLine="360"/>
              <w:jc w:val="center"/>
              <w:rPr>
                <w:rFonts w:ascii="Times New Roman"/>
                <w:sz w:val="18"/>
                <w:szCs w:val="18"/>
              </w:rPr>
            </w:pPr>
            <w:r>
              <w:rPr>
                <w:rFonts w:ascii="Times New Roman"/>
                <w:sz w:val="18"/>
                <w:szCs w:val="18"/>
              </w:rPr>
              <w:t>品名</w:t>
            </w:r>
          </w:p>
        </w:tc>
        <w:tc>
          <w:tcPr>
            <w:tcW w:w="1039" w:type="dxa"/>
            <w:shd w:val="clear" w:color="auto" w:fill="E6E6E6"/>
            <w:vAlign w:val="center"/>
          </w:tcPr>
          <w:p>
            <w:pPr>
              <w:pStyle w:val="4"/>
              <w:snapToGrid w:val="0"/>
              <w:spacing w:line="400" w:lineRule="exact"/>
              <w:ind w:firstLine="0"/>
              <w:jc w:val="center"/>
              <w:rPr>
                <w:rFonts w:ascii="Times New Roman"/>
                <w:sz w:val="18"/>
                <w:szCs w:val="18"/>
              </w:rPr>
            </w:pPr>
            <w:r>
              <w:rPr>
                <w:rFonts w:ascii="Times New Roman"/>
                <w:sz w:val="18"/>
                <w:szCs w:val="18"/>
              </w:rPr>
              <w:t>制造商</w:t>
            </w:r>
          </w:p>
        </w:tc>
        <w:tc>
          <w:tcPr>
            <w:tcW w:w="662" w:type="dxa"/>
            <w:shd w:val="clear" w:color="auto" w:fill="E6E6E6"/>
            <w:vAlign w:val="center"/>
          </w:tcPr>
          <w:p>
            <w:pPr>
              <w:pStyle w:val="4"/>
              <w:snapToGrid w:val="0"/>
              <w:spacing w:line="400" w:lineRule="exact"/>
              <w:ind w:firstLine="90" w:firstLineChars="50"/>
              <w:jc w:val="center"/>
              <w:rPr>
                <w:rFonts w:ascii="Times New Roman"/>
                <w:sz w:val="18"/>
                <w:szCs w:val="18"/>
              </w:rPr>
            </w:pPr>
            <w:r>
              <w:rPr>
                <w:rFonts w:ascii="Times New Roman"/>
                <w:sz w:val="18"/>
                <w:szCs w:val="18"/>
              </w:rPr>
              <w:t>原产地</w:t>
            </w:r>
          </w:p>
        </w:tc>
        <w:tc>
          <w:tcPr>
            <w:tcW w:w="1043" w:type="dxa"/>
            <w:shd w:val="clear" w:color="auto" w:fill="E6E6E6"/>
            <w:vAlign w:val="center"/>
          </w:tcPr>
          <w:p>
            <w:pPr>
              <w:pStyle w:val="4"/>
              <w:snapToGrid w:val="0"/>
              <w:spacing w:line="400" w:lineRule="exact"/>
              <w:ind w:firstLine="0"/>
              <w:jc w:val="center"/>
              <w:rPr>
                <w:rFonts w:ascii="Times New Roman"/>
                <w:sz w:val="18"/>
                <w:szCs w:val="18"/>
              </w:rPr>
            </w:pPr>
            <w:r>
              <w:rPr>
                <w:rFonts w:ascii="Times New Roman"/>
                <w:sz w:val="18"/>
                <w:szCs w:val="18"/>
              </w:rPr>
              <w:t>型号</w:t>
            </w:r>
          </w:p>
        </w:tc>
        <w:tc>
          <w:tcPr>
            <w:tcW w:w="513" w:type="dxa"/>
            <w:shd w:val="clear" w:color="auto" w:fill="E6E6E6"/>
            <w:vAlign w:val="center"/>
          </w:tcPr>
          <w:p>
            <w:pPr>
              <w:pStyle w:val="4"/>
              <w:snapToGrid w:val="0"/>
              <w:spacing w:line="400" w:lineRule="exact"/>
              <w:ind w:firstLine="0"/>
              <w:jc w:val="center"/>
              <w:rPr>
                <w:rFonts w:ascii="Times New Roman"/>
                <w:sz w:val="18"/>
                <w:szCs w:val="18"/>
              </w:rPr>
            </w:pPr>
            <w:r>
              <w:rPr>
                <w:rFonts w:ascii="Times New Roman"/>
                <w:sz w:val="18"/>
                <w:szCs w:val="18"/>
              </w:rPr>
              <w:t>单位</w:t>
            </w:r>
          </w:p>
        </w:tc>
        <w:tc>
          <w:tcPr>
            <w:tcW w:w="1195" w:type="dxa"/>
            <w:shd w:val="clear" w:color="auto" w:fill="E6E6E6"/>
            <w:vAlign w:val="center"/>
          </w:tcPr>
          <w:p>
            <w:pPr>
              <w:pStyle w:val="4"/>
              <w:snapToGrid w:val="0"/>
              <w:spacing w:line="400" w:lineRule="exact"/>
              <w:ind w:firstLine="360"/>
              <w:jc w:val="center"/>
              <w:rPr>
                <w:rFonts w:ascii="Times New Roman"/>
                <w:sz w:val="18"/>
                <w:szCs w:val="18"/>
              </w:rPr>
            </w:pPr>
            <w:r>
              <w:rPr>
                <w:rFonts w:ascii="Times New Roman"/>
                <w:sz w:val="18"/>
                <w:szCs w:val="18"/>
              </w:rPr>
              <w:t>数量</w:t>
            </w:r>
          </w:p>
        </w:tc>
        <w:tc>
          <w:tcPr>
            <w:tcW w:w="1039" w:type="dxa"/>
            <w:shd w:val="clear" w:color="auto" w:fill="E6E6E6"/>
            <w:vAlign w:val="center"/>
          </w:tcPr>
          <w:p>
            <w:pPr>
              <w:pStyle w:val="4"/>
              <w:snapToGrid w:val="0"/>
              <w:spacing w:line="400" w:lineRule="exact"/>
              <w:ind w:firstLine="0"/>
              <w:jc w:val="center"/>
              <w:rPr>
                <w:rFonts w:ascii="Times New Roman"/>
                <w:sz w:val="18"/>
                <w:szCs w:val="18"/>
              </w:rPr>
            </w:pPr>
            <w:r>
              <w:rPr>
                <w:rFonts w:ascii="Times New Roman"/>
                <w:sz w:val="18"/>
                <w:szCs w:val="18"/>
              </w:rPr>
              <w:t>单价</w:t>
            </w:r>
          </w:p>
        </w:tc>
        <w:tc>
          <w:tcPr>
            <w:tcW w:w="1319" w:type="dxa"/>
            <w:shd w:val="clear" w:color="auto" w:fill="E6E6E6"/>
            <w:vAlign w:val="center"/>
          </w:tcPr>
          <w:p>
            <w:pPr>
              <w:pStyle w:val="4"/>
              <w:snapToGrid w:val="0"/>
              <w:spacing w:line="400" w:lineRule="exact"/>
              <w:ind w:firstLine="360"/>
              <w:jc w:val="center"/>
              <w:rPr>
                <w:rFonts w:ascii="Times New Roman"/>
                <w:sz w:val="18"/>
                <w:szCs w:val="18"/>
              </w:rPr>
            </w:pPr>
            <w:r>
              <w:rPr>
                <w:rFonts w:ascii="Times New Roman"/>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20" w:type="dxa"/>
            <w:vAlign w:val="center"/>
          </w:tcPr>
          <w:p>
            <w:pPr>
              <w:adjustRightInd w:val="0"/>
              <w:snapToGrid w:val="0"/>
              <w:spacing w:line="400" w:lineRule="exact"/>
              <w:jc w:val="center"/>
              <w:rPr>
                <w:rFonts w:hint="default" w:eastAsia="宋体"/>
                <w:szCs w:val="21"/>
                <w:lang w:val="en-US" w:eastAsia="zh-CN"/>
              </w:rPr>
            </w:pPr>
            <w:r>
              <w:rPr>
                <w:rFonts w:hint="eastAsia"/>
                <w:szCs w:val="21"/>
                <w:lang w:val="en-US" w:eastAsia="zh-CN"/>
              </w:rPr>
              <w:t>1</w:t>
            </w:r>
          </w:p>
        </w:tc>
        <w:tc>
          <w:tcPr>
            <w:tcW w:w="1195" w:type="dxa"/>
            <w:vAlign w:val="center"/>
          </w:tcPr>
          <w:p>
            <w:pPr>
              <w:adjustRightInd w:val="0"/>
              <w:snapToGrid w:val="0"/>
              <w:spacing w:line="400" w:lineRule="exact"/>
              <w:jc w:val="center"/>
              <w:rPr>
                <w:rFonts w:hint="default" w:eastAsia="宋体"/>
                <w:szCs w:val="21"/>
                <w:lang w:val="en-US" w:eastAsia="zh-CN"/>
              </w:rPr>
            </w:pPr>
            <w:r>
              <w:rPr>
                <w:rFonts w:hint="eastAsia"/>
                <w:szCs w:val="21"/>
                <w:lang w:val="en-US" w:eastAsia="zh-CN"/>
              </w:rPr>
              <w:t>详见分项报价表</w:t>
            </w:r>
          </w:p>
        </w:tc>
        <w:tc>
          <w:tcPr>
            <w:tcW w:w="1039" w:type="dxa"/>
            <w:vAlign w:val="center"/>
          </w:tcPr>
          <w:p>
            <w:pPr>
              <w:adjustRightInd w:val="0"/>
              <w:snapToGrid w:val="0"/>
              <w:spacing w:line="400" w:lineRule="exact"/>
              <w:jc w:val="center"/>
              <w:rPr>
                <w:rFonts w:hint="default" w:eastAsia="宋体"/>
                <w:szCs w:val="21"/>
                <w:lang w:val="en-US" w:eastAsia="zh-CN"/>
              </w:rPr>
            </w:pPr>
            <w:r>
              <w:rPr>
                <w:rFonts w:hint="eastAsia"/>
                <w:szCs w:val="21"/>
                <w:lang w:val="en-US" w:eastAsia="zh-CN"/>
              </w:rPr>
              <w:t>详见分项报价表</w:t>
            </w:r>
          </w:p>
        </w:tc>
        <w:tc>
          <w:tcPr>
            <w:tcW w:w="662" w:type="dxa"/>
            <w:vAlign w:val="center"/>
          </w:tcPr>
          <w:p>
            <w:pPr>
              <w:adjustRightInd w:val="0"/>
              <w:snapToGrid w:val="0"/>
              <w:spacing w:line="400" w:lineRule="exact"/>
              <w:jc w:val="center"/>
              <w:rPr>
                <w:rFonts w:hint="eastAsia" w:eastAsia="宋体"/>
                <w:szCs w:val="21"/>
                <w:lang w:val="en-US" w:eastAsia="zh-CN"/>
              </w:rPr>
            </w:pPr>
            <w:r>
              <w:rPr>
                <w:rFonts w:hint="eastAsia"/>
                <w:szCs w:val="21"/>
                <w:lang w:val="en-US" w:eastAsia="zh-CN"/>
              </w:rPr>
              <w:t>中国</w:t>
            </w:r>
          </w:p>
        </w:tc>
        <w:tc>
          <w:tcPr>
            <w:tcW w:w="1043" w:type="dxa"/>
            <w:vAlign w:val="center"/>
          </w:tcPr>
          <w:p>
            <w:pPr>
              <w:adjustRightInd w:val="0"/>
              <w:snapToGrid w:val="0"/>
              <w:spacing w:line="400" w:lineRule="exact"/>
              <w:jc w:val="center"/>
              <w:rPr>
                <w:szCs w:val="21"/>
              </w:rPr>
            </w:pPr>
            <w:r>
              <w:rPr>
                <w:rFonts w:hint="eastAsia"/>
                <w:szCs w:val="21"/>
                <w:lang w:val="en-US" w:eastAsia="zh-CN"/>
              </w:rPr>
              <w:t>详见分项报价表</w:t>
            </w:r>
          </w:p>
        </w:tc>
        <w:tc>
          <w:tcPr>
            <w:tcW w:w="513" w:type="dxa"/>
            <w:vAlign w:val="center"/>
          </w:tcPr>
          <w:p>
            <w:pPr>
              <w:adjustRightInd w:val="0"/>
              <w:snapToGrid w:val="0"/>
              <w:spacing w:line="400" w:lineRule="exact"/>
              <w:jc w:val="center"/>
              <w:rPr>
                <w:rFonts w:hint="eastAsia" w:eastAsia="宋体"/>
                <w:szCs w:val="21"/>
                <w:lang w:val="en-US" w:eastAsia="zh-CN"/>
              </w:rPr>
            </w:pPr>
            <w:r>
              <w:rPr>
                <w:rFonts w:hint="eastAsia"/>
                <w:szCs w:val="21"/>
                <w:lang w:val="en-US" w:eastAsia="zh-CN"/>
              </w:rPr>
              <w:t>一批</w:t>
            </w:r>
          </w:p>
        </w:tc>
        <w:tc>
          <w:tcPr>
            <w:tcW w:w="1195" w:type="dxa"/>
            <w:vAlign w:val="center"/>
          </w:tcPr>
          <w:p>
            <w:pPr>
              <w:adjustRightInd w:val="0"/>
              <w:snapToGrid w:val="0"/>
              <w:spacing w:line="400" w:lineRule="exact"/>
              <w:jc w:val="center"/>
              <w:rPr>
                <w:szCs w:val="21"/>
              </w:rPr>
            </w:pPr>
            <w:r>
              <w:rPr>
                <w:rFonts w:hint="eastAsia"/>
                <w:szCs w:val="21"/>
                <w:lang w:val="en-US" w:eastAsia="zh-CN"/>
              </w:rPr>
              <w:t>详见分项报价表</w:t>
            </w:r>
          </w:p>
        </w:tc>
        <w:tc>
          <w:tcPr>
            <w:tcW w:w="1039" w:type="dxa"/>
            <w:vAlign w:val="center"/>
          </w:tcPr>
          <w:p>
            <w:pPr>
              <w:adjustRightInd w:val="0"/>
              <w:snapToGrid w:val="0"/>
              <w:spacing w:line="400" w:lineRule="exact"/>
              <w:jc w:val="center"/>
              <w:rPr>
                <w:szCs w:val="21"/>
              </w:rPr>
            </w:pPr>
            <w:r>
              <w:rPr>
                <w:rFonts w:hint="eastAsia"/>
                <w:szCs w:val="21"/>
                <w:lang w:val="en-US" w:eastAsia="zh-CN"/>
              </w:rPr>
              <w:t>详见分项报价表</w:t>
            </w:r>
          </w:p>
        </w:tc>
        <w:tc>
          <w:tcPr>
            <w:tcW w:w="1319" w:type="dxa"/>
            <w:vAlign w:val="center"/>
          </w:tcPr>
          <w:p>
            <w:pPr>
              <w:adjustRightInd w:val="0"/>
              <w:snapToGrid w:val="0"/>
              <w:spacing w:line="400" w:lineRule="exact"/>
              <w:jc w:val="center"/>
              <w:rPr>
                <w:rFonts w:hint="default" w:eastAsia="宋体"/>
                <w:szCs w:val="21"/>
                <w:lang w:val="en-US" w:eastAsia="zh-CN"/>
              </w:rPr>
            </w:pPr>
            <w:r>
              <w:rPr>
                <w:rFonts w:hint="eastAsia"/>
                <w:szCs w:val="21"/>
                <w:lang w:val="en-US" w:eastAsia="zh-CN"/>
              </w:rPr>
              <w:t>5,676,680.00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59" w:type="dxa"/>
            <w:gridSpan w:val="5"/>
            <w:vAlign w:val="center"/>
          </w:tcPr>
          <w:p>
            <w:pPr>
              <w:pStyle w:val="29"/>
              <w:snapToGrid w:val="0"/>
              <w:spacing w:line="400" w:lineRule="exact"/>
              <w:jc w:val="both"/>
              <w:rPr>
                <w:rFonts w:ascii="Times New Roman"/>
                <w:sz w:val="21"/>
                <w:szCs w:val="21"/>
              </w:rPr>
            </w:pPr>
            <w:r>
              <w:rPr>
                <w:rFonts w:ascii="Times New Roman"/>
                <w:sz w:val="21"/>
                <w:szCs w:val="21"/>
              </w:rPr>
              <w:t xml:space="preserve">金额总计小写： </w:t>
            </w:r>
            <w:r>
              <w:rPr>
                <w:rFonts w:hint="eastAsia" w:ascii="Times New Roman"/>
                <w:sz w:val="21"/>
                <w:szCs w:val="21"/>
                <w:lang w:val="en-US" w:eastAsia="zh-CN"/>
              </w:rPr>
              <w:t>5,676,680.00</w:t>
            </w:r>
          </w:p>
        </w:tc>
        <w:tc>
          <w:tcPr>
            <w:tcW w:w="4066" w:type="dxa"/>
            <w:gridSpan w:val="4"/>
            <w:vAlign w:val="center"/>
          </w:tcPr>
          <w:p>
            <w:pPr>
              <w:pStyle w:val="29"/>
              <w:snapToGrid w:val="0"/>
              <w:spacing w:line="400" w:lineRule="exact"/>
              <w:jc w:val="both"/>
              <w:rPr>
                <w:rFonts w:hint="eastAsia" w:ascii="Times New Roman" w:eastAsia="宋体"/>
                <w:sz w:val="21"/>
                <w:szCs w:val="21"/>
                <w:lang w:val="en-US" w:eastAsia="zh-CN"/>
              </w:rPr>
            </w:pPr>
            <w:r>
              <w:rPr>
                <w:rFonts w:ascii="Times New Roman"/>
                <w:sz w:val="21"/>
                <w:szCs w:val="21"/>
              </w:rPr>
              <w:t xml:space="preserve">金额总计大写： </w:t>
            </w:r>
            <w:r>
              <w:rPr>
                <w:rFonts w:hint="eastAsia" w:ascii="Times New Roman"/>
                <w:sz w:val="21"/>
                <w:szCs w:val="21"/>
              </w:rPr>
              <w:t>伍佰陆拾柒万陆仟陆佰捌拾元</w:t>
            </w:r>
          </w:p>
        </w:tc>
      </w:tr>
    </w:tbl>
    <w:p>
      <w:pPr>
        <w:adjustRightInd w:val="0"/>
        <w:snapToGrid w:val="0"/>
        <w:spacing w:line="400" w:lineRule="exact"/>
        <w:ind w:firstLine="420" w:firstLineChars="200"/>
      </w:pPr>
      <w:r>
        <w:t>详细配置清单见附页（列明规格、式样和功能等具体要求）。</w:t>
      </w:r>
    </w:p>
    <w:p>
      <w:pPr>
        <w:adjustRightInd w:val="0"/>
        <w:snapToGrid w:val="0"/>
        <w:spacing w:line="400" w:lineRule="exact"/>
        <w:ind w:firstLine="420" w:firstLineChars="200"/>
      </w:pPr>
      <w:r>
        <w:t>成交总价包含货款、包装费、运费、保修维护费、保险费及相关税费等为完成本项目所需支付的全部费用。本合同价格固定不变，该成交总价为本合同项下甲方需向乙方支付的全部费用，除此之外，甲方无需因本合同向乙方或任何第三方支付任何费用。</w:t>
      </w:r>
    </w:p>
    <w:p>
      <w:pPr>
        <w:adjustRightInd w:val="0"/>
        <w:snapToGrid w:val="0"/>
        <w:spacing w:line="400" w:lineRule="exact"/>
        <w:ind w:firstLine="420" w:firstLineChars="200"/>
      </w:pPr>
      <w:r>
        <w:t>如果因乙方的违约行为，甲方终止合同的，甲方有权依其认为适当的条件和方法向第三方购买与本合同项下设备相同或类似的设备。乙方应对购买此类</w:t>
      </w:r>
      <w:r>
        <w:rPr>
          <w:szCs w:val="21"/>
        </w:rPr>
        <w:t>设备</w:t>
      </w:r>
      <w:r>
        <w:t>超出本合同约定价款的</w:t>
      </w:r>
      <w:r>
        <w:rPr>
          <w:rFonts w:hint="eastAsia"/>
        </w:rPr>
        <w:t>其他所有</w:t>
      </w:r>
      <w:r>
        <w:t>费用负责。</w:t>
      </w:r>
    </w:p>
    <w:p>
      <w:pPr>
        <w:adjustRightInd w:val="0"/>
        <w:snapToGrid w:val="0"/>
        <w:spacing w:line="400" w:lineRule="exact"/>
        <w:ind w:firstLine="420" w:firstLineChars="200"/>
      </w:pPr>
      <w:r>
        <w:t>乙方已</w:t>
      </w:r>
      <w:r>
        <w:rPr>
          <w:rFonts w:hint="eastAsia"/>
        </w:rPr>
        <w:t>对甲方场地</w:t>
      </w:r>
      <w:r>
        <w:t>进行充分踏勘，对设备运输路径、设备安装场地所需条件已进行实地考察并确定所供设备可以正常入场并安装使用</w:t>
      </w:r>
      <w:r>
        <w:rPr>
          <w:rFonts w:hint="eastAsia"/>
        </w:rPr>
        <w:t>。</w:t>
      </w:r>
      <w:r>
        <w:t>因乙方设备无法正常入场安装使用所带来的</w:t>
      </w:r>
      <w:r>
        <w:rPr>
          <w:rFonts w:hint="eastAsia"/>
        </w:rPr>
        <w:t>全部</w:t>
      </w:r>
      <w:r>
        <w:t>损失由乙方</w:t>
      </w:r>
      <w:r>
        <w:rPr>
          <w:rFonts w:hint="eastAsia"/>
        </w:rPr>
        <w:t>承担</w:t>
      </w:r>
      <w:r>
        <w:t>全部赔偿责任。</w:t>
      </w:r>
    </w:p>
    <w:p>
      <w:pPr>
        <w:adjustRightInd w:val="0"/>
        <w:snapToGrid w:val="0"/>
        <w:spacing w:line="400" w:lineRule="exact"/>
        <w:rPr>
          <w:b/>
        </w:rPr>
      </w:pPr>
      <w:r>
        <w:rPr>
          <w:b/>
        </w:rPr>
        <w:t>3、质量标准</w:t>
      </w:r>
    </w:p>
    <w:p>
      <w:pPr>
        <w:adjustRightInd w:val="0"/>
        <w:snapToGrid w:val="0"/>
        <w:spacing w:line="400" w:lineRule="exact"/>
        <w:rPr>
          <w:color w:val="000000" w:themeColor="text1"/>
          <w14:textFill>
            <w14:solidFill>
              <w14:schemeClr w14:val="tx1"/>
            </w14:solidFill>
          </w14:textFill>
        </w:rPr>
      </w:pPr>
      <w:r>
        <w:t>3.1按照相关标准履行，乙方应保证其所提供的设备为全新合格产品</w:t>
      </w:r>
      <w:r>
        <w:rPr>
          <w:rFonts w:hint="eastAsia"/>
        </w:rPr>
        <w:t>（所供产品出厂日期为6个月内）</w:t>
      </w:r>
      <w:r>
        <w:t>，质量符合</w:t>
      </w:r>
      <w:r>
        <w:rPr>
          <w:szCs w:val="21"/>
        </w:rPr>
        <w:t>甲方所需的规格尺寸、式样、功能、颜色、材料等要求并符合国家及北京市的相关行业标准</w:t>
      </w:r>
      <w:r>
        <w:t>。因产品质量问题或非因甲方的原因造成任何事故损失或第三方损害的，均由乙方承担相应责任，给甲方造成损失的由乙方赔偿损失，给第三方造成损害的乙方承担赔偿责任。</w:t>
      </w:r>
      <w:r>
        <w:rPr>
          <w:rFonts w:hint="eastAsia"/>
          <w:color w:val="000000" w:themeColor="text1"/>
          <w14:textFill>
            <w14:solidFill>
              <w14:schemeClr w14:val="tx1"/>
            </w14:solidFill>
          </w14:textFill>
        </w:rPr>
        <w:t>医疗设备类产品应提供《医疗器械监督管理条例》及其他相关管理规定中的相应资料，包括但不限于医疗器械注册证、产品合格证、医疗器械注册人、备案人、生产批号、使用期限、失效期限等。</w:t>
      </w:r>
    </w:p>
    <w:p>
      <w:pPr>
        <w:adjustRightInd w:val="0"/>
        <w:snapToGrid w:val="0"/>
        <w:spacing w:line="400" w:lineRule="exact"/>
      </w:pPr>
    </w:p>
    <w:p>
      <w:pPr>
        <w:tabs>
          <w:tab w:val="left" w:pos="540"/>
        </w:tabs>
        <w:adjustRightInd w:val="0"/>
        <w:snapToGrid w:val="0"/>
        <w:spacing w:line="400" w:lineRule="exact"/>
        <w:ind w:left="540" w:hanging="535"/>
        <w:rPr>
          <w:b/>
        </w:rPr>
      </w:pPr>
      <w:r>
        <w:rPr>
          <w:b/>
        </w:rPr>
        <w:t>4、包装要求</w:t>
      </w:r>
    </w:p>
    <w:p>
      <w:pPr>
        <w:adjustRightInd w:val="0"/>
        <w:snapToGrid w:val="0"/>
        <w:spacing w:line="400" w:lineRule="exact"/>
      </w:pPr>
      <w:r>
        <w:t>4.1乙方提供的全部货物,均应采用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pPr>
        <w:adjustRightInd w:val="0"/>
        <w:snapToGrid w:val="0"/>
        <w:spacing w:line="400" w:lineRule="exact"/>
      </w:pPr>
      <w:r>
        <w:t>4.2 每件包装箱内应附一份详细装箱单和质量合格证。</w:t>
      </w:r>
    </w:p>
    <w:p>
      <w:pPr>
        <w:adjustRightInd w:val="0"/>
        <w:snapToGrid w:val="0"/>
        <w:spacing w:line="400" w:lineRule="exact"/>
      </w:pPr>
    </w:p>
    <w:p>
      <w:pPr>
        <w:adjustRightInd w:val="0"/>
        <w:snapToGrid w:val="0"/>
        <w:spacing w:line="400" w:lineRule="exact"/>
        <w:rPr>
          <w:b/>
        </w:rPr>
      </w:pPr>
      <w:r>
        <w:rPr>
          <w:b/>
        </w:rPr>
        <w:t>5、商品交付</w:t>
      </w:r>
    </w:p>
    <w:p>
      <w:pPr>
        <w:adjustRightInd w:val="0"/>
        <w:snapToGrid w:val="0"/>
        <w:spacing w:line="400" w:lineRule="exact"/>
      </w:pPr>
      <w:r>
        <w:t>5.1交货期：乙方应于合同签订之日起</w:t>
      </w:r>
      <w:r>
        <w:rPr>
          <w:rFonts w:hint="eastAsia"/>
          <w:u w:val="single"/>
          <w:lang w:val="en-US" w:eastAsia="zh-CN"/>
        </w:rPr>
        <w:t>60</w:t>
      </w:r>
      <w:r>
        <w:t>日内交货，</w:t>
      </w:r>
      <w:r>
        <w:rPr>
          <w:szCs w:val="21"/>
        </w:rPr>
        <w:t>乙方在运送前二天通知甲方，甲方做好接收准备。</w:t>
      </w:r>
      <w:r>
        <w:t>乙方逾期交付的，每逾期一日，按合同总价款的千分之三计付违约金。逾期超过10日的，甲方有权解除合同，乙方除应向甲方支付违约金外，由此造成的损失由乙方承担。</w:t>
      </w:r>
      <w:r>
        <w:rPr>
          <w:rFonts w:hint="eastAsia"/>
        </w:rPr>
        <w:t>乙方获得甲方出具的“设备安装验收合格书”，视同交货</w:t>
      </w:r>
      <w:r>
        <w:t>。</w:t>
      </w:r>
    </w:p>
    <w:p>
      <w:pPr>
        <w:adjustRightInd w:val="0"/>
        <w:snapToGrid w:val="0"/>
        <w:spacing w:line="400" w:lineRule="exact"/>
        <w:ind w:left="1260" w:hanging="1260" w:hangingChars="600"/>
      </w:pPr>
      <w:r>
        <w:t>5.2货品含：a、设备实物硬件；b、随机</w:t>
      </w:r>
      <w:r>
        <w:rPr>
          <w:rFonts w:hint="eastAsia"/>
          <w:lang w:val="en-US" w:eastAsia="zh-CN"/>
        </w:rPr>
        <w:t>附带</w:t>
      </w:r>
      <w:r>
        <w:t>应有的程序软件及其载体；c、全套使用等技术资料</w:t>
      </w:r>
    </w:p>
    <w:p>
      <w:pPr>
        <w:adjustRightInd w:val="0"/>
        <w:snapToGrid w:val="0"/>
        <w:spacing w:line="400" w:lineRule="exact"/>
        <w:ind w:left="1260" w:hanging="1260" w:hangingChars="600"/>
      </w:pPr>
      <w:r>
        <w:t>一式两套；d、乙方盖章的操作规程（A4纸）等。</w:t>
      </w:r>
    </w:p>
    <w:p>
      <w:pPr>
        <w:adjustRightInd w:val="0"/>
        <w:snapToGrid w:val="0"/>
        <w:spacing w:line="400" w:lineRule="exact"/>
      </w:pPr>
      <w:r>
        <w:t>5.3交货地点：甲方地址，货物运至甲方后，乙方按照甲方的要求放置指定地点。</w:t>
      </w:r>
    </w:p>
    <w:p>
      <w:pPr>
        <w:adjustRightInd w:val="0"/>
        <w:snapToGrid w:val="0"/>
        <w:spacing w:line="400" w:lineRule="exact"/>
      </w:pPr>
      <w:r>
        <w:t>5.4运输保险：货物的运输与保险费用由乙方自理。</w:t>
      </w:r>
    </w:p>
    <w:p>
      <w:pPr>
        <w:adjustRightInd w:val="0"/>
        <w:snapToGrid w:val="0"/>
        <w:spacing w:line="400" w:lineRule="exact"/>
      </w:pPr>
      <w:r>
        <w:t>5.5风险承担：乙方对货物的配送负责。在货物的配送过程中，甲方与乙方的相关人员以及第三方发生伤亡事故或其他安全事故或货物发生灭失、损毁的，由乙方承担全部责任并赔偿各方因此所遭受的损失。</w:t>
      </w:r>
    </w:p>
    <w:p>
      <w:pPr>
        <w:adjustRightInd w:val="0"/>
        <w:snapToGrid w:val="0"/>
        <w:spacing w:line="400" w:lineRule="exact"/>
      </w:pPr>
    </w:p>
    <w:p>
      <w:pPr>
        <w:adjustRightInd w:val="0"/>
        <w:snapToGrid w:val="0"/>
        <w:spacing w:line="400" w:lineRule="exact"/>
        <w:rPr>
          <w:b/>
        </w:rPr>
      </w:pPr>
      <w:r>
        <w:rPr>
          <w:b/>
        </w:rPr>
        <w:t>6、保险</w:t>
      </w:r>
    </w:p>
    <w:p>
      <w:pPr>
        <w:adjustRightInd w:val="0"/>
        <w:snapToGrid w:val="0"/>
        <w:spacing w:line="400" w:lineRule="exact"/>
        <w:rPr>
          <w:b/>
        </w:rPr>
      </w:pPr>
      <w:r>
        <w:t>6.1如果货物是按现场交货方式的，由乙方按照发票金额的1</w:t>
      </w:r>
      <w:r>
        <w:rPr>
          <w:rFonts w:hint="eastAsia"/>
          <w:lang w:val="en-US" w:eastAsia="zh-CN"/>
        </w:rPr>
        <w:t>0</w:t>
      </w:r>
      <w:r>
        <w:t>0％办理“一切险”。</w:t>
      </w:r>
    </w:p>
    <w:p>
      <w:pPr>
        <w:adjustRightInd w:val="0"/>
        <w:snapToGrid w:val="0"/>
        <w:spacing w:line="400" w:lineRule="exact"/>
        <w:rPr>
          <w:b/>
        </w:rPr>
      </w:pPr>
    </w:p>
    <w:p>
      <w:pPr>
        <w:adjustRightInd w:val="0"/>
        <w:snapToGrid w:val="0"/>
        <w:spacing w:line="400" w:lineRule="exact"/>
        <w:rPr>
          <w:b/>
        </w:rPr>
      </w:pPr>
      <w:r>
        <w:rPr>
          <w:b/>
        </w:rPr>
        <w:t>7、安装、调试、验收</w:t>
      </w:r>
    </w:p>
    <w:p>
      <w:pPr>
        <w:adjustRightInd w:val="0"/>
        <w:snapToGrid w:val="0"/>
        <w:spacing w:line="400" w:lineRule="exact"/>
      </w:pPr>
      <w:r>
        <w:t>7.1所有设备均由乙方免费(含人工、材料费等)进行安装调试。</w:t>
      </w:r>
    </w:p>
    <w:p>
      <w:pPr>
        <w:adjustRightInd w:val="0"/>
        <w:snapToGrid w:val="0"/>
        <w:spacing w:line="400" w:lineRule="exact"/>
      </w:pPr>
      <w:r>
        <w:t>7.2设备完成安装调试并顺利运行后，甲方确定该设备符合本合同约定的配置及质量标准并运行良好后，出具“设备安装验收合格书”1套提供给乙方，出具“设备安装验收合格书”后，货物的风险由乙方转移至甲方。</w:t>
      </w:r>
    </w:p>
    <w:p>
      <w:pPr>
        <w:adjustRightInd w:val="0"/>
        <w:snapToGrid w:val="0"/>
        <w:spacing w:line="400" w:lineRule="exact"/>
      </w:pPr>
      <w:r>
        <w:t>7.3乙方不全交货或交付的货物不符合合同约定的，甲方有权拒收全部货物，相关延期交付及未交付的责任由乙方承担。乙方应于日内重新向甲方交货，重新交货仍然不符合约定的，甲方有权解除本合同，由此造成的损失由乙方承担。</w:t>
      </w:r>
    </w:p>
    <w:p>
      <w:pPr>
        <w:adjustRightInd w:val="0"/>
        <w:snapToGrid w:val="0"/>
        <w:spacing w:line="400" w:lineRule="exact"/>
        <w:rPr>
          <w:highlight w:val="none"/>
        </w:rPr>
      </w:pPr>
      <w:r>
        <w:t>7.4涉及到计量检定的设备，由乙方在设备验收前进行检定，费用由乙方承担，检定合格后方可验收。</w:t>
      </w:r>
      <w:r>
        <w:rPr>
          <w:highlight w:val="none"/>
        </w:rPr>
        <w:t>设备验收时乙方向甲方提供检定合格的相关凭证，否则视为乙方交付的货物不符合约定。</w:t>
      </w:r>
    </w:p>
    <w:p>
      <w:pPr>
        <w:adjustRightInd w:val="0"/>
        <w:snapToGrid w:val="0"/>
        <w:spacing w:line="400" w:lineRule="exact"/>
        <w:rPr>
          <w:b/>
          <w:highlight w:val="none"/>
        </w:rPr>
      </w:pPr>
      <w:r>
        <w:rPr>
          <w:b/>
          <w:highlight w:val="none"/>
        </w:rPr>
        <w:t>8、货款支付</w:t>
      </w:r>
    </w:p>
    <w:p>
      <w:pPr>
        <w:adjustRightInd w:val="0"/>
        <w:snapToGrid w:val="0"/>
        <w:spacing w:line="400" w:lineRule="exact"/>
        <w:rPr>
          <w:rFonts w:hint="eastAsia"/>
          <w:highlight w:val="none"/>
        </w:rPr>
      </w:pPr>
      <w:r>
        <w:rPr>
          <w:rFonts w:hint="eastAsia"/>
          <w:bCs/>
          <w:highlight w:val="none"/>
        </w:rPr>
        <w:t>8.1</w:t>
      </w:r>
      <w:r>
        <w:rPr>
          <w:rFonts w:hint="eastAsia"/>
          <w:highlight w:val="none"/>
        </w:rPr>
        <w:t>履约保证金：甲乙双方合同签订生效的5个工作日内，乙方向甲方提交合同总价款的10%作为履约保证金，即</w:t>
      </w:r>
      <w:r>
        <w:rPr>
          <w:rFonts w:hint="eastAsia"/>
          <w:highlight w:val="none"/>
          <w:u w:val="none"/>
        </w:rPr>
        <w:t>人民币（大写）：</w:t>
      </w:r>
      <w:r>
        <w:rPr>
          <w:rFonts w:hint="eastAsia"/>
          <w:highlight w:val="none"/>
          <w:u w:val="single"/>
          <w:lang w:eastAsia="zh-CN"/>
        </w:rPr>
        <w:t>伍拾陆万柒仟陆佰陆拾八</w:t>
      </w:r>
      <w:r>
        <w:rPr>
          <w:rFonts w:hint="eastAsia"/>
          <w:highlight w:val="none"/>
          <w:u w:val="none"/>
        </w:rPr>
        <w:t>元（小写）</w:t>
      </w:r>
      <w:r>
        <w:rPr>
          <w:rFonts w:hint="eastAsia"/>
          <w:highlight w:val="none"/>
          <w:u w:val="single"/>
        </w:rPr>
        <w:t>￥</w:t>
      </w:r>
      <w:r>
        <w:rPr>
          <w:rFonts w:hint="eastAsia"/>
          <w:highlight w:val="none"/>
          <w:u w:val="single"/>
          <w:lang w:val="en-US" w:eastAsia="zh-CN"/>
        </w:rPr>
        <w:t>567668</w:t>
      </w:r>
      <w:r>
        <w:rPr>
          <w:rFonts w:hint="eastAsia"/>
          <w:highlight w:val="none"/>
          <w:u w:val="none"/>
        </w:rPr>
        <w:t>元</w:t>
      </w:r>
      <w:r>
        <w:rPr>
          <w:rFonts w:hint="eastAsia"/>
          <w:highlight w:val="none"/>
        </w:rPr>
        <w:t>。在乙方所供设备质保期结束后、无遗留问题和违约情形后，甲方无息向乙方返还。</w:t>
      </w:r>
    </w:p>
    <w:p>
      <w:pPr>
        <w:adjustRightInd w:val="0"/>
        <w:snapToGrid w:val="0"/>
        <w:spacing w:line="400" w:lineRule="exact"/>
        <w:jc w:val="left"/>
        <w:rPr>
          <w:highlight w:val="none"/>
        </w:rPr>
      </w:pPr>
      <w:r>
        <w:rPr>
          <w:rFonts w:hint="eastAsia"/>
          <w:highlight w:val="none"/>
        </w:rPr>
        <w:t>8.</w:t>
      </w:r>
      <w:r>
        <w:rPr>
          <w:rFonts w:hint="eastAsia"/>
          <w:highlight w:val="none"/>
          <w:lang w:val="en-US" w:eastAsia="zh-CN"/>
        </w:rPr>
        <w:t>1</w:t>
      </w:r>
      <w:r>
        <w:rPr>
          <w:rFonts w:hint="eastAsia"/>
          <w:highlight w:val="none"/>
        </w:rPr>
        <w:t>首付款： 甲乙双方合同签订生效的30个工作日内，甲方向乙方支付合同总价款的</w:t>
      </w:r>
      <w:r>
        <w:rPr>
          <w:rFonts w:hint="eastAsia"/>
          <w:highlight w:val="none"/>
          <w:lang w:val="en-US" w:eastAsia="zh-CN"/>
        </w:rPr>
        <w:t>30</w:t>
      </w:r>
      <w:r>
        <w:rPr>
          <w:rFonts w:hint="eastAsia"/>
          <w:highlight w:val="none"/>
        </w:rPr>
        <w:t>%，乙方应向甲方先开具相应的国家规定正式税务发票，甲方向乙方指定账户支付人民币（大写）：</w:t>
      </w:r>
      <w:r>
        <w:rPr>
          <w:rFonts w:hint="eastAsia"/>
          <w:highlight w:val="none"/>
          <w:u w:val="single"/>
          <w:lang w:eastAsia="zh-CN"/>
        </w:rPr>
        <w:t>壹佰柒拾万叁仟零肆</w:t>
      </w:r>
      <w:r>
        <w:rPr>
          <w:rFonts w:hint="eastAsia"/>
          <w:highlight w:val="none"/>
          <w:lang w:eastAsia="zh-CN"/>
        </w:rPr>
        <w:t>元</w:t>
      </w:r>
      <w:r>
        <w:rPr>
          <w:rFonts w:hint="eastAsia"/>
          <w:highlight w:val="none"/>
        </w:rPr>
        <w:t>（小写）：</w:t>
      </w:r>
      <w:bookmarkStart w:id="16" w:name="_GoBack"/>
      <w:r>
        <w:rPr>
          <w:rFonts w:hint="eastAsia"/>
          <w:highlight w:val="none"/>
          <w:u w:val="single"/>
        </w:rPr>
        <w:t>￥</w:t>
      </w:r>
      <w:r>
        <w:rPr>
          <w:rFonts w:hint="eastAsia"/>
          <w:highlight w:val="none"/>
          <w:u w:val="single"/>
          <w:lang w:val="en-US" w:eastAsia="zh-CN"/>
        </w:rPr>
        <w:t>1703004</w:t>
      </w:r>
      <w:bookmarkEnd w:id="16"/>
      <w:r>
        <w:rPr>
          <w:rFonts w:hint="eastAsia"/>
          <w:highlight w:val="none"/>
        </w:rPr>
        <w:t>元。如因财政或主管部门批复、拨付延迟，不视为甲方违约。</w:t>
      </w:r>
    </w:p>
    <w:p>
      <w:pPr>
        <w:adjustRightInd w:val="0"/>
        <w:snapToGrid w:val="0"/>
        <w:spacing w:line="400" w:lineRule="exact"/>
        <w:jc w:val="left"/>
        <w:rPr>
          <w:highlight w:val="none"/>
        </w:rPr>
      </w:pPr>
      <w:r>
        <w:rPr>
          <w:rFonts w:hint="eastAsia"/>
          <w:highlight w:val="none"/>
        </w:rPr>
        <w:t>8.</w:t>
      </w:r>
      <w:r>
        <w:rPr>
          <w:rFonts w:hint="eastAsia"/>
          <w:highlight w:val="none"/>
          <w:lang w:val="en-US" w:eastAsia="zh-CN"/>
        </w:rPr>
        <w:t>2</w:t>
      </w:r>
      <w:r>
        <w:rPr>
          <w:rFonts w:hint="eastAsia"/>
          <w:highlight w:val="none"/>
        </w:rPr>
        <w:t>二期付款：乙方全部货物到货无误且安装、调试、集成、检验、培训等工作全部完成并验收合格后，</w:t>
      </w:r>
      <w:r>
        <w:rPr>
          <w:highlight w:val="none"/>
        </w:rPr>
        <w:t>甲方出具的“设备安装验收合格书”</w:t>
      </w:r>
      <w:r>
        <w:rPr>
          <w:rFonts w:hint="eastAsia"/>
          <w:highlight w:val="none"/>
        </w:rPr>
        <w:t>，且乙方开具相应的国家规定正式税务发票后的30个工作日内，甲方向乙方支付合同总额70%的合同款项；即人民币（大写）：</w:t>
      </w:r>
      <w:r>
        <w:rPr>
          <w:rFonts w:hint="eastAsia"/>
          <w:highlight w:val="none"/>
          <w:u w:val="single"/>
          <w:lang w:eastAsia="zh-CN"/>
        </w:rPr>
        <w:t>叁佰玖拾柒万叁仟陆佰柒拾陆</w:t>
      </w:r>
      <w:r>
        <w:rPr>
          <w:rFonts w:hint="eastAsia"/>
          <w:highlight w:val="none"/>
        </w:rPr>
        <w:t>元：（小写）</w:t>
      </w:r>
      <w:r>
        <w:rPr>
          <w:rFonts w:hint="eastAsia"/>
          <w:highlight w:val="none"/>
          <w:u w:val="single"/>
        </w:rPr>
        <w:t>￥</w:t>
      </w:r>
      <w:r>
        <w:rPr>
          <w:rFonts w:hint="eastAsia"/>
          <w:highlight w:val="none"/>
          <w:u w:val="single"/>
          <w:lang w:val="en-US" w:eastAsia="zh-CN"/>
        </w:rPr>
        <w:t>3973676</w:t>
      </w:r>
      <w:r>
        <w:rPr>
          <w:rFonts w:hint="eastAsia"/>
          <w:highlight w:val="none"/>
        </w:rPr>
        <w:t>元。如因财政或主管部门批复、拨付延迟，不视为甲方违约。</w:t>
      </w:r>
    </w:p>
    <w:p>
      <w:pPr>
        <w:snapToGrid w:val="0"/>
        <w:spacing w:line="400" w:lineRule="exact"/>
        <w:ind w:firstLine="420" w:firstLineChars="200"/>
        <w:jc w:val="left"/>
        <w:rPr>
          <w:highlight w:val="none"/>
          <w:shd w:val="clear" w:color="auto" w:fill="auto"/>
        </w:rPr>
      </w:pPr>
      <w:r>
        <w:rPr>
          <w:rFonts w:hint="eastAsia"/>
          <w:highlight w:val="none"/>
          <w:shd w:val="clear" w:color="auto" w:fill="auto"/>
        </w:rPr>
        <w:t>甲方开票信息如下：</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名称： 北京市石景山区五里坨医院</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纳税人识别号：12110107400867084M</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地址： 北京市石景山区石门路322号</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电话： 51510511</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联系人：崔铂洋</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账号：0301050103000016082</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开户行：:北京农商银行石景山支行营业部</w:t>
      </w:r>
    </w:p>
    <w:p>
      <w:pPr>
        <w:snapToGrid w:val="0"/>
        <w:spacing w:line="400" w:lineRule="exact"/>
        <w:ind w:firstLine="420" w:firstLineChars="200"/>
        <w:jc w:val="left"/>
        <w:rPr>
          <w:rFonts w:hint="eastAsia"/>
          <w:highlight w:val="none"/>
          <w:shd w:val="clear" w:color="auto" w:fill="auto"/>
        </w:rPr>
      </w:pP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乙方的收款单位全称、纳税人识别号、开户银行、地址和账号为：</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收款单位：</w:t>
      </w:r>
      <w:r>
        <w:rPr>
          <w:rFonts w:hint="eastAsia"/>
          <w:highlight w:val="none"/>
          <w:shd w:val="clear" w:color="auto" w:fill="auto"/>
          <w:lang w:val="en-US" w:eastAsia="zh-CN"/>
        </w:rPr>
        <w:t>北京建强伟业科技有限公司</w:t>
      </w:r>
      <w:r>
        <w:rPr>
          <w:rFonts w:hint="eastAsia"/>
          <w:highlight w:val="none"/>
          <w:shd w:val="clear" w:color="auto" w:fill="auto"/>
        </w:rPr>
        <w:t xml:space="preserve"> </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 xml:space="preserve">纳税人识别号：91110108681218039P  </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基本账户开户银行： 招商银行股份有限公司北京分行营业部</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 xml:space="preserve">地址：北京市海淀区紫雀路33号院3号楼3层3352 </w:t>
      </w:r>
    </w:p>
    <w:p>
      <w:pPr>
        <w:snapToGrid w:val="0"/>
        <w:spacing w:line="400" w:lineRule="exact"/>
        <w:ind w:firstLine="420" w:firstLineChars="200"/>
        <w:jc w:val="left"/>
        <w:rPr>
          <w:rFonts w:hint="eastAsia"/>
          <w:highlight w:val="none"/>
          <w:shd w:val="clear" w:color="auto" w:fill="auto"/>
        </w:rPr>
      </w:pPr>
      <w:r>
        <w:rPr>
          <w:rFonts w:hint="eastAsia"/>
          <w:highlight w:val="none"/>
          <w:shd w:val="clear" w:color="auto" w:fill="auto"/>
        </w:rPr>
        <w:t xml:space="preserve">基本账户账号： 110946791910805 </w:t>
      </w:r>
    </w:p>
    <w:p>
      <w:pPr>
        <w:snapToGrid w:val="0"/>
        <w:spacing w:line="400" w:lineRule="exact"/>
        <w:ind w:firstLine="420" w:firstLineChars="200"/>
        <w:jc w:val="left"/>
        <w:rPr>
          <w:rFonts w:hint="eastAsia"/>
          <w:highlight w:val="none"/>
          <w:shd w:val="clear" w:color="auto" w:fill="auto"/>
        </w:rPr>
      </w:pPr>
    </w:p>
    <w:p>
      <w:pPr>
        <w:adjustRightInd w:val="0"/>
        <w:snapToGrid w:val="0"/>
        <w:spacing w:line="400" w:lineRule="exact"/>
        <w:rPr>
          <w:b/>
        </w:rPr>
      </w:pPr>
      <w:r>
        <w:rPr>
          <w:b/>
        </w:rPr>
        <w:t>9、售后服务</w:t>
      </w:r>
    </w:p>
    <w:p>
      <w:pPr>
        <w:adjustRightInd w:val="0"/>
        <w:snapToGrid w:val="0"/>
        <w:spacing w:line="400" w:lineRule="exact"/>
      </w:pPr>
      <w:r>
        <w:t>9.1培训：乙方技术人员在设备安装地点免费为医院相关人员进行使用及日常维护培训，直至医院相关科室人员能熟练使用设备和日常故障的处理。</w:t>
      </w:r>
    </w:p>
    <w:p>
      <w:pPr>
        <w:adjustRightInd w:val="0"/>
        <w:snapToGrid w:val="0"/>
        <w:spacing w:line="400" w:lineRule="exact"/>
      </w:pPr>
      <w:r>
        <w:t>9.2保修：乙方免费提供整机</w:t>
      </w:r>
      <w:r>
        <w:rPr>
          <w:rFonts w:hint="eastAsia"/>
          <w:u w:val="single"/>
          <w:lang w:val="en-US" w:eastAsia="zh-CN"/>
        </w:rPr>
        <w:t>3</w:t>
      </w:r>
      <w:r>
        <w:t>年保修服务，保修期自设备验收合格之日起计算（故障停机时间顺延保修期）。保修期后，乙方应提供优惠维修服务，原则上只收取零配件成本费。乙方在应答招标文件时应附保修期满后免费提供人工维修服务、维修收费标准及维修说明书，年维保费用</w:t>
      </w:r>
      <w:r>
        <w:rPr>
          <w:rFonts w:hint="eastAsia"/>
        </w:rPr>
        <w:t>≤</w:t>
      </w:r>
      <w:r>
        <w:t>设备原值的</w:t>
      </w:r>
      <w:r>
        <w:rPr>
          <w:rFonts w:hint="eastAsia"/>
          <w:highlight w:val="none"/>
          <w:u w:val="single"/>
          <w:lang w:val="en-US" w:eastAsia="zh-CN"/>
        </w:rPr>
        <w:t>5</w:t>
      </w:r>
      <w:r>
        <w:rPr>
          <w:highlight w:val="none"/>
          <w:u w:val="single"/>
        </w:rPr>
        <w:t xml:space="preserve"> </w:t>
      </w:r>
      <w:r>
        <w:rPr>
          <w:highlight w:val="none"/>
        </w:rPr>
        <w:t>%</w:t>
      </w:r>
      <w:r>
        <w:t>的承诺函。</w:t>
      </w:r>
    </w:p>
    <w:p>
      <w:pPr>
        <w:adjustRightInd w:val="0"/>
        <w:snapToGrid w:val="0"/>
        <w:spacing w:line="400" w:lineRule="exact"/>
        <w:rPr>
          <w:szCs w:val="21"/>
        </w:rPr>
      </w:pPr>
      <w:r>
        <w:t>保修期内或在应当由乙方负责的其他情况下，乙方有义务提供设备维修的解决方案并保证在</w:t>
      </w:r>
      <w:r>
        <w:rPr>
          <w:rFonts w:hint="eastAsia"/>
          <w:u w:val="single"/>
        </w:rPr>
        <w:t>5</w:t>
      </w:r>
      <w:r>
        <w:t>个工作日内使设备恢复正常运行</w:t>
      </w:r>
      <w:r>
        <w:rPr>
          <w:rFonts w:hint="eastAsia"/>
        </w:rPr>
        <w:t>（如因配件运输确实无法在规定期限内完成修复的，需提交书面解释说明）</w:t>
      </w:r>
      <w:r>
        <w:t>。保修期应依照停止使用的实际时间加以延长，如因此给甲方造成损失，乙方应负责赔偿。保修期内乙方接到甲方通知之日起3日内未到现场进行保修服务的，甲方有权自行委托第三方对设备进行维修，由此产生的相关费用由乙方承担，因此给甲方造成损失，乙方应负责赔偿。</w:t>
      </w:r>
      <w:r>
        <w:rPr>
          <w:szCs w:val="21"/>
        </w:rPr>
        <w:t>乙方拒不履行保修义务的，或乙方保修工作经甲方书面通知三次不合格的，甲方有权解除本合同，并要求乙方承担相当于本合同总价款20%的违约金。</w:t>
      </w:r>
    </w:p>
    <w:p>
      <w:pPr>
        <w:adjustRightInd w:val="0"/>
        <w:snapToGrid w:val="0"/>
        <w:spacing w:line="400" w:lineRule="exact"/>
      </w:pPr>
      <w:r>
        <w:t>9.3软件升级：设备系统软件乙方负责终身免费升级。</w:t>
      </w:r>
    </w:p>
    <w:p>
      <w:pPr>
        <w:adjustRightInd w:val="0"/>
        <w:snapToGrid w:val="0"/>
        <w:spacing w:line="400" w:lineRule="exact"/>
      </w:pPr>
      <w:r>
        <w:t>9.4乙方须提供医疗设备的通讯协议、通讯接口以及使用方法（包括但不限于以上内容）。（如影像类设备提供DICOM通讯协议及使用方法；生命支持类设备提供数据传输协议及使用方法；质控设备提供数据传输协议及使用方法）。</w:t>
      </w:r>
    </w:p>
    <w:p>
      <w:pPr>
        <w:adjustRightInd w:val="0"/>
        <w:snapToGrid w:val="0"/>
        <w:spacing w:line="400" w:lineRule="exact"/>
      </w:pPr>
      <w:r>
        <w:t>9.5乙方所提供医疗设备应具备设备单机效益、效率分析等功能，满足医院对于设备监管及信息化管理的需要。须准确提供以下功能（包括但不限于），设备的每日开机时间、每日关机时间、每日工作时长、每日24小时设备工作率分布数据、故障发生时间、故障代码、故障恢复时间等；影像类设备须提供每个患者每个检查的开始检查时间、结束检查时间、检查部位，支持设备单机效益分析及自动统计功能；所提供的数据能够与甲方的医疗设备全生命周期管理平台无缝对接。如本功能需要第三方厂家提供，所产生的费用由乙方承担。</w:t>
      </w:r>
    </w:p>
    <w:p>
      <w:pPr>
        <w:adjustRightInd w:val="0"/>
        <w:snapToGrid w:val="0"/>
        <w:spacing w:line="400" w:lineRule="exact"/>
        <w:rPr>
          <w:b/>
        </w:rPr>
      </w:pPr>
    </w:p>
    <w:p>
      <w:pPr>
        <w:adjustRightInd w:val="0"/>
        <w:snapToGrid w:val="0"/>
        <w:spacing w:line="400" w:lineRule="exact"/>
        <w:rPr>
          <w:b/>
        </w:rPr>
      </w:pPr>
      <w:r>
        <w:rPr>
          <w:b/>
        </w:rPr>
        <w:t>10、解决纠纷的方式</w:t>
      </w:r>
    </w:p>
    <w:p>
      <w:pPr>
        <w:adjustRightInd w:val="0"/>
        <w:snapToGrid w:val="0"/>
        <w:spacing w:line="400" w:lineRule="exact"/>
      </w:pPr>
      <w:r>
        <w:t>10.1本合同适用中华人民共和国民法典。</w:t>
      </w:r>
    </w:p>
    <w:p>
      <w:pPr>
        <w:adjustRightInd w:val="0"/>
        <w:snapToGrid w:val="0"/>
        <w:spacing w:line="400" w:lineRule="exact"/>
      </w:pPr>
      <w:r>
        <w:t>10.2甲乙双方因本合同订立、履行、解释、争议解决而发生任何争议，甲乙双方应友好协商加以解决。协商不成，任何一方均有权向甲方住所地有管辖权的人民法院提起诉讼。</w:t>
      </w:r>
    </w:p>
    <w:p>
      <w:pPr>
        <w:adjustRightInd w:val="0"/>
        <w:snapToGrid w:val="0"/>
        <w:spacing w:line="400" w:lineRule="exact"/>
      </w:pPr>
    </w:p>
    <w:p>
      <w:pPr>
        <w:tabs>
          <w:tab w:val="left" w:pos="540"/>
        </w:tabs>
        <w:adjustRightInd w:val="0"/>
        <w:snapToGrid w:val="0"/>
        <w:spacing w:line="400" w:lineRule="exact"/>
        <w:ind w:left="540" w:hanging="540"/>
        <w:rPr>
          <w:b/>
        </w:rPr>
      </w:pPr>
      <w:r>
        <w:rPr>
          <w:b/>
        </w:rPr>
        <w:t>11、知识产权</w:t>
      </w:r>
    </w:p>
    <w:p>
      <w:pPr>
        <w:adjustRightInd w:val="0"/>
        <w:snapToGrid w:val="0"/>
        <w:spacing w:line="400" w:lineRule="exact"/>
      </w:pPr>
      <w:r>
        <w:t>11.1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pPr>
        <w:adjustRightInd w:val="0"/>
        <w:snapToGrid w:val="0"/>
        <w:spacing w:line="400" w:lineRule="exact"/>
        <w:rPr>
          <w:b/>
        </w:rPr>
      </w:pPr>
    </w:p>
    <w:p>
      <w:pPr>
        <w:tabs>
          <w:tab w:val="left" w:pos="540"/>
        </w:tabs>
        <w:adjustRightInd w:val="0"/>
        <w:snapToGrid w:val="0"/>
        <w:spacing w:line="400" w:lineRule="exact"/>
        <w:ind w:left="540" w:hanging="540"/>
        <w:rPr>
          <w:b/>
        </w:rPr>
      </w:pPr>
      <w:r>
        <w:rPr>
          <w:b/>
        </w:rPr>
        <w:t>12、不可抗力</w:t>
      </w:r>
    </w:p>
    <w:p>
      <w:pPr>
        <w:adjustRightInd w:val="0"/>
        <w:snapToGrid w:val="0"/>
        <w:spacing w:line="400" w:lineRule="exact"/>
      </w:pPr>
      <w:r>
        <w:t>12.1  甲乙双方由于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水灾、洪水、台风、地震及其它双方同意可认定的不可抗力事件。</w:t>
      </w:r>
    </w:p>
    <w:p>
      <w:pPr>
        <w:adjustRightInd w:val="0"/>
        <w:snapToGrid w:val="0"/>
        <w:spacing w:line="400" w:lineRule="exact"/>
      </w:pPr>
      <w:r>
        <w:t>12.2  受阻一方应在不可抗力事件发生后尽快用电报、传真或电子邮件通知对方，并于事件发生后14日内将有关当局出具的证明文件用特快专递或航空挂号信寄给对方审阅确认。一旦不可抗力事件的影响持续120日以上，双方应通过友好协商在合理的时间内达成进一步履行合同的协议。</w:t>
      </w:r>
    </w:p>
    <w:p>
      <w:pPr>
        <w:adjustRightInd w:val="0"/>
        <w:snapToGrid w:val="0"/>
        <w:spacing w:line="400" w:lineRule="exact"/>
      </w:pPr>
      <w:r>
        <w:t>12.3因不可抗力导致合同无法履行，合同双方不承担违约责任，但是一方因未履行本合同义务而遭遇不可抗力的除外。如受到不可抗力影响一方没有采取合理的措施将不可抗力事件的负面影响降到最小，或没有在约定的时间内通知相对方，给相对方造成损失的，应当承担相应的赔偿责任。</w:t>
      </w:r>
    </w:p>
    <w:p>
      <w:pPr>
        <w:adjustRightInd w:val="0"/>
        <w:snapToGrid w:val="0"/>
        <w:spacing w:line="400" w:lineRule="exact"/>
        <w:rPr>
          <w:b/>
        </w:rPr>
      </w:pPr>
    </w:p>
    <w:p>
      <w:pPr>
        <w:adjustRightInd w:val="0"/>
        <w:snapToGrid w:val="0"/>
        <w:spacing w:line="400" w:lineRule="exact"/>
        <w:rPr>
          <w:b/>
        </w:rPr>
      </w:pPr>
      <w:r>
        <w:rPr>
          <w:b/>
        </w:rPr>
        <w:t>13、合同签订</w:t>
      </w:r>
    </w:p>
    <w:p>
      <w:pPr>
        <w:adjustRightInd w:val="0"/>
        <w:snapToGrid w:val="0"/>
        <w:spacing w:line="400" w:lineRule="exact"/>
        <w:ind w:firstLine="435"/>
      </w:pPr>
      <w:r>
        <w:t>本合同（含附页）</w:t>
      </w:r>
      <w:r>
        <w:rPr>
          <w:color w:val="000000" w:themeColor="text1"/>
          <w14:textFill>
            <w14:solidFill>
              <w14:schemeClr w14:val="tx1"/>
            </w14:solidFill>
          </w14:textFill>
        </w:rPr>
        <w:t>一</w:t>
      </w:r>
      <w:r>
        <w:rPr>
          <w:rFonts w:hint="eastAsia"/>
          <w:color w:val="000000" w:themeColor="text1"/>
          <w14:textFill>
            <w14:solidFill>
              <w14:schemeClr w14:val="tx1"/>
            </w14:solidFill>
          </w14:textFill>
        </w:rPr>
        <w:t>式陆</w:t>
      </w:r>
      <w:r>
        <w:rPr>
          <w:color w:val="000000" w:themeColor="text1"/>
          <w14:textFill>
            <w14:solidFill>
              <w14:schemeClr w14:val="tx1"/>
            </w14:solidFill>
          </w14:textFill>
        </w:rPr>
        <w:t>份，甲方执</w:t>
      </w:r>
      <w:r>
        <w:rPr>
          <w:rFonts w:hint="eastAsia"/>
          <w:color w:val="000000" w:themeColor="text1"/>
          <w14:textFill>
            <w14:solidFill>
              <w14:schemeClr w14:val="tx1"/>
            </w14:solidFill>
          </w14:textFill>
        </w:rPr>
        <w:t>叁</w:t>
      </w:r>
      <w:r>
        <w:rPr>
          <w:color w:val="000000" w:themeColor="text1"/>
          <w14:textFill>
            <w14:solidFill>
              <w14:schemeClr w14:val="tx1"/>
            </w14:solidFill>
          </w14:textFill>
        </w:rPr>
        <w:t>份，乙方执</w:t>
      </w:r>
      <w:r>
        <w:rPr>
          <w:rFonts w:hint="eastAsia"/>
          <w:color w:val="000000" w:themeColor="text1"/>
          <w14:textFill>
            <w14:solidFill>
              <w14:schemeClr w14:val="tx1"/>
            </w14:solidFill>
          </w14:textFill>
        </w:rPr>
        <w:t>叁</w:t>
      </w:r>
      <w:r>
        <w:rPr>
          <w:color w:val="000000" w:themeColor="text1"/>
          <w14:textFill>
            <w14:solidFill>
              <w14:schemeClr w14:val="tx1"/>
            </w14:solidFill>
          </w14:textFill>
        </w:rPr>
        <w:t>份，</w:t>
      </w:r>
      <w:r>
        <w:rPr>
          <w:rFonts w:hint="eastAsia"/>
          <w:color w:val="000000" w:themeColor="text1"/>
          <w14:textFill>
            <w14:solidFill>
              <w14:schemeClr w14:val="tx1"/>
            </w14:solidFill>
          </w14:textFill>
        </w:rPr>
        <w:t>陆</w:t>
      </w:r>
      <w:r>
        <w:rPr>
          <w:color w:val="000000" w:themeColor="text1"/>
          <w14:textFill>
            <w14:solidFill>
              <w14:schemeClr w14:val="tx1"/>
            </w14:solidFill>
          </w14:textFill>
        </w:rPr>
        <w:t>份具</w:t>
      </w:r>
      <w:r>
        <w:t>有同等法律效力。未尽事宜双方应友好协商解决并签订补充合同，补充合同与本合同具有同等的法律效力。</w:t>
      </w:r>
    </w:p>
    <w:p>
      <w:pPr>
        <w:adjustRightInd w:val="0"/>
        <w:snapToGrid w:val="0"/>
        <w:spacing w:line="400" w:lineRule="exact"/>
        <w:ind w:firstLine="435"/>
      </w:pPr>
    </w:p>
    <w:p>
      <w:pPr>
        <w:adjustRightInd w:val="0"/>
        <w:snapToGrid w:val="0"/>
        <w:spacing w:line="400" w:lineRule="exact"/>
        <w:rPr>
          <w:b/>
        </w:rPr>
      </w:pPr>
      <w:r>
        <w:rPr>
          <w:b/>
        </w:rPr>
        <w:t>14、合同生效</w:t>
      </w:r>
    </w:p>
    <w:p>
      <w:pPr>
        <w:adjustRightInd w:val="0"/>
        <w:snapToGrid w:val="0"/>
        <w:spacing w:line="400" w:lineRule="exact"/>
        <w:ind w:firstLine="420" w:firstLineChars="200"/>
      </w:pPr>
      <w:r>
        <w:t>本合同自双方法定代表人或授权代表签字并盖章之日起生效。</w:t>
      </w:r>
    </w:p>
    <w:p>
      <w:pPr>
        <w:adjustRightInd w:val="0"/>
        <w:snapToGrid w:val="0"/>
        <w:spacing w:line="400" w:lineRule="exact"/>
        <w:ind w:firstLine="420" w:firstLineChars="200"/>
      </w:pPr>
    </w:p>
    <w:p>
      <w:pPr>
        <w:adjustRightInd w:val="0"/>
        <w:snapToGrid w:val="0"/>
        <w:spacing w:line="400" w:lineRule="exact"/>
        <w:ind w:firstLine="420" w:firstLineChars="200"/>
      </w:pPr>
      <w:r>
        <w:t>（以下无正文）</w:t>
      </w:r>
    </w:p>
    <w:p>
      <w:pPr>
        <w:adjustRightInd w:val="0"/>
        <w:snapToGrid w:val="0"/>
        <w:spacing w:line="400" w:lineRule="exact"/>
      </w:pPr>
    </w:p>
    <w:p>
      <w:pPr>
        <w:adjustRightInd w:val="0"/>
        <w:snapToGrid w:val="0"/>
        <w:spacing w:line="400" w:lineRule="exact"/>
      </w:pPr>
      <w:r>
        <w:t xml:space="preserve">甲方（盖章）：                          </w:t>
      </w:r>
      <w:r>
        <w:tab/>
      </w:r>
      <w:r>
        <w:t>乙方（盖章）：</w:t>
      </w:r>
      <w:r>
        <w:rPr>
          <w:rFonts w:hint="eastAsia"/>
          <w:lang w:val="en-US" w:eastAsia="zh-CN"/>
        </w:rPr>
        <w:t>北京建强伟业科技有限公司</w:t>
      </w:r>
      <w:r>
        <w:t xml:space="preserve"> </w:t>
      </w:r>
    </w:p>
    <w:p>
      <w:pPr>
        <w:adjustRightInd w:val="0"/>
        <w:snapToGrid w:val="0"/>
        <w:spacing w:line="400" w:lineRule="exact"/>
      </w:pPr>
    </w:p>
    <w:p>
      <w:pPr>
        <w:adjustRightInd w:val="0"/>
        <w:snapToGrid w:val="0"/>
        <w:spacing w:line="400" w:lineRule="exact"/>
      </w:pPr>
    </w:p>
    <w:p>
      <w:pPr>
        <w:adjustRightInd w:val="0"/>
        <w:snapToGrid w:val="0"/>
        <w:spacing w:line="400" w:lineRule="exact"/>
      </w:pPr>
      <w:r>
        <w:t>法定代表人或授权代表（签字）：              法定代表人或授权</w:t>
      </w:r>
      <w:r>
        <w:rPr>
          <w:rFonts w:hint="eastAsia"/>
        </w:rPr>
        <w:t>代</w:t>
      </w:r>
      <w:r>
        <w:t xml:space="preserve">表（签字）：                               </w:t>
      </w:r>
    </w:p>
    <w:p>
      <w:pPr>
        <w:tabs>
          <w:tab w:val="left" w:pos="720"/>
        </w:tabs>
        <w:adjustRightInd w:val="0"/>
        <w:snapToGrid w:val="0"/>
        <w:spacing w:line="400" w:lineRule="exact"/>
        <w:rPr>
          <w:rFonts w:hint="eastAsia" w:eastAsia="宋体"/>
          <w:lang w:val="en-US" w:eastAsia="zh-CN"/>
        </w:rPr>
      </w:pPr>
      <w:r>
        <w:t>日期：                                      日期：</w:t>
      </w:r>
    </w:p>
    <w:p/>
    <w:p/>
    <w:p/>
    <w:p/>
    <w:p/>
    <w:p/>
    <w:p/>
    <w:p/>
    <w:p>
      <w:pPr>
        <w:pStyle w:val="53"/>
        <w:ind w:firstLine="0" w:firstLineChars="0"/>
        <w:rPr>
          <w:lang w:val="en-US"/>
        </w:rPr>
      </w:pPr>
    </w:p>
    <w:p>
      <w:pPr>
        <w:pStyle w:val="53"/>
        <w:ind w:firstLine="0" w:firstLineChars="0"/>
        <w:rPr>
          <w:lang w:val="en-US"/>
        </w:rPr>
      </w:pPr>
    </w:p>
    <w:p>
      <w:pPr>
        <w:pStyle w:val="53"/>
        <w:ind w:firstLine="0" w:firstLineChars="0"/>
        <w:rPr>
          <w:lang w:val="en-US"/>
        </w:rPr>
      </w:pPr>
    </w:p>
    <w:p>
      <w:pPr>
        <w:pStyle w:val="53"/>
        <w:ind w:firstLine="0" w:firstLineChars="0"/>
        <w:rPr>
          <w:lang w:val="en-US"/>
        </w:rPr>
      </w:pPr>
    </w:p>
    <w:p>
      <w:pPr>
        <w:pStyle w:val="53"/>
        <w:ind w:firstLine="0" w:firstLineChars="0"/>
        <w:rPr>
          <w:lang w:val="en-US"/>
        </w:rPr>
      </w:pPr>
    </w:p>
    <w:p>
      <w:pPr>
        <w:pStyle w:val="53"/>
        <w:ind w:firstLine="0" w:firstLineChars="0"/>
        <w:rPr>
          <w:lang w:val="en-US"/>
        </w:rPr>
      </w:pPr>
    </w:p>
    <w:p>
      <w:pPr>
        <w:pStyle w:val="53"/>
        <w:ind w:firstLine="0" w:firstLineChars="0"/>
        <w:rPr>
          <w:lang w:val="en-US"/>
        </w:rPr>
      </w:pPr>
    </w:p>
    <w:p/>
    <w:p>
      <w:pPr>
        <w:jc w:val="center"/>
        <w:rPr>
          <w:sz w:val="32"/>
          <w:szCs w:val="32"/>
        </w:rPr>
      </w:pPr>
      <w:r>
        <w:rPr>
          <w:rFonts w:hint="eastAsia"/>
          <w:sz w:val="32"/>
          <w:szCs w:val="32"/>
        </w:rPr>
        <w:t>医疗卫生机构医药产品廉洁购销合同</w:t>
      </w:r>
    </w:p>
    <w:p/>
    <w:p>
      <w:pPr>
        <w:rPr>
          <w:sz w:val="30"/>
          <w:szCs w:val="30"/>
        </w:rPr>
      </w:pPr>
      <w:r>
        <w:rPr>
          <w:rFonts w:hint="eastAsia"/>
          <w:sz w:val="30"/>
          <w:szCs w:val="30"/>
        </w:rPr>
        <w:t xml:space="preserve">甲方（医疗卫生机构）： </w:t>
      </w:r>
    </w:p>
    <w:p>
      <w:pPr>
        <w:rPr>
          <w:rFonts w:hint="default" w:eastAsia="宋体"/>
          <w:sz w:val="30"/>
          <w:szCs w:val="30"/>
          <w:lang w:val="en-US" w:eastAsia="zh-CN"/>
        </w:rPr>
      </w:pPr>
      <w:r>
        <w:rPr>
          <w:rFonts w:hint="eastAsia"/>
          <w:sz w:val="30"/>
          <w:szCs w:val="30"/>
        </w:rPr>
        <w:t>乙方（医药生产经营企业及其代理人）：</w:t>
      </w:r>
      <w:r>
        <w:rPr>
          <w:rFonts w:hint="eastAsia"/>
          <w:sz w:val="30"/>
          <w:szCs w:val="30"/>
          <w:lang w:val="en-US" w:eastAsia="zh-CN"/>
        </w:rPr>
        <w:t>北京建强伟业科技有限公司</w:t>
      </w:r>
    </w:p>
    <w:p>
      <w:pPr>
        <w:ind w:firstLine="600" w:firstLineChars="200"/>
        <w:rPr>
          <w:sz w:val="30"/>
          <w:szCs w:val="30"/>
        </w:rPr>
      </w:pPr>
      <w:r>
        <w:rPr>
          <w:rFonts w:hint="eastAsia"/>
          <w:sz w:val="30"/>
          <w:szCs w:val="30"/>
        </w:rPr>
        <w:t xml:space="preserve">为进一步加强医疗卫生行风建设，规范医疗卫生机构医药购销行为，有效防范商业贿赂行为，营造公平交易、诚实守信的购销环境，经甲、乙双方协商，同意签订本合同，并共同遵守： </w:t>
      </w:r>
    </w:p>
    <w:p>
      <w:pPr>
        <w:ind w:firstLine="600" w:firstLineChars="200"/>
        <w:rPr>
          <w:sz w:val="30"/>
          <w:szCs w:val="30"/>
        </w:rPr>
      </w:pPr>
      <w:r>
        <w:rPr>
          <w:rFonts w:hint="eastAsia"/>
          <w:sz w:val="30"/>
          <w:szCs w:val="30"/>
        </w:rPr>
        <w:t xml:space="preserve">一、甲乙双方按照《民法典》及医药产品购销合同约定购销药品、医用设备、医用耗材等医药产品。  </w:t>
      </w:r>
    </w:p>
    <w:p>
      <w:pPr>
        <w:ind w:firstLine="600" w:firstLineChars="200"/>
        <w:rPr>
          <w:sz w:val="30"/>
          <w:szCs w:val="30"/>
        </w:rPr>
      </w:pPr>
      <w:r>
        <w:rPr>
          <w:rFonts w:hint="eastAsia"/>
          <w:sz w:val="30"/>
          <w:szCs w:val="30"/>
        </w:rPr>
        <w:t xml:space="preserve">二、甲方应当严格执行医药产品购销合同验收、入库制度，对采购医药产品及发票进行查验，不得违反有关规定合同外采购、违价采购或从非规定渠道采购。  </w:t>
      </w:r>
    </w:p>
    <w:p>
      <w:pPr>
        <w:ind w:firstLine="600" w:firstLineChars="200"/>
        <w:rPr>
          <w:sz w:val="30"/>
          <w:szCs w:val="30"/>
        </w:rPr>
      </w:pPr>
      <w:r>
        <w:rPr>
          <w:rFonts w:hint="eastAsia"/>
          <w:sz w:val="30"/>
          <w:szCs w:val="30"/>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pPr>
        <w:ind w:firstLine="600" w:firstLineChars="200"/>
        <w:rPr>
          <w:sz w:val="30"/>
          <w:szCs w:val="30"/>
        </w:rPr>
      </w:pPr>
      <w:r>
        <w:rPr>
          <w:rFonts w:hint="eastAsia"/>
          <w:sz w:val="30"/>
          <w:szCs w:val="30"/>
        </w:rPr>
        <w:t>四、严禁甲方工作人员利用任何途径和方式，为乙方统计医师个人及临床科室有关医药产品用量信息，或为乙方统计提供便利。</w:t>
      </w:r>
    </w:p>
    <w:p>
      <w:pPr>
        <w:ind w:firstLine="600" w:firstLineChars="200"/>
        <w:rPr>
          <w:sz w:val="30"/>
          <w:szCs w:val="30"/>
        </w:rPr>
      </w:pPr>
      <w:r>
        <w:rPr>
          <w:rFonts w:hint="eastAsia"/>
          <w:sz w:val="30"/>
          <w:szCs w:val="30"/>
        </w:rPr>
        <w:t xml:space="preserve">五、乙方不得以回扣、宴请等方式影响甲方工作人员采购或使用医药产品的选择权，不得在学术活动中提供旅游、超标准支付食宿费用。  </w:t>
      </w:r>
    </w:p>
    <w:p>
      <w:pPr>
        <w:ind w:firstLine="600" w:firstLineChars="200"/>
        <w:rPr>
          <w:sz w:val="30"/>
          <w:szCs w:val="30"/>
        </w:rPr>
      </w:pPr>
      <w:r>
        <w:rPr>
          <w:rFonts w:hint="eastAsia"/>
          <w:sz w:val="30"/>
          <w:szCs w:val="30"/>
        </w:rPr>
        <w:t>六、乙方指定</w:t>
      </w:r>
      <w:r>
        <w:rPr>
          <w:rFonts w:hint="eastAsia"/>
          <w:sz w:val="30"/>
          <w:szCs w:val="30"/>
          <w:u w:val="single"/>
        </w:rPr>
        <w:t xml:space="preserve"> </w:t>
      </w:r>
      <w:r>
        <w:rPr>
          <w:rFonts w:hint="eastAsia"/>
          <w:sz w:val="30"/>
          <w:szCs w:val="30"/>
          <w:u w:val="single"/>
          <w:lang w:val="en-US" w:eastAsia="zh-CN"/>
        </w:rPr>
        <w:t>李正</w:t>
      </w:r>
      <w:r>
        <w:rPr>
          <w:rFonts w:hint="eastAsia"/>
          <w:sz w:val="30"/>
          <w:szCs w:val="3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pPr>
        <w:ind w:firstLine="600" w:firstLineChars="200"/>
        <w:rPr>
          <w:sz w:val="30"/>
          <w:szCs w:val="30"/>
        </w:rPr>
      </w:pPr>
      <w:r>
        <w:rPr>
          <w:rFonts w:hint="eastAsia"/>
          <w:sz w:val="30"/>
          <w:szCs w:val="3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pPr>
        <w:ind w:firstLine="600" w:firstLineChars="200"/>
        <w:rPr>
          <w:sz w:val="30"/>
          <w:szCs w:val="30"/>
        </w:rPr>
      </w:pPr>
      <w:r>
        <w:rPr>
          <w:rFonts w:hint="eastAsia"/>
          <w:sz w:val="30"/>
          <w:szCs w:val="30"/>
        </w:rPr>
        <w:t xml:space="preserve">八、本合同作为医药产品购销合同的重要组成部分，与购销合同一并执行，具有同等的法律效力。  </w:t>
      </w:r>
    </w:p>
    <w:p>
      <w:pPr>
        <w:rPr>
          <w:sz w:val="30"/>
          <w:szCs w:val="30"/>
        </w:rPr>
      </w:pPr>
    </w:p>
    <w:p>
      <w:pPr>
        <w:rPr>
          <w:sz w:val="30"/>
          <w:szCs w:val="30"/>
        </w:rPr>
      </w:pPr>
      <w:r>
        <w:rPr>
          <w:rFonts w:hint="eastAsia"/>
          <w:sz w:val="30"/>
          <w:szCs w:val="30"/>
        </w:rPr>
        <w:t xml:space="preserve">甲方（盖章）：                   乙方（盖章）：  </w:t>
      </w:r>
    </w:p>
    <w:p>
      <w:pPr>
        <w:rPr>
          <w:sz w:val="30"/>
          <w:szCs w:val="30"/>
        </w:rPr>
      </w:pPr>
      <w:r>
        <w:rPr>
          <w:rFonts w:hint="eastAsia"/>
          <w:sz w:val="30"/>
          <w:szCs w:val="30"/>
        </w:rPr>
        <w:t>法定代表人或授权代表：           法定代表人或授权代表：</w:t>
      </w:r>
    </w:p>
    <w:p>
      <w:pPr>
        <w:widowControl/>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br w:type="page"/>
      </w:r>
    </w:p>
    <w:p>
      <w:pPr>
        <w:widowControl/>
        <w:jc w:val="left"/>
        <w:rPr>
          <w:sz w:val="28"/>
        </w:rPr>
      </w:pPr>
      <w:r>
        <w:rPr>
          <w:rFonts w:hint="eastAsia" w:ascii="仿宋" w:hAnsi="仿宋" w:eastAsia="仿宋" w:cs="仿宋"/>
          <w:b/>
          <w:color w:val="000000"/>
          <w:sz w:val="36"/>
          <w:szCs w:val="36"/>
        </w:rPr>
        <w:t>附件：</w:t>
      </w:r>
    </w:p>
    <w:p>
      <w:pPr>
        <w:snapToGrid w:val="0"/>
        <w:spacing w:line="54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分项报价表</w:t>
      </w:r>
    </w:p>
    <w:tbl>
      <w:tblPr>
        <w:tblStyle w:val="50"/>
        <w:tblW w:w="10641" w:type="dxa"/>
        <w:jc w:val="center"/>
        <w:tblInd w:w="0" w:type="dxa"/>
        <w:tblLayout w:type="fixed"/>
        <w:tblCellMar>
          <w:top w:w="0" w:type="dxa"/>
          <w:left w:w="108" w:type="dxa"/>
          <w:bottom w:w="0" w:type="dxa"/>
          <w:right w:w="108" w:type="dxa"/>
        </w:tblCellMar>
      </w:tblPr>
      <w:tblGrid>
        <w:gridCol w:w="381"/>
        <w:gridCol w:w="734"/>
        <w:gridCol w:w="985"/>
        <w:gridCol w:w="474"/>
        <w:gridCol w:w="1418"/>
        <w:gridCol w:w="936"/>
        <w:gridCol w:w="382"/>
        <w:gridCol w:w="2279"/>
        <w:gridCol w:w="1056"/>
        <w:gridCol w:w="816"/>
        <w:gridCol w:w="1180"/>
      </w:tblGrid>
      <w:tr>
        <w:tblPrEx>
          <w:tblLayout w:type="fixed"/>
          <w:tblCellMar>
            <w:top w:w="0" w:type="dxa"/>
            <w:left w:w="108" w:type="dxa"/>
            <w:bottom w:w="0" w:type="dxa"/>
            <w:right w:w="108" w:type="dxa"/>
          </w:tblCellMar>
        </w:tblPrEx>
        <w:trPr>
          <w:trHeight w:val="0" w:hRule="atLeast"/>
          <w:tblHeader/>
          <w:jc w:val="center"/>
        </w:trPr>
        <w:tc>
          <w:tcPr>
            <w:tcW w:w="381"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734"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分项名称</w:t>
            </w:r>
          </w:p>
        </w:tc>
        <w:tc>
          <w:tcPr>
            <w:tcW w:w="985"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制造商</w:t>
            </w:r>
          </w:p>
        </w:tc>
        <w:tc>
          <w:tcPr>
            <w:tcW w:w="474"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产地/国别</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制造商统一信用代码</w:t>
            </w:r>
          </w:p>
        </w:tc>
        <w:tc>
          <w:tcPr>
            <w:tcW w:w="936"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制造商规模</w:t>
            </w:r>
          </w:p>
        </w:tc>
        <w:tc>
          <w:tcPr>
            <w:tcW w:w="382"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品牌</w:t>
            </w:r>
          </w:p>
        </w:tc>
        <w:tc>
          <w:tcPr>
            <w:tcW w:w="2279"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规格、型号</w:t>
            </w:r>
          </w:p>
        </w:tc>
        <w:tc>
          <w:tcPr>
            <w:tcW w:w="1056"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hint="eastAsia" w:ascii="宋体" w:hAnsi="宋体" w:cs="宋体"/>
                <w:b/>
                <w:bCs/>
                <w:color w:val="000000"/>
                <w:kern w:val="0"/>
                <w:sz w:val="24"/>
              </w:rPr>
            </w:pPr>
            <w:r>
              <w:rPr>
                <w:rFonts w:hint="eastAsia" w:ascii="宋体" w:hAnsi="宋体" w:cs="宋体"/>
                <w:b/>
                <w:bCs/>
                <w:color w:val="000000"/>
                <w:kern w:val="0"/>
                <w:sz w:val="24"/>
              </w:rPr>
              <w:t>单价</w:t>
            </w:r>
          </w:p>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（元）</w:t>
            </w:r>
          </w:p>
        </w:tc>
        <w:tc>
          <w:tcPr>
            <w:tcW w:w="816"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1180" w:type="dxa"/>
            <w:tcBorders>
              <w:top w:val="single" w:color="auto" w:sz="4" w:space="0"/>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hint="eastAsia" w:ascii="宋体" w:hAnsi="宋体" w:cs="宋体"/>
                <w:b/>
                <w:bCs/>
                <w:color w:val="000000"/>
                <w:kern w:val="0"/>
                <w:sz w:val="24"/>
              </w:rPr>
            </w:pPr>
            <w:r>
              <w:rPr>
                <w:rFonts w:hint="eastAsia" w:ascii="宋体" w:hAnsi="宋体" w:cs="宋体"/>
                <w:b/>
                <w:bCs/>
                <w:color w:val="000000"/>
                <w:kern w:val="0"/>
                <w:sz w:val="24"/>
              </w:rPr>
              <w:t>合价</w:t>
            </w:r>
          </w:p>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（元）</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诊疗床</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1900mm*650mm*650mm、DLJJ01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468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2808</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候诊椅（一组三座）</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1800mm * 650mm * 780mm(±10%)、DLJJ02</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698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27920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门诊诊桌</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主桌规格W1600mm*D700mm*H750mm；附柜规格W1400mm*D400mm*H645mm、DLJJ03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2170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43400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门诊医生诊椅</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常规、DLJJ04</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839</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16780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门诊患者诊椅</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常规、DLJJ05</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178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3560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心理治疗沙发</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常规、DLJJ06</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1298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15</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19470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输液室沙发</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单人位、DLJJ07</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898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3592</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8</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病床</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200cm*90cm*50cm、DLJJ08</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3537</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424440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病床</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200cm*90cm*40cm、DLJJ09</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2598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80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207840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10</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多功能（双摇）病床</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河北康恩医疗器械有限公司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衡水市/中国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91131127MA0FDJQ84R</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康恩医疗</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2110mm*960mm*500mm士10mm(床板1890mm*830mm+10mm)、</w:t>
            </w:r>
            <w:r>
              <w:rPr>
                <w:rFonts w:hint="eastAsia" w:ascii="宋体" w:hAnsi="宋体"/>
                <w:color w:val="000000"/>
                <w:sz w:val="24"/>
              </w:rPr>
              <w:br w:type="textWrapping"/>
            </w:r>
            <w:r>
              <w:rPr>
                <w:rFonts w:hint="eastAsia" w:ascii="宋体" w:hAnsi="宋体"/>
                <w:color w:val="000000"/>
                <w:sz w:val="24"/>
              </w:rPr>
              <w:t>BC-2023003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4598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265</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1218470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床头桌</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480mm*480mm*760mm、DLJJ11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154</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450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69300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移动餐桌</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820mm *450mm *840mm ~1040mm 、DLJJ12</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218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118</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25724</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13</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陪护椅</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W840mm*D640mm*H900mm、展开：W1900mm*D640mm*H400/540mm（椅背）、DLJJ13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373</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118</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44014</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14</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医用隐私帘（带轨道）</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1600mm+2400mm*2700mm、DLJJ14</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538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126</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67788</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15</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轨道式输液架（带轨道）</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1800mm*800mm、DLJJ15</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318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126</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40068</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16</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ABS移动式输液架</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河北日利家具有限公司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91131024MA07YUY31W</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日利</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常规、RLJJ-J18</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224</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14</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3136</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17</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定制衣柜（四门）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1975mm*500mm*2400mm、DLJJ17</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4498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278876</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18</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双人沙发+茶几</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长150cm*宽80cm*扶手高50cm*坐深55cm、DLJJ18</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2347</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46940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19</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护士站（封闭式）</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定制、DLJJ19</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27998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195986</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20</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护士站（开放式）</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定制、DLJJ20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14613</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58452</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病历车+病历夹</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84cm*39cm*160cm、DLJJ21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938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11256</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22</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一体式治疗台（定制）</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上柜：W定制*D350mm*H600mm；背架：W定制*D350mm*H550mm；地柜：W定制*D600mm*H850mm、DLJJ22</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17853</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214236</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23</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ABS治疗车</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河北日利家具有限公司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91131024MA07YUY31W</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日利</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常规、RLJJ-C1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1800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23400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24</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ABS口服药车</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河北日利家具有限公司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91131024MA07YUY31W</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日利</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625mm*475mm*930mm、RLJJ-C2</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3898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46776</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25</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ABS抢救车</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河北日利家具有限公司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91131024MA07YUY31W</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日利</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625mm*475mm*930mm、RLJJ-C3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3795</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49335</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26</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二门更衣柜</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W900mm×D500mm×1850mm、DLJJ26</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868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165</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143220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27</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更衣凳</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常规、DLJJ27</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278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39</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10842</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28</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值班室上下床</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常规、DLJJ28</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798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39</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31122</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29</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护士站办公椅</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常规、DLJJ29</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278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48</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13344</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30</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担架平车</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W2000mm*D700mm*H720mm、DLJJ30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938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11256</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处置室（地柜）</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W定制*D350mm*H600mm；背架：W定制*D350mm*H550mm；地柜：W定制*D600mm*H850mm、DLJJ31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16310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195720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32</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处置室（仪器柜）</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高：宽：深1800mm*900mm*450mm、DLJJ32</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1598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20774</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33</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轮椅</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河北康恩医疗器械有限公司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衡水市/中国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91131127MA0FDJQ84R</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康恩医疗</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张车长宽高：103cm*66.5cm*90cm；</w:t>
            </w:r>
            <w:r>
              <w:rPr>
                <w:rFonts w:hint="eastAsia" w:ascii="宋体" w:hAnsi="宋体"/>
                <w:color w:val="000000"/>
                <w:sz w:val="24"/>
              </w:rPr>
              <w:br w:type="textWrapping"/>
            </w:r>
            <w:r>
              <w:rPr>
                <w:rFonts w:hint="eastAsia" w:ascii="宋体" w:hAnsi="宋体"/>
                <w:color w:val="000000"/>
                <w:sz w:val="24"/>
              </w:rPr>
              <w:t>收车长宽高：103cm*25cm*90cm、</w:t>
            </w:r>
            <w:r>
              <w:rPr>
                <w:rFonts w:hint="eastAsia" w:ascii="宋体" w:hAnsi="宋体"/>
                <w:color w:val="000000"/>
                <w:sz w:val="24"/>
              </w:rPr>
              <w:br w:type="textWrapping"/>
            </w:r>
            <w:r>
              <w:rPr>
                <w:rFonts w:hint="eastAsia" w:ascii="宋体" w:hAnsi="宋体"/>
                <w:color w:val="000000"/>
                <w:sz w:val="24"/>
              </w:rPr>
              <w:t>LY-2024001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890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15</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13350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34</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一体式餐桌椅（老年科）</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廊坊市云居家具有限公司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91131003MA083L9W7K</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云居家具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四人位W1200mm*D1400mm*H750mm、YJJJ/046CZ</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783</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23490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35</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一体式餐桌椅（精神科）</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廊坊市云居家具有限公司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91131003MA083L9W7K</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云居家具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四人位W1200mm*D1400mm*H750mm、YJJJ/045CZ</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770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46200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36</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患者储物柜（9门）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9门、DLJJ36</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468</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47</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21996</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37</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不锈钢扫床车</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北京端瑞家具有限公司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赣州市/中国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911101057786403917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端瑞家具</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常规、DLJJ37</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kern w:val="0"/>
                <w:sz w:val="24"/>
              </w:rPr>
            </w:pPr>
            <w:r>
              <w:rPr>
                <w:rFonts w:hint="eastAsia" w:ascii="宋体" w:hAnsi="宋体"/>
                <w:sz w:val="24"/>
              </w:rPr>
              <w:t>939</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10329</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38</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全自动摆药机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天津东商智能制造有限公司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91120222MABN5AQLXE</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天津东商</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Xana-s400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1475190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1475190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39</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半自动扣药机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瑞安市晨永制药机械有限公司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瑞安/中国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91330381760183591Q</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晨永</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PY-120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19000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19000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40</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药柜（精一麻醉）</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河北傲森祥珑家具制造有限公司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91131024MA07NMNN30</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傲森祥珑</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DM-110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6600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33000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药柜（普通）</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河北傲森祥珑家具制造有限公司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91131024MA07NMNN30</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傲森祥珑</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YG-1200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1700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34000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42</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药柜（精二）</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河北傲森祥珑家具制造有限公司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91131024MA07NMNN30</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傲森祥珑</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YG-1850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2500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25000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43</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摆药桌</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河北傲森祥珑家具制造有限公司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廊坊/中国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91131024MA07NMNN30</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傲森祥珑</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YZ-1000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3800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11400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44</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86 寸触控一体机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深圳市鸿合创新信息技术有限责任公司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深圳/中国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91440300678596362X</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大型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鸿合</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HD-86HP</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59900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59900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45</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OPS 模块</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深圳市鸿合创新信息技术有限责任公司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深圳/中国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91440300678596362X</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大型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鸿合</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HO-5222HS</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4100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4100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46</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无线互动系统软件</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天津鑫微视讯科技有限公司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91120112MA06Y5HW1K</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鑫微视讯</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LiveMagic-5.2.11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24400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24400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47</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无线互动主机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天津鑫微视讯科技有限公司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91120112MA06Y5HW1K</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鑫微视讯</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XW960 Pro</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26500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26500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48</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高清摄像机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天津鑫微视讯科技有限公司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91120112MA06Y5HW1K</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鑫微视讯</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XW480-RF</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2750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5500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49</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智能手写板</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bookmarkStart w:id="15" w:name="OLE_LINK5"/>
            <w:r>
              <w:rPr>
                <w:rFonts w:hint="eastAsia" w:ascii="宋体" w:hAnsi="宋体"/>
                <w:color w:val="000000"/>
                <w:sz w:val="24"/>
              </w:rPr>
              <w:t>石家庄远明文教用品有限公司</w:t>
            </w:r>
            <w:bookmarkEnd w:id="15"/>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石家庄/中国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911301935560789705</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远明</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定制</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4900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14700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50</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智慧黑板</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石家庄远明文教用品有限公司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石家庄/中国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911301935560789705</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远明</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YMTL—66</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8300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24900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平板电脑</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华为终端有限公司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东莞市/中国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914419000585344943</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大型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华为</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C9 WEB-W00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5900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17700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52</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功率放大器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广州迈致电子科技有限公司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91440106MA59CHFD87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迈致</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DW-315</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2800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2800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53</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音箱</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广州迈致电子科技有限公司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91440106MA59CHFD87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迈致</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SP-SH403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1350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2700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54</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蓝牙麦克风</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广州迈致电子科技有限公司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91440106MA59CHFD87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迈致</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IR-520PT</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440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880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55</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多媒体控制器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广州颉睿智能科技有限公司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914401016852188373</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颉睿</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GR-NET6000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9900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9900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56</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交互控制面板</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广州颉睿智能科技有限公司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914401016852188373</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颉睿</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GR-SX10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2800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2800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57</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电源管理器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广州颉睿智能科技有限公司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914401016852188373</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颉睿</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GR-PD8</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3900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3900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58</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信号转换器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联想（北京）有限公司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91110108700000458B</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大型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联想</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LX0801 MAX</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950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950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59</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智能 LED 护眼教室灯</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捷能通（厦门）光电科技有限公司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厦门/中国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913502036930117997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捷能通</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NT-JSD-1501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1500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60</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智能 LED 护眼黑板灯</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捷能通（厦门）光电科技有限公司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厦门/中国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913502036930117997</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捷能通</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NT-JSD-1502-036B</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290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870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液晶控制面板</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广州颉睿智能科技有限公司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914401016852188373</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颉睿</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GR-SX10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850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62</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智能电动窗帘</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广州颉睿智能科技有限公司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914401016852188373</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颉睿</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GR-CD100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550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3</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1650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63</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物联网网关</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广州颉睿智能科技有限公司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ascii="宋体" w:hAnsi="宋体"/>
                <w:color w:val="000000"/>
                <w:sz w:val="24"/>
              </w:rPr>
              <w:t>914401016852188373</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颉睿</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SEN-800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850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64</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系统集成</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北京新海蓝点视讯科技有限公司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91110114597708836J</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新海蓝点</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HS</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17900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17900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65</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学生桌椅</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天津展特文仪家具有限公司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天津市/中国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91120221MA07A7EY4A</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微型</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展特文仪</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 xml:space="preserve">桌子高：760mm；椅子尺寸：710mm*610mm*940mm（前后*左右*高度）、ZTWY-ZY-026 </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sz w:val="24"/>
              </w:rPr>
              <w:t>445</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sz w:val="24"/>
              </w:rPr>
              <w:t>30</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13350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66</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吸痰训练模拟人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LD/140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700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1400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67</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心肺复苏模拟人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KS/CPR620A</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1700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68</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输液模型</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LD/HS1</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600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1200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69</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洗胃模型</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LD/A2</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900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70</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全身骨骼模型</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LD-Y112</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700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700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人体解剖模型</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LD/33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750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750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72</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大脑模型</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LDX/V3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65</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130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73</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人体解剖软件</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DZ-SOFT</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9200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18400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74</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多功能模拟人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LD/136</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8900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17800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75</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注射模型</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LDX/V6</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550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1100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76</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心脏解剖模型</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LDX/V23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750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2</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1500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77</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虚拟现实手术模拟器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四川铭宇医疗科技有限公司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成都/中国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91510106MA69ND9Q7E</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铭宇</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ZDX003</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2700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2700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78</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全功能护理人</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广东蓝蝶科学模型有限公司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中山/中国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91442000MADPJ7639M</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蓝蝶</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LD/144</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1500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1500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79</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直播服务系统软件</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北京新海蓝点视讯科技有限公司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91110114597708836J</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新海蓝点</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V1.0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83100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83100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80</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直播服务器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北京新海蓝点视讯科技有限公司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北京/中国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91110114597708836J</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新海蓝点</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HS-K10</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17900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17900</w:t>
            </w:r>
          </w:p>
        </w:tc>
      </w:tr>
      <w:tr>
        <w:tblPrEx>
          <w:tblLayout w:type="fixed"/>
          <w:tblCellMar>
            <w:top w:w="0" w:type="dxa"/>
            <w:left w:w="108" w:type="dxa"/>
            <w:bottom w:w="0" w:type="dxa"/>
            <w:right w:w="108" w:type="dxa"/>
          </w:tblCellMar>
        </w:tblPrEx>
        <w:trPr>
          <w:trHeight w:val="0" w:hRule="atLeast"/>
          <w:jc w:val="center"/>
        </w:trPr>
        <w:tc>
          <w:tcPr>
            <w:tcW w:w="381" w:type="dxa"/>
            <w:tcBorders>
              <w:top w:val="nil"/>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81</w:t>
            </w:r>
          </w:p>
        </w:tc>
        <w:tc>
          <w:tcPr>
            <w:tcW w:w="73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内镜模拟训练器</w:t>
            </w:r>
          </w:p>
        </w:tc>
        <w:tc>
          <w:tcPr>
            <w:tcW w:w="985"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杭州映耐科技有限公司</w:t>
            </w:r>
          </w:p>
        </w:tc>
        <w:tc>
          <w:tcPr>
            <w:tcW w:w="474"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杭州/中国</w:t>
            </w:r>
          </w:p>
        </w:tc>
        <w:tc>
          <w:tcPr>
            <w:tcW w:w="1418"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91330122MAE90RP03N</w:t>
            </w:r>
          </w:p>
        </w:tc>
        <w:tc>
          <w:tcPr>
            <w:tcW w:w="93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小微</w:t>
            </w:r>
          </w:p>
        </w:tc>
        <w:tc>
          <w:tcPr>
            <w:tcW w:w="382"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映耐</w:t>
            </w:r>
          </w:p>
        </w:tc>
        <w:tc>
          <w:tcPr>
            <w:tcW w:w="2279"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left"/>
              <w:rPr>
                <w:rFonts w:ascii="宋体" w:hAnsi="宋体" w:cs="宋体"/>
                <w:color w:val="000000"/>
                <w:kern w:val="0"/>
                <w:sz w:val="24"/>
              </w:rPr>
            </w:pPr>
            <w:r>
              <w:rPr>
                <w:rFonts w:hint="eastAsia" w:ascii="宋体" w:hAnsi="宋体"/>
                <w:color w:val="000000"/>
                <w:sz w:val="24"/>
              </w:rPr>
              <w:t>BellySim</w:t>
            </w:r>
          </w:p>
        </w:tc>
        <w:tc>
          <w:tcPr>
            <w:tcW w:w="105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4500</w:t>
            </w:r>
          </w:p>
        </w:tc>
        <w:tc>
          <w:tcPr>
            <w:tcW w:w="816"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color w:val="000000"/>
                <w:kern w:val="0"/>
                <w:sz w:val="24"/>
              </w:rPr>
            </w:pPr>
            <w:r>
              <w:rPr>
                <w:rFonts w:hint="eastAsia" w:ascii="宋体" w:hAnsi="宋体"/>
                <w:color w:val="000000"/>
                <w:sz w:val="24"/>
              </w:rPr>
              <w:t>1</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right"/>
              <w:rPr>
                <w:rFonts w:ascii="宋体" w:hAnsi="宋体" w:cs="宋体"/>
                <w:color w:val="000000"/>
                <w:kern w:val="0"/>
                <w:sz w:val="24"/>
              </w:rPr>
            </w:pPr>
            <w:r>
              <w:rPr>
                <w:rFonts w:hint="eastAsia" w:ascii="宋体" w:hAnsi="宋体"/>
                <w:color w:val="000000"/>
                <w:sz w:val="24"/>
              </w:rPr>
              <w:t>4500</w:t>
            </w:r>
          </w:p>
        </w:tc>
      </w:tr>
      <w:tr>
        <w:tblPrEx>
          <w:tblLayout w:type="fixed"/>
          <w:tblCellMar>
            <w:top w:w="0" w:type="dxa"/>
            <w:left w:w="108" w:type="dxa"/>
            <w:bottom w:w="0" w:type="dxa"/>
            <w:right w:w="108" w:type="dxa"/>
          </w:tblCellMar>
        </w:tblPrEx>
        <w:trPr>
          <w:trHeight w:val="0" w:hRule="atLeast"/>
          <w:jc w:val="center"/>
        </w:trPr>
        <w:tc>
          <w:tcPr>
            <w:tcW w:w="9461" w:type="dxa"/>
            <w:gridSpan w:val="10"/>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总价（元）</w:t>
            </w:r>
          </w:p>
        </w:tc>
        <w:tc>
          <w:tcPr>
            <w:tcW w:w="1180" w:type="dxa"/>
            <w:tcBorders>
              <w:top w:val="nil"/>
              <w:left w:val="nil"/>
              <w:bottom w:val="single" w:color="auto" w:sz="4" w:space="0"/>
              <w:right w:val="single" w:color="auto" w:sz="4" w:space="0"/>
            </w:tcBorders>
            <w:vAlign w:val="center"/>
          </w:tcPr>
          <w:p>
            <w:pPr>
              <w:widowControl/>
              <w:snapToGrid w:val="0"/>
              <w:spacing w:line="240" w:lineRule="auto"/>
              <w:ind w:left="0" w:leftChars="0" w:right="0" w:righ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5,6</w:t>
            </w:r>
            <w:r>
              <w:rPr>
                <w:rFonts w:ascii="宋体" w:hAnsi="宋体" w:cs="宋体"/>
                <w:b/>
                <w:bCs/>
                <w:color w:val="000000"/>
                <w:kern w:val="0"/>
                <w:sz w:val="24"/>
              </w:rPr>
              <w:t>76</w:t>
            </w:r>
            <w:r>
              <w:rPr>
                <w:rFonts w:hint="eastAsia" w:ascii="宋体" w:hAnsi="宋体" w:cs="宋体"/>
                <w:b/>
                <w:bCs/>
                <w:color w:val="000000"/>
                <w:kern w:val="0"/>
                <w:sz w:val="24"/>
              </w:rPr>
              <w:t>,</w:t>
            </w:r>
            <w:r>
              <w:rPr>
                <w:rFonts w:ascii="宋体" w:hAnsi="宋体" w:cs="宋体"/>
                <w:b/>
                <w:bCs/>
                <w:color w:val="000000"/>
                <w:kern w:val="0"/>
                <w:sz w:val="24"/>
              </w:rPr>
              <w:t>68</w:t>
            </w:r>
            <w:r>
              <w:rPr>
                <w:rFonts w:hint="eastAsia" w:ascii="宋体" w:hAnsi="宋体" w:cs="宋体"/>
                <w:b/>
                <w:bCs/>
                <w:color w:val="000000"/>
                <w:kern w:val="0"/>
                <w:sz w:val="24"/>
              </w:rPr>
              <w:t xml:space="preserve">0.00 </w:t>
            </w:r>
          </w:p>
        </w:tc>
      </w:tr>
    </w:tbl>
    <w:p>
      <w:pPr>
        <w:autoSpaceDE w:val="0"/>
        <w:autoSpaceDN w:val="0"/>
        <w:adjustRightInd w:val="0"/>
        <w:snapToGrid w:val="0"/>
        <w:spacing w:line="540" w:lineRule="exact"/>
        <w:rPr>
          <w:rFonts w:hint="eastAsia" w:ascii="仿宋" w:hAnsi="仿宋" w:eastAsia="仿宋" w:cs="仿宋"/>
          <w:color w:val="000000"/>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p>
      <w:pPr>
        <w:rPr>
          <w:rFonts w:hint="eastAsia" w:eastAsia="宋体"/>
          <w:b/>
          <w:sz w:val="36"/>
          <w:szCs w:val="36"/>
          <w:lang w:val="en-US" w:eastAsia="zh-CN"/>
        </w:rPr>
      </w:pP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PingFang SC Regular">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1" w:fontKey="{C8B0733E-121B-4334-8130-3AA4495F4BD7}"/>
  </w:font>
  <w:font w:name="方正仿宋_GB2312">
    <w:panose1 w:val="02000000000000000000"/>
    <w:charset w:val="86"/>
    <w:family w:val="auto"/>
    <w:pitch w:val="default"/>
    <w:sig w:usb0="00000000" w:usb1="00000000" w:usb2="00000000" w:usb3="00000000" w:csb0="00000000" w:csb1="00000000"/>
    <w:embedRegular r:id="rId2" w:fontKey="{F5C7EA2D-1AB2-4174-9B45-67D87A201EC7}"/>
  </w:font>
  <w:font w:name="仿宋">
    <w:panose1 w:val="02010609060101010101"/>
    <w:charset w:val="86"/>
    <w:family w:val="modern"/>
    <w:pitch w:val="default"/>
    <w:sig w:usb0="800002BF" w:usb1="38CF7CFA" w:usb2="00000016" w:usb3="00000000" w:csb0="00040001" w:csb1="00000000"/>
    <w:embedRegular r:id="rId3" w:fontKey="{78369EE1-6186-4935-B641-7D8CC7FC2E2F}"/>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rFonts w:hint="eastAsia"/>
      </w:rPr>
      <w:t>北京市政府</w:t>
    </w:r>
    <w:r>
      <w:t>采购</w:t>
    </w:r>
    <w:r>
      <w:rPr>
        <w:rFonts w:hint="eastAsia"/>
      </w:rPr>
      <w:t>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JhOWJiMDM5ZjY3YzQzYjQyMmFiZTU5N2Y1OTk5Nj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78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E75"/>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27C"/>
    <w:rsid w:val="0058773E"/>
    <w:rsid w:val="0058794A"/>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4FB"/>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531"/>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18E"/>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5B3"/>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51"/>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46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4C7"/>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627AE4"/>
    <w:rsid w:val="054753B6"/>
    <w:rsid w:val="05D35357"/>
    <w:rsid w:val="05E41A3C"/>
    <w:rsid w:val="0B660C1A"/>
    <w:rsid w:val="125A3098"/>
    <w:rsid w:val="17F93E0B"/>
    <w:rsid w:val="1C455CA5"/>
    <w:rsid w:val="1D2C69D2"/>
    <w:rsid w:val="1DC871E8"/>
    <w:rsid w:val="239E00B4"/>
    <w:rsid w:val="251E74A4"/>
    <w:rsid w:val="262C39C5"/>
    <w:rsid w:val="27843CE5"/>
    <w:rsid w:val="290D4093"/>
    <w:rsid w:val="2CDC5A80"/>
    <w:rsid w:val="32EB653A"/>
    <w:rsid w:val="33370000"/>
    <w:rsid w:val="35373DFE"/>
    <w:rsid w:val="36727AEF"/>
    <w:rsid w:val="396477DD"/>
    <w:rsid w:val="3BCB6780"/>
    <w:rsid w:val="3F42554F"/>
    <w:rsid w:val="42CD0A98"/>
    <w:rsid w:val="431A0C09"/>
    <w:rsid w:val="44F7463C"/>
    <w:rsid w:val="45544272"/>
    <w:rsid w:val="480E2158"/>
    <w:rsid w:val="4B65373A"/>
    <w:rsid w:val="4D00163A"/>
    <w:rsid w:val="4F0F5BE3"/>
    <w:rsid w:val="51B024F6"/>
    <w:rsid w:val="52422029"/>
    <w:rsid w:val="52BE1CA3"/>
    <w:rsid w:val="547D5A8E"/>
    <w:rsid w:val="54C3097E"/>
    <w:rsid w:val="55040901"/>
    <w:rsid w:val="55B60159"/>
    <w:rsid w:val="56DF05DE"/>
    <w:rsid w:val="577E2206"/>
    <w:rsid w:val="57FC6189"/>
    <w:rsid w:val="5EB23C85"/>
    <w:rsid w:val="5F073306"/>
    <w:rsid w:val="5F5F73B9"/>
    <w:rsid w:val="64E434D4"/>
    <w:rsid w:val="66A44309"/>
    <w:rsid w:val="6838144E"/>
    <w:rsid w:val="68AA7398"/>
    <w:rsid w:val="6AF145F6"/>
    <w:rsid w:val="6B2379F9"/>
    <w:rsid w:val="71787AB9"/>
    <w:rsid w:val="742C597A"/>
    <w:rsid w:val="7DA95783"/>
    <w:rsid w:val="7DC61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2">
    <w:name w:val="Default Paragraph Font"/>
    <w:semiHidden/>
    <w:unhideWhenUsed/>
    <w:qFormat/>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annotation subject"/>
    <w:basedOn w:val="13"/>
    <w:next w:val="13"/>
    <w:link w:val="244"/>
    <w:qFormat/>
    <w:uiPriority w:val="0"/>
    <w:rPr>
      <w:b/>
      <w:bCs/>
    </w:rPr>
  </w:style>
  <w:style w:type="paragraph" w:styleId="13">
    <w:name w:val="annotation text"/>
    <w:basedOn w:val="1"/>
    <w:link w:val="182"/>
    <w:qFormat/>
    <w:uiPriority w:val="99"/>
    <w:pPr>
      <w:jc w:val="left"/>
    </w:p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6"/>
    <w:qFormat/>
    <w:uiPriority w:val="0"/>
    <w:pPr>
      <w:shd w:val="clear" w:color="auto" w:fill="000080"/>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Body Text First Indent 2"/>
    <w:basedOn w:val="19"/>
    <w:link w:val="245"/>
    <w:qFormat/>
    <w:uiPriority w:val="0"/>
    <w:pPr>
      <w:spacing w:after="120" w:line="480" w:lineRule="exact"/>
      <w:ind w:left="420" w:leftChars="200" w:firstLine="420" w:firstLineChars="200"/>
    </w:pPr>
    <w:rPr>
      <w:szCs w:val="20"/>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8"/>
    <w:qFormat/>
    <w:uiPriority w:val="0"/>
    <w:pPr>
      <w:jc w:val="center"/>
      <w:outlineLvl w:val="0"/>
    </w:pPr>
    <w:rPr>
      <w:b/>
      <w:sz w:val="32"/>
      <w:szCs w:val="20"/>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33"/>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styleId="49">
    <w:name w:val="HTML Cite"/>
    <w:qFormat/>
    <w:uiPriority w:val="0"/>
    <w:rPr>
      <w:i/>
      <w:iCs/>
    </w:r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2">
    <w:name w:val="Medium Grid 1 Accent 2"/>
    <w:basedOn w:val="5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53">
    <w:name w:val="首行缩进"/>
    <w:basedOn w:val="1"/>
    <w:qFormat/>
    <w:uiPriority w:val="0"/>
    <w:pPr>
      <w:spacing w:line="360" w:lineRule="auto"/>
      <w:ind w:firstLine="480" w:firstLineChars="200"/>
    </w:pPr>
    <w:rPr>
      <w:sz w:val="24"/>
      <w:szCs w:val="22"/>
      <w:lang w:val="zh-CN"/>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2"/>
    <w:qFormat/>
    <w:uiPriority w:val="0"/>
  </w:style>
  <w:style w:type="character" w:customStyle="1" w:styleId="61">
    <w:name w:val="locality"/>
    <w:basedOn w:val="42"/>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2"/>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1"/>
    <w:qFormat/>
    <w:uiPriority w:val="0"/>
    <w:rPr>
      <w:rFonts w:eastAsia="宋体"/>
      <w:kern w:val="2"/>
      <w:sz w:val="18"/>
      <w:szCs w:val="18"/>
      <w:lang w:val="en-US" w:eastAsia="zh-CN" w:bidi="ar-SA"/>
    </w:rPr>
  </w:style>
  <w:style w:type="character" w:customStyle="1" w:styleId="77">
    <w:name w:val="chanpin拷贝"/>
    <w:basedOn w:val="42"/>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6"/>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40"/>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3"/>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1"/>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2"/>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2"/>
    <w:link w:val="2"/>
    <w:qFormat/>
    <w:uiPriority w:val="0"/>
    <w:rPr>
      <w:rFonts w:ascii="宋体"/>
      <w:b/>
      <w:kern w:val="44"/>
      <w:sz w:val="32"/>
    </w:rPr>
  </w:style>
  <w:style w:type="character" w:customStyle="1" w:styleId="230">
    <w:name w:val="标题 4 字符"/>
    <w:basedOn w:val="42"/>
    <w:link w:val="6"/>
    <w:qFormat/>
    <w:uiPriority w:val="0"/>
    <w:rPr>
      <w:sz w:val="24"/>
    </w:rPr>
  </w:style>
  <w:style w:type="character" w:customStyle="1" w:styleId="231">
    <w:name w:val="标题 5 字符"/>
    <w:basedOn w:val="42"/>
    <w:link w:val="7"/>
    <w:qFormat/>
    <w:uiPriority w:val="0"/>
    <w:rPr>
      <w:b/>
      <w:sz w:val="28"/>
    </w:rPr>
  </w:style>
  <w:style w:type="character" w:customStyle="1" w:styleId="232">
    <w:name w:val="标题 6 字符"/>
    <w:basedOn w:val="42"/>
    <w:link w:val="8"/>
    <w:qFormat/>
    <w:uiPriority w:val="0"/>
    <w:rPr>
      <w:rFonts w:ascii="Arial" w:hAnsi="Arial" w:eastAsia="黑体"/>
      <w:b/>
      <w:sz w:val="24"/>
    </w:rPr>
  </w:style>
  <w:style w:type="character" w:customStyle="1" w:styleId="233">
    <w:name w:val="标题 7 字符"/>
    <w:basedOn w:val="42"/>
    <w:link w:val="9"/>
    <w:qFormat/>
    <w:uiPriority w:val="0"/>
    <w:rPr>
      <w:b/>
      <w:sz w:val="24"/>
    </w:rPr>
  </w:style>
  <w:style w:type="character" w:customStyle="1" w:styleId="234">
    <w:name w:val="标题 8 字符"/>
    <w:basedOn w:val="42"/>
    <w:link w:val="10"/>
    <w:qFormat/>
    <w:uiPriority w:val="0"/>
    <w:rPr>
      <w:rFonts w:ascii="Arial" w:hAnsi="Arial" w:eastAsia="黑体"/>
      <w:sz w:val="24"/>
    </w:rPr>
  </w:style>
  <w:style w:type="character" w:customStyle="1" w:styleId="235">
    <w:name w:val="标题 9 字符"/>
    <w:basedOn w:val="42"/>
    <w:link w:val="11"/>
    <w:qFormat/>
    <w:uiPriority w:val="0"/>
    <w:rPr>
      <w:rFonts w:ascii="Arial" w:hAnsi="Arial" w:eastAsia="黑体"/>
      <w:sz w:val="21"/>
    </w:rPr>
  </w:style>
  <w:style w:type="character" w:customStyle="1" w:styleId="236">
    <w:name w:val="文档结构图 字符"/>
    <w:basedOn w:val="42"/>
    <w:link w:val="16"/>
    <w:qFormat/>
    <w:uiPriority w:val="0"/>
    <w:rPr>
      <w:kern w:val="2"/>
      <w:sz w:val="21"/>
      <w:szCs w:val="24"/>
      <w:shd w:val="clear" w:color="auto" w:fill="000080"/>
    </w:rPr>
  </w:style>
  <w:style w:type="character" w:customStyle="1" w:styleId="237">
    <w:name w:val="正文文本 3 字符"/>
    <w:basedOn w:val="42"/>
    <w:link w:val="17"/>
    <w:qFormat/>
    <w:uiPriority w:val="0"/>
    <w:rPr>
      <w:kern w:val="2"/>
      <w:sz w:val="16"/>
      <w:szCs w:val="16"/>
    </w:rPr>
  </w:style>
  <w:style w:type="character" w:customStyle="1" w:styleId="238">
    <w:name w:val="正文文本 字符"/>
    <w:basedOn w:val="42"/>
    <w:link w:val="18"/>
    <w:qFormat/>
    <w:uiPriority w:val="0"/>
    <w:rPr>
      <w:rFonts w:ascii="宋体" w:hAnsi="宋体"/>
      <w:kern w:val="2"/>
      <w:sz w:val="24"/>
      <w:szCs w:val="24"/>
    </w:rPr>
  </w:style>
  <w:style w:type="character" w:customStyle="1" w:styleId="239">
    <w:name w:val="日期 字符"/>
    <w:basedOn w:val="42"/>
    <w:link w:val="26"/>
    <w:qFormat/>
    <w:uiPriority w:val="0"/>
    <w:rPr>
      <w:rFonts w:ascii="仿宋_GB2312" w:hAnsi="宋体" w:eastAsia="仿宋_GB2312"/>
      <w:color w:val="000000"/>
      <w:kern w:val="2"/>
      <w:sz w:val="24"/>
      <w:szCs w:val="24"/>
    </w:rPr>
  </w:style>
  <w:style w:type="character" w:customStyle="1" w:styleId="240">
    <w:name w:val="正文文本缩进 2 字符"/>
    <w:basedOn w:val="42"/>
    <w:link w:val="27"/>
    <w:qFormat/>
    <w:uiPriority w:val="0"/>
    <w:rPr>
      <w:rFonts w:ascii="仿宋_GB2312" w:eastAsia="仿宋_GB2312"/>
      <w:kern w:val="2"/>
      <w:sz w:val="24"/>
      <w:szCs w:val="24"/>
    </w:rPr>
  </w:style>
  <w:style w:type="character" w:customStyle="1" w:styleId="241">
    <w:name w:val="批注框文本 字符"/>
    <w:basedOn w:val="42"/>
    <w:link w:val="28"/>
    <w:qFormat/>
    <w:uiPriority w:val="0"/>
    <w:rPr>
      <w:kern w:val="2"/>
      <w:sz w:val="18"/>
      <w:szCs w:val="18"/>
    </w:rPr>
  </w:style>
  <w:style w:type="character" w:customStyle="1" w:styleId="242">
    <w:name w:val="正文文本缩进 3 字符"/>
    <w:basedOn w:val="42"/>
    <w:link w:val="35"/>
    <w:qFormat/>
    <w:uiPriority w:val="0"/>
    <w:rPr>
      <w:rFonts w:ascii="宋体"/>
      <w:sz w:val="24"/>
    </w:rPr>
  </w:style>
  <w:style w:type="character" w:customStyle="1" w:styleId="243">
    <w:name w:val="HTML 预设格式 字符"/>
    <w:basedOn w:val="42"/>
    <w:link w:val="38"/>
    <w:qFormat/>
    <w:uiPriority w:val="0"/>
    <w:rPr>
      <w:rFonts w:ascii="宋体" w:hAnsi="宋体" w:cs="宋体"/>
      <w:sz w:val="24"/>
      <w:szCs w:val="24"/>
    </w:rPr>
  </w:style>
  <w:style w:type="character" w:customStyle="1" w:styleId="244">
    <w:name w:val="批注主题 字符"/>
    <w:basedOn w:val="194"/>
    <w:link w:val="12"/>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30"/>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font31"/>
    <w:basedOn w:val="42"/>
    <w:qFormat/>
    <w:uiPriority w:val="0"/>
    <w:rPr>
      <w:rFonts w:hint="default" w:ascii="仿宋_GB2312" w:eastAsia="仿宋_GB2312" w:cs="仿宋_GB2312"/>
      <w:b/>
      <w:bCs/>
      <w:color w:val="000000"/>
      <w:sz w:val="24"/>
      <w:szCs w:val="24"/>
      <w:u w:val="none"/>
    </w:rPr>
  </w:style>
  <w:style w:type="paragraph" w:customStyle="1" w:styleId="250">
    <w:name w:val="表格样式 2"/>
    <w:qFormat/>
    <w:uiPriority w:val="0"/>
    <w:rPr>
      <w:rFonts w:ascii="PingFang SC Regular" w:hAnsi="PingFang SC Regular" w:eastAsia="Arial Unicode MS" w:cs="Arial Unicode MS"/>
      <w:color w:val="000000"/>
      <w:lang w:val="en-US" w:eastAsia="zh-CN" w:bidi="ar-SA"/>
    </w:rPr>
  </w:style>
  <w:style w:type="paragraph" w:customStyle="1" w:styleId="251">
    <w:name w:val="默认"/>
    <w:qFormat/>
    <w:uiPriority w:val="0"/>
    <w:pPr>
      <w:spacing w:before="160" w:line="288" w:lineRule="auto"/>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61\Desktop\&#25307;&#26631;&#25991;&#20214;&#32534;&#21046;&#24037;&#20855;\TY\BidTools.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BidTools</Template>
  <Company>China</Company>
  <Pages>19</Pages>
  <Words>4900</Words>
  <Characters>5096</Characters>
  <Lines>3685</Lines>
  <Paragraphs>3350</Paragraphs>
  <TotalTime>12</TotalTime>
  <ScaleCrop>false</ScaleCrop>
  <LinksUpToDate>false</LinksUpToDate>
  <CharactersWithSpaces>5760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尹皓</dc:creator>
  <cp:lastModifiedBy>Administrator</cp:lastModifiedBy>
  <cp:lastPrinted>2025-11-19T09:43:00Z</cp:lastPrinted>
  <dcterms:modified xsi:type="dcterms:W3CDTF">2026-01-23T06:56:53Z</dcterms:modified>
  <dc:title>政府采购示范文本（2023）</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72EE54DF0764435197DBE8D36D2A378D_13</vt:lpwstr>
  </property>
  <property fmtid="{D5CDD505-2E9C-101B-9397-08002B2CF9AE}" pid="3" name="KSOProductBuildVer">
    <vt:lpwstr>2052-10.8.2.6726</vt:lpwstr>
  </property>
  <property fmtid="{D5CDD505-2E9C-101B-9397-08002B2CF9AE}" pid="4" name="KSOTemplateDocerSaveRecord">
    <vt:lpwstr>eyJoZGlkIjoiZDY3YTg1OTBhZjU0MTU2MjRiZTQ3OTgyMDgyM2M3OGIiLCJ1c2VySWQiOiI1ODM3ODYyMzEifQ==</vt:lpwstr>
  </property>
</Properties>
</file>