
<file path=[Content_Types].xml><?xml version="1.0" encoding="utf-8"?>
<Types xmlns="http://schemas.openxmlformats.org/package/2006/content-types">
  <Default Extension="tiff" ContentType="image/tif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4AF64A">
      <w:pPr>
        <w:spacing w:line="360" w:lineRule="auto"/>
        <w:ind w:left="573" w:hanging="48"/>
        <w:jc w:val="left"/>
        <w:rPr>
          <w:rFonts w:hint="eastAsia" w:ascii="宋体" w:hAnsi="宋体"/>
          <w:b/>
          <w:sz w:val="28"/>
          <w:szCs w:val="28"/>
          <w:u w:val="single"/>
        </w:rPr>
      </w:pPr>
      <w:bookmarkStart w:id="2" w:name="_GoBack"/>
      <w:bookmarkEnd w:id="2"/>
      <w:r>
        <w:rPr>
          <w:rFonts w:hint="eastAsia" w:ascii="宋体" w:hAnsi="宋体"/>
          <w:b/>
          <w:sz w:val="28"/>
          <w:szCs w:val="28"/>
        </w:rPr>
        <w:t>合同编号：</w:t>
      </w:r>
    </w:p>
    <w:p w14:paraId="2BD76580">
      <w:pPr>
        <w:spacing w:line="360" w:lineRule="auto"/>
        <w:ind w:left="573" w:hanging="48"/>
        <w:jc w:val="left"/>
        <w:rPr>
          <w:rFonts w:hint="eastAsia" w:ascii="宋体" w:hAnsi="宋体"/>
          <w:b/>
          <w:sz w:val="28"/>
          <w:szCs w:val="28"/>
          <w:u w:val="single"/>
        </w:rPr>
      </w:pPr>
    </w:p>
    <w:p w14:paraId="015DB991">
      <w:pPr>
        <w:spacing w:line="360" w:lineRule="auto"/>
        <w:ind w:left="573" w:hanging="48"/>
        <w:jc w:val="center"/>
        <w:rPr>
          <w:rFonts w:hint="eastAsia" w:ascii="宋体" w:hAnsi="宋体"/>
          <w:b/>
          <w:sz w:val="28"/>
          <w:szCs w:val="28"/>
        </w:rPr>
      </w:pPr>
      <w:r>
        <w:rPr>
          <w:rFonts w:hint="eastAsia" w:ascii="宋体" w:hAnsi="宋体"/>
          <w:b/>
          <w:sz w:val="28"/>
          <w:szCs w:val="28"/>
        </w:rPr>
        <w:t>采 购 合 同</w:t>
      </w:r>
    </w:p>
    <w:p w14:paraId="03A4AFE5">
      <w:pPr>
        <w:spacing w:line="360" w:lineRule="auto"/>
        <w:ind w:left="573" w:hanging="48"/>
        <w:jc w:val="left"/>
        <w:rPr>
          <w:rFonts w:hint="eastAsia" w:ascii="宋体" w:hAnsi="宋体"/>
          <w:b/>
          <w:sz w:val="28"/>
          <w:szCs w:val="28"/>
        </w:rPr>
      </w:pPr>
    </w:p>
    <w:p w14:paraId="5FFC8ADB">
      <w:pPr>
        <w:spacing w:line="360" w:lineRule="auto"/>
        <w:ind w:left="573" w:hanging="48"/>
        <w:jc w:val="left"/>
        <w:rPr>
          <w:rFonts w:hint="eastAsia" w:ascii="宋体" w:hAnsi="宋体"/>
          <w:b/>
          <w:sz w:val="28"/>
          <w:szCs w:val="28"/>
        </w:rPr>
      </w:pPr>
    </w:p>
    <w:p w14:paraId="7667CE67">
      <w:pPr>
        <w:spacing w:line="360" w:lineRule="auto"/>
        <w:jc w:val="left"/>
        <w:rPr>
          <w:rFonts w:hint="eastAsia" w:ascii="宋体" w:hAnsi="宋体"/>
          <w:b/>
          <w:sz w:val="28"/>
          <w:szCs w:val="28"/>
          <w:u w:val="single"/>
        </w:rPr>
      </w:pPr>
      <w:r>
        <w:rPr>
          <w:rFonts w:hint="eastAsia" w:ascii="宋体" w:hAnsi="宋体"/>
          <w:b/>
          <w:sz w:val="28"/>
          <w:szCs w:val="28"/>
        </w:rPr>
        <w:t>项目编号：</w:t>
      </w:r>
      <w:r>
        <w:rPr>
          <w:rFonts w:hint="eastAsia" w:ascii="宋体" w:hAnsi="宋体"/>
          <w:b/>
          <w:sz w:val="28"/>
          <w:szCs w:val="28"/>
          <w:u w:val="single"/>
        </w:rPr>
        <w:t xml:space="preserve">0618-XFHY-2566ZCB（11010825210200050694-XM001）                        </w:t>
      </w:r>
    </w:p>
    <w:p w14:paraId="07663404">
      <w:pPr>
        <w:spacing w:line="360" w:lineRule="auto"/>
        <w:ind w:left="573" w:hanging="48"/>
        <w:jc w:val="left"/>
        <w:rPr>
          <w:rFonts w:hint="eastAsia" w:ascii="宋体" w:hAnsi="宋体"/>
          <w:b/>
          <w:sz w:val="28"/>
          <w:szCs w:val="28"/>
        </w:rPr>
      </w:pPr>
    </w:p>
    <w:p w14:paraId="76E634D2">
      <w:pPr>
        <w:tabs>
          <w:tab w:val="left" w:pos="3240"/>
          <w:tab w:val="left" w:pos="3420"/>
        </w:tabs>
        <w:spacing w:line="360" w:lineRule="auto"/>
        <w:ind w:left="2240" w:hanging="2240"/>
        <w:jc w:val="left"/>
        <w:rPr>
          <w:b/>
          <w:sz w:val="28"/>
          <w:szCs w:val="28"/>
        </w:rPr>
      </w:pPr>
      <w:r>
        <w:rPr>
          <w:rFonts w:hint="eastAsia" w:ascii="宋体" w:hAnsi="宋体"/>
          <w:b/>
          <w:sz w:val="28"/>
          <w:szCs w:val="28"/>
        </w:rPr>
        <w:t>项目名称：</w:t>
      </w:r>
      <w:r>
        <w:rPr>
          <w:rFonts w:hint="eastAsia"/>
          <w:b/>
          <w:sz w:val="28"/>
          <w:szCs w:val="28"/>
          <w:u w:val="single"/>
        </w:rPr>
        <w:t>北京市海淀区西三旗社区卫生服务中心医疗设备购置项目</w:t>
      </w:r>
    </w:p>
    <w:p w14:paraId="78856568">
      <w:pPr>
        <w:spacing w:line="360" w:lineRule="auto"/>
        <w:ind w:left="573" w:hanging="48"/>
        <w:jc w:val="left"/>
        <w:rPr>
          <w:rFonts w:hint="eastAsia" w:ascii="宋体" w:hAnsi="宋体"/>
          <w:b/>
          <w:sz w:val="28"/>
          <w:szCs w:val="28"/>
          <w:u w:val="single"/>
        </w:rPr>
      </w:pPr>
    </w:p>
    <w:p w14:paraId="30903035">
      <w:pPr>
        <w:spacing w:line="360" w:lineRule="auto"/>
        <w:jc w:val="left"/>
        <w:rPr>
          <w:rFonts w:hint="eastAsia" w:ascii="宋体" w:hAnsi="宋体"/>
          <w:b/>
          <w:sz w:val="28"/>
          <w:szCs w:val="28"/>
        </w:rPr>
      </w:pPr>
      <w:r>
        <w:rPr>
          <w:rFonts w:hint="eastAsia" w:ascii="宋体" w:hAnsi="宋体"/>
          <w:b/>
          <w:sz w:val="28"/>
          <w:szCs w:val="28"/>
        </w:rPr>
        <w:t xml:space="preserve">货物名称： </w:t>
      </w:r>
      <w:r>
        <w:rPr>
          <w:rFonts w:hint="eastAsia" w:ascii="仿宋" w:hAnsi="仿宋" w:eastAsia="仿宋"/>
          <w:b/>
          <w:sz w:val="28"/>
          <w:szCs w:val="28"/>
          <w:u w:val="single"/>
        </w:rPr>
        <w:t xml:space="preserve"> 1、血滤机、2、血透机</w:t>
      </w:r>
    </w:p>
    <w:p w14:paraId="26962A9C">
      <w:pPr>
        <w:spacing w:line="360" w:lineRule="auto"/>
        <w:ind w:left="573" w:hanging="48"/>
        <w:jc w:val="left"/>
        <w:rPr>
          <w:rFonts w:hint="eastAsia" w:ascii="宋体" w:hAnsi="宋体"/>
          <w:b/>
          <w:sz w:val="28"/>
          <w:szCs w:val="28"/>
        </w:rPr>
      </w:pPr>
    </w:p>
    <w:p w14:paraId="69ED75D7">
      <w:pPr>
        <w:spacing w:line="360" w:lineRule="auto"/>
        <w:ind w:left="573" w:hanging="48"/>
        <w:jc w:val="left"/>
        <w:rPr>
          <w:rFonts w:hint="eastAsia" w:ascii="宋体" w:hAnsi="宋体"/>
          <w:b/>
          <w:sz w:val="28"/>
          <w:szCs w:val="28"/>
        </w:rPr>
      </w:pPr>
    </w:p>
    <w:p w14:paraId="55CEAAC5">
      <w:pPr>
        <w:spacing w:line="360" w:lineRule="auto"/>
        <w:ind w:left="573" w:hanging="48"/>
        <w:jc w:val="left"/>
        <w:rPr>
          <w:rFonts w:hint="eastAsia" w:ascii="宋体" w:hAnsi="宋体"/>
          <w:b/>
          <w:sz w:val="28"/>
          <w:szCs w:val="28"/>
        </w:rPr>
      </w:pPr>
    </w:p>
    <w:p w14:paraId="747A3675">
      <w:pPr>
        <w:spacing w:line="360" w:lineRule="auto"/>
        <w:ind w:left="573" w:hanging="48"/>
        <w:jc w:val="left"/>
        <w:rPr>
          <w:rFonts w:hint="eastAsia" w:ascii="宋体" w:hAnsi="宋体"/>
          <w:b/>
          <w:sz w:val="28"/>
          <w:szCs w:val="28"/>
        </w:rPr>
      </w:pPr>
    </w:p>
    <w:p w14:paraId="0F88201E">
      <w:pPr>
        <w:spacing w:line="360" w:lineRule="auto"/>
        <w:ind w:left="573" w:hanging="48"/>
        <w:jc w:val="left"/>
        <w:rPr>
          <w:rFonts w:hint="eastAsia" w:ascii="宋体" w:hAnsi="宋体"/>
          <w:b/>
          <w:sz w:val="28"/>
          <w:szCs w:val="28"/>
        </w:rPr>
      </w:pPr>
      <w:r>
        <w:rPr>
          <w:rFonts w:hint="eastAsia" w:ascii="宋体" w:hAnsi="宋体"/>
          <w:b/>
          <w:sz w:val="28"/>
          <w:szCs w:val="28"/>
        </w:rPr>
        <w:t>甲方：</w:t>
      </w:r>
      <w:r>
        <w:rPr>
          <w:rFonts w:hint="eastAsia" w:ascii="仿宋" w:hAnsi="仿宋" w:eastAsia="仿宋"/>
          <w:b/>
          <w:sz w:val="28"/>
          <w:szCs w:val="28"/>
          <w:u w:val="single"/>
        </w:rPr>
        <w:t>北京市海淀区西三旗社区卫生服务中心</w:t>
      </w:r>
      <w:r>
        <w:rPr>
          <w:rFonts w:hint="eastAsia" w:ascii="宋体" w:hAnsi="宋体"/>
          <w:b/>
          <w:sz w:val="28"/>
          <w:szCs w:val="28"/>
        </w:rPr>
        <w:t xml:space="preserve"> </w:t>
      </w:r>
    </w:p>
    <w:p w14:paraId="7444CAE1">
      <w:pPr>
        <w:spacing w:line="360" w:lineRule="auto"/>
        <w:ind w:left="573" w:hanging="48"/>
        <w:jc w:val="left"/>
        <w:rPr>
          <w:rFonts w:hint="eastAsia" w:ascii="宋体" w:hAnsi="宋体"/>
          <w:b/>
          <w:sz w:val="28"/>
          <w:szCs w:val="28"/>
        </w:rPr>
      </w:pPr>
      <w:r>
        <w:rPr>
          <w:rFonts w:hint="eastAsia" w:ascii="宋体" w:hAnsi="宋体"/>
          <w:b/>
          <w:sz w:val="28"/>
          <w:szCs w:val="28"/>
        </w:rPr>
        <w:t>乙方：</w:t>
      </w:r>
      <w:r>
        <w:rPr>
          <w:rFonts w:hint="eastAsia" w:ascii="仿宋" w:hAnsi="仿宋" w:eastAsia="仿宋"/>
          <w:b/>
          <w:sz w:val="28"/>
          <w:szCs w:val="28"/>
          <w:u w:val="single"/>
        </w:rPr>
        <w:t>山东威高血液净化制品股份有限公司</w:t>
      </w:r>
      <w:r>
        <w:rPr>
          <w:rFonts w:hint="eastAsia" w:ascii="宋体" w:hAnsi="宋体"/>
          <w:b/>
          <w:sz w:val="28"/>
          <w:szCs w:val="28"/>
        </w:rPr>
        <w:t xml:space="preserve"> </w:t>
      </w:r>
    </w:p>
    <w:p w14:paraId="0E280B7C">
      <w:pPr>
        <w:spacing w:line="360" w:lineRule="auto"/>
        <w:ind w:left="573" w:hanging="48"/>
        <w:jc w:val="left"/>
        <w:rPr>
          <w:rFonts w:hint="eastAsia" w:ascii="宋体" w:hAnsi="宋体"/>
          <w:b/>
          <w:sz w:val="28"/>
          <w:szCs w:val="28"/>
        </w:rPr>
      </w:pPr>
      <w:r>
        <w:rPr>
          <w:rFonts w:hint="eastAsia" w:ascii="宋体" w:hAnsi="宋体"/>
          <w:b/>
          <w:sz w:val="28"/>
          <w:szCs w:val="28"/>
        </w:rPr>
        <w:t xml:space="preserve">签署日期： </w:t>
      </w:r>
    </w:p>
    <w:p w14:paraId="314D3D55">
      <w:pPr>
        <w:widowControl/>
        <w:spacing w:line="360" w:lineRule="auto"/>
        <w:jc w:val="left"/>
        <w:rPr>
          <w:rFonts w:hint="eastAsia" w:ascii="宋体" w:hAnsi="宋体" w:cs="宋体"/>
          <w:b/>
          <w:color w:val="000000"/>
          <w:kern w:val="0"/>
          <w:sz w:val="24"/>
        </w:rPr>
      </w:pPr>
    </w:p>
    <w:p w14:paraId="7B36C2F0">
      <w:pPr>
        <w:widowControl/>
        <w:spacing w:line="360" w:lineRule="auto"/>
        <w:jc w:val="left"/>
        <w:rPr>
          <w:rFonts w:hint="eastAsia" w:ascii="宋体" w:hAnsi="宋体" w:cs="宋体"/>
          <w:b/>
          <w:color w:val="000000"/>
          <w:kern w:val="0"/>
          <w:sz w:val="24"/>
        </w:rPr>
      </w:pPr>
    </w:p>
    <w:p w14:paraId="7EE161F3">
      <w:pPr>
        <w:spacing w:line="360" w:lineRule="auto"/>
        <w:jc w:val="center"/>
        <w:rPr>
          <w:rFonts w:hint="eastAsia" w:ascii="宋体" w:hAnsi="宋体"/>
          <w:b/>
          <w:sz w:val="24"/>
        </w:rPr>
      </w:pPr>
    </w:p>
    <w:p w14:paraId="2777B5B8">
      <w:pPr>
        <w:spacing w:line="360" w:lineRule="auto"/>
        <w:jc w:val="center"/>
        <w:rPr>
          <w:rFonts w:hint="eastAsia" w:ascii="宋体" w:hAnsi="宋体"/>
          <w:b/>
          <w:sz w:val="24"/>
        </w:rPr>
      </w:pPr>
    </w:p>
    <w:p w14:paraId="368312DC">
      <w:pPr>
        <w:spacing w:line="360" w:lineRule="auto"/>
        <w:jc w:val="center"/>
        <w:rPr>
          <w:rFonts w:hint="eastAsia" w:ascii="宋体" w:hAnsi="宋体"/>
          <w:b/>
          <w:sz w:val="24"/>
        </w:rPr>
      </w:pPr>
    </w:p>
    <w:p w14:paraId="5D77528B">
      <w:pPr>
        <w:spacing w:line="360" w:lineRule="auto"/>
        <w:jc w:val="center"/>
        <w:rPr>
          <w:rFonts w:hint="eastAsia" w:ascii="宋体" w:hAnsi="宋体"/>
          <w:b/>
          <w:sz w:val="24"/>
        </w:rPr>
      </w:pPr>
    </w:p>
    <w:p w14:paraId="45A6896B">
      <w:pPr>
        <w:spacing w:line="360" w:lineRule="auto"/>
        <w:jc w:val="center"/>
        <w:rPr>
          <w:rFonts w:hint="eastAsia" w:ascii="宋体" w:hAnsi="宋体"/>
          <w:b/>
          <w:sz w:val="24"/>
        </w:rPr>
      </w:pPr>
    </w:p>
    <w:p w14:paraId="20F2AF6E">
      <w:pPr>
        <w:spacing w:line="360" w:lineRule="auto"/>
        <w:jc w:val="center"/>
        <w:rPr>
          <w:rFonts w:hint="eastAsia" w:ascii="宋体" w:hAnsi="宋体"/>
          <w:b/>
          <w:sz w:val="24"/>
        </w:rPr>
      </w:pPr>
      <w:r>
        <w:rPr>
          <w:rFonts w:hint="eastAsia" w:ascii="宋体" w:hAnsi="宋体"/>
          <w:b/>
          <w:sz w:val="24"/>
        </w:rPr>
        <w:t>合同协议书</w:t>
      </w:r>
    </w:p>
    <w:p w14:paraId="1940D579">
      <w:pPr>
        <w:spacing w:line="360" w:lineRule="auto"/>
        <w:jc w:val="left"/>
        <w:rPr>
          <w:rFonts w:hint="eastAsia" w:ascii="宋体" w:hAnsi="宋体"/>
          <w:color w:val="000000"/>
          <w:sz w:val="24"/>
        </w:rPr>
      </w:pPr>
      <w:r>
        <w:rPr>
          <w:rFonts w:hint="eastAsia" w:ascii="仿宋" w:hAnsi="仿宋" w:eastAsia="仿宋"/>
          <w:bCs/>
          <w:sz w:val="28"/>
          <w:szCs w:val="28"/>
          <w:u w:val="single"/>
        </w:rPr>
        <w:t>北京市海淀区西三旗社区卫生服务中心</w:t>
      </w:r>
      <w:r>
        <w:rPr>
          <w:rFonts w:hint="eastAsia" w:ascii="宋体" w:hAnsi="宋体"/>
          <w:color w:val="000000"/>
          <w:sz w:val="24"/>
        </w:rPr>
        <w:t>（甲方）</w:t>
      </w:r>
      <w:r>
        <w:rPr>
          <w:rFonts w:hint="eastAsia" w:ascii="宋体" w:hAnsi="宋体"/>
          <w:color w:val="000000"/>
          <w:sz w:val="24"/>
          <w:u w:val="single"/>
        </w:rPr>
        <w:t xml:space="preserve"> </w:t>
      </w:r>
      <w:r>
        <w:rPr>
          <w:rFonts w:hint="eastAsia"/>
          <w:bCs/>
          <w:sz w:val="24"/>
          <w:u w:val="single"/>
        </w:rPr>
        <w:t>北京市海淀区西三旗社区卫生服务中心医疗设备购置项目</w:t>
      </w:r>
      <w:r>
        <w:rPr>
          <w:rFonts w:hint="eastAsia" w:ascii="宋体" w:hAnsi="宋体"/>
          <w:color w:val="000000"/>
          <w:sz w:val="24"/>
        </w:rPr>
        <w:t>（项目名称）中所需</w:t>
      </w:r>
      <w:r>
        <w:rPr>
          <w:rFonts w:hint="eastAsia" w:ascii="宋体" w:hAnsi="宋体"/>
          <w:color w:val="000000"/>
          <w:sz w:val="24"/>
          <w:u w:val="single"/>
        </w:rPr>
        <w:t xml:space="preserve"> </w:t>
      </w:r>
      <w:r>
        <w:rPr>
          <w:rFonts w:hint="eastAsia" w:ascii="宋体" w:hAnsi="宋体" w:cs="宋体"/>
          <w:color w:val="000000"/>
          <w:sz w:val="24"/>
          <w:u w:val="single"/>
        </w:rPr>
        <w:t>血透机、血滤机</w:t>
      </w:r>
      <w:r>
        <w:rPr>
          <w:rFonts w:hint="eastAsia" w:ascii="宋体" w:hAnsi="宋体"/>
          <w:color w:val="000000"/>
          <w:sz w:val="24"/>
          <w:u w:val="single"/>
        </w:rPr>
        <w:t xml:space="preserve"> </w:t>
      </w:r>
      <w:r>
        <w:rPr>
          <w:rFonts w:hint="eastAsia" w:ascii="宋体" w:hAnsi="宋体"/>
          <w:color w:val="000000"/>
          <w:sz w:val="24"/>
        </w:rPr>
        <w:t>（货物名称）经</w:t>
      </w:r>
      <w:r>
        <w:rPr>
          <w:rFonts w:hint="eastAsia"/>
          <w:bCs/>
          <w:sz w:val="24"/>
          <w:u w:val="single"/>
        </w:rPr>
        <w:t>北京先锋寰宇招标有限公司</w:t>
      </w:r>
      <w:r>
        <w:rPr>
          <w:rFonts w:hint="eastAsia" w:ascii="宋体" w:hAnsi="宋体"/>
          <w:color w:val="000000"/>
          <w:sz w:val="24"/>
        </w:rPr>
        <w:t>（招标人）以</w:t>
      </w:r>
      <w:r>
        <w:rPr>
          <w:rFonts w:hint="eastAsia" w:ascii="宋体" w:hAnsi="宋体"/>
          <w:color w:val="000000"/>
          <w:sz w:val="24"/>
          <w:u w:val="single"/>
        </w:rPr>
        <w:t xml:space="preserve"> </w:t>
      </w:r>
      <w:r>
        <w:rPr>
          <w:rFonts w:hint="eastAsia" w:ascii="宋体" w:hAnsi="宋体"/>
          <w:sz w:val="28"/>
          <w:szCs w:val="28"/>
          <w:u w:val="single"/>
        </w:rPr>
        <w:t>0618-XFHY-2566ZCB（11010825210200050694-XM001）</w:t>
      </w:r>
      <w:r>
        <w:rPr>
          <w:rFonts w:hint="eastAsia" w:ascii="宋体" w:hAnsi="宋体"/>
          <w:color w:val="000000"/>
          <w:sz w:val="24"/>
        </w:rPr>
        <w:t>（招标编号）招标文件在国内公开招标。经评标委员会评定</w:t>
      </w:r>
      <w:r>
        <w:rPr>
          <w:rFonts w:hint="eastAsia" w:ascii="宋体" w:hAnsi="宋体" w:cs="宋体"/>
          <w:bCs/>
          <w:sz w:val="24"/>
          <w:u w:val="single"/>
        </w:rPr>
        <w:t>山东威高血液净化制品股份有限公司</w:t>
      </w:r>
      <w:r>
        <w:rPr>
          <w:rFonts w:hint="eastAsia" w:ascii="宋体" w:hAnsi="宋体"/>
          <w:color w:val="000000"/>
          <w:sz w:val="24"/>
        </w:rPr>
        <w:t>（乙方）为中标人，买、卖双方依据《中华人民共和国政府采购法》、《中华人民共和国民法典》，在平等自愿的基础上，同意按照下面的条款和条件，签署本合同。</w:t>
      </w:r>
    </w:p>
    <w:p w14:paraId="674A3382">
      <w:pPr>
        <w:numPr>
          <w:ilvl w:val="0"/>
          <w:numId w:val="1"/>
        </w:numPr>
        <w:spacing w:line="360" w:lineRule="auto"/>
        <w:ind w:left="566" w:hanging="41"/>
        <w:rPr>
          <w:rFonts w:hint="eastAsia" w:ascii="宋体" w:hAnsi="宋体"/>
          <w:sz w:val="24"/>
        </w:rPr>
      </w:pPr>
      <w:r>
        <w:rPr>
          <w:rFonts w:hint="eastAsia" w:ascii="宋体" w:hAnsi="宋体"/>
          <w:sz w:val="24"/>
        </w:rPr>
        <w:t>合同中词语和术语的含义与合同条款中定义的相同。</w:t>
      </w:r>
    </w:p>
    <w:p w14:paraId="24A6F70B">
      <w:pPr>
        <w:numPr>
          <w:ilvl w:val="0"/>
          <w:numId w:val="1"/>
        </w:numPr>
        <w:spacing w:line="360" w:lineRule="auto"/>
        <w:ind w:left="566" w:hanging="41"/>
        <w:rPr>
          <w:rFonts w:hint="eastAsia" w:ascii="宋体" w:hAnsi="宋体"/>
          <w:sz w:val="24"/>
        </w:rPr>
      </w:pPr>
      <w:r>
        <w:rPr>
          <w:rFonts w:hint="eastAsia" w:ascii="宋体" w:hAnsi="宋体"/>
          <w:sz w:val="24"/>
        </w:rPr>
        <w:t>下述文件是构成本合同的组成部分，应该认为是一个整体，彼此相互解释，相互补充。组成合同的多个文件的优先支配地位的次序如下：</w:t>
      </w:r>
    </w:p>
    <w:p w14:paraId="34601B4B">
      <w:pPr>
        <w:numPr>
          <w:ilvl w:val="1"/>
          <w:numId w:val="1"/>
        </w:numPr>
        <w:spacing w:line="360" w:lineRule="auto"/>
        <w:ind w:left="566" w:hanging="41"/>
        <w:rPr>
          <w:rFonts w:hint="eastAsia" w:ascii="宋体" w:hAnsi="宋体"/>
          <w:sz w:val="24"/>
        </w:rPr>
      </w:pPr>
      <w:r>
        <w:rPr>
          <w:rFonts w:hint="eastAsia" w:ascii="宋体" w:hAnsi="宋体"/>
          <w:sz w:val="24"/>
        </w:rPr>
        <w:t>合同协议书</w:t>
      </w:r>
    </w:p>
    <w:p w14:paraId="6603CBDC">
      <w:pPr>
        <w:numPr>
          <w:ilvl w:val="1"/>
          <w:numId w:val="1"/>
        </w:numPr>
        <w:spacing w:line="360" w:lineRule="auto"/>
        <w:ind w:left="566" w:hanging="41"/>
        <w:rPr>
          <w:rFonts w:hint="eastAsia" w:ascii="宋体" w:hAnsi="宋体"/>
          <w:sz w:val="24"/>
        </w:rPr>
      </w:pPr>
      <w:r>
        <w:rPr>
          <w:rFonts w:hint="eastAsia" w:ascii="宋体" w:hAnsi="宋体"/>
          <w:sz w:val="24"/>
        </w:rPr>
        <w:t>合同一般条款;</w:t>
      </w:r>
    </w:p>
    <w:p w14:paraId="3AB098EE">
      <w:pPr>
        <w:numPr>
          <w:ilvl w:val="1"/>
          <w:numId w:val="1"/>
        </w:numPr>
        <w:spacing w:line="360" w:lineRule="auto"/>
        <w:ind w:left="566" w:hanging="41"/>
        <w:rPr>
          <w:rFonts w:hint="eastAsia" w:ascii="宋体" w:hAnsi="宋体"/>
          <w:sz w:val="24"/>
        </w:rPr>
      </w:pPr>
      <w:r>
        <w:rPr>
          <w:rFonts w:hint="eastAsia" w:ascii="宋体" w:hAnsi="宋体"/>
          <w:sz w:val="24"/>
        </w:rPr>
        <w:t>合同特殊条款;</w:t>
      </w:r>
    </w:p>
    <w:p w14:paraId="23E7AC6B">
      <w:pPr>
        <w:numPr>
          <w:ilvl w:val="1"/>
          <w:numId w:val="1"/>
        </w:numPr>
        <w:spacing w:line="360" w:lineRule="auto"/>
        <w:ind w:left="566" w:hanging="41"/>
        <w:rPr>
          <w:rFonts w:hint="eastAsia" w:ascii="宋体" w:hAnsi="宋体"/>
          <w:sz w:val="24"/>
        </w:rPr>
      </w:pPr>
      <w:r>
        <w:rPr>
          <w:rFonts w:hint="eastAsia" w:ascii="宋体" w:hAnsi="宋体"/>
          <w:sz w:val="24"/>
        </w:rPr>
        <w:t>中标通知书</w:t>
      </w:r>
    </w:p>
    <w:p w14:paraId="09CE4311">
      <w:pPr>
        <w:numPr>
          <w:ilvl w:val="1"/>
          <w:numId w:val="1"/>
        </w:numPr>
        <w:spacing w:line="360" w:lineRule="auto"/>
        <w:ind w:left="566" w:hanging="41"/>
        <w:rPr>
          <w:rFonts w:hint="eastAsia" w:ascii="宋体" w:hAnsi="宋体"/>
          <w:sz w:val="24"/>
        </w:rPr>
      </w:pPr>
      <w:r>
        <w:rPr>
          <w:rFonts w:hint="eastAsia" w:ascii="宋体" w:hAnsi="宋体"/>
          <w:sz w:val="24"/>
        </w:rPr>
        <w:t>廉洁承诺书</w:t>
      </w:r>
    </w:p>
    <w:p w14:paraId="48EF8D83">
      <w:pPr>
        <w:numPr>
          <w:ilvl w:val="1"/>
          <w:numId w:val="1"/>
        </w:numPr>
        <w:spacing w:line="360" w:lineRule="auto"/>
        <w:ind w:left="566" w:hanging="41"/>
        <w:rPr>
          <w:rFonts w:hint="eastAsia" w:ascii="宋体" w:hAnsi="宋体"/>
          <w:sz w:val="24"/>
        </w:rPr>
      </w:pPr>
      <w:r>
        <w:rPr>
          <w:rFonts w:hint="eastAsia" w:ascii="宋体" w:hAnsi="宋体"/>
          <w:sz w:val="24"/>
        </w:rPr>
        <w:t>合同附件，如：</w:t>
      </w:r>
    </w:p>
    <w:p w14:paraId="2914A61F">
      <w:pPr>
        <w:spacing w:line="360" w:lineRule="auto"/>
        <w:ind w:left="566"/>
        <w:rPr>
          <w:rFonts w:hint="eastAsia" w:ascii="宋体" w:hAnsi="宋体"/>
          <w:sz w:val="24"/>
        </w:rPr>
      </w:pPr>
      <w:r>
        <w:rPr>
          <w:rFonts w:hint="eastAsia" w:ascii="宋体" w:hAnsi="宋体"/>
          <w:sz w:val="24"/>
        </w:rPr>
        <w:t>附件1——合同价格表</w:t>
      </w:r>
    </w:p>
    <w:p w14:paraId="1835AA56">
      <w:pPr>
        <w:spacing w:line="360" w:lineRule="auto"/>
        <w:ind w:left="566"/>
        <w:rPr>
          <w:rFonts w:hint="eastAsia" w:ascii="宋体" w:hAnsi="宋体"/>
          <w:sz w:val="24"/>
        </w:rPr>
      </w:pPr>
      <w:r>
        <w:rPr>
          <w:rFonts w:hint="eastAsia" w:ascii="宋体" w:hAnsi="宋体"/>
          <w:sz w:val="24"/>
        </w:rPr>
        <w:t>附件2——技术参数</w:t>
      </w:r>
    </w:p>
    <w:p w14:paraId="5DD46C1F">
      <w:pPr>
        <w:spacing w:line="360" w:lineRule="auto"/>
        <w:ind w:left="566"/>
        <w:rPr>
          <w:rFonts w:hint="eastAsia" w:ascii="宋体" w:hAnsi="宋体"/>
          <w:sz w:val="24"/>
        </w:rPr>
      </w:pPr>
      <w:r>
        <w:rPr>
          <w:rFonts w:hint="eastAsia" w:ascii="宋体" w:hAnsi="宋体"/>
          <w:sz w:val="24"/>
        </w:rPr>
        <w:t>附件3——配置清单</w:t>
      </w:r>
    </w:p>
    <w:p w14:paraId="3944DB05">
      <w:pPr>
        <w:spacing w:line="360" w:lineRule="auto"/>
        <w:ind w:left="566"/>
        <w:rPr>
          <w:rFonts w:hint="eastAsia" w:ascii="宋体" w:hAnsi="宋体"/>
          <w:sz w:val="24"/>
        </w:rPr>
      </w:pPr>
      <w:r>
        <w:rPr>
          <w:rFonts w:hint="eastAsia" w:ascii="宋体" w:hAnsi="宋体"/>
          <w:sz w:val="24"/>
        </w:rPr>
        <w:t>附件4——法定代表人授权(附被授权人身份证复印件)</w:t>
      </w:r>
    </w:p>
    <w:p w14:paraId="21932F07">
      <w:pPr>
        <w:spacing w:line="360" w:lineRule="auto"/>
        <w:ind w:left="566"/>
        <w:rPr>
          <w:rFonts w:hint="eastAsia" w:ascii="宋体" w:hAnsi="宋体"/>
          <w:sz w:val="24"/>
        </w:rPr>
      </w:pPr>
      <w:r>
        <w:rPr>
          <w:rFonts w:hint="eastAsia" w:ascii="宋体" w:hAnsi="宋体"/>
          <w:sz w:val="24"/>
        </w:rPr>
        <w:t>附件5——公司资质</w:t>
      </w:r>
    </w:p>
    <w:p w14:paraId="267FDBB6">
      <w:pPr>
        <w:spacing w:line="360" w:lineRule="auto"/>
        <w:ind w:left="566"/>
        <w:rPr>
          <w:rFonts w:hint="eastAsia" w:ascii="宋体" w:hAnsi="宋体"/>
          <w:sz w:val="24"/>
        </w:rPr>
      </w:pPr>
      <w:r>
        <w:rPr>
          <w:rFonts w:hint="eastAsia" w:ascii="宋体" w:hAnsi="宋体"/>
          <w:sz w:val="24"/>
        </w:rPr>
        <w:t>附件6——注册证及登记表</w:t>
      </w:r>
    </w:p>
    <w:p w14:paraId="121CA97D">
      <w:pPr>
        <w:spacing w:line="360" w:lineRule="auto"/>
        <w:ind w:left="566"/>
        <w:rPr>
          <w:rFonts w:hint="eastAsia" w:ascii="宋体" w:hAnsi="宋体"/>
          <w:sz w:val="24"/>
        </w:rPr>
      </w:pPr>
      <w:r>
        <w:rPr>
          <w:rFonts w:hint="eastAsia" w:ascii="宋体" w:hAnsi="宋体"/>
          <w:sz w:val="24"/>
        </w:rPr>
        <w:t>附件7——售后服务承诺书</w:t>
      </w:r>
    </w:p>
    <w:p w14:paraId="709EE81D">
      <w:pPr>
        <w:numPr>
          <w:ilvl w:val="1"/>
          <w:numId w:val="1"/>
        </w:numPr>
        <w:spacing w:line="360" w:lineRule="auto"/>
        <w:ind w:left="566" w:hanging="41"/>
        <w:rPr>
          <w:rFonts w:hint="eastAsia" w:ascii="宋体" w:hAnsi="宋体"/>
          <w:sz w:val="24"/>
        </w:rPr>
      </w:pPr>
      <w:r>
        <w:rPr>
          <w:rFonts w:hint="eastAsia" w:ascii="宋体" w:hAnsi="宋体"/>
          <w:sz w:val="24"/>
        </w:rPr>
        <w:t>投标文件（电子）</w:t>
      </w:r>
    </w:p>
    <w:p w14:paraId="1B3B9A39">
      <w:pPr>
        <w:numPr>
          <w:ilvl w:val="1"/>
          <w:numId w:val="1"/>
        </w:numPr>
        <w:spacing w:line="360" w:lineRule="auto"/>
        <w:ind w:left="566" w:hanging="41"/>
        <w:rPr>
          <w:rFonts w:hint="eastAsia" w:ascii="宋体" w:hAnsi="宋体"/>
          <w:sz w:val="24"/>
        </w:rPr>
      </w:pPr>
      <w:r>
        <w:rPr>
          <w:rFonts w:hint="eastAsia" w:ascii="宋体" w:hAnsi="宋体"/>
          <w:sz w:val="24"/>
        </w:rPr>
        <w:t>招标文件（电子）</w:t>
      </w:r>
    </w:p>
    <w:p w14:paraId="58982F95">
      <w:pPr>
        <w:numPr>
          <w:ilvl w:val="0"/>
          <w:numId w:val="1"/>
        </w:numPr>
        <w:spacing w:line="360" w:lineRule="auto"/>
        <w:ind w:left="566" w:hanging="41"/>
        <w:rPr>
          <w:rFonts w:hint="eastAsia" w:ascii="宋体" w:hAnsi="宋体"/>
          <w:sz w:val="24"/>
        </w:rPr>
      </w:pPr>
      <w:r>
        <w:rPr>
          <w:rFonts w:hint="eastAsia" w:ascii="宋体" w:hAnsi="宋体"/>
          <w:sz w:val="24"/>
        </w:rPr>
        <w:t>货物和数量</w:t>
      </w:r>
    </w:p>
    <w:p w14:paraId="61664DC7">
      <w:pPr>
        <w:widowControl/>
        <w:spacing w:line="360" w:lineRule="auto"/>
        <w:jc w:val="right"/>
        <w:rPr>
          <w:rFonts w:hint="eastAsia" w:ascii="宋体" w:hAnsi="宋体" w:cs="宋体"/>
          <w:b/>
          <w:color w:val="000000"/>
          <w:kern w:val="0"/>
          <w:sz w:val="24"/>
        </w:rPr>
      </w:pPr>
      <w:r>
        <w:rPr>
          <w:rFonts w:hint="eastAsia" w:ascii="宋体" w:hAnsi="宋体"/>
          <w:sz w:val="24"/>
        </w:rPr>
        <w:t>货币类型：人民币（元）</w:t>
      </w:r>
    </w:p>
    <w:tbl>
      <w:tblPr>
        <w:tblStyle w:val="6"/>
        <w:tblW w:w="6164" w:type="pct"/>
        <w:tblInd w:w="-9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1"/>
        <w:gridCol w:w="1053"/>
        <w:gridCol w:w="897"/>
        <w:gridCol w:w="962"/>
        <w:gridCol w:w="1950"/>
        <w:gridCol w:w="914"/>
        <w:gridCol w:w="1431"/>
        <w:gridCol w:w="1519"/>
        <w:gridCol w:w="1149"/>
      </w:tblGrid>
      <w:tr w14:paraId="4198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300" w:type="pct"/>
            <w:tcBorders>
              <w:top w:val="single" w:color="auto" w:sz="4" w:space="0"/>
              <w:left w:val="single" w:color="auto" w:sz="4" w:space="0"/>
              <w:bottom w:val="single" w:color="auto" w:sz="4" w:space="0"/>
              <w:right w:val="single" w:color="auto" w:sz="4" w:space="0"/>
            </w:tcBorders>
            <w:vAlign w:val="center"/>
          </w:tcPr>
          <w:p w14:paraId="2CC2C5A7">
            <w:pPr>
              <w:widowControl/>
              <w:spacing w:line="360" w:lineRule="auto"/>
              <w:jc w:val="center"/>
              <w:rPr>
                <w:rFonts w:hint="eastAsia" w:ascii="宋体" w:hAnsi="宋体" w:cs="宋体"/>
                <w:kern w:val="0"/>
                <w:sz w:val="24"/>
              </w:rPr>
            </w:pPr>
            <w:r>
              <w:rPr>
                <w:rFonts w:hint="eastAsia" w:ascii="宋体" w:hAnsi="宋体" w:cs="宋体"/>
                <w:kern w:val="0"/>
                <w:sz w:val="24"/>
              </w:rPr>
              <w:t>序号</w:t>
            </w:r>
          </w:p>
        </w:tc>
        <w:tc>
          <w:tcPr>
            <w:tcW w:w="501" w:type="pct"/>
            <w:tcBorders>
              <w:top w:val="single" w:color="auto" w:sz="4" w:space="0"/>
              <w:left w:val="single" w:color="auto" w:sz="4" w:space="0"/>
              <w:bottom w:val="single" w:color="auto" w:sz="4" w:space="0"/>
              <w:right w:val="single" w:color="auto" w:sz="4" w:space="0"/>
            </w:tcBorders>
            <w:vAlign w:val="center"/>
          </w:tcPr>
          <w:p w14:paraId="472562E5">
            <w:pPr>
              <w:widowControl/>
              <w:spacing w:line="360" w:lineRule="auto"/>
              <w:jc w:val="center"/>
              <w:rPr>
                <w:rFonts w:hint="eastAsia" w:ascii="宋体" w:hAnsi="宋体" w:cs="宋体"/>
                <w:kern w:val="0"/>
                <w:sz w:val="24"/>
              </w:rPr>
            </w:pPr>
            <w:r>
              <w:rPr>
                <w:rFonts w:hint="eastAsia" w:ascii="宋体" w:hAnsi="宋体" w:cs="宋体"/>
                <w:kern w:val="0"/>
                <w:sz w:val="24"/>
              </w:rPr>
              <w:t>产品名称</w:t>
            </w:r>
          </w:p>
        </w:tc>
        <w:tc>
          <w:tcPr>
            <w:tcW w:w="427" w:type="pct"/>
            <w:tcBorders>
              <w:top w:val="single" w:color="auto" w:sz="4" w:space="0"/>
              <w:left w:val="single" w:color="auto" w:sz="4" w:space="0"/>
              <w:bottom w:val="single" w:color="auto" w:sz="4" w:space="0"/>
              <w:right w:val="single" w:color="auto" w:sz="4" w:space="0"/>
            </w:tcBorders>
            <w:vAlign w:val="center"/>
          </w:tcPr>
          <w:p w14:paraId="004FD31F">
            <w:pPr>
              <w:widowControl/>
              <w:spacing w:line="360" w:lineRule="auto"/>
              <w:jc w:val="center"/>
              <w:rPr>
                <w:rFonts w:hint="eastAsia" w:ascii="宋体" w:hAnsi="宋体" w:cs="宋体"/>
                <w:kern w:val="0"/>
                <w:sz w:val="24"/>
              </w:rPr>
            </w:pPr>
            <w:r>
              <w:rPr>
                <w:rFonts w:hint="eastAsia" w:ascii="宋体" w:hAnsi="宋体" w:cs="宋体"/>
                <w:kern w:val="0"/>
                <w:sz w:val="24"/>
              </w:rPr>
              <w:t>品牌</w:t>
            </w:r>
          </w:p>
        </w:tc>
        <w:tc>
          <w:tcPr>
            <w:tcW w:w="458" w:type="pct"/>
            <w:tcBorders>
              <w:top w:val="single" w:color="auto" w:sz="4" w:space="0"/>
              <w:left w:val="single" w:color="auto" w:sz="4" w:space="0"/>
              <w:bottom w:val="single" w:color="auto" w:sz="4" w:space="0"/>
              <w:right w:val="single" w:color="auto" w:sz="4" w:space="0"/>
            </w:tcBorders>
            <w:vAlign w:val="center"/>
          </w:tcPr>
          <w:p w14:paraId="1162FD45">
            <w:pPr>
              <w:widowControl/>
              <w:spacing w:line="360" w:lineRule="auto"/>
              <w:jc w:val="center"/>
              <w:rPr>
                <w:rFonts w:hint="eastAsia" w:ascii="宋体" w:hAnsi="宋体" w:cs="宋体"/>
                <w:kern w:val="0"/>
                <w:sz w:val="24"/>
              </w:rPr>
            </w:pPr>
            <w:r>
              <w:rPr>
                <w:rFonts w:hint="eastAsia" w:ascii="宋体" w:hAnsi="宋体" w:cs="宋体"/>
                <w:kern w:val="0"/>
                <w:sz w:val="24"/>
              </w:rPr>
              <w:t>型号</w:t>
            </w:r>
          </w:p>
        </w:tc>
        <w:tc>
          <w:tcPr>
            <w:tcW w:w="928" w:type="pct"/>
            <w:tcBorders>
              <w:top w:val="single" w:color="auto" w:sz="4" w:space="0"/>
              <w:left w:val="single" w:color="auto" w:sz="4" w:space="0"/>
              <w:bottom w:val="single" w:color="auto" w:sz="4" w:space="0"/>
              <w:right w:val="single" w:color="auto" w:sz="4" w:space="0"/>
            </w:tcBorders>
            <w:vAlign w:val="center"/>
          </w:tcPr>
          <w:p w14:paraId="1D9AEB9B">
            <w:pPr>
              <w:widowControl/>
              <w:spacing w:line="360" w:lineRule="auto"/>
              <w:jc w:val="center"/>
              <w:rPr>
                <w:rFonts w:hint="eastAsia" w:ascii="宋体" w:hAnsi="宋体" w:cs="宋体"/>
                <w:kern w:val="0"/>
                <w:sz w:val="24"/>
              </w:rPr>
            </w:pPr>
            <w:r>
              <w:rPr>
                <w:rFonts w:hint="eastAsia" w:ascii="宋体" w:hAnsi="宋体" w:cs="宋体"/>
                <w:kern w:val="0"/>
                <w:sz w:val="24"/>
              </w:rPr>
              <w:t>生产厂商</w:t>
            </w:r>
          </w:p>
        </w:tc>
        <w:tc>
          <w:tcPr>
            <w:tcW w:w="435" w:type="pct"/>
            <w:tcBorders>
              <w:top w:val="single" w:color="auto" w:sz="4" w:space="0"/>
              <w:left w:val="single" w:color="auto" w:sz="4" w:space="0"/>
              <w:bottom w:val="single" w:color="auto" w:sz="4" w:space="0"/>
              <w:right w:val="single" w:color="auto" w:sz="4" w:space="0"/>
            </w:tcBorders>
            <w:vAlign w:val="center"/>
          </w:tcPr>
          <w:p w14:paraId="5B4D493E">
            <w:pPr>
              <w:widowControl/>
              <w:spacing w:line="360" w:lineRule="auto"/>
              <w:jc w:val="center"/>
              <w:rPr>
                <w:rFonts w:hint="eastAsia" w:ascii="宋体" w:hAnsi="宋体" w:cs="宋体"/>
                <w:kern w:val="0"/>
                <w:sz w:val="24"/>
              </w:rPr>
            </w:pPr>
            <w:r>
              <w:rPr>
                <w:rFonts w:hint="eastAsia" w:ascii="宋体" w:hAnsi="宋体" w:cs="宋体"/>
                <w:kern w:val="0"/>
                <w:sz w:val="24"/>
              </w:rPr>
              <w:t>数量（台）</w:t>
            </w:r>
          </w:p>
        </w:tc>
        <w:tc>
          <w:tcPr>
            <w:tcW w:w="681" w:type="pct"/>
            <w:tcBorders>
              <w:top w:val="single" w:color="auto" w:sz="4" w:space="0"/>
              <w:left w:val="single" w:color="auto" w:sz="4" w:space="0"/>
              <w:bottom w:val="single" w:color="auto" w:sz="4" w:space="0"/>
              <w:right w:val="single" w:color="auto" w:sz="4" w:space="0"/>
            </w:tcBorders>
            <w:vAlign w:val="center"/>
          </w:tcPr>
          <w:p w14:paraId="3EFFBAD2">
            <w:pPr>
              <w:widowControl/>
              <w:spacing w:line="360" w:lineRule="auto"/>
              <w:jc w:val="center"/>
              <w:rPr>
                <w:rFonts w:hint="eastAsia" w:ascii="宋体" w:hAnsi="宋体" w:cs="宋体"/>
                <w:kern w:val="0"/>
                <w:sz w:val="24"/>
              </w:rPr>
            </w:pPr>
            <w:r>
              <w:rPr>
                <w:rFonts w:hint="eastAsia" w:ascii="宋体" w:hAnsi="宋体" w:cs="宋体"/>
                <w:kern w:val="0"/>
                <w:sz w:val="24"/>
              </w:rPr>
              <w:t>单价</w:t>
            </w:r>
          </w:p>
        </w:tc>
        <w:tc>
          <w:tcPr>
            <w:tcW w:w="723" w:type="pct"/>
            <w:tcBorders>
              <w:top w:val="single" w:color="auto" w:sz="4" w:space="0"/>
              <w:left w:val="single" w:color="auto" w:sz="4" w:space="0"/>
              <w:bottom w:val="single" w:color="auto" w:sz="4" w:space="0"/>
              <w:right w:val="single" w:color="auto" w:sz="4" w:space="0"/>
            </w:tcBorders>
            <w:vAlign w:val="center"/>
          </w:tcPr>
          <w:p w14:paraId="73AEE852">
            <w:pPr>
              <w:widowControl/>
              <w:spacing w:line="360" w:lineRule="auto"/>
              <w:jc w:val="center"/>
              <w:rPr>
                <w:rFonts w:hint="eastAsia" w:ascii="宋体" w:hAnsi="宋体" w:cs="宋体"/>
                <w:kern w:val="0"/>
                <w:sz w:val="24"/>
              </w:rPr>
            </w:pPr>
            <w:r>
              <w:rPr>
                <w:rFonts w:hint="eastAsia" w:ascii="宋体" w:hAnsi="宋体" w:cs="宋体"/>
                <w:kern w:val="0"/>
                <w:sz w:val="24"/>
              </w:rPr>
              <w:t>总价</w:t>
            </w:r>
          </w:p>
        </w:tc>
        <w:tc>
          <w:tcPr>
            <w:tcW w:w="547" w:type="pct"/>
            <w:tcBorders>
              <w:top w:val="single" w:color="auto" w:sz="4" w:space="0"/>
              <w:left w:val="single" w:color="auto" w:sz="4" w:space="0"/>
              <w:bottom w:val="single" w:color="auto" w:sz="4" w:space="0"/>
              <w:right w:val="single" w:color="auto" w:sz="4" w:space="0"/>
            </w:tcBorders>
            <w:vAlign w:val="center"/>
          </w:tcPr>
          <w:p w14:paraId="1813906C">
            <w:pPr>
              <w:widowControl/>
              <w:spacing w:line="360" w:lineRule="auto"/>
              <w:jc w:val="center"/>
              <w:rPr>
                <w:rFonts w:hint="eastAsia" w:ascii="宋体" w:hAnsi="宋体" w:cs="宋体"/>
                <w:kern w:val="0"/>
                <w:sz w:val="24"/>
              </w:rPr>
            </w:pPr>
            <w:r>
              <w:rPr>
                <w:rFonts w:hint="eastAsia" w:ascii="宋体" w:hAnsi="宋体" w:cs="宋体"/>
                <w:kern w:val="0"/>
                <w:sz w:val="24"/>
              </w:rPr>
              <w:t>保修（年）</w:t>
            </w:r>
          </w:p>
        </w:tc>
      </w:tr>
      <w:tr w14:paraId="1BDA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300" w:type="pct"/>
            <w:tcBorders>
              <w:top w:val="single" w:color="auto" w:sz="4" w:space="0"/>
              <w:left w:val="single" w:color="auto" w:sz="4" w:space="0"/>
              <w:bottom w:val="single" w:color="auto" w:sz="4" w:space="0"/>
              <w:right w:val="single" w:color="auto" w:sz="4" w:space="0"/>
            </w:tcBorders>
            <w:noWrap/>
            <w:vAlign w:val="center"/>
          </w:tcPr>
          <w:p w14:paraId="06BBC358">
            <w:pPr>
              <w:widowControl/>
              <w:spacing w:line="360" w:lineRule="auto"/>
              <w:jc w:val="center"/>
              <w:rPr>
                <w:rFonts w:hint="eastAsia" w:ascii="宋体" w:hAnsi="宋体" w:cs="宋体"/>
                <w:kern w:val="0"/>
                <w:sz w:val="24"/>
              </w:rPr>
            </w:pPr>
            <w:r>
              <w:rPr>
                <w:rFonts w:hint="eastAsia" w:ascii="宋体" w:hAnsi="宋体" w:cs="宋体"/>
                <w:kern w:val="0"/>
                <w:sz w:val="24"/>
              </w:rPr>
              <w:t>1</w:t>
            </w:r>
          </w:p>
        </w:tc>
        <w:tc>
          <w:tcPr>
            <w:tcW w:w="501" w:type="pct"/>
            <w:tcBorders>
              <w:top w:val="single" w:color="auto" w:sz="4" w:space="0"/>
              <w:left w:val="single" w:color="auto" w:sz="4" w:space="0"/>
              <w:bottom w:val="single" w:color="auto" w:sz="4" w:space="0"/>
              <w:right w:val="single" w:color="auto" w:sz="4" w:space="0"/>
            </w:tcBorders>
            <w:noWrap/>
            <w:vAlign w:val="center"/>
          </w:tcPr>
          <w:p w14:paraId="6C41C515">
            <w:pPr>
              <w:widowControl/>
              <w:spacing w:line="360" w:lineRule="auto"/>
              <w:jc w:val="center"/>
              <w:rPr>
                <w:rFonts w:hint="eastAsia" w:ascii="宋体" w:hAnsi="宋体" w:cs="宋体"/>
                <w:kern w:val="0"/>
                <w:sz w:val="24"/>
              </w:rPr>
            </w:pPr>
            <w:r>
              <w:rPr>
                <w:rFonts w:hint="eastAsia" w:ascii="宋体" w:hAnsi="宋体" w:cs="宋体"/>
                <w:kern w:val="0"/>
                <w:szCs w:val="21"/>
              </w:rPr>
              <w:t>血液透析设备</w:t>
            </w:r>
          </w:p>
        </w:tc>
        <w:tc>
          <w:tcPr>
            <w:tcW w:w="427" w:type="pct"/>
            <w:tcBorders>
              <w:top w:val="single" w:color="auto" w:sz="4" w:space="0"/>
              <w:left w:val="single" w:color="auto" w:sz="4" w:space="0"/>
              <w:bottom w:val="single" w:color="auto" w:sz="4" w:space="0"/>
              <w:right w:val="single" w:color="auto" w:sz="4" w:space="0"/>
            </w:tcBorders>
            <w:noWrap/>
            <w:vAlign w:val="center"/>
          </w:tcPr>
          <w:p w14:paraId="3232A6B9">
            <w:pPr>
              <w:widowControl/>
              <w:spacing w:line="360" w:lineRule="auto"/>
              <w:jc w:val="center"/>
              <w:rPr>
                <w:rFonts w:hint="eastAsia" w:ascii="宋体" w:hAnsi="宋体" w:cs="宋体"/>
                <w:kern w:val="0"/>
                <w:sz w:val="24"/>
              </w:rPr>
            </w:pPr>
            <w:r>
              <w:rPr>
                <w:rFonts w:hint="eastAsia" w:ascii="宋体" w:hAnsi="宋体" w:cs="宋体"/>
                <w:kern w:val="0"/>
                <w:szCs w:val="21"/>
              </w:rPr>
              <w:t>威高日机装</w:t>
            </w:r>
          </w:p>
        </w:tc>
        <w:tc>
          <w:tcPr>
            <w:tcW w:w="458" w:type="pct"/>
            <w:tcBorders>
              <w:top w:val="single" w:color="auto" w:sz="4" w:space="0"/>
              <w:left w:val="single" w:color="auto" w:sz="4" w:space="0"/>
              <w:bottom w:val="single" w:color="auto" w:sz="4" w:space="0"/>
              <w:right w:val="single" w:color="auto" w:sz="4" w:space="0"/>
            </w:tcBorders>
            <w:noWrap/>
            <w:vAlign w:val="center"/>
          </w:tcPr>
          <w:p w14:paraId="5C32D6DB">
            <w:pPr>
              <w:widowControl/>
              <w:jc w:val="center"/>
              <w:rPr>
                <w:rFonts w:hint="eastAsia" w:ascii="宋体" w:hAnsi="宋体" w:cs="宋体"/>
                <w:kern w:val="0"/>
                <w:sz w:val="24"/>
              </w:rPr>
            </w:pPr>
            <w:r>
              <w:rPr>
                <w:rFonts w:hint="eastAsia" w:ascii="宋体" w:hAnsi="宋体" w:cs="宋体"/>
                <w:color w:val="333333"/>
                <w:szCs w:val="21"/>
                <w:shd w:val="clear" w:color="auto" w:fill="FFFFFF"/>
              </w:rPr>
              <w:t>DBB-EXA S</w:t>
            </w:r>
          </w:p>
        </w:tc>
        <w:tc>
          <w:tcPr>
            <w:tcW w:w="928" w:type="pct"/>
            <w:tcBorders>
              <w:top w:val="single" w:color="auto" w:sz="4" w:space="0"/>
              <w:left w:val="single" w:color="auto" w:sz="4" w:space="0"/>
              <w:bottom w:val="single" w:color="auto" w:sz="4" w:space="0"/>
              <w:right w:val="single" w:color="auto" w:sz="4" w:space="0"/>
            </w:tcBorders>
            <w:noWrap/>
            <w:vAlign w:val="center"/>
          </w:tcPr>
          <w:p w14:paraId="25696C9F">
            <w:pPr>
              <w:widowControl/>
              <w:spacing w:line="360" w:lineRule="auto"/>
              <w:jc w:val="center"/>
              <w:rPr>
                <w:rFonts w:hint="eastAsia" w:ascii="宋体" w:hAnsi="宋体" w:cs="宋体"/>
                <w:kern w:val="0"/>
                <w:sz w:val="24"/>
              </w:rPr>
            </w:pPr>
            <w:r>
              <w:rPr>
                <w:rFonts w:hint="eastAsia" w:ascii="宋体" w:hAnsi="宋体" w:cs="宋体"/>
                <w:kern w:val="0"/>
                <w:szCs w:val="21"/>
              </w:rPr>
              <w:t>威高日机装（威海）透析机器有限公司</w:t>
            </w:r>
          </w:p>
        </w:tc>
        <w:tc>
          <w:tcPr>
            <w:tcW w:w="435" w:type="pct"/>
            <w:tcBorders>
              <w:top w:val="single" w:color="auto" w:sz="4" w:space="0"/>
              <w:left w:val="single" w:color="auto" w:sz="4" w:space="0"/>
              <w:bottom w:val="single" w:color="auto" w:sz="4" w:space="0"/>
              <w:right w:val="single" w:color="auto" w:sz="4" w:space="0"/>
            </w:tcBorders>
            <w:noWrap/>
            <w:vAlign w:val="center"/>
          </w:tcPr>
          <w:p w14:paraId="5878DA2A">
            <w:pPr>
              <w:widowControl/>
              <w:spacing w:line="360" w:lineRule="auto"/>
              <w:jc w:val="center"/>
              <w:rPr>
                <w:rFonts w:hint="eastAsia" w:ascii="宋体" w:hAnsi="宋体" w:cs="宋体"/>
                <w:kern w:val="0"/>
                <w:sz w:val="24"/>
              </w:rPr>
            </w:pPr>
            <w:r>
              <w:rPr>
                <w:rFonts w:hint="eastAsia" w:ascii="宋体" w:hAnsi="宋体" w:cs="宋体"/>
                <w:kern w:val="0"/>
                <w:szCs w:val="21"/>
              </w:rPr>
              <w:t>3</w:t>
            </w:r>
          </w:p>
        </w:tc>
        <w:tc>
          <w:tcPr>
            <w:tcW w:w="681" w:type="pct"/>
            <w:tcBorders>
              <w:top w:val="single" w:color="auto" w:sz="4" w:space="0"/>
              <w:left w:val="single" w:color="auto" w:sz="4" w:space="0"/>
              <w:bottom w:val="single" w:color="auto" w:sz="4" w:space="0"/>
              <w:right w:val="single" w:color="auto" w:sz="4" w:space="0"/>
            </w:tcBorders>
            <w:noWrap/>
            <w:vAlign w:val="center"/>
          </w:tcPr>
          <w:p w14:paraId="2F566542">
            <w:pPr>
              <w:widowControl/>
              <w:spacing w:line="360" w:lineRule="auto"/>
              <w:jc w:val="center"/>
              <w:rPr>
                <w:rFonts w:hint="eastAsia" w:ascii="宋体" w:hAnsi="宋体" w:cs="宋体"/>
                <w:kern w:val="0"/>
                <w:sz w:val="24"/>
              </w:rPr>
            </w:pPr>
            <w:r>
              <w:rPr>
                <w:rFonts w:hint="eastAsia" w:ascii="宋体" w:hAnsi="宋体" w:cs="宋体"/>
                <w:szCs w:val="21"/>
              </w:rPr>
              <w:t>249，800.00</w:t>
            </w:r>
          </w:p>
        </w:tc>
        <w:tc>
          <w:tcPr>
            <w:tcW w:w="723" w:type="pct"/>
            <w:tcBorders>
              <w:top w:val="single" w:color="auto" w:sz="4" w:space="0"/>
              <w:left w:val="single" w:color="auto" w:sz="4" w:space="0"/>
              <w:bottom w:val="single" w:color="auto" w:sz="4" w:space="0"/>
              <w:right w:val="single" w:color="auto" w:sz="4" w:space="0"/>
            </w:tcBorders>
            <w:noWrap/>
            <w:vAlign w:val="center"/>
          </w:tcPr>
          <w:p w14:paraId="20777350">
            <w:pPr>
              <w:widowControl/>
              <w:spacing w:line="360" w:lineRule="auto"/>
              <w:jc w:val="center"/>
              <w:rPr>
                <w:rFonts w:hint="eastAsia" w:ascii="宋体" w:hAnsi="宋体" w:cs="宋体"/>
                <w:kern w:val="0"/>
                <w:sz w:val="24"/>
              </w:rPr>
            </w:pPr>
            <w:r>
              <w:rPr>
                <w:rFonts w:hint="eastAsia" w:ascii="宋体" w:hAnsi="宋体" w:cs="宋体"/>
                <w:szCs w:val="21"/>
              </w:rPr>
              <w:t>749，400.00</w:t>
            </w:r>
          </w:p>
        </w:tc>
        <w:tc>
          <w:tcPr>
            <w:tcW w:w="547" w:type="pct"/>
            <w:tcBorders>
              <w:top w:val="single" w:color="auto" w:sz="4" w:space="0"/>
              <w:left w:val="single" w:color="auto" w:sz="4" w:space="0"/>
              <w:bottom w:val="single" w:color="auto" w:sz="4" w:space="0"/>
              <w:right w:val="single" w:color="auto" w:sz="4" w:space="0"/>
            </w:tcBorders>
            <w:noWrap/>
            <w:vAlign w:val="center"/>
          </w:tcPr>
          <w:p w14:paraId="218F91D7">
            <w:pPr>
              <w:widowControl/>
              <w:spacing w:line="360" w:lineRule="auto"/>
              <w:jc w:val="center"/>
              <w:rPr>
                <w:rFonts w:hint="eastAsia" w:ascii="宋体" w:hAnsi="宋体" w:cs="宋体"/>
                <w:kern w:val="0"/>
                <w:sz w:val="24"/>
              </w:rPr>
            </w:pPr>
            <w:r>
              <w:rPr>
                <w:rFonts w:hint="eastAsia" w:ascii="宋体" w:hAnsi="宋体" w:cs="宋体"/>
                <w:kern w:val="0"/>
                <w:szCs w:val="21"/>
              </w:rPr>
              <w:t>3年</w:t>
            </w:r>
          </w:p>
        </w:tc>
      </w:tr>
      <w:tr w14:paraId="3DC2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300" w:type="pct"/>
            <w:tcBorders>
              <w:top w:val="single" w:color="auto" w:sz="4" w:space="0"/>
              <w:left w:val="single" w:color="auto" w:sz="4" w:space="0"/>
              <w:bottom w:val="single" w:color="auto" w:sz="4" w:space="0"/>
              <w:right w:val="single" w:color="auto" w:sz="4" w:space="0"/>
            </w:tcBorders>
            <w:noWrap/>
            <w:vAlign w:val="center"/>
          </w:tcPr>
          <w:p w14:paraId="2F3B79D9">
            <w:pPr>
              <w:widowControl/>
              <w:spacing w:line="360" w:lineRule="auto"/>
              <w:jc w:val="center"/>
              <w:rPr>
                <w:rFonts w:hint="eastAsia" w:ascii="宋体" w:hAnsi="宋体" w:cs="宋体"/>
                <w:kern w:val="0"/>
                <w:sz w:val="24"/>
              </w:rPr>
            </w:pPr>
            <w:r>
              <w:rPr>
                <w:rFonts w:hint="eastAsia" w:ascii="宋体" w:hAnsi="宋体" w:cs="宋体"/>
                <w:kern w:val="0"/>
                <w:sz w:val="24"/>
              </w:rPr>
              <w:t>2</w:t>
            </w:r>
          </w:p>
        </w:tc>
        <w:tc>
          <w:tcPr>
            <w:tcW w:w="501" w:type="pct"/>
            <w:tcBorders>
              <w:top w:val="single" w:color="auto" w:sz="4" w:space="0"/>
              <w:left w:val="single" w:color="auto" w:sz="4" w:space="0"/>
              <w:bottom w:val="single" w:color="auto" w:sz="4" w:space="0"/>
              <w:right w:val="single" w:color="auto" w:sz="4" w:space="0"/>
            </w:tcBorders>
            <w:noWrap/>
            <w:vAlign w:val="center"/>
          </w:tcPr>
          <w:p w14:paraId="17BE5878">
            <w:pPr>
              <w:widowControl/>
              <w:spacing w:line="360" w:lineRule="auto"/>
              <w:jc w:val="center"/>
              <w:rPr>
                <w:rFonts w:hint="eastAsia" w:ascii="宋体" w:hAnsi="宋体" w:cs="宋体"/>
                <w:kern w:val="0"/>
                <w:szCs w:val="21"/>
              </w:rPr>
            </w:pPr>
            <w:r>
              <w:rPr>
                <w:rFonts w:hint="eastAsia" w:ascii="宋体" w:hAnsi="宋体" w:cs="宋体"/>
                <w:kern w:val="0"/>
                <w:szCs w:val="21"/>
              </w:rPr>
              <w:t>血液透析设备</w:t>
            </w:r>
          </w:p>
        </w:tc>
        <w:tc>
          <w:tcPr>
            <w:tcW w:w="427" w:type="pct"/>
            <w:tcBorders>
              <w:top w:val="single" w:color="auto" w:sz="4" w:space="0"/>
              <w:left w:val="single" w:color="auto" w:sz="4" w:space="0"/>
              <w:bottom w:val="single" w:color="auto" w:sz="4" w:space="0"/>
              <w:right w:val="single" w:color="auto" w:sz="4" w:space="0"/>
            </w:tcBorders>
            <w:noWrap/>
            <w:vAlign w:val="center"/>
          </w:tcPr>
          <w:p w14:paraId="7C54B6E0">
            <w:pPr>
              <w:widowControl/>
              <w:spacing w:line="360" w:lineRule="auto"/>
              <w:jc w:val="center"/>
              <w:rPr>
                <w:rFonts w:hint="eastAsia" w:ascii="宋体" w:hAnsi="宋体" w:cs="宋体"/>
                <w:kern w:val="0"/>
                <w:szCs w:val="21"/>
              </w:rPr>
            </w:pPr>
            <w:r>
              <w:rPr>
                <w:rFonts w:hint="eastAsia" w:ascii="宋体" w:hAnsi="宋体" w:cs="宋体"/>
                <w:kern w:val="0"/>
                <w:szCs w:val="21"/>
              </w:rPr>
              <w:t>威高日机装</w:t>
            </w:r>
          </w:p>
        </w:tc>
        <w:tc>
          <w:tcPr>
            <w:tcW w:w="458" w:type="pct"/>
            <w:tcBorders>
              <w:top w:val="single" w:color="auto" w:sz="4" w:space="0"/>
              <w:left w:val="single" w:color="auto" w:sz="4" w:space="0"/>
              <w:bottom w:val="single" w:color="auto" w:sz="4" w:space="0"/>
              <w:right w:val="single" w:color="auto" w:sz="4" w:space="0"/>
            </w:tcBorders>
            <w:noWrap/>
            <w:vAlign w:val="center"/>
          </w:tcPr>
          <w:p w14:paraId="58F8B3EC">
            <w:pPr>
              <w:widowControl/>
              <w:spacing w:line="360" w:lineRule="auto"/>
              <w:jc w:val="center"/>
              <w:rPr>
                <w:rFonts w:hint="eastAsia" w:ascii="宋体" w:hAnsi="宋体" w:cs="宋体"/>
                <w:color w:val="333333"/>
                <w:szCs w:val="21"/>
                <w:shd w:val="clear" w:color="auto" w:fill="FFFFFF"/>
              </w:rPr>
            </w:pPr>
            <w:r>
              <w:rPr>
                <w:rFonts w:hint="eastAsia" w:ascii="宋体" w:hAnsi="宋体" w:cs="宋体"/>
                <w:color w:val="333333"/>
                <w:szCs w:val="21"/>
                <w:shd w:val="clear" w:color="auto" w:fill="FFFFFF"/>
              </w:rPr>
              <w:t>DBB-EXA ESS A</w:t>
            </w:r>
          </w:p>
        </w:tc>
        <w:tc>
          <w:tcPr>
            <w:tcW w:w="928" w:type="pct"/>
            <w:tcBorders>
              <w:top w:val="single" w:color="auto" w:sz="4" w:space="0"/>
              <w:left w:val="single" w:color="auto" w:sz="4" w:space="0"/>
              <w:bottom w:val="single" w:color="auto" w:sz="4" w:space="0"/>
              <w:right w:val="single" w:color="auto" w:sz="4" w:space="0"/>
            </w:tcBorders>
            <w:noWrap/>
            <w:vAlign w:val="center"/>
          </w:tcPr>
          <w:p w14:paraId="581B4B03">
            <w:pPr>
              <w:widowControl/>
              <w:spacing w:line="360" w:lineRule="auto"/>
              <w:jc w:val="center"/>
              <w:rPr>
                <w:rFonts w:hint="eastAsia" w:ascii="宋体" w:hAnsi="宋体" w:cs="宋体"/>
                <w:kern w:val="0"/>
                <w:szCs w:val="21"/>
              </w:rPr>
            </w:pPr>
            <w:r>
              <w:rPr>
                <w:rFonts w:hint="eastAsia" w:ascii="宋体" w:hAnsi="宋体" w:cs="宋体"/>
                <w:kern w:val="0"/>
                <w:szCs w:val="21"/>
              </w:rPr>
              <w:t>威高日机装（威海）透析机器有限公司</w:t>
            </w:r>
          </w:p>
        </w:tc>
        <w:tc>
          <w:tcPr>
            <w:tcW w:w="435" w:type="pct"/>
            <w:tcBorders>
              <w:top w:val="single" w:color="auto" w:sz="4" w:space="0"/>
              <w:left w:val="single" w:color="auto" w:sz="4" w:space="0"/>
              <w:bottom w:val="single" w:color="auto" w:sz="4" w:space="0"/>
              <w:right w:val="single" w:color="auto" w:sz="4" w:space="0"/>
            </w:tcBorders>
            <w:noWrap/>
            <w:vAlign w:val="center"/>
          </w:tcPr>
          <w:p w14:paraId="2A19899C">
            <w:pPr>
              <w:widowControl/>
              <w:spacing w:line="360" w:lineRule="auto"/>
              <w:jc w:val="center"/>
              <w:rPr>
                <w:rFonts w:hint="eastAsia" w:ascii="宋体" w:hAnsi="宋体" w:cs="宋体"/>
                <w:kern w:val="0"/>
                <w:szCs w:val="21"/>
              </w:rPr>
            </w:pPr>
            <w:r>
              <w:rPr>
                <w:rFonts w:hint="eastAsia" w:ascii="宋体" w:hAnsi="宋体" w:cs="宋体"/>
                <w:kern w:val="0"/>
                <w:szCs w:val="21"/>
              </w:rPr>
              <w:t>12</w:t>
            </w:r>
          </w:p>
        </w:tc>
        <w:tc>
          <w:tcPr>
            <w:tcW w:w="681" w:type="pct"/>
            <w:tcBorders>
              <w:top w:val="single" w:color="auto" w:sz="4" w:space="0"/>
              <w:left w:val="single" w:color="auto" w:sz="4" w:space="0"/>
              <w:bottom w:val="single" w:color="auto" w:sz="4" w:space="0"/>
              <w:right w:val="single" w:color="auto" w:sz="4" w:space="0"/>
            </w:tcBorders>
            <w:noWrap/>
            <w:vAlign w:val="center"/>
          </w:tcPr>
          <w:p w14:paraId="30C0DF25">
            <w:pPr>
              <w:widowControl/>
              <w:spacing w:line="360" w:lineRule="auto"/>
              <w:jc w:val="center"/>
              <w:rPr>
                <w:rFonts w:hint="eastAsia" w:ascii="宋体" w:hAnsi="宋体" w:cs="宋体"/>
                <w:szCs w:val="21"/>
              </w:rPr>
            </w:pPr>
            <w:r>
              <w:rPr>
                <w:rFonts w:hint="eastAsia" w:ascii="宋体" w:hAnsi="宋体" w:cs="宋体"/>
                <w:szCs w:val="21"/>
              </w:rPr>
              <w:t>149，800</w:t>
            </w:r>
            <w:r>
              <w:rPr>
                <w:rFonts w:hint="eastAsia" w:ascii="宋体" w:hAnsi="宋体" w:cs="宋体"/>
                <w:kern w:val="0"/>
                <w:szCs w:val="21"/>
              </w:rPr>
              <w:t>.00</w:t>
            </w:r>
          </w:p>
        </w:tc>
        <w:tc>
          <w:tcPr>
            <w:tcW w:w="723" w:type="pct"/>
            <w:tcBorders>
              <w:top w:val="single" w:color="auto" w:sz="4" w:space="0"/>
              <w:left w:val="single" w:color="auto" w:sz="4" w:space="0"/>
              <w:bottom w:val="single" w:color="auto" w:sz="4" w:space="0"/>
              <w:right w:val="single" w:color="auto" w:sz="4" w:space="0"/>
            </w:tcBorders>
            <w:noWrap/>
            <w:vAlign w:val="center"/>
          </w:tcPr>
          <w:p w14:paraId="723D4E21">
            <w:pPr>
              <w:widowControl/>
              <w:spacing w:line="360" w:lineRule="auto"/>
              <w:jc w:val="center"/>
              <w:rPr>
                <w:rFonts w:hint="eastAsia" w:ascii="宋体" w:hAnsi="宋体" w:cs="宋体"/>
                <w:szCs w:val="21"/>
              </w:rPr>
            </w:pPr>
            <w:r>
              <w:rPr>
                <w:rFonts w:hint="eastAsia" w:ascii="宋体" w:hAnsi="宋体" w:cs="宋体"/>
                <w:szCs w:val="21"/>
              </w:rPr>
              <w:t>1,797，600.00</w:t>
            </w:r>
          </w:p>
        </w:tc>
        <w:tc>
          <w:tcPr>
            <w:tcW w:w="547" w:type="pct"/>
            <w:tcBorders>
              <w:top w:val="single" w:color="auto" w:sz="4" w:space="0"/>
              <w:left w:val="single" w:color="auto" w:sz="4" w:space="0"/>
              <w:bottom w:val="single" w:color="auto" w:sz="4" w:space="0"/>
              <w:right w:val="single" w:color="auto" w:sz="4" w:space="0"/>
            </w:tcBorders>
            <w:noWrap/>
            <w:vAlign w:val="center"/>
          </w:tcPr>
          <w:p w14:paraId="34EB30F7">
            <w:pPr>
              <w:widowControl/>
              <w:spacing w:line="360" w:lineRule="auto"/>
              <w:jc w:val="center"/>
              <w:rPr>
                <w:rFonts w:hint="eastAsia" w:ascii="宋体" w:hAnsi="宋体" w:cs="宋体"/>
                <w:kern w:val="0"/>
                <w:szCs w:val="21"/>
              </w:rPr>
            </w:pPr>
            <w:r>
              <w:rPr>
                <w:rFonts w:hint="eastAsia" w:ascii="宋体" w:hAnsi="宋体" w:cs="宋体"/>
                <w:kern w:val="0"/>
                <w:szCs w:val="21"/>
              </w:rPr>
              <w:t>3年</w:t>
            </w:r>
          </w:p>
        </w:tc>
      </w:tr>
      <w:tr w14:paraId="319D7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801" w:type="pct"/>
            <w:gridSpan w:val="2"/>
            <w:tcBorders>
              <w:top w:val="single" w:color="auto" w:sz="4" w:space="0"/>
              <w:left w:val="single" w:color="auto" w:sz="4" w:space="0"/>
              <w:bottom w:val="single" w:color="auto" w:sz="4" w:space="0"/>
              <w:right w:val="single" w:color="auto" w:sz="4" w:space="0"/>
            </w:tcBorders>
            <w:noWrap/>
            <w:vAlign w:val="center"/>
          </w:tcPr>
          <w:p w14:paraId="5F2A0E1C">
            <w:pPr>
              <w:widowControl/>
              <w:spacing w:line="360" w:lineRule="auto"/>
              <w:jc w:val="center"/>
              <w:rPr>
                <w:rFonts w:hint="eastAsia" w:ascii="宋体" w:hAnsi="宋体" w:cs="宋体"/>
                <w:b/>
                <w:bCs/>
                <w:kern w:val="0"/>
                <w:sz w:val="24"/>
              </w:rPr>
            </w:pPr>
            <w:r>
              <w:rPr>
                <w:rFonts w:hint="eastAsia" w:ascii="宋体" w:hAnsi="宋体" w:cs="宋体"/>
                <w:b/>
                <w:bCs/>
                <w:kern w:val="0"/>
                <w:sz w:val="24"/>
              </w:rPr>
              <w:t>合计（大写）</w:t>
            </w:r>
          </w:p>
        </w:tc>
        <w:tc>
          <w:tcPr>
            <w:tcW w:w="4199" w:type="pct"/>
            <w:gridSpan w:val="7"/>
            <w:tcBorders>
              <w:top w:val="single" w:color="auto" w:sz="4" w:space="0"/>
              <w:left w:val="single" w:color="auto" w:sz="4" w:space="0"/>
              <w:bottom w:val="single" w:color="auto" w:sz="4" w:space="0"/>
              <w:right w:val="single" w:color="auto" w:sz="4" w:space="0"/>
            </w:tcBorders>
            <w:noWrap/>
            <w:vAlign w:val="center"/>
          </w:tcPr>
          <w:p w14:paraId="6B6C3797">
            <w:pPr>
              <w:widowControl/>
              <w:spacing w:line="360" w:lineRule="auto"/>
              <w:jc w:val="center"/>
              <w:rPr>
                <w:rFonts w:hint="eastAsia" w:ascii="宋体" w:hAnsi="宋体" w:cs="宋体"/>
                <w:kern w:val="0"/>
                <w:sz w:val="24"/>
              </w:rPr>
            </w:pPr>
            <w:r>
              <w:rPr>
                <w:rFonts w:hint="eastAsia" w:ascii="宋体" w:hAnsi="宋体" w:cs="宋体"/>
                <w:sz w:val="24"/>
              </w:rPr>
              <w:t>人民币贰佰伍拾肆万柒仟元整</w:t>
            </w:r>
          </w:p>
        </w:tc>
      </w:tr>
      <w:tr w14:paraId="2505C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5000" w:type="pct"/>
            <w:gridSpan w:val="9"/>
            <w:tcBorders>
              <w:top w:val="single" w:color="auto" w:sz="4" w:space="0"/>
              <w:left w:val="single" w:color="auto" w:sz="4" w:space="0"/>
              <w:bottom w:val="single" w:color="auto" w:sz="4" w:space="0"/>
              <w:right w:val="single" w:color="auto" w:sz="4" w:space="0"/>
            </w:tcBorders>
            <w:noWrap/>
            <w:vAlign w:val="center"/>
          </w:tcPr>
          <w:p w14:paraId="75F076AD">
            <w:pPr>
              <w:widowControl/>
              <w:spacing w:line="360" w:lineRule="auto"/>
              <w:jc w:val="center"/>
              <w:rPr>
                <w:rFonts w:hint="eastAsia" w:ascii="宋体" w:hAnsi="宋体" w:cs="宋体"/>
                <w:sz w:val="24"/>
              </w:rPr>
            </w:pPr>
            <w:ins w:id="0" w:author="qian yang" w:date="2025-12-28T21:00:00Z">
              <w:r>
                <w:rPr>
                  <w:rFonts w:hint="eastAsia" w:ascii="宋体" w:hAnsi="宋体"/>
                </w:rPr>
                <w:t>以上价格系含税价，乙方向甲方供货过程中发生的相关费用，包括运输费、装卸费、仓储或产地占用费及与“合同货物”有关的费用均有乙方承担。</w:t>
              </w:r>
            </w:ins>
          </w:p>
        </w:tc>
      </w:tr>
    </w:tbl>
    <w:p w14:paraId="014B98E5">
      <w:pPr>
        <w:numPr>
          <w:ilvl w:val="0"/>
          <w:numId w:val="1"/>
        </w:numPr>
        <w:spacing w:line="360" w:lineRule="auto"/>
        <w:ind w:left="566" w:hanging="41"/>
        <w:rPr>
          <w:rFonts w:hint="eastAsia" w:ascii="宋体" w:hAnsi="宋体"/>
          <w:sz w:val="24"/>
        </w:rPr>
      </w:pPr>
      <w:r>
        <w:rPr>
          <w:rFonts w:hint="eastAsia" w:ascii="宋体" w:hAnsi="宋体"/>
          <w:sz w:val="24"/>
        </w:rPr>
        <w:t>考虑到甲方将按照本合同向乙方支付，乙方在此保证全部按照合同的规定向甲方提供货物和服务，并修补缺陷。</w:t>
      </w:r>
    </w:p>
    <w:p w14:paraId="4C3537CC">
      <w:pPr>
        <w:numPr>
          <w:ilvl w:val="0"/>
          <w:numId w:val="1"/>
        </w:numPr>
        <w:spacing w:line="360" w:lineRule="auto"/>
        <w:ind w:left="566" w:hanging="41"/>
        <w:rPr>
          <w:rFonts w:hint="eastAsia" w:ascii="宋体" w:hAnsi="宋体"/>
          <w:sz w:val="24"/>
        </w:rPr>
      </w:pPr>
      <w:r>
        <w:rPr>
          <w:rFonts w:hint="eastAsia" w:ascii="宋体" w:hAnsi="宋体"/>
          <w:sz w:val="24"/>
        </w:rPr>
        <w:t>考虑到乙方提供的货物和服务并修补缺陷，甲方在此保证按照合同规定的时间和方式向乙方支付合同价或其他按合同规定应支付的金额。</w:t>
      </w:r>
    </w:p>
    <w:p w14:paraId="30AA6634">
      <w:pPr>
        <w:numPr>
          <w:ilvl w:val="0"/>
          <w:numId w:val="1"/>
        </w:numPr>
        <w:spacing w:line="360" w:lineRule="auto"/>
        <w:ind w:left="561" w:hanging="36"/>
        <w:rPr>
          <w:rFonts w:hint="eastAsia" w:ascii="宋体" w:hAnsi="宋体"/>
          <w:sz w:val="24"/>
        </w:rPr>
      </w:pPr>
      <w:r>
        <w:rPr>
          <w:rFonts w:hint="eastAsia" w:ascii="宋体" w:hAnsi="宋体"/>
          <w:sz w:val="24"/>
        </w:rPr>
        <w:t>付款方式：本合同采取一次性付款方式。</w:t>
      </w:r>
    </w:p>
    <w:p w14:paraId="141F96B6">
      <w:pPr>
        <w:numPr>
          <w:ilvl w:val="1"/>
          <w:numId w:val="1"/>
        </w:numPr>
        <w:spacing w:line="360" w:lineRule="auto"/>
        <w:ind w:left="561" w:hanging="36"/>
        <w:rPr>
          <w:rFonts w:hint="eastAsia" w:ascii="宋体" w:hAnsi="宋体"/>
          <w:sz w:val="24"/>
        </w:rPr>
      </w:pPr>
      <w:r>
        <w:rPr>
          <w:rFonts w:hint="eastAsia" w:ascii="宋体" w:hAnsi="宋体"/>
          <w:sz w:val="24"/>
        </w:rPr>
        <w:t>本合同签订后且财政资金到位后，货物安装调试完毕并验收合格，甲方向乙方支付100%货款。即（小写：</w:t>
      </w:r>
      <w:r>
        <w:rPr>
          <w:rFonts w:hint="eastAsia" w:ascii="宋体" w:hAnsi="宋体" w:cs="宋体"/>
          <w:sz w:val="24"/>
        </w:rPr>
        <w:t>2,547,000.00</w:t>
      </w:r>
      <w:r>
        <w:rPr>
          <w:rFonts w:hint="eastAsia" w:ascii="宋体" w:hAnsi="宋体"/>
          <w:sz w:val="24"/>
        </w:rPr>
        <w:t>元，大写：</w:t>
      </w:r>
      <w:r>
        <w:rPr>
          <w:rFonts w:hint="eastAsia" w:ascii="宋体" w:hAnsi="宋体" w:cs="宋体"/>
          <w:sz w:val="24"/>
        </w:rPr>
        <w:t>人民币贰佰伍拾肆万柒仟元整</w:t>
      </w:r>
      <w:r>
        <w:rPr>
          <w:rFonts w:hint="eastAsia" w:ascii="宋体" w:hAnsi="宋体"/>
          <w:sz w:val="24"/>
        </w:rPr>
        <w:t>）。</w:t>
      </w:r>
    </w:p>
    <w:p w14:paraId="1AE571FA">
      <w:pPr>
        <w:numPr>
          <w:ilvl w:val="1"/>
          <w:numId w:val="1"/>
        </w:numPr>
        <w:spacing w:line="360" w:lineRule="auto"/>
        <w:ind w:left="1245"/>
        <w:rPr>
          <w:rFonts w:hint="eastAsia" w:ascii="宋体" w:hAnsi="宋体"/>
          <w:sz w:val="24"/>
        </w:rPr>
      </w:pPr>
      <w:r>
        <w:rPr>
          <w:rFonts w:hint="eastAsia" w:ascii="宋体" w:hAnsi="宋体"/>
          <w:sz w:val="24"/>
        </w:rPr>
        <w:t>乙方收到全部货款前应向甲方提供总金额的3%</w:t>
      </w:r>
      <w:ins w:id="1" w:author="qian yang" w:date="2025-12-28T21:00:00Z">
        <w:r>
          <w:rPr>
            <w:rFonts w:hint="eastAsia" w:ascii="宋体" w:hAnsi="宋体"/>
            <w:sz w:val="24"/>
          </w:rPr>
          <w:t>、有效期至保修期及质保期</w:t>
        </w:r>
      </w:ins>
      <w:r>
        <w:rPr>
          <w:rFonts w:hint="eastAsia" w:ascii="宋体" w:hAnsi="宋体"/>
          <w:sz w:val="24"/>
        </w:rPr>
        <w:t>的履约保函原件。</w:t>
      </w:r>
      <w:ins w:id="2" w:author="qian yang" w:date="2025-12-28T21:00:00Z">
        <w:r>
          <w:rPr>
            <w:rFonts w:hint="eastAsia" w:ascii="宋体" w:hAnsi="宋体"/>
            <w:sz w:val="24"/>
          </w:rPr>
          <w:t>有效期满</w:t>
        </w:r>
      </w:ins>
      <w:del w:id="3" w:author="qian yang" w:date="2025-12-28T21:00:00Z">
        <w:r>
          <w:rPr>
            <w:rFonts w:hint="eastAsia" w:ascii="宋体" w:hAnsi="宋体"/>
            <w:sz w:val="24"/>
          </w:rPr>
          <w:delText>交付</w:delText>
        </w:r>
      </w:del>
      <w:r>
        <w:rPr>
          <w:rFonts w:hint="eastAsia" w:ascii="宋体" w:hAnsi="宋体"/>
          <w:sz w:val="24"/>
        </w:rPr>
        <w:t>满1年后</w:t>
      </w:r>
      <w:ins w:id="4" w:author="qian yang" w:date="2025-12-28T21:00:00Z">
        <w:r>
          <w:rPr>
            <w:rFonts w:hint="eastAsia" w:ascii="宋体" w:hAnsi="宋体"/>
            <w:sz w:val="24"/>
          </w:rPr>
          <w:t>经乙方申请，</w:t>
        </w:r>
      </w:ins>
      <w:r>
        <w:rPr>
          <w:rFonts w:hint="eastAsia" w:ascii="宋体" w:hAnsi="宋体"/>
          <w:sz w:val="24"/>
        </w:rPr>
        <w:t>甲方返还乙方履约保函。</w:t>
      </w:r>
    </w:p>
    <w:p w14:paraId="6F523D96">
      <w:pPr>
        <w:numPr>
          <w:ilvl w:val="1"/>
          <w:numId w:val="1"/>
        </w:numPr>
        <w:spacing w:line="360" w:lineRule="auto"/>
        <w:ind w:left="1245"/>
        <w:rPr>
          <w:rFonts w:hint="eastAsia" w:ascii="宋体" w:hAnsi="宋体"/>
          <w:sz w:val="24"/>
        </w:rPr>
      </w:pPr>
      <w:r>
        <w:rPr>
          <w:rFonts w:hint="eastAsia" w:ascii="宋体" w:hAnsi="宋体"/>
          <w:sz w:val="24"/>
        </w:rPr>
        <w:t>甲方付款前，乙方应当向甲方开具符合</w:t>
      </w:r>
      <w:ins w:id="5" w:author="qian yang" w:date="2025-12-28T21:00:00Z">
        <w:r>
          <w:rPr>
            <w:rFonts w:hint="eastAsia" w:ascii="宋体" w:hAnsi="宋体"/>
            <w:sz w:val="24"/>
          </w:rPr>
          <w:t>甲方要求</w:t>
        </w:r>
      </w:ins>
      <w:r>
        <w:rPr>
          <w:rFonts w:hint="eastAsia" w:ascii="宋体" w:hAnsi="宋体"/>
          <w:sz w:val="24"/>
        </w:rPr>
        <w:t>条件的发票，否则甲方有权延迟或拒绝付款且不承担违约责任。</w:t>
      </w:r>
    </w:p>
    <w:p w14:paraId="4111A56B">
      <w:pPr>
        <w:numPr>
          <w:ilvl w:val="0"/>
          <w:numId w:val="1"/>
        </w:numPr>
        <w:spacing w:line="360" w:lineRule="auto"/>
        <w:ind w:left="566" w:hanging="41"/>
        <w:rPr>
          <w:rFonts w:hint="eastAsia" w:ascii="宋体" w:hAnsi="宋体"/>
          <w:sz w:val="24"/>
        </w:rPr>
      </w:pPr>
      <w:r>
        <w:rPr>
          <w:rFonts w:hint="eastAsia" w:ascii="宋体" w:hAnsi="宋体"/>
          <w:sz w:val="24"/>
        </w:rPr>
        <w:t>乙方知晓并同意，甲方项目资金来源为财政资金，因财政预算批复异常或财政拨款未到位、国库支付限制造成的付款延误，甲方不承担任何违约责任，且甲乙双方应积极就项目费用及支付事宜另行协商。</w:t>
      </w:r>
    </w:p>
    <w:p w14:paraId="5D03D283">
      <w:pPr>
        <w:numPr>
          <w:ilvl w:val="0"/>
          <w:numId w:val="1"/>
        </w:numPr>
        <w:spacing w:line="360" w:lineRule="auto"/>
        <w:ind w:left="566" w:hanging="41"/>
        <w:rPr>
          <w:rFonts w:hint="eastAsia" w:ascii="宋体" w:hAnsi="宋体"/>
          <w:sz w:val="24"/>
        </w:rPr>
      </w:pPr>
      <w:r>
        <w:rPr>
          <w:rFonts w:hint="eastAsia" w:ascii="宋体" w:hAnsi="宋体"/>
          <w:sz w:val="24"/>
        </w:rPr>
        <w:t>履约保证金:</w:t>
      </w:r>
      <w:r>
        <w:rPr>
          <w:rFonts w:hint="eastAsia" w:ascii="宋体" w:hAnsi="宋体"/>
          <w:sz w:val="24"/>
          <w:u w:val="single"/>
        </w:rPr>
        <w:t xml:space="preserve"> </w:t>
      </w:r>
      <w:r>
        <w:rPr>
          <w:rFonts w:hint="eastAsia" w:ascii="宋体" w:hAnsi="宋体" w:cs="宋体"/>
          <w:sz w:val="24"/>
          <w:u w:val="single"/>
        </w:rPr>
        <w:t>76,410.</w:t>
      </w:r>
      <w:r>
        <w:rPr>
          <w:rFonts w:hint="eastAsia" w:ascii="宋体" w:hAnsi="宋体" w:cs="宋体"/>
          <w:bCs/>
          <w:sz w:val="24"/>
          <w:u w:val="single"/>
        </w:rPr>
        <w:t>00</w:t>
      </w:r>
      <w:r>
        <w:rPr>
          <w:rFonts w:hint="eastAsia" w:ascii="宋体" w:hAnsi="宋体" w:cs="宋体"/>
          <w:sz w:val="24"/>
          <w:u w:val="single"/>
        </w:rPr>
        <w:t>元</w:t>
      </w:r>
      <w:r>
        <w:rPr>
          <w:rFonts w:hint="eastAsia" w:ascii="宋体" w:hAnsi="宋体"/>
          <w:sz w:val="24"/>
          <w:u w:val="single"/>
        </w:rPr>
        <w:t xml:space="preserve">   </w:t>
      </w:r>
    </w:p>
    <w:p w14:paraId="76AFC0DB">
      <w:pPr>
        <w:numPr>
          <w:ilvl w:val="0"/>
          <w:numId w:val="1"/>
        </w:numPr>
        <w:spacing w:line="360" w:lineRule="auto"/>
        <w:ind w:left="566" w:hanging="41"/>
        <w:rPr>
          <w:rFonts w:hint="eastAsia" w:ascii="宋体" w:hAnsi="宋体"/>
          <w:sz w:val="24"/>
        </w:rPr>
      </w:pPr>
      <w:r>
        <w:rPr>
          <w:rFonts w:hint="eastAsia" w:ascii="宋体" w:hAnsi="宋体"/>
          <w:sz w:val="24"/>
        </w:rPr>
        <w:t>交货时间：</w:t>
      </w:r>
      <w:r>
        <w:rPr>
          <w:rFonts w:hint="eastAsia" w:ascii="宋体" w:hAnsi="宋体"/>
          <w:sz w:val="24"/>
          <w:u w:val="single"/>
        </w:rPr>
        <w:t>接到医院通知后30天内完成到货安装</w:t>
      </w:r>
      <w:ins w:id="6" w:author="qian yang" w:date="2025-12-28T21:01:00Z">
        <w:r>
          <w:rPr>
            <w:rFonts w:hint="eastAsia" w:ascii="宋体" w:hAnsi="宋体"/>
            <w:sz w:val="24"/>
            <w:u w:val="single"/>
          </w:rPr>
          <w:t>并经甲方验收合格</w:t>
        </w:r>
      </w:ins>
      <w:r>
        <w:rPr>
          <w:rFonts w:hint="eastAsia" w:ascii="宋体" w:hAnsi="宋体"/>
          <w:sz w:val="24"/>
          <w:u w:val="single"/>
        </w:rPr>
        <w:t>。</w:t>
      </w:r>
    </w:p>
    <w:p w14:paraId="4F868685">
      <w:pPr>
        <w:numPr>
          <w:ilvl w:val="0"/>
          <w:numId w:val="1"/>
        </w:numPr>
        <w:tabs>
          <w:tab w:val="left" w:pos="567"/>
        </w:tabs>
        <w:spacing w:line="360" w:lineRule="auto"/>
        <w:ind w:left="566" w:hanging="41"/>
        <w:rPr>
          <w:rFonts w:hint="eastAsia" w:ascii="宋体" w:hAnsi="宋体"/>
          <w:sz w:val="24"/>
          <w:u w:val="single"/>
        </w:rPr>
      </w:pPr>
      <w:r>
        <w:rPr>
          <w:rFonts w:hint="eastAsia" w:ascii="宋体" w:hAnsi="宋体"/>
          <w:sz w:val="24"/>
        </w:rPr>
        <w:t>交货地点：</w:t>
      </w:r>
      <w:ins w:id="7" w:author="qian yang" w:date="2025-12-28T21:01:00Z">
        <w:r>
          <w:rPr>
            <w:rFonts w:hint="eastAsia" w:ascii="宋体" w:hAnsi="宋体"/>
            <w:sz w:val="24"/>
            <w:u w:val="single"/>
          </w:rPr>
          <w:t>甲</w:t>
        </w:r>
      </w:ins>
      <w:del w:id="8" w:author="qian yang" w:date="2025-12-28T21:01:00Z">
        <w:r>
          <w:rPr>
            <w:rFonts w:hint="eastAsia" w:ascii="宋体" w:hAnsi="宋体"/>
            <w:sz w:val="24"/>
            <w:u w:val="single"/>
          </w:rPr>
          <w:delText>院</w:delText>
        </w:r>
      </w:del>
      <w:r>
        <w:rPr>
          <w:rFonts w:hint="eastAsia" w:ascii="宋体" w:hAnsi="宋体"/>
          <w:sz w:val="24"/>
          <w:u w:val="single"/>
        </w:rPr>
        <w:t>方指定地点</w:t>
      </w:r>
      <w:r>
        <w:rPr>
          <w:rFonts w:hint="eastAsia" w:ascii="宋体" w:hAnsi="宋体"/>
          <w:sz w:val="24"/>
        </w:rPr>
        <w:t>。</w:t>
      </w:r>
    </w:p>
    <w:p w14:paraId="76E38AFC">
      <w:pPr>
        <w:numPr>
          <w:ilvl w:val="0"/>
          <w:numId w:val="1"/>
        </w:numPr>
        <w:spacing w:line="360" w:lineRule="auto"/>
        <w:ind w:left="566" w:hanging="41"/>
        <w:rPr>
          <w:rFonts w:hint="eastAsia" w:ascii="宋体" w:hAnsi="宋体"/>
          <w:sz w:val="24"/>
        </w:rPr>
      </w:pPr>
      <w:r>
        <w:rPr>
          <w:rFonts w:hint="eastAsia" w:ascii="宋体" w:hAnsi="宋体"/>
          <w:sz w:val="24"/>
        </w:rPr>
        <w:t>保修期：</w:t>
      </w:r>
      <w:r>
        <w:rPr>
          <w:rFonts w:hint="eastAsia" w:ascii="宋体" w:hAnsi="宋体"/>
          <w:sz w:val="24"/>
          <w:u w:val="single"/>
        </w:rPr>
        <w:t xml:space="preserve">  3 </w:t>
      </w:r>
      <w:r>
        <w:rPr>
          <w:rFonts w:hint="eastAsia" w:ascii="宋体" w:hAnsi="宋体"/>
          <w:sz w:val="24"/>
        </w:rPr>
        <w:t>年（</w:t>
      </w:r>
      <w:commentRangeStart w:id="0"/>
      <w:r>
        <w:rPr>
          <w:rFonts w:hint="eastAsia" w:ascii="宋体" w:hAnsi="宋体"/>
          <w:sz w:val="24"/>
        </w:rPr>
        <w:t>详见采购需求）</w:t>
      </w:r>
      <w:commentRangeEnd w:id="0"/>
      <w:r>
        <w:rPr>
          <w:rStyle w:val="8"/>
        </w:rPr>
        <w:commentReference w:id="0"/>
      </w:r>
    </w:p>
    <w:p w14:paraId="1257CA41">
      <w:pPr>
        <w:numPr>
          <w:ilvl w:val="0"/>
          <w:numId w:val="1"/>
        </w:numPr>
        <w:spacing w:line="360" w:lineRule="auto"/>
        <w:ind w:left="566" w:hanging="41"/>
        <w:rPr>
          <w:rFonts w:hint="eastAsia" w:ascii="宋体" w:hAnsi="宋体"/>
          <w:sz w:val="24"/>
        </w:rPr>
      </w:pPr>
      <w:r>
        <w:rPr>
          <w:rFonts w:hint="eastAsia" w:ascii="宋体" w:hAnsi="宋体"/>
          <w:sz w:val="24"/>
        </w:rPr>
        <w:t>合同的生效：</w:t>
      </w:r>
    </w:p>
    <w:p w14:paraId="4CF6D7E2">
      <w:pPr>
        <w:spacing w:line="360" w:lineRule="auto"/>
        <w:ind w:left="420" w:leftChars="200"/>
        <w:rPr>
          <w:rFonts w:hint="eastAsia" w:ascii="宋体" w:hAnsi="宋体"/>
          <w:sz w:val="24"/>
        </w:rPr>
      </w:pPr>
      <w:r>
        <w:rPr>
          <w:rFonts w:hint="eastAsia" w:ascii="宋体" w:hAnsi="宋体"/>
          <w:sz w:val="24"/>
        </w:rPr>
        <w:t>本合同经双方全权代表签署并加盖单位印章生效。附件为合同的一部分，与合同同样有法律效力。</w:t>
      </w:r>
    </w:p>
    <w:p w14:paraId="34C4E2C0">
      <w:pPr>
        <w:numPr>
          <w:ilvl w:val="0"/>
          <w:numId w:val="1"/>
        </w:numPr>
        <w:spacing w:line="360" w:lineRule="auto"/>
        <w:ind w:left="566" w:hanging="41"/>
        <w:rPr>
          <w:rFonts w:hint="eastAsia" w:ascii="宋体" w:hAnsi="宋体"/>
          <w:sz w:val="24"/>
        </w:rPr>
      </w:pPr>
      <w:r>
        <w:rPr>
          <w:rFonts w:hint="eastAsia" w:ascii="宋体" w:hAnsi="宋体"/>
          <w:sz w:val="24"/>
        </w:rPr>
        <w:t>未尽事宜：由甲方和乙方签订补充协议，补充协议与本合同具有同等法律效力。</w:t>
      </w:r>
    </w:p>
    <w:p w14:paraId="003BBDF0">
      <w:pPr>
        <w:numPr>
          <w:ilvl w:val="0"/>
          <w:numId w:val="1"/>
        </w:numPr>
        <w:spacing w:line="360" w:lineRule="auto"/>
        <w:ind w:left="566" w:hanging="41"/>
        <w:rPr>
          <w:rFonts w:hint="eastAsia" w:ascii="宋体" w:hAnsi="宋体"/>
          <w:sz w:val="24"/>
        </w:rPr>
      </w:pPr>
      <w:r>
        <w:rPr>
          <w:rFonts w:hint="eastAsia" w:ascii="宋体" w:hAnsi="宋体"/>
          <w:sz w:val="24"/>
        </w:rPr>
        <w:t>乙方公司信息：</w:t>
      </w:r>
    </w:p>
    <w:p w14:paraId="0EF26008">
      <w:pPr>
        <w:spacing w:line="360" w:lineRule="auto"/>
        <w:ind w:left="420"/>
        <w:rPr>
          <w:rFonts w:hint="eastAsia" w:ascii="宋体" w:hAnsi="宋体" w:cs="宋体"/>
          <w:sz w:val="24"/>
          <w:u w:val="single"/>
        </w:rPr>
      </w:pPr>
      <w:r>
        <w:rPr>
          <w:rFonts w:hint="eastAsia" w:ascii="宋体" w:hAnsi="宋体" w:cs="宋体"/>
          <w:sz w:val="24"/>
        </w:rPr>
        <w:t>本公司为</w:t>
      </w:r>
      <w:r>
        <w:rPr>
          <w:rFonts w:hint="eastAsia" w:ascii="宋体" w:hAnsi="宋体" w:cs="宋体"/>
          <w:sz w:val="24"/>
          <w:u w:val="single"/>
        </w:rPr>
        <w:t xml:space="preserve"> 大 </w:t>
      </w:r>
      <w:r>
        <w:rPr>
          <w:rFonts w:hint="eastAsia" w:ascii="宋体" w:hAnsi="宋体" w:cs="宋体"/>
          <w:sz w:val="24"/>
        </w:rPr>
        <w:t>型企业，联系人及电话：</w:t>
      </w:r>
      <w:r>
        <w:rPr>
          <w:rFonts w:hint="eastAsia" w:ascii="宋体" w:hAnsi="宋体" w:cs="宋体"/>
          <w:sz w:val="24"/>
          <w:u w:val="single"/>
        </w:rPr>
        <w:t xml:space="preserve"> 贾月飞、13693373023   </w:t>
      </w:r>
    </w:p>
    <w:p w14:paraId="035ABD19">
      <w:pPr>
        <w:spacing w:line="360" w:lineRule="auto"/>
        <w:ind w:left="420"/>
        <w:rPr>
          <w:rFonts w:hint="eastAsia" w:ascii="宋体" w:hAnsi="宋体" w:cs="宋体"/>
          <w:sz w:val="24"/>
          <w:u w:val="single"/>
        </w:rPr>
      </w:pPr>
      <w:r>
        <w:rPr>
          <w:rFonts w:hint="eastAsia" w:ascii="宋体" w:hAnsi="宋体" w:cs="宋体"/>
          <w:sz w:val="24"/>
        </w:rPr>
        <w:t>统一社会信用代码:</w:t>
      </w:r>
      <w:r>
        <w:rPr>
          <w:rFonts w:hint="eastAsia" w:ascii="宋体" w:hAnsi="宋体" w:cs="宋体"/>
          <w:sz w:val="24"/>
          <w:u w:val="single"/>
        </w:rPr>
        <w:t xml:space="preserve"> 91371000769746944L </w:t>
      </w:r>
    </w:p>
    <w:p w14:paraId="4B150DAD">
      <w:pPr>
        <w:spacing w:line="360" w:lineRule="auto"/>
        <w:ind w:left="420"/>
        <w:rPr>
          <w:rFonts w:hint="eastAsia" w:ascii="宋体" w:hAnsi="宋体" w:cs="宋体"/>
          <w:sz w:val="24"/>
          <w:u w:val="single"/>
        </w:rPr>
      </w:pPr>
      <w:r>
        <w:rPr>
          <w:rFonts w:hint="eastAsia" w:ascii="宋体" w:hAnsi="宋体" w:cs="宋体"/>
          <w:sz w:val="24"/>
        </w:rPr>
        <w:t>开户行号：</w:t>
      </w:r>
      <w:r>
        <w:rPr>
          <w:rFonts w:hint="eastAsia" w:ascii="宋体" w:hAnsi="宋体" w:cs="宋体"/>
          <w:sz w:val="24"/>
          <w:u w:val="single"/>
        </w:rPr>
        <w:t xml:space="preserve"> 103465060205 </w:t>
      </w:r>
    </w:p>
    <w:p w14:paraId="01BA8E95">
      <w:pPr>
        <w:spacing w:line="360" w:lineRule="auto"/>
        <w:ind w:left="420"/>
        <w:rPr>
          <w:rFonts w:hint="eastAsia" w:ascii="宋体" w:hAnsi="宋体" w:cs="宋体"/>
          <w:sz w:val="24"/>
          <w:u w:val="single"/>
        </w:rPr>
      </w:pPr>
      <w:r>
        <w:rPr>
          <w:rFonts w:hint="eastAsia" w:ascii="宋体" w:hAnsi="宋体" w:cs="宋体"/>
          <w:sz w:val="24"/>
        </w:rPr>
        <w:t>法定代表人：</w:t>
      </w:r>
      <w:r>
        <w:rPr>
          <w:rFonts w:hint="eastAsia" w:ascii="宋体" w:hAnsi="宋体" w:cs="宋体"/>
          <w:sz w:val="24"/>
          <w:u w:val="single"/>
        </w:rPr>
        <w:t xml:space="preserve"> 宋修山 </w:t>
      </w:r>
    </w:p>
    <w:p w14:paraId="6CFCA2EC">
      <w:pPr>
        <w:spacing w:line="360" w:lineRule="auto"/>
        <w:ind w:left="420"/>
        <w:rPr>
          <w:rFonts w:hint="eastAsia" w:ascii="宋体" w:hAnsi="宋体" w:cs="宋体"/>
          <w:sz w:val="24"/>
          <w:u w:val="single"/>
        </w:rPr>
      </w:pPr>
      <w:r>
        <w:rPr>
          <w:rFonts w:hint="eastAsia" w:ascii="宋体" w:hAnsi="宋体" w:cs="宋体"/>
          <w:sz w:val="24"/>
        </w:rPr>
        <w:t>行业类型：</w:t>
      </w:r>
      <w:r>
        <w:rPr>
          <w:rFonts w:hint="eastAsia" w:ascii="宋体" w:hAnsi="宋体" w:cs="宋体"/>
          <w:sz w:val="24"/>
          <w:u w:val="single"/>
        </w:rPr>
        <w:t xml:space="preserve"> 制造业&gt;专用设备制造业&gt;医疗仪器设备及器械制造 </w:t>
      </w:r>
      <w:r>
        <w:rPr>
          <w:rFonts w:hint="eastAsia" w:ascii="宋体" w:hAnsi="宋体" w:cs="宋体"/>
          <w:sz w:val="24"/>
        </w:rPr>
        <w:t xml:space="preserve">     </w:t>
      </w:r>
      <w:r>
        <w:rPr>
          <w:rFonts w:hint="eastAsia" w:ascii="宋体" w:hAnsi="宋体" w:cs="宋体"/>
          <w:sz w:val="24"/>
        </w:rPr>
        <w:br w:type="textWrapping"/>
      </w:r>
      <w:r>
        <w:rPr>
          <w:rFonts w:hint="eastAsia" w:ascii="宋体" w:hAnsi="宋体" w:cs="宋体"/>
          <w:sz w:val="24"/>
        </w:rPr>
        <w:t>行业代码：</w:t>
      </w:r>
      <w:r>
        <w:rPr>
          <w:rFonts w:hint="eastAsia" w:ascii="宋体" w:hAnsi="宋体" w:cs="宋体"/>
          <w:sz w:val="24"/>
          <w:u w:val="single"/>
        </w:rPr>
        <w:t xml:space="preserve"> C358 </w:t>
      </w:r>
    </w:p>
    <w:p w14:paraId="33032BCD">
      <w:pPr>
        <w:spacing w:line="360" w:lineRule="auto"/>
        <w:ind w:left="420"/>
        <w:rPr>
          <w:rFonts w:hint="eastAsia" w:ascii="宋体" w:hAnsi="宋体" w:cs="宋体"/>
          <w:sz w:val="24"/>
        </w:rPr>
      </w:pPr>
      <w:r>
        <w:rPr>
          <w:rFonts w:hint="eastAsia" w:ascii="宋体" w:hAnsi="宋体" w:cs="宋体"/>
          <w:sz w:val="24"/>
        </w:rPr>
        <w:t>企业注册类型:</w:t>
      </w:r>
      <w:r>
        <w:rPr>
          <w:rFonts w:hint="eastAsia" w:ascii="宋体" w:hAnsi="宋体" w:cs="宋体"/>
          <w:sz w:val="24"/>
          <w:u w:val="single"/>
        </w:rPr>
        <w:t xml:space="preserve"> 股份有限公司（外商投资、未上市） </w:t>
      </w:r>
      <w:r>
        <w:rPr>
          <w:rFonts w:hint="eastAsia" w:ascii="宋体" w:hAnsi="宋体" w:cs="宋体"/>
          <w:sz w:val="24"/>
        </w:rPr>
        <w:t xml:space="preserve">    </w:t>
      </w:r>
    </w:p>
    <w:p w14:paraId="1BB42FD1">
      <w:pPr>
        <w:spacing w:line="360" w:lineRule="auto"/>
        <w:ind w:left="420"/>
        <w:rPr>
          <w:rFonts w:hint="eastAsia" w:ascii="宋体" w:hAnsi="宋体" w:cs="宋体"/>
          <w:sz w:val="24"/>
          <w:u w:val="single"/>
        </w:rPr>
      </w:pPr>
      <w:r>
        <w:rPr>
          <w:rFonts w:hint="eastAsia" w:ascii="宋体" w:hAnsi="宋体" w:cs="宋体"/>
          <w:sz w:val="24"/>
        </w:rPr>
        <w:t>经营地址：</w:t>
      </w:r>
      <w:r>
        <w:rPr>
          <w:rFonts w:hint="eastAsia" w:ascii="宋体" w:hAnsi="宋体" w:cs="宋体"/>
          <w:sz w:val="24"/>
          <w:u w:val="single"/>
        </w:rPr>
        <w:t xml:space="preserve"> 威海火炬高技术产业开发区威高西路7号 </w:t>
      </w:r>
    </w:p>
    <w:p w14:paraId="6A9B1E52">
      <w:pPr>
        <w:spacing w:line="360" w:lineRule="auto"/>
        <w:ind w:left="566"/>
        <w:rPr>
          <w:rFonts w:hint="eastAsia" w:ascii="宋体" w:hAnsi="宋体"/>
          <w:sz w:val="24"/>
        </w:rPr>
      </w:pPr>
    </w:p>
    <w:p w14:paraId="5BE70EDF">
      <w:pPr>
        <w:spacing w:line="360" w:lineRule="auto"/>
        <w:ind w:left="566"/>
        <w:rPr>
          <w:rFonts w:hint="eastAsia" w:ascii="宋体" w:hAnsi="宋体"/>
          <w:sz w:val="24"/>
        </w:rPr>
      </w:pPr>
    </w:p>
    <w:p w14:paraId="4A326E1B">
      <w:pPr>
        <w:spacing w:line="360" w:lineRule="auto"/>
        <w:ind w:left="566"/>
        <w:rPr>
          <w:rFonts w:hint="eastAsia" w:ascii="宋体" w:hAnsi="宋体"/>
          <w:sz w:val="24"/>
        </w:rPr>
      </w:pPr>
    </w:p>
    <w:p w14:paraId="0BB6EDA2">
      <w:pPr>
        <w:spacing w:line="360" w:lineRule="auto"/>
        <w:ind w:left="566"/>
        <w:rPr>
          <w:rFonts w:hint="eastAsia" w:ascii="宋体" w:hAnsi="宋体"/>
          <w:sz w:val="24"/>
        </w:rPr>
      </w:pPr>
      <w:r>
        <w:rPr>
          <w:rFonts w:hint="eastAsia" w:ascii="宋体" w:hAnsi="宋体"/>
          <w:sz w:val="24"/>
        </w:rPr>
        <w:t>本合同一式陆份，甲方（伍）份，乙方（壹）份。</w:t>
      </w:r>
    </w:p>
    <w:p w14:paraId="03C721F1">
      <w:pPr>
        <w:spacing w:line="360" w:lineRule="auto"/>
        <w:rPr>
          <w:rFonts w:hint="eastAsia" w:ascii="宋体" w:hAnsi="宋体"/>
          <w:sz w:val="24"/>
        </w:rPr>
      </w:pPr>
    </w:p>
    <w:p w14:paraId="096DD5F9">
      <w:pPr>
        <w:spacing w:line="360" w:lineRule="auto"/>
        <w:rPr>
          <w:rFonts w:hint="eastAsia" w:ascii="宋体" w:hAnsi="宋体"/>
          <w:sz w:val="24"/>
          <w:u w:val="single"/>
        </w:rPr>
      </w:pPr>
      <w:r>
        <w:rPr>
          <w:rFonts w:hint="eastAsia" w:ascii="宋体" w:hAnsi="宋体"/>
          <w:sz w:val="24"/>
        </w:rPr>
        <w:t>甲方（盖章）：</w:t>
      </w:r>
      <w:r>
        <w:rPr>
          <w:rFonts w:hint="eastAsia" w:ascii="宋体" w:hAnsi="宋体"/>
          <w:sz w:val="24"/>
          <w:u w:val="single"/>
        </w:rPr>
        <w:t xml:space="preserve"> </w:t>
      </w:r>
      <w:r>
        <w:rPr>
          <w:rFonts w:hint="eastAsia" w:ascii="宋体" w:hAnsi="宋体" w:cs="宋体"/>
          <w:sz w:val="24"/>
          <w:u w:val="single"/>
        </w:rPr>
        <w:t>北京市海淀区西三旗社</w:t>
      </w:r>
      <w:r>
        <w:rPr>
          <w:rFonts w:hint="eastAsia" w:ascii="宋体" w:hAnsi="宋体"/>
          <w:sz w:val="24"/>
        </w:rPr>
        <w:t xml:space="preserve">  乙方（盖章）：</w:t>
      </w:r>
      <w:r>
        <w:rPr>
          <w:rFonts w:hint="eastAsia" w:ascii="宋体" w:hAnsi="宋体"/>
          <w:sz w:val="24"/>
          <w:u w:val="single"/>
        </w:rPr>
        <w:t xml:space="preserve"> </w:t>
      </w:r>
      <w:r>
        <w:rPr>
          <w:rFonts w:hint="eastAsia" w:ascii="宋体" w:hAnsi="宋体" w:cs="宋体"/>
          <w:sz w:val="24"/>
          <w:u w:val="single"/>
        </w:rPr>
        <w:t>山东威高血液净化制</w:t>
      </w:r>
      <w:r>
        <w:rPr>
          <w:rFonts w:hint="eastAsia" w:ascii="宋体" w:hAnsi="宋体"/>
          <w:sz w:val="24"/>
          <w:u w:val="single"/>
        </w:rPr>
        <w:t xml:space="preserve">        </w:t>
      </w:r>
    </w:p>
    <w:p w14:paraId="55B66681">
      <w:pPr>
        <w:spacing w:line="360" w:lineRule="auto"/>
        <w:rPr>
          <w:rFonts w:hint="eastAsia" w:ascii="宋体" w:hAnsi="宋体"/>
          <w:sz w:val="24"/>
        </w:rPr>
      </w:pPr>
      <w:r>
        <w:rPr>
          <w:rFonts w:hint="eastAsia" w:ascii="宋体" w:hAnsi="宋体" w:cs="宋体"/>
          <w:sz w:val="24"/>
          <w:u w:val="single"/>
        </w:rPr>
        <w:t>区卫生服务中心</w:t>
      </w:r>
      <w:r>
        <w:rPr>
          <w:rFonts w:hint="eastAsia" w:ascii="宋体" w:hAnsi="宋体"/>
          <w:sz w:val="24"/>
        </w:rPr>
        <w:t xml:space="preserve">                      </w:t>
      </w:r>
      <w:r>
        <w:rPr>
          <w:rFonts w:hint="eastAsia" w:ascii="宋体" w:hAnsi="宋体" w:cs="宋体"/>
          <w:sz w:val="24"/>
          <w:u w:val="single"/>
        </w:rPr>
        <w:t>品股份有限公司</w:t>
      </w:r>
    </w:p>
    <w:p w14:paraId="518753C8">
      <w:pPr>
        <w:spacing w:line="360" w:lineRule="auto"/>
        <w:rPr>
          <w:rFonts w:hint="eastAsia" w:ascii="宋体" w:hAnsi="宋体" w:cs="宋体"/>
          <w:sz w:val="24"/>
          <w:u w:val="single"/>
        </w:rPr>
      </w:pPr>
      <w:r>
        <w:rPr>
          <w:rFonts w:hint="eastAsia" w:ascii="宋体" w:hAnsi="宋体"/>
          <w:sz w:val="24"/>
        </w:rPr>
        <w:t>地址：</w:t>
      </w:r>
      <w:r>
        <w:rPr>
          <w:rFonts w:hint="eastAsia" w:ascii="宋体" w:hAnsi="宋体"/>
          <w:sz w:val="24"/>
          <w:u w:val="single"/>
        </w:rPr>
        <w:t xml:space="preserve"> </w:t>
      </w:r>
      <w:r>
        <w:rPr>
          <w:rFonts w:hint="eastAsia" w:ascii="宋体" w:hAnsi="宋体" w:cs="宋体"/>
          <w:sz w:val="24"/>
          <w:u w:val="single"/>
        </w:rPr>
        <w:t>北京市海淀区宝盛里32号楼</w:t>
      </w:r>
      <w:r>
        <w:rPr>
          <w:rFonts w:hint="eastAsia" w:ascii="宋体" w:hAnsi="宋体" w:cs="宋体"/>
          <w:sz w:val="24"/>
        </w:rPr>
        <w:t xml:space="preserve">    </w:t>
      </w:r>
      <w:r>
        <w:rPr>
          <w:rFonts w:hint="eastAsia" w:ascii="宋体" w:hAnsi="宋体"/>
          <w:sz w:val="24"/>
        </w:rPr>
        <w:t>地址：</w:t>
      </w:r>
      <w:r>
        <w:rPr>
          <w:rFonts w:hint="eastAsia" w:ascii="宋体" w:hAnsi="宋体"/>
          <w:sz w:val="24"/>
          <w:u w:val="single"/>
        </w:rPr>
        <w:t xml:space="preserve"> </w:t>
      </w:r>
      <w:r>
        <w:rPr>
          <w:rFonts w:hint="eastAsia" w:ascii="宋体" w:hAnsi="宋体" w:cs="宋体"/>
          <w:sz w:val="24"/>
          <w:u w:val="single"/>
        </w:rPr>
        <w:t>威海火炬高技术产业开发区威</w:t>
      </w:r>
    </w:p>
    <w:p w14:paraId="4FA5EF3B">
      <w:pPr>
        <w:spacing w:line="360" w:lineRule="auto"/>
        <w:ind w:firstLine="4320" w:firstLineChars="1800"/>
        <w:rPr>
          <w:rFonts w:hint="eastAsia" w:ascii="宋体" w:hAnsi="宋体"/>
          <w:sz w:val="24"/>
          <w:u w:val="single"/>
        </w:rPr>
      </w:pPr>
      <w:r>
        <w:rPr>
          <w:rFonts w:hint="eastAsia" w:ascii="宋体" w:hAnsi="宋体"/>
          <w:sz w:val="24"/>
          <w:u w:val="single"/>
        </w:rPr>
        <w:t xml:space="preserve"> </w:t>
      </w:r>
      <w:r>
        <w:rPr>
          <w:rFonts w:hint="eastAsia" w:ascii="宋体" w:hAnsi="宋体" w:cs="宋体"/>
          <w:sz w:val="24"/>
          <w:u w:val="single"/>
        </w:rPr>
        <w:t>高西路7号</w:t>
      </w:r>
      <w:r>
        <w:rPr>
          <w:rFonts w:hint="eastAsia" w:ascii="宋体" w:hAnsi="宋体"/>
          <w:sz w:val="24"/>
          <w:u w:val="single"/>
        </w:rPr>
        <w:t xml:space="preserve"> </w:t>
      </w:r>
    </w:p>
    <w:p w14:paraId="2BD78087">
      <w:pPr>
        <w:spacing w:line="360" w:lineRule="auto"/>
        <w:rPr>
          <w:rFonts w:hint="eastAsia" w:ascii="宋体" w:hAnsi="宋体"/>
          <w:sz w:val="24"/>
          <w:u w:val="single"/>
        </w:rPr>
      </w:pPr>
      <w:r>
        <w:rPr>
          <w:rFonts w:hint="eastAsia" w:ascii="宋体" w:hAnsi="宋体"/>
          <w:sz w:val="24"/>
        </w:rPr>
        <w:t>日期：</w:t>
      </w:r>
      <w:r>
        <w:rPr>
          <w:rFonts w:hint="eastAsia" w:ascii="宋体" w:hAnsi="宋体"/>
          <w:sz w:val="24"/>
          <w:u w:val="single"/>
        </w:rPr>
        <w:t xml:space="preserve">   年    月   日          </w:t>
      </w:r>
      <w:r>
        <w:rPr>
          <w:rFonts w:hint="eastAsia" w:ascii="宋体" w:hAnsi="宋体"/>
          <w:sz w:val="24"/>
        </w:rPr>
        <w:t xml:space="preserve">  日期：</w:t>
      </w:r>
      <w:r>
        <w:rPr>
          <w:rFonts w:hint="eastAsia" w:ascii="宋体" w:hAnsi="宋体"/>
          <w:sz w:val="24"/>
          <w:u w:val="single"/>
        </w:rPr>
        <w:t xml:space="preserve">   年   月   日     </w:t>
      </w:r>
    </w:p>
    <w:p w14:paraId="056A8992">
      <w:pPr>
        <w:spacing w:line="360" w:lineRule="auto"/>
        <w:rPr>
          <w:rFonts w:hint="eastAsia" w:ascii="宋体" w:hAnsi="宋体"/>
          <w:sz w:val="24"/>
        </w:rPr>
      </w:pPr>
      <w:r>
        <w:rPr>
          <w:rFonts w:hint="eastAsia" w:ascii="宋体" w:hAnsi="宋体"/>
          <w:sz w:val="24"/>
        </w:rPr>
        <w:t>法定代表人（签字）：</w:t>
      </w:r>
      <w:r>
        <w:rPr>
          <w:rFonts w:hint="eastAsia" w:ascii="宋体" w:hAnsi="宋体"/>
          <w:sz w:val="24"/>
          <w:u w:val="single"/>
        </w:rPr>
        <w:t xml:space="preserve">          </w:t>
      </w:r>
      <w:r>
        <w:rPr>
          <w:rFonts w:hint="eastAsia" w:ascii="宋体" w:hAnsi="宋体"/>
          <w:sz w:val="24"/>
        </w:rPr>
        <w:t xml:space="preserve">     法定代表人（签字）：</w:t>
      </w:r>
      <w:r>
        <w:rPr>
          <w:rFonts w:hint="eastAsia" w:ascii="宋体" w:hAnsi="宋体"/>
          <w:sz w:val="24"/>
          <w:u w:val="single"/>
        </w:rPr>
        <w:t xml:space="preserve">          </w:t>
      </w:r>
    </w:p>
    <w:p w14:paraId="632C674D">
      <w:pPr>
        <w:spacing w:line="360" w:lineRule="auto"/>
        <w:rPr>
          <w:rFonts w:hint="eastAsia" w:ascii="宋体" w:hAnsi="宋体"/>
          <w:sz w:val="24"/>
        </w:rPr>
      </w:pPr>
      <w:r>
        <w:rPr>
          <w:rFonts w:hint="eastAsia" w:ascii="宋体" w:hAnsi="宋体"/>
          <w:sz w:val="24"/>
        </w:rPr>
        <w:t>或被授权人（签字）：</w:t>
      </w:r>
      <w:r>
        <w:rPr>
          <w:rFonts w:hint="eastAsia" w:ascii="宋体" w:hAnsi="宋体"/>
          <w:sz w:val="24"/>
          <w:u w:val="single"/>
        </w:rPr>
        <w:t xml:space="preserve">           </w:t>
      </w:r>
      <w:r>
        <w:rPr>
          <w:rFonts w:hint="eastAsia" w:ascii="宋体" w:hAnsi="宋体"/>
          <w:sz w:val="24"/>
        </w:rPr>
        <w:t xml:space="preserve">    或</w:t>
      </w:r>
      <w:commentRangeStart w:id="1"/>
      <w:r>
        <w:rPr>
          <w:rFonts w:hint="eastAsia" w:ascii="宋体" w:hAnsi="宋体"/>
          <w:sz w:val="24"/>
        </w:rPr>
        <w:t>被授权人</w:t>
      </w:r>
      <w:commentRangeEnd w:id="1"/>
      <w:r>
        <w:rPr>
          <w:rStyle w:val="8"/>
        </w:rPr>
        <w:commentReference w:id="1"/>
      </w:r>
      <w:r>
        <w:rPr>
          <w:rFonts w:hint="eastAsia" w:ascii="宋体" w:hAnsi="宋体"/>
          <w:sz w:val="24"/>
        </w:rPr>
        <w:t>（签字）：</w:t>
      </w:r>
      <w:r>
        <w:rPr>
          <w:rFonts w:hint="eastAsia" w:ascii="宋体" w:hAnsi="宋体"/>
          <w:sz w:val="24"/>
          <w:u w:val="single"/>
        </w:rPr>
        <w:t xml:space="preserve">         </w:t>
      </w:r>
    </w:p>
    <w:p w14:paraId="3983D6D4">
      <w:pPr>
        <w:spacing w:line="360" w:lineRule="auto"/>
        <w:rPr>
          <w:rFonts w:hint="eastAsia" w:ascii="宋体" w:hAnsi="宋体"/>
          <w:sz w:val="24"/>
          <w:u w:val="single"/>
        </w:rPr>
      </w:pPr>
      <w:r>
        <w:rPr>
          <w:rFonts w:hint="eastAsia" w:ascii="宋体" w:hAnsi="宋体"/>
          <w:sz w:val="24"/>
        </w:rPr>
        <w:t>开户银行：</w:t>
      </w:r>
      <w:r>
        <w:rPr>
          <w:rFonts w:hint="eastAsia" w:ascii="宋体" w:hAnsi="宋体" w:cs="宋体"/>
          <w:sz w:val="24"/>
          <w:u w:val="single"/>
        </w:rPr>
        <w:t>中国农业银行股份有限公司</w:t>
      </w:r>
      <w:r>
        <w:rPr>
          <w:rFonts w:hint="eastAsia" w:ascii="宋体" w:hAnsi="宋体"/>
          <w:sz w:val="24"/>
        </w:rPr>
        <w:t>开户银行：</w:t>
      </w:r>
      <w:r>
        <w:rPr>
          <w:rFonts w:hint="eastAsia" w:ascii="宋体" w:hAnsi="宋体" w:cs="宋体"/>
          <w:sz w:val="24"/>
          <w:u w:val="single"/>
        </w:rPr>
        <w:t>中国农业银行股份有限公</w:t>
      </w:r>
      <w:r>
        <w:rPr>
          <w:rFonts w:hint="eastAsia" w:ascii="宋体" w:hAnsi="宋体"/>
          <w:sz w:val="24"/>
          <w:u w:val="single"/>
        </w:rPr>
        <w:t xml:space="preserve">    </w:t>
      </w:r>
    </w:p>
    <w:p w14:paraId="11D56566">
      <w:pPr>
        <w:spacing w:line="360" w:lineRule="auto"/>
        <w:rPr>
          <w:rFonts w:hint="eastAsia" w:ascii="宋体" w:hAnsi="宋体"/>
          <w:sz w:val="24"/>
        </w:rPr>
      </w:pPr>
      <w:r>
        <w:rPr>
          <w:rFonts w:hint="eastAsia" w:ascii="宋体" w:hAnsi="宋体"/>
          <w:sz w:val="24"/>
          <w:u w:val="single"/>
        </w:rPr>
        <w:t xml:space="preserve"> </w:t>
      </w:r>
      <w:r>
        <w:rPr>
          <w:rFonts w:hint="eastAsia" w:ascii="宋体" w:hAnsi="宋体" w:cs="宋体"/>
          <w:sz w:val="24"/>
          <w:u w:val="single"/>
        </w:rPr>
        <w:t>北京西北旺支行</w:t>
      </w:r>
      <w:r>
        <w:rPr>
          <w:rFonts w:hint="eastAsia" w:ascii="宋体" w:hAnsi="宋体" w:cs="宋体"/>
          <w:sz w:val="24"/>
        </w:rPr>
        <w:t xml:space="preserve">                        </w:t>
      </w:r>
      <w:r>
        <w:rPr>
          <w:rFonts w:hint="eastAsia" w:ascii="宋体" w:hAnsi="宋体" w:cs="宋体"/>
          <w:sz w:val="24"/>
          <w:u w:val="single"/>
        </w:rPr>
        <w:t>司威海高技术产业支行</w:t>
      </w:r>
    </w:p>
    <w:p w14:paraId="429FC07D">
      <w:pPr>
        <w:spacing w:line="360" w:lineRule="auto"/>
        <w:rPr>
          <w:rFonts w:hint="eastAsia" w:ascii="宋体" w:hAnsi="宋体"/>
          <w:sz w:val="24"/>
        </w:rPr>
      </w:pPr>
      <w:r>
        <w:rPr>
          <w:rFonts w:hint="eastAsia" w:ascii="宋体" w:hAnsi="宋体"/>
          <w:sz w:val="24"/>
        </w:rPr>
        <w:t>账号：</w:t>
      </w:r>
      <w:r>
        <w:rPr>
          <w:rFonts w:hint="eastAsia" w:ascii="宋体" w:hAnsi="宋体" w:cs="宋体"/>
          <w:sz w:val="24"/>
          <w:u w:val="single"/>
        </w:rPr>
        <w:t>11050201040021944</w:t>
      </w:r>
      <w:r>
        <w:rPr>
          <w:rFonts w:hint="eastAsia" w:ascii="宋体" w:hAnsi="宋体"/>
          <w:sz w:val="24"/>
        </w:rPr>
        <w:t xml:space="preserve">            账号：</w:t>
      </w:r>
      <w:r>
        <w:rPr>
          <w:rFonts w:hint="eastAsia" w:ascii="宋体" w:hAnsi="宋体" w:cs="宋体"/>
          <w:sz w:val="24"/>
          <w:u w:val="single"/>
        </w:rPr>
        <w:t>15560201040006708</w:t>
      </w:r>
      <w:r>
        <w:rPr>
          <w:rFonts w:hint="eastAsia" w:ascii="宋体" w:hAnsi="宋体"/>
          <w:sz w:val="24"/>
        </w:rPr>
        <w:t xml:space="preserve"> </w:t>
      </w:r>
    </w:p>
    <w:p w14:paraId="05A84B5D">
      <w:pPr>
        <w:snapToGrid w:val="0"/>
        <w:spacing w:before="119" w:line="360" w:lineRule="auto"/>
        <w:jc w:val="center"/>
        <w:rPr>
          <w:rFonts w:hint="eastAsia" w:ascii="宋体" w:hAnsi="宋体"/>
          <w:b/>
          <w:sz w:val="24"/>
        </w:rPr>
      </w:pPr>
    </w:p>
    <w:p w14:paraId="245FDAFF">
      <w:pPr>
        <w:snapToGrid w:val="0"/>
        <w:spacing w:before="119" w:line="360" w:lineRule="auto"/>
        <w:jc w:val="center"/>
        <w:rPr>
          <w:rFonts w:hint="eastAsia" w:ascii="宋体" w:hAnsi="宋体"/>
          <w:b/>
          <w:sz w:val="24"/>
        </w:rPr>
      </w:pPr>
    </w:p>
    <w:p w14:paraId="0C61228F">
      <w:pPr>
        <w:snapToGrid w:val="0"/>
        <w:spacing w:before="119" w:line="360" w:lineRule="auto"/>
        <w:jc w:val="center"/>
        <w:rPr>
          <w:rFonts w:hint="eastAsia" w:ascii="宋体" w:hAnsi="宋体"/>
          <w:b/>
          <w:sz w:val="24"/>
        </w:rPr>
      </w:pPr>
    </w:p>
    <w:p w14:paraId="05778B17">
      <w:pPr>
        <w:snapToGrid w:val="0"/>
        <w:spacing w:before="119" w:line="360" w:lineRule="auto"/>
        <w:jc w:val="center"/>
        <w:rPr>
          <w:rFonts w:hint="eastAsia" w:ascii="宋体" w:hAnsi="宋体"/>
          <w:sz w:val="24"/>
        </w:rPr>
      </w:pPr>
      <w:r>
        <w:rPr>
          <w:rFonts w:hint="eastAsia" w:ascii="宋体" w:hAnsi="宋体"/>
          <w:b/>
          <w:sz w:val="24"/>
        </w:rPr>
        <w:t>合同一般条款</w:t>
      </w:r>
    </w:p>
    <w:p w14:paraId="561F9B3D">
      <w:pPr>
        <w:keepNext/>
        <w:keepLines/>
        <w:tabs>
          <w:tab w:val="left" w:pos="901"/>
        </w:tabs>
        <w:autoSpaceDE w:val="0"/>
        <w:autoSpaceDN w:val="0"/>
        <w:adjustRightInd w:val="0"/>
        <w:snapToGrid w:val="0"/>
        <w:spacing w:before="360" w:after="120" w:line="360" w:lineRule="auto"/>
        <w:jc w:val="left"/>
        <w:outlineLvl w:val="2"/>
        <w:rPr>
          <w:rFonts w:hint="eastAsia" w:ascii="宋体" w:hAnsi="宋体" w:cs="宋体"/>
          <w:b/>
          <w:kern w:val="0"/>
          <w:sz w:val="24"/>
          <w:u w:val="single"/>
        </w:rPr>
      </w:pPr>
      <w:r>
        <w:rPr>
          <w:rFonts w:hint="eastAsia" w:ascii="宋体" w:hAnsi="宋体" w:cs="宋体"/>
          <w:b/>
          <w:kern w:val="0"/>
          <w:sz w:val="24"/>
        </w:rPr>
        <w:t>1、定义</w:t>
      </w:r>
    </w:p>
    <w:p w14:paraId="1593619B">
      <w:pPr>
        <w:tabs>
          <w:tab w:val="left" w:pos="901"/>
        </w:tabs>
        <w:snapToGrid w:val="0"/>
        <w:spacing w:line="360" w:lineRule="auto"/>
        <w:rPr>
          <w:rFonts w:hint="eastAsia" w:ascii="宋体" w:hAnsi="宋体"/>
          <w:sz w:val="24"/>
        </w:rPr>
      </w:pPr>
      <w:r>
        <w:rPr>
          <w:rFonts w:hint="eastAsia" w:ascii="宋体" w:hAnsi="宋体"/>
          <w:sz w:val="24"/>
        </w:rPr>
        <w:t>本合同中的下列术语应解释为：</w:t>
      </w:r>
    </w:p>
    <w:p w14:paraId="5214471B">
      <w:pPr>
        <w:snapToGrid w:val="0"/>
        <w:spacing w:line="360" w:lineRule="auto"/>
        <w:ind w:left="960" w:hanging="960" w:hangingChars="400"/>
        <w:rPr>
          <w:rFonts w:hint="eastAsia" w:ascii="宋体" w:hAnsi="宋体"/>
          <w:color w:val="000000"/>
          <w:kern w:val="0"/>
          <w:sz w:val="24"/>
          <w:u w:color="000000"/>
        </w:rPr>
      </w:pPr>
      <w:r>
        <w:rPr>
          <w:rFonts w:hint="eastAsia" w:ascii="宋体" w:hAnsi="宋体"/>
          <w:color w:val="000000"/>
          <w:kern w:val="0"/>
          <w:sz w:val="24"/>
          <w:u w:color="000000"/>
        </w:rPr>
        <w:t>1.1“合同”系指买卖双方签署的、合同格式中载明的买卖双方所达成的协议，包括所有的附件、附录和构成合同的其它文件。</w:t>
      </w:r>
    </w:p>
    <w:p w14:paraId="6EF8C1CE">
      <w:pPr>
        <w:snapToGrid w:val="0"/>
        <w:spacing w:before="119" w:line="360" w:lineRule="auto"/>
        <w:ind w:left="566" w:hanging="41"/>
        <w:rPr>
          <w:rFonts w:hint="eastAsia" w:ascii="宋体" w:hAnsi="宋体"/>
          <w:sz w:val="24"/>
        </w:rPr>
      </w:pPr>
      <w:r>
        <w:rPr>
          <w:rFonts w:hint="eastAsia" w:ascii="宋体" w:hAnsi="宋体"/>
          <w:sz w:val="24"/>
        </w:rPr>
        <w:t>1.2 “合同价”系指根据合同约定，乙方在完全履行合同义务后甲方应付给乙方的价格。</w:t>
      </w:r>
    </w:p>
    <w:p w14:paraId="582FE45C">
      <w:pPr>
        <w:snapToGrid w:val="0"/>
        <w:spacing w:before="119" w:line="360" w:lineRule="auto"/>
        <w:ind w:left="566" w:hanging="41"/>
        <w:rPr>
          <w:rFonts w:hint="eastAsia" w:ascii="宋体" w:hAnsi="宋体"/>
          <w:sz w:val="24"/>
        </w:rPr>
      </w:pPr>
      <w:r>
        <w:rPr>
          <w:rFonts w:hint="eastAsia" w:ascii="宋体" w:hAnsi="宋体"/>
          <w:sz w:val="24"/>
        </w:rPr>
        <w:t>1.3 “货物”系指乙方根据合同约定须向甲方提供的一切设备、机械、仪表、备件，包括工具、手册等其它相关资料。“服务”系指根据合同约定乙方承担与供货有关的辅助服务，如运输、保险及安装、调试、提供技术援助、培训和其他类似的服务。</w:t>
      </w:r>
    </w:p>
    <w:p w14:paraId="4058863F">
      <w:pPr>
        <w:snapToGrid w:val="0"/>
        <w:spacing w:before="119" w:line="360" w:lineRule="auto"/>
        <w:rPr>
          <w:rFonts w:hint="eastAsia" w:ascii="宋体" w:hAnsi="宋体"/>
          <w:sz w:val="24"/>
        </w:rPr>
      </w:pPr>
      <w:r>
        <w:rPr>
          <w:rFonts w:hint="eastAsia" w:ascii="宋体" w:hAnsi="宋体"/>
          <w:sz w:val="24"/>
        </w:rPr>
        <w:t>1.4“甲方”系指与中标人签属供货合同的单位（含最终用户）。</w:t>
      </w:r>
    </w:p>
    <w:p w14:paraId="1F22FD26">
      <w:pPr>
        <w:snapToGrid w:val="0"/>
        <w:spacing w:before="119" w:line="360" w:lineRule="auto"/>
        <w:ind w:left="566" w:hanging="41"/>
        <w:rPr>
          <w:rFonts w:hint="eastAsia" w:ascii="宋体" w:hAnsi="宋体"/>
          <w:sz w:val="24"/>
        </w:rPr>
      </w:pPr>
      <w:r>
        <w:rPr>
          <w:rFonts w:hint="eastAsia" w:ascii="宋体" w:hAnsi="宋体"/>
          <w:sz w:val="24"/>
        </w:rPr>
        <w:t>1.5“乙方”系指根据合同约定提供货物及相关服务的中标人。</w:t>
      </w:r>
    </w:p>
    <w:p w14:paraId="1C56619D">
      <w:pPr>
        <w:tabs>
          <w:tab w:val="left" w:pos="901"/>
        </w:tabs>
        <w:snapToGrid w:val="0"/>
        <w:spacing w:before="119" w:line="360" w:lineRule="auto"/>
        <w:rPr>
          <w:rFonts w:hint="eastAsia" w:ascii="宋体" w:hAnsi="宋体"/>
          <w:sz w:val="24"/>
        </w:rPr>
      </w:pPr>
      <w:r>
        <w:rPr>
          <w:rFonts w:hint="eastAsia" w:ascii="宋体" w:hAnsi="宋体"/>
          <w:sz w:val="24"/>
        </w:rPr>
        <w:t>1.6“现场”系指合同约定货物将要运至和安装的地点。</w:t>
      </w:r>
    </w:p>
    <w:p w14:paraId="38EB9076">
      <w:pPr>
        <w:snapToGrid w:val="0"/>
        <w:spacing w:before="119" w:line="360" w:lineRule="auto"/>
        <w:ind w:left="566" w:hanging="41"/>
        <w:rPr>
          <w:rFonts w:hint="eastAsia" w:ascii="宋体" w:hAnsi="宋体"/>
          <w:sz w:val="24"/>
        </w:rPr>
      </w:pPr>
      <w:r>
        <w:rPr>
          <w:rFonts w:hint="eastAsia" w:ascii="宋体" w:hAnsi="宋体"/>
          <w:sz w:val="24"/>
        </w:rPr>
        <w:t>1.7“验收”系指合同双方依据强制性的国家技术质量规范和合同约定，确认合同项下的货物符合合同规定的活动。</w:t>
      </w:r>
    </w:p>
    <w:p w14:paraId="4011E332">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2、技术规范</w:t>
      </w:r>
    </w:p>
    <w:p w14:paraId="0945D753">
      <w:pPr>
        <w:tabs>
          <w:tab w:val="left" w:pos="901"/>
        </w:tabs>
        <w:snapToGrid w:val="0"/>
        <w:spacing w:before="119" w:line="360" w:lineRule="auto"/>
        <w:ind w:left="566" w:hanging="41"/>
        <w:rPr>
          <w:rFonts w:hint="eastAsia" w:ascii="宋体" w:hAnsi="宋体"/>
          <w:sz w:val="24"/>
        </w:rPr>
      </w:pPr>
      <w:r>
        <w:rPr>
          <w:rFonts w:hint="eastAsia" w:ascii="宋体" w:hAnsi="宋体"/>
          <w:sz w:val="24"/>
        </w:rPr>
        <w:t>2.1提交货物的技术规范应与招标文件规定的技术规范和技术规范附件(如果有的话)及其投标文件的技术规范偏差表(如果被甲方接受的话)相一致。若技术规范中无相应说明，则以国家有关部门最新颁布的相应标准及规范为准。</w:t>
      </w:r>
    </w:p>
    <w:p w14:paraId="57623CAE">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3、知识产权</w:t>
      </w:r>
    </w:p>
    <w:p w14:paraId="4A73DD5A">
      <w:pPr>
        <w:spacing w:line="276" w:lineRule="auto"/>
        <w:ind w:firstLine="480" w:firstLineChars="200"/>
        <w:jc w:val="left"/>
        <w:rPr>
          <w:ins w:id="9" w:author="qian yang" w:date="2025-12-28T21:02:00Z"/>
          <w:rFonts w:hint="eastAsia" w:ascii="宋体" w:hAnsi="宋体"/>
        </w:rPr>
      </w:pPr>
      <w:r>
        <w:rPr>
          <w:rFonts w:hint="eastAsia" w:ascii="宋体" w:hAnsi="宋体"/>
          <w:sz w:val="24"/>
        </w:rPr>
        <w:t>3.1乙方应保证甲方在使用该货物或其任何一部分时不受第三方提出的侵犯专利权、著作权、商标权和工业设计权等的起诉。如果任何第三方提出侵权指控，乙方须与第三方交涉并承担由此发生的一切责任、费用和经济赔偿。</w:t>
      </w:r>
      <w:ins w:id="10" w:author="qian yang" w:date="2025-12-28T21:02:00Z">
        <w:r>
          <w:rPr>
            <w:rFonts w:hint="eastAsia" w:ascii="宋体" w:hAnsi="宋体"/>
            <w:sz w:val="24"/>
          </w:rPr>
          <w:t>如造成甲方不能使用等权利受阻的，</w:t>
        </w:r>
      </w:ins>
      <w:ins w:id="11" w:author="qian yang" w:date="2025-12-28T21:02:00Z">
        <w:r>
          <w:rPr>
            <w:rFonts w:hint="eastAsia" w:ascii="宋体" w:hAnsi="宋体"/>
          </w:rPr>
          <w:t>甲方有权解除合同要求退货，乙方则应在三日内退回甲方支付的货款、上门取回货物，并应按合同</w:t>
        </w:r>
      </w:ins>
      <w:ins w:id="12" w:author="qian yang" w:date="2025-12-28T21:02:00Z">
        <w:r>
          <w:rPr>
            <w:rFonts w:hint="eastAsia" w:ascii="宋体" w:hAnsi="宋体" w:cs="宋体"/>
            <w:color w:val="000000"/>
            <w:kern w:val="0"/>
          </w:rPr>
          <w:t>总金额</w:t>
        </w:r>
      </w:ins>
      <w:ins w:id="13" w:author="qian yang" w:date="2025-12-28T21:02:00Z">
        <w:r>
          <w:rPr>
            <w:rFonts w:hint="eastAsia" w:ascii="宋体" w:hAnsi="宋体"/>
          </w:rPr>
          <w:t>的30%向甲方偿付违约金，由此给甲方造成损失的，乙方还应继续赔偿</w:t>
        </w:r>
      </w:ins>
      <w:ins w:id="14" w:author="qian yang" w:date="2025-12-28T21:02:00Z">
        <w:r>
          <w:rPr>
            <w:rFonts w:ascii="宋体" w:hAnsi="宋体"/>
          </w:rPr>
          <w:t>。</w:t>
        </w:r>
      </w:ins>
    </w:p>
    <w:p w14:paraId="6EBEBB85">
      <w:pPr>
        <w:snapToGrid w:val="0"/>
        <w:spacing w:before="119" w:line="360" w:lineRule="auto"/>
        <w:ind w:left="566" w:hanging="41"/>
        <w:rPr>
          <w:rFonts w:hint="eastAsia" w:ascii="宋体" w:hAnsi="宋体"/>
          <w:sz w:val="24"/>
        </w:rPr>
      </w:pPr>
    </w:p>
    <w:p w14:paraId="262CD521">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4、包装要求</w:t>
      </w:r>
    </w:p>
    <w:p w14:paraId="20F9178D">
      <w:pPr>
        <w:snapToGrid w:val="0"/>
        <w:spacing w:before="119" w:line="360" w:lineRule="auto"/>
        <w:ind w:left="566" w:hanging="41"/>
        <w:rPr>
          <w:rFonts w:hint="eastAsia" w:ascii="宋体" w:hAnsi="宋体"/>
          <w:sz w:val="24"/>
        </w:rPr>
      </w:pPr>
      <w:r>
        <w:rPr>
          <w:rFonts w:hint="eastAsia" w:ascii="宋体" w:hAnsi="宋体"/>
          <w:sz w:val="24"/>
        </w:rPr>
        <w:t>4.1除合同另有约定外,乙方提供的全部货物,均应采用本行业通用的方式进行包装，且该包装应符合国家有关包装的法律、法规的规定。包装应适应于远距离运输、防潮、防震、防锈和防粗暴装卸，确保货物安全无损，运抵现场。由于包装不善所引起的货物锈蚀、损坏和损失均由乙方承担。</w:t>
      </w:r>
    </w:p>
    <w:p w14:paraId="0F09376B">
      <w:pPr>
        <w:snapToGrid w:val="0"/>
        <w:spacing w:before="119" w:line="360" w:lineRule="auto"/>
        <w:rPr>
          <w:rFonts w:hint="eastAsia" w:ascii="宋体" w:hAnsi="宋体"/>
          <w:sz w:val="24"/>
        </w:rPr>
      </w:pPr>
      <w:r>
        <w:rPr>
          <w:rFonts w:hint="eastAsia" w:ascii="宋体" w:hAnsi="宋体"/>
          <w:sz w:val="24"/>
        </w:rPr>
        <w:t>4.2每件包装箱内应附一份详细装箱单和质量合格证。</w:t>
      </w:r>
    </w:p>
    <w:p w14:paraId="6F9FCA60">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5、装运标志</w:t>
      </w:r>
    </w:p>
    <w:p w14:paraId="6023C227">
      <w:pPr>
        <w:snapToGrid w:val="0"/>
        <w:spacing w:before="119" w:line="360" w:lineRule="auto"/>
        <w:ind w:left="566" w:hanging="41"/>
        <w:rPr>
          <w:rFonts w:hint="eastAsia" w:ascii="宋体" w:hAnsi="宋体"/>
          <w:sz w:val="24"/>
        </w:rPr>
      </w:pPr>
      <w:r>
        <w:rPr>
          <w:rFonts w:hint="eastAsia" w:ascii="宋体" w:hAnsi="宋体"/>
          <w:sz w:val="24"/>
        </w:rPr>
        <w:t>5.1如果货物单件重量在2吨或2吨以上，乙方应在每件包装箱的两侧用中文和适当的运输标记，标明“重心”和“吊装点”，以便装卸和搬运。根据货物的特点和运输的不同要求，乙方应在包装箱上清楚地标有“小心轻放”、“防潮”“勿倒置”等字样和其他适当的标志。</w:t>
      </w:r>
    </w:p>
    <w:p w14:paraId="56DC46FB">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6、交货方式</w:t>
      </w:r>
    </w:p>
    <w:p w14:paraId="5B9BEBD7">
      <w:pPr>
        <w:snapToGrid w:val="0"/>
        <w:spacing w:before="119" w:line="360" w:lineRule="auto"/>
        <w:rPr>
          <w:rFonts w:hint="eastAsia" w:ascii="宋体" w:hAnsi="宋体"/>
          <w:sz w:val="24"/>
        </w:rPr>
      </w:pPr>
      <w:r>
        <w:rPr>
          <w:rFonts w:hint="eastAsia" w:ascii="宋体" w:hAnsi="宋体"/>
          <w:sz w:val="24"/>
        </w:rPr>
        <w:t>6.1交货方式一般为下列其中一种，具体在合同特殊条款中规定。</w:t>
      </w:r>
    </w:p>
    <w:p w14:paraId="07B37D16">
      <w:pPr>
        <w:snapToGrid w:val="0"/>
        <w:spacing w:before="119" w:line="360" w:lineRule="auto"/>
        <w:ind w:left="566" w:hanging="41"/>
        <w:rPr>
          <w:rFonts w:hint="eastAsia" w:ascii="宋体" w:hAnsi="宋体"/>
          <w:sz w:val="24"/>
        </w:rPr>
      </w:pPr>
      <w:r>
        <w:rPr>
          <w:rFonts w:hint="eastAsia" w:ascii="宋体" w:hAnsi="宋体"/>
          <w:sz w:val="24"/>
        </w:rPr>
        <w:t>6.1.1现场交货：乙方负责办理运输和保险，将货物运抵现场。有关运输和保险的一切费用由乙方承担。所有货物运抵现场的日期为交货日期。</w:t>
      </w:r>
    </w:p>
    <w:p w14:paraId="0BD270A3">
      <w:pPr>
        <w:snapToGrid w:val="0"/>
        <w:spacing w:before="119" w:line="360" w:lineRule="auto"/>
        <w:ind w:left="566" w:hanging="41"/>
        <w:rPr>
          <w:rFonts w:hint="eastAsia" w:ascii="宋体" w:hAnsi="宋体"/>
          <w:sz w:val="24"/>
        </w:rPr>
      </w:pPr>
      <w:r>
        <w:rPr>
          <w:rFonts w:hint="eastAsia" w:ascii="宋体" w:hAnsi="宋体"/>
          <w:sz w:val="24"/>
        </w:rPr>
        <w:t>6.1.2工厂交货：由乙方负责代办运输和保险事宜。运输费和保险费由甲方承担。运输部门出具收据的日期为交货日期。</w:t>
      </w:r>
    </w:p>
    <w:p w14:paraId="2337E72C">
      <w:pPr>
        <w:snapToGrid w:val="0"/>
        <w:spacing w:before="119" w:line="360" w:lineRule="auto"/>
        <w:ind w:left="566" w:hanging="41"/>
        <w:rPr>
          <w:rFonts w:hint="eastAsia" w:ascii="宋体" w:hAnsi="宋体"/>
          <w:sz w:val="24"/>
        </w:rPr>
      </w:pPr>
      <w:r>
        <w:rPr>
          <w:rFonts w:hint="eastAsia" w:ascii="宋体" w:hAnsi="宋体"/>
          <w:sz w:val="24"/>
        </w:rPr>
        <w:t>6.1.3甲方自提货物：由甲方在合同规定地点自行办理提货。提单日期为交货日期。</w:t>
      </w:r>
    </w:p>
    <w:p w14:paraId="32AC412D">
      <w:pPr>
        <w:snapToGrid w:val="0"/>
        <w:spacing w:before="119" w:line="360" w:lineRule="auto"/>
        <w:ind w:left="566" w:hanging="41"/>
        <w:rPr>
          <w:rFonts w:hint="eastAsia" w:ascii="宋体" w:hAnsi="宋体"/>
          <w:sz w:val="24"/>
        </w:rPr>
      </w:pPr>
      <w:r>
        <w:rPr>
          <w:rFonts w:hint="eastAsia" w:ascii="宋体" w:hAnsi="宋体"/>
          <w:sz w:val="24"/>
        </w:rPr>
        <w:t>6.2乙方应在合同规定的交货期</w:t>
      </w:r>
      <w:r>
        <w:rPr>
          <w:rFonts w:hint="eastAsia" w:ascii="宋体" w:hAnsi="宋体"/>
          <w:sz w:val="24"/>
          <w:u w:val="single"/>
        </w:rPr>
        <w:t>5个工作日</w:t>
      </w:r>
      <w:r>
        <w:rPr>
          <w:rFonts w:hint="eastAsia" w:ascii="宋体" w:hAnsi="宋体"/>
          <w:sz w:val="24"/>
        </w:rPr>
        <w:t>以前以电报或传真形式将合同号、货物名称、数量、包装箱件数、总毛重、总体积(立方米)和备妥交货日期通知甲方。</w:t>
      </w:r>
    </w:p>
    <w:p w14:paraId="154D2C0C">
      <w:pPr>
        <w:tabs>
          <w:tab w:val="left" w:pos="719"/>
        </w:tabs>
        <w:snapToGrid w:val="0"/>
        <w:spacing w:before="119" w:line="360" w:lineRule="auto"/>
        <w:ind w:left="566" w:hanging="41"/>
        <w:rPr>
          <w:rFonts w:hint="eastAsia" w:ascii="宋体" w:hAnsi="宋体"/>
          <w:sz w:val="24"/>
        </w:rPr>
      </w:pPr>
      <w:r>
        <w:rPr>
          <w:rFonts w:hint="eastAsia" w:ascii="宋体" w:hAnsi="宋体"/>
          <w:sz w:val="24"/>
        </w:rPr>
        <w:t>6.3在现场交货和工厂交货条件下，乙方装运的货物不应超过合同规定的数量或重量。否则，乙方应对超运部分引起的一切后果负责。</w:t>
      </w:r>
    </w:p>
    <w:p w14:paraId="4C9F93E3">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7、装运通知</w:t>
      </w:r>
    </w:p>
    <w:p w14:paraId="20F948E7">
      <w:pPr>
        <w:snapToGrid w:val="0"/>
        <w:spacing w:before="119" w:line="360" w:lineRule="auto"/>
        <w:ind w:left="566" w:hanging="41"/>
        <w:rPr>
          <w:rFonts w:hint="eastAsia" w:ascii="宋体" w:hAnsi="宋体"/>
          <w:sz w:val="24"/>
        </w:rPr>
      </w:pPr>
      <w:r>
        <w:rPr>
          <w:rFonts w:hint="eastAsia" w:ascii="宋体" w:hAnsi="宋体"/>
          <w:sz w:val="24"/>
        </w:rPr>
        <w:t>7.1在现场交货和工厂交货条件下的货物，乙方通知甲方货物已备妥待运输后24小时之内，应将合同号、货名、 数量、毛重、总体积(立方米)、发票金额、运输工具名称及装运日期，以电报或传真通知甲方。</w:t>
      </w:r>
    </w:p>
    <w:p w14:paraId="166E8CCE">
      <w:pPr>
        <w:snapToGrid w:val="0"/>
        <w:spacing w:before="119" w:line="360" w:lineRule="auto"/>
        <w:ind w:left="566" w:hanging="41"/>
        <w:rPr>
          <w:rFonts w:hint="eastAsia" w:ascii="宋体" w:hAnsi="宋体"/>
          <w:color w:val="000000"/>
          <w:kern w:val="0"/>
          <w:sz w:val="24"/>
          <w:u w:color="000000"/>
        </w:rPr>
      </w:pPr>
      <w:r>
        <w:rPr>
          <w:rFonts w:hint="eastAsia" w:ascii="宋体" w:hAnsi="宋体"/>
          <w:color w:val="000000"/>
          <w:kern w:val="0"/>
          <w:sz w:val="24"/>
          <w:u w:color="000000"/>
        </w:rPr>
        <w:t>7.2如因乙方延误将上述内容用电报或传真通知甲方，由此引起的一切后果损失应由乙方负责。</w:t>
      </w:r>
    </w:p>
    <w:p w14:paraId="2A1C67DF">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8、保险</w:t>
      </w:r>
    </w:p>
    <w:p w14:paraId="1EC98FDC">
      <w:pPr>
        <w:snapToGrid w:val="0"/>
        <w:spacing w:before="119" w:line="360" w:lineRule="auto"/>
        <w:ind w:left="566" w:hanging="41"/>
        <w:rPr>
          <w:rFonts w:hint="eastAsia" w:ascii="宋体" w:hAnsi="宋体"/>
          <w:sz w:val="24"/>
        </w:rPr>
      </w:pPr>
      <w:r>
        <w:rPr>
          <w:rFonts w:hint="eastAsia" w:ascii="宋体" w:hAnsi="宋体"/>
          <w:sz w:val="24"/>
        </w:rPr>
        <w:t>8.1如果货物是按现场交货方式或工厂交货方式报价的，由乙方按照发票金额的110％办理“一切险”；如果货物是按甲方自提货物方式报价的，其保险由甲方办理。</w:t>
      </w:r>
    </w:p>
    <w:p w14:paraId="35A0A717">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9、付款条件</w:t>
      </w:r>
    </w:p>
    <w:p w14:paraId="6F36F1B9">
      <w:pPr>
        <w:snapToGrid w:val="0"/>
        <w:spacing w:before="119" w:line="360" w:lineRule="auto"/>
        <w:rPr>
          <w:rFonts w:hint="eastAsia" w:ascii="宋体" w:hAnsi="宋体"/>
          <w:sz w:val="24"/>
        </w:rPr>
      </w:pPr>
      <w:r>
        <w:rPr>
          <w:rFonts w:hint="eastAsia" w:ascii="宋体" w:hAnsi="宋体"/>
          <w:sz w:val="24"/>
        </w:rPr>
        <w:t>9.1 付款条件见“合同特殊条款”。</w:t>
      </w:r>
    </w:p>
    <w:p w14:paraId="29E43447">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10、技术资料</w:t>
      </w:r>
    </w:p>
    <w:p w14:paraId="32B65B30">
      <w:pPr>
        <w:snapToGrid w:val="0"/>
        <w:spacing w:before="119" w:line="360" w:lineRule="auto"/>
        <w:rPr>
          <w:rFonts w:hint="eastAsia" w:ascii="宋体" w:hAnsi="宋体"/>
          <w:sz w:val="24"/>
        </w:rPr>
      </w:pPr>
      <w:r>
        <w:rPr>
          <w:rFonts w:hint="eastAsia" w:ascii="宋体" w:hAnsi="宋体"/>
          <w:sz w:val="24"/>
        </w:rPr>
        <w:t>10.1合同项下技术资料(除合同特殊条款规定外)将以下列方式交付：</w:t>
      </w:r>
    </w:p>
    <w:p w14:paraId="18D520A6">
      <w:pPr>
        <w:snapToGrid w:val="0"/>
        <w:spacing w:before="119" w:line="360" w:lineRule="auto"/>
        <w:ind w:left="525" w:firstLine="480" w:firstLineChars="200"/>
        <w:rPr>
          <w:rFonts w:hint="eastAsia" w:ascii="宋体" w:hAnsi="宋体"/>
          <w:sz w:val="24"/>
        </w:rPr>
      </w:pPr>
      <w:r>
        <w:rPr>
          <w:rFonts w:hint="eastAsia" w:ascii="宋体" w:hAnsi="宋体"/>
          <w:sz w:val="24"/>
        </w:rPr>
        <w:t>合同生效后</w:t>
      </w:r>
      <w:r>
        <w:rPr>
          <w:rFonts w:hint="eastAsia" w:ascii="宋体" w:hAnsi="宋体"/>
          <w:sz w:val="24"/>
          <w:u w:val="single"/>
        </w:rPr>
        <w:t>5个工作日</w:t>
      </w:r>
      <w:r>
        <w:rPr>
          <w:rFonts w:hint="eastAsia" w:ascii="宋体" w:hAnsi="宋体"/>
          <w:sz w:val="24"/>
        </w:rPr>
        <w:t>之内，乙方应将每台设备和仪器的中文技术资料一套，如目录索引、图纸、操作手册、使用指南、维修指南和／或服务手册和示意图寄给甲方。</w:t>
      </w:r>
    </w:p>
    <w:p w14:paraId="43523C79">
      <w:pPr>
        <w:snapToGrid w:val="0"/>
        <w:spacing w:before="119" w:line="360" w:lineRule="auto"/>
        <w:rPr>
          <w:rFonts w:hint="eastAsia" w:ascii="宋体" w:hAnsi="宋体"/>
          <w:sz w:val="24"/>
        </w:rPr>
      </w:pPr>
      <w:r>
        <w:rPr>
          <w:rFonts w:hint="eastAsia" w:ascii="宋体" w:hAnsi="宋体"/>
          <w:sz w:val="24"/>
        </w:rPr>
        <w:t>10.2另外一套完整的上述资料应包装好随同每批货物一起发运。</w:t>
      </w:r>
    </w:p>
    <w:p w14:paraId="44E6C254">
      <w:pPr>
        <w:snapToGrid w:val="0"/>
        <w:spacing w:before="119" w:line="360" w:lineRule="auto"/>
        <w:ind w:left="566" w:hanging="41"/>
        <w:rPr>
          <w:rFonts w:hint="eastAsia" w:ascii="宋体" w:hAnsi="宋体"/>
          <w:sz w:val="24"/>
        </w:rPr>
      </w:pPr>
      <w:r>
        <w:rPr>
          <w:rFonts w:hint="eastAsia" w:ascii="宋体" w:hAnsi="宋体"/>
          <w:sz w:val="24"/>
        </w:rPr>
        <w:t>10.3如果甲方确认乙方提供的技术资料不完整或在运输过程中丢失，乙方将在收到甲方通知后</w:t>
      </w:r>
      <w:r>
        <w:rPr>
          <w:rFonts w:hint="eastAsia" w:ascii="宋体" w:hAnsi="宋体"/>
          <w:sz w:val="24"/>
          <w:u w:val="single"/>
        </w:rPr>
        <w:t>3个工作日</w:t>
      </w:r>
      <w:r>
        <w:rPr>
          <w:rFonts w:hint="eastAsia" w:ascii="宋体" w:hAnsi="宋体"/>
          <w:sz w:val="24"/>
        </w:rPr>
        <w:t>内将这些资料免费寄给甲方。</w:t>
      </w:r>
    </w:p>
    <w:p w14:paraId="63B9D838">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11、质量保证</w:t>
      </w:r>
    </w:p>
    <w:p w14:paraId="6BA8D606">
      <w:pPr>
        <w:snapToGrid w:val="0"/>
        <w:spacing w:line="360" w:lineRule="auto"/>
        <w:ind w:left="566" w:hanging="41"/>
        <w:rPr>
          <w:rFonts w:hint="eastAsia" w:ascii="宋体" w:hAnsi="宋体"/>
          <w:sz w:val="24"/>
        </w:rPr>
      </w:pPr>
      <w:r>
        <w:rPr>
          <w:rFonts w:hint="eastAsia" w:ascii="宋体" w:hAnsi="宋体"/>
          <w:sz w:val="24"/>
        </w:rPr>
        <w:t>11.1乙方须保证货物是全新、未使用过的，并完全符合强制性的国家技术质量规范和合同规定的质量、规格、性能和技术规范等的要求。</w:t>
      </w:r>
    </w:p>
    <w:p w14:paraId="4727A3C8">
      <w:pPr>
        <w:snapToGrid w:val="0"/>
        <w:spacing w:line="360" w:lineRule="auto"/>
        <w:ind w:left="566" w:hanging="41"/>
        <w:rPr>
          <w:rFonts w:hint="eastAsia" w:ascii="宋体" w:hAnsi="宋体"/>
          <w:sz w:val="24"/>
        </w:rPr>
      </w:pPr>
      <w:r>
        <w:rPr>
          <w:rFonts w:hint="eastAsia" w:ascii="宋体" w:hAnsi="宋体"/>
          <w:sz w:val="24"/>
        </w:rPr>
        <w:t>11.2 乙方须保证所提供的货物经正确安装、正常运转和保养，在其使用寿命期内须具有符合质量要求和产品说明书的性能。在货物质量保证期之内，乙方须对由于设计、工艺或材料的缺陷</w:t>
      </w:r>
      <w:del w:id="15" w:author="qian yang" w:date="2025-12-28T21:03:00Z">
        <w:r>
          <w:rPr>
            <w:rFonts w:hint="eastAsia" w:ascii="宋体" w:hAnsi="宋体"/>
            <w:sz w:val="24"/>
          </w:rPr>
          <w:delText>而</w:delText>
        </w:r>
      </w:del>
      <w:ins w:id="16" w:author="qian yang" w:date="2025-12-28T21:03:00Z">
        <w:r>
          <w:rPr>
            <w:rFonts w:hint="eastAsia" w:ascii="宋体" w:hAnsi="宋体"/>
            <w:sz w:val="24"/>
          </w:rPr>
          <w:t>等</w:t>
        </w:r>
      </w:ins>
      <w:r>
        <w:rPr>
          <w:rFonts w:hint="eastAsia" w:ascii="宋体" w:hAnsi="宋体"/>
          <w:sz w:val="24"/>
        </w:rPr>
        <w:t>发生的任何不足或故障负责。</w:t>
      </w:r>
    </w:p>
    <w:p w14:paraId="56C31662">
      <w:pPr>
        <w:snapToGrid w:val="0"/>
        <w:spacing w:before="119" w:line="360" w:lineRule="auto"/>
        <w:ind w:left="566" w:hanging="41"/>
        <w:rPr>
          <w:rFonts w:hint="eastAsia" w:ascii="宋体" w:hAnsi="宋体"/>
          <w:sz w:val="24"/>
        </w:rPr>
      </w:pPr>
      <w:r>
        <w:rPr>
          <w:rFonts w:hint="eastAsia" w:ascii="宋体" w:hAnsi="宋体"/>
          <w:sz w:val="24"/>
        </w:rPr>
        <w:t>11.3 根据甲方按检验标准自己检验结果或委托有资质的相关质检机构的检验结果，发现货物的数量、质量、规格与合同不符；或者在质量保证期内，证实货物存在缺陷，包括潜在的缺陷或使用不符合要求的材料等，甲方应尽快以书面形式通知乙方。乙方在收到通知后</w:t>
      </w:r>
      <w:r>
        <w:rPr>
          <w:rFonts w:hint="eastAsia" w:ascii="宋体" w:hAnsi="宋体"/>
          <w:sz w:val="24"/>
          <w:u w:val="single"/>
        </w:rPr>
        <w:t>3个工作日</w:t>
      </w:r>
      <w:r>
        <w:rPr>
          <w:rFonts w:hint="eastAsia" w:ascii="宋体" w:hAnsi="宋体"/>
          <w:sz w:val="24"/>
        </w:rPr>
        <w:t>内应免费维修或更换有缺陷的货物或部件。</w:t>
      </w:r>
    </w:p>
    <w:p w14:paraId="153E8891">
      <w:pPr>
        <w:snapToGrid w:val="0"/>
        <w:spacing w:before="119" w:line="360" w:lineRule="auto"/>
        <w:ind w:left="566" w:hanging="41"/>
        <w:rPr>
          <w:rFonts w:hint="eastAsia" w:ascii="宋体" w:hAnsi="宋体"/>
          <w:sz w:val="24"/>
        </w:rPr>
      </w:pPr>
      <w:r>
        <w:rPr>
          <w:rFonts w:hint="eastAsia" w:ascii="宋体" w:hAnsi="宋体"/>
          <w:sz w:val="24"/>
        </w:rPr>
        <w:t>11.4 如果乙方在收到通知后</w:t>
      </w:r>
      <w:ins w:id="17" w:author="qian yang" w:date="2025-12-28T21:03:00Z">
        <w:r>
          <w:rPr>
            <w:rFonts w:hint="eastAsia" w:ascii="宋体" w:hAnsi="宋体"/>
            <w:sz w:val="24"/>
            <w:u w:val="single"/>
          </w:rPr>
          <w:t>在附件7《</w:t>
        </w:r>
      </w:ins>
      <w:ins w:id="18" w:author="qian yang" w:date="2025-12-28T21:03:00Z">
        <w:r>
          <w:rPr>
            <w:rFonts w:hint="eastAsia" w:ascii="宋体" w:hAnsi="宋体"/>
            <w:sz w:val="24"/>
          </w:rPr>
          <w:t>售后服务承诺书</w:t>
        </w:r>
      </w:ins>
      <w:ins w:id="19" w:author="qian yang" w:date="2025-12-28T21:03:00Z">
        <w:r>
          <w:rPr>
            <w:rFonts w:hint="eastAsia" w:ascii="宋体" w:hAnsi="宋体"/>
            <w:sz w:val="24"/>
            <w:u w:val="single"/>
          </w:rPr>
          <w:t>》所承诺的时间</w:t>
        </w:r>
      </w:ins>
      <w:del w:id="20" w:author="qian yang" w:date="2025-12-28T21:03:00Z">
        <w:r>
          <w:rPr>
            <w:rFonts w:hint="eastAsia" w:ascii="宋体" w:hAnsi="宋体"/>
            <w:sz w:val="24"/>
            <w:u w:val="single"/>
          </w:rPr>
          <w:delText>3个工作日</w:delText>
        </w:r>
      </w:del>
      <w:r>
        <w:rPr>
          <w:rFonts w:hint="eastAsia" w:ascii="宋体" w:hAnsi="宋体"/>
          <w:sz w:val="24"/>
        </w:rPr>
        <w:t>内没有弥补缺陷，甲方可采取必要的补救措施，但由此引发的风险和费用将由乙方承担</w:t>
      </w:r>
      <w:ins w:id="21" w:author="qian yang" w:date="2025-12-28T21:03:00Z">
        <w:r>
          <w:rPr>
            <w:rFonts w:hint="eastAsia" w:ascii="宋体" w:hAnsi="宋体"/>
            <w:sz w:val="24"/>
          </w:rPr>
          <w:t>，并应承担违约责任</w:t>
        </w:r>
      </w:ins>
      <w:r>
        <w:rPr>
          <w:rFonts w:hint="eastAsia" w:ascii="宋体" w:hAnsi="宋体"/>
          <w:sz w:val="24"/>
        </w:rPr>
        <w:t>。</w:t>
      </w:r>
    </w:p>
    <w:p w14:paraId="1B09E9C9">
      <w:pPr>
        <w:snapToGrid w:val="0"/>
        <w:spacing w:before="119" w:line="360" w:lineRule="auto"/>
        <w:ind w:left="566" w:hanging="41"/>
        <w:rPr>
          <w:rFonts w:hint="eastAsia" w:ascii="宋体" w:hAnsi="宋体"/>
          <w:sz w:val="24"/>
        </w:rPr>
      </w:pPr>
      <w:r>
        <w:rPr>
          <w:rFonts w:hint="eastAsia" w:ascii="宋体" w:hAnsi="宋体"/>
          <w:sz w:val="24"/>
        </w:rPr>
        <w:t>11.5 除“合同特殊条款”规定外，合同项下货物的质量保证期要求详见技术参数。</w:t>
      </w:r>
    </w:p>
    <w:p w14:paraId="665A85F4">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12、检验和验收</w:t>
      </w:r>
    </w:p>
    <w:p w14:paraId="39D1DBD9">
      <w:pPr>
        <w:snapToGrid w:val="0"/>
        <w:spacing w:before="119" w:line="360" w:lineRule="auto"/>
        <w:ind w:left="566" w:hanging="41"/>
        <w:rPr>
          <w:rFonts w:hint="eastAsia" w:ascii="宋体" w:hAnsi="宋体"/>
          <w:sz w:val="24"/>
        </w:rPr>
      </w:pPr>
      <w:r>
        <w:rPr>
          <w:rFonts w:hint="eastAsia" w:ascii="宋体" w:hAnsi="宋体"/>
          <w:sz w:val="24"/>
        </w:rPr>
        <w:t>12.1在交货前，中标人应对货物的质量、规格、性能、数量和重量等进行详细而全面的检验，并出具证明货物符合合同规定的文件。该文件将作为申请付款单据的一部分，但有关质量、规格、性能、数量或重量的检验不应视为最终检验。</w:t>
      </w:r>
    </w:p>
    <w:p w14:paraId="42EBF77D">
      <w:pPr>
        <w:snapToGrid w:val="0"/>
        <w:spacing w:before="119" w:line="360" w:lineRule="auto"/>
        <w:ind w:left="566" w:hanging="41"/>
        <w:rPr>
          <w:rFonts w:hint="eastAsia" w:ascii="宋体" w:hAnsi="宋体"/>
          <w:sz w:val="24"/>
        </w:rPr>
      </w:pPr>
      <w:r>
        <w:rPr>
          <w:rFonts w:hint="eastAsia" w:ascii="宋体" w:hAnsi="宋体"/>
          <w:sz w:val="24"/>
        </w:rPr>
        <w:t>12.2 货物运抵现场后</w:t>
      </w:r>
      <w:ins w:id="22" w:author="qian yang" w:date="2025-12-28T21:04:00Z">
        <w:r>
          <w:rPr>
            <w:rFonts w:hint="eastAsia" w:ascii="宋体" w:hAnsi="宋体"/>
            <w:sz w:val="24"/>
          </w:rPr>
          <w:t>并安装调试完毕</w:t>
        </w:r>
      </w:ins>
      <w:r>
        <w:rPr>
          <w:rFonts w:hint="eastAsia" w:ascii="宋体" w:hAnsi="宋体"/>
          <w:sz w:val="24"/>
        </w:rPr>
        <w:t>，甲方应在</w:t>
      </w:r>
      <w:r>
        <w:rPr>
          <w:rFonts w:hint="eastAsia" w:ascii="宋体" w:hAnsi="宋体"/>
          <w:sz w:val="24"/>
          <w:u w:val="single"/>
        </w:rPr>
        <w:t>3个工作日</w:t>
      </w:r>
      <w:r>
        <w:rPr>
          <w:rFonts w:hint="eastAsia" w:ascii="宋体" w:hAnsi="宋体"/>
          <w:sz w:val="24"/>
        </w:rPr>
        <w:t>内组织验收，并制作验收备忘录，签署验收意见并报同级政府采购监督管理部门备案</w:t>
      </w:r>
      <w:ins w:id="23" w:author="qian yang" w:date="2025-12-28T21:04:00Z">
        <w:r>
          <w:rPr>
            <w:rFonts w:hint="eastAsia" w:ascii="宋体" w:hAnsi="宋体"/>
            <w:sz w:val="24"/>
          </w:rPr>
          <w:t>，验收合格视为交付，交付前的货物损毁灭失等风险由乙方承担。如货物不符合合同约定，甲方有权拒绝验收，乙方应将在三个工作日内重新提供合格货物，并承担逾期交付违约责任</w:t>
        </w:r>
      </w:ins>
      <w:r>
        <w:rPr>
          <w:rFonts w:hint="eastAsia" w:ascii="宋体" w:hAnsi="宋体"/>
          <w:sz w:val="24"/>
        </w:rPr>
        <w:t>。</w:t>
      </w:r>
    </w:p>
    <w:p w14:paraId="71824036">
      <w:pPr>
        <w:snapToGrid w:val="0"/>
        <w:spacing w:before="119" w:line="360" w:lineRule="auto"/>
        <w:ind w:left="566" w:hanging="41"/>
        <w:rPr>
          <w:rFonts w:hint="eastAsia" w:ascii="宋体" w:hAnsi="宋体"/>
          <w:sz w:val="24"/>
        </w:rPr>
      </w:pPr>
      <w:r>
        <w:rPr>
          <w:rFonts w:hint="eastAsia" w:ascii="宋体" w:hAnsi="宋体"/>
          <w:sz w:val="24"/>
        </w:rPr>
        <w:t>12.3甲方有在货物制造过程中派员监造的权利, 乙方有义务为甲方监造人员行使该权利提供方便。</w:t>
      </w:r>
    </w:p>
    <w:p w14:paraId="2CE65499">
      <w:pPr>
        <w:snapToGrid w:val="0"/>
        <w:spacing w:before="119" w:line="360" w:lineRule="auto"/>
        <w:ind w:left="566" w:hanging="41"/>
        <w:rPr>
          <w:rFonts w:hint="eastAsia" w:ascii="宋体" w:hAnsi="宋体"/>
          <w:sz w:val="24"/>
        </w:rPr>
      </w:pPr>
      <w:r>
        <w:rPr>
          <w:rFonts w:hint="eastAsia" w:ascii="宋体" w:hAnsi="宋体"/>
          <w:sz w:val="24"/>
        </w:rPr>
        <w:t>12.4 制造厂对所供货物进行机械运转试验和性能试验时，中标人必须提前通知甲方。</w:t>
      </w:r>
    </w:p>
    <w:p w14:paraId="1B484A86">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13、索赔</w:t>
      </w:r>
    </w:p>
    <w:p w14:paraId="3F5FC175">
      <w:pPr>
        <w:snapToGrid w:val="0"/>
        <w:spacing w:before="119" w:line="360" w:lineRule="auto"/>
        <w:ind w:left="566" w:hanging="41"/>
        <w:rPr>
          <w:rFonts w:hint="eastAsia" w:ascii="宋体" w:hAnsi="宋体"/>
          <w:sz w:val="24"/>
        </w:rPr>
      </w:pPr>
      <w:r>
        <w:rPr>
          <w:rFonts w:hint="eastAsia" w:ascii="宋体" w:hAnsi="宋体"/>
          <w:sz w:val="24"/>
        </w:rPr>
        <w:t>13.1如果货物的质量、规格、数量、重量等与合同不符，或在第11.5规定的质量保证期内证实货物存有缺陷，包括潜在的缺陷或使用不符合要求的材料等，甲方有权根据有资质的权威质检机构的检验结果向乙方提出索赔</w:t>
      </w:r>
      <w:del w:id="24" w:author="qian yang" w:date="2025-12-28T21:28:00Z">
        <w:r>
          <w:rPr>
            <w:rFonts w:hint="eastAsia" w:ascii="宋体" w:hAnsi="宋体"/>
            <w:sz w:val="24"/>
          </w:rPr>
          <w:delText>（但责任应由保险公司或运输部门承担的除外）</w:delText>
        </w:r>
      </w:del>
      <w:r>
        <w:rPr>
          <w:rFonts w:hint="eastAsia" w:ascii="宋体" w:hAnsi="宋体"/>
          <w:sz w:val="24"/>
        </w:rPr>
        <w:t>。</w:t>
      </w:r>
    </w:p>
    <w:p w14:paraId="578D89FB">
      <w:pPr>
        <w:snapToGrid w:val="0"/>
        <w:spacing w:before="119" w:line="360" w:lineRule="auto"/>
        <w:ind w:left="566" w:hanging="41"/>
        <w:rPr>
          <w:rFonts w:hint="eastAsia" w:ascii="宋体" w:hAnsi="宋体"/>
          <w:sz w:val="24"/>
        </w:rPr>
      </w:pPr>
      <w:r>
        <w:rPr>
          <w:rFonts w:hint="eastAsia" w:ascii="宋体" w:hAnsi="宋体"/>
          <w:sz w:val="24"/>
        </w:rPr>
        <w:t>13.2在根据合同第11条和第12条规定的检验期和质量保证期内，如果乙方对甲方提出的索赔负有责任，乙方应按照甲方同意的下列一种或多种方式解决索赔事宜：</w:t>
      </w:r>
    </w:p>
    <w:p w14:paraId="6BF35246">
      <w:pPr>
        <w:snapToGrid w:val="0"/>
        <w:spacing w:before="119" w:line="360" w:lineRule="auto"/>
        <w:ind w:left="566" w:hanging="41"/>
        <w:rPr>
          <w:rFonts w:hint="eastAsia" w:ascii="宋体" w:hAnsi="宋体"/>
          <w:sz w:val="24"/>
        </w:rPr>
      </w:pPr>
      <w:r>
        <w:rPr>
          <w:rFonts w:hint="eastAsia" w:ascii="宋体" w:hAnsi="宋体"/>
          <w:sz w:val="24"/>
        </w:rPr>
        <w:t>13.2.1在法定的退货期内，乙方应按合同规定将货款退还给甲方，并承担由此发生的一切损失和费用，包括利息、银行手续费、运费、保险费、检验费、仓储费、装卸费以及为保护退回货物所需的其它必要费用。如已超过退货期，但乙方同意退货，可比照上述办法办理，或由双方协商处理。</w:t>
      </w:r>
    </w:p>
    <w:p w14:paraId="70A83D70">
      <w:pPr>
        <w:snapToGrid w:val="0"/>
        <w:spacing w:before="119" w:line="360" w:lineRule="auto"/>
        <w:ind w:left="566" w:hanging="41"/>
        <w:rPr>
          <w:rFonts w:hint="eastAsia" w:ascii="宋体" w:hAnsi="宋体"/>
          <w:sz w:val="24"/>
        </w:rPr>
      </w:pPr>
      <w:r>
        <w:rPr>
          <w:rFonts w:hint="eastAsia" w:ascii="宋体" w:hAnsi="宋体"/>
          <w:sz w:val="24"/>
        </w:rPr>
        <w:t>13.2.2根据货物低劣程度、损坏程度以及甲方所遭受损失的数额，经买卖双方商定降低货物的价格，或由有权的部门评估，以降低后的价格或评估价格为准。</w:t>
      </w:r>
    </w:p>
    <w:p w14:paraId="0149F531">
      <w:pPr>
        <w:snapToGrid w:val="0"/>
        <w:spacing w:before="119" w:line="360" w:lineRule="auto"/>
        <w:ind w:left="566" w:hanging="41"/>
        <w:rPr>
          <w:rFonts w:hint="eastAsia" w:ascii="宋体" w:hAnsi="宋体"/>
          <w:sz w:val="24"/>
        </w:rPr>
      </w:pPr>
      <w:r>
        <w:rPr>
          <w:rFonts w:hint="eastAsia" w:ascii="宋体" w:hAnsi="宋体"/>
          <w:sz w:val="24"/>
        </w:rPr>
        <w:t>13.2.3 用符合规格、质量和性能要求的新零件、部件或货物来更换有缺陷的部分或／和修补缺陷部分，乙方应承担一切费用和风险并负担甲方所发生的一切直接费用。同时，乙方 应按合同第11条规定，相应延长修补或更换件的质量保证期。</w:t>
      </w:r>
    </w:p>
    <w:p w14:paraId="4D6BB431">
      <w:pPr>
        <w:snapToGrid w:val="0"/>
        <w:spacing w:before="119" w:line="360" w:lineRule="auto"/>
        <w:ind w:left="566" w:hanging="41"/>
        <w:rPr>
          <w:ins w:id="25" w:author="qian yang" w:date="2025-12-28T21:04:00Z"/>
          <w:rFonts w:hint="eastAsia" w:ascii="宋体" w:hAnsi="宋体"/>
          <w:sz w:val="24"/>
        </w:rPr>
      </w:pPr>
      <w:ins w:id="26" w:author="qian yang" w:date="2025-12-28T21:04:00Z">
        <w:r>
          <w:rPr>
            <w:rFonts w:hint="eastAsia" w:ascii="宋体" w:hAnsi="宋体"/>
            <w:sz w:val="24"/>
          </w:rPr>
          <w:t>13.2.4 合同约定的其它乙方违约或赔偿责任。</w:t>
        </w:r>
      </w:ins>
    </w:p>
    <w:p w14:paraId="0D5003E3">
      <w:pPr>
        <w:snapToGrid w:val="0"/>
        <w:spacing w:before="119" w:line="360" w:lineRule="auto"/>
        <w:ind w:left="566" w:hanging="41"/>
        <w:rPr>
          <w:rFonts w:hint="eastAsia" w:ascii="宋体" w:hAnsi="宋体"/>
          <w:sz w:val="24"/>
        </w:rPr>
      </w:pPr>
      <w:r>
        <w:rPr>
          <w:rFonts w:hint="eastAsia" w:ascii="宋体" w:hAnsi="宋体"/>
          <w:sz w:val="24"/>
        </w:rPr>
        <w:t>13.3 如果在甲方发出索赔通知后</w:t>
      </w:r>
      <w:r>
        <w:rPr>
          <w:rFonts w:hint="eastAsia" w:ascii="宋体" w:hAnsi="宋体"/>
          <w:sz w:val="24"/>
          <w:u w:val="single"/>
        </w:rPr>
        <w:t>3个工作日</w:t>
      </w:r>
      <w:r>
        <w:rPr>
          <w:rFonts w:hint="eastAsia" w:ascii="宋体" w:hAnsi="宋体"/>
          <w:sz w:val="24"/>
        </w:rPr>
        <w:t>内，乙方未作答复，上述索赔应视为已被乙方接受。如乙方未能在甲方提出索赔通知后</w:t>
      </w:r>
      <w:r>
        <w:rPr>
          <w:rFonts w:hint="eastAsia" w:ascii="宋体" w:hAnsi="宋体"/>
          <w:sz w:val="24"/>
          <w:u w:val="single"/>
        </w:rPr>
        <w:t>3个工作日</w:t>
      </w:r>
      <w:r>
        <w:rPr>
          <w:rFonts w:hint="eastAsia" w:ascii="宋体" w:hAnsi="宋体"/>
          <w:sz w:val="24"/>
        </w:rPr>
        <w:t>内或甲方同意的更长时间内，按照本合同第13.2条规定的任何一种方法解决索赔事宜，甲方将从合同款或从乙方开具的履约保证金保函中扣回索赔金额。如果这些金额不足以补偿索赔金额，甲方有权向乙方提出不足部分的补偿。</w:t>
      </w:r>
    </w:p>
    <w:p w14:paraId="51B1DFF3">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14、迟延交货</w:t>
      </w:r>
    </w:p>
    <w:p w14:paraId="2FE9535E">
      <w:pPr>
        <w:snapToGrid w:val="0"/>
        <w:spacing w:before="119" w:line="360" w:lineRule="auto"/>
        <w:ind w:left="566" w:hanging="41"/>
        <w:rPr>
          <w:rFonts w:hint="eastAsia" w:ascii="宋体" w:hAnsi="宋体"/>
          <w:sz w:val="24"/>
        </w:rPr>
      </w:pPr>
      <w:r>
        <w:rPr>
          <w:rFonts w:hint="eastAsia" w:ascii="宋体" w:hAnsi="宋体"/>
          <w:sz w:val="24"/>
        </w:rPr>
        <w:t>14.1乙方应按照“</w:t>
      </w:r>
      <w:commentRangeStart w:id="2"/>
      <w:r>
        <w:rPr>
          <w:rFonts w:hint="eastAsia" w:ascii="宋体" w:hAnsi="宋体"/>
          <w:sz w:val="24"/>
        </w:rPr>
        <w:t>货物需求一览表及技术规格”</w:t>
      </w:r>
      <w:commentRangeEnd w:id="2"/>
      <w:r>
        <w:rPr>
          <w:rStyle w:val="8"/>
        </w:rPr>
        <w:commentReference w:id="2"/>
      </w:r>
      <w:r>
        <w:rPr>
          <w:rFonts w:hint="eastAsia" w:ascii="宋体" w:hAnsi="宋体"/>
          <w:sz w:val="24"/>
        </w:rPr>
        <w:t>中甲方规定的时间表交货和提供服务。</w:t>
      </w:r>
    </w:p>
    <w:p w14:paraId="25301677">
      <w:pPr>
        <w:snapToGrid w:val="0"/>
        <w:spacing w:before="119" w:line="360" w:lineRule="auto"/>
        <w:ind w:left="566" w:hanging="41"/>
        <w:rPr>
          <w:rFonts w:hint="eastAsia" w:ascii="宋体" w:hAnsi="宋体"/>
          <w:sz w:val="24"/>
        </w:rPr>
      </w:pPr>
      <w:r>
        <w:rPr>
          <w:rFonts w:hint="eastAsia" w:ascii="宋体" w:hAnsi="宋体"/>
          <w:sz w:val="24"/>
        </w:rPr>
        <w:t>14.2如果乙方无正当理由迟延交货，甲方有权提出违约损失赔偿或解除合同。</w:t>
      </w:r>
    </w:p>
    <w:p w14:paraId="40DA9A7D">
      <w:pPr>
        <w:snapToGrid w:val="0"/>
        <w:spacing w:before="119" w:line="360" w:lineRule="auto"/>
        <w:ind w:left="566" w:hanging="41"/>
        <w:rPr>
          <w:rFonts w:hint="eastAsia" w:ascii="宋体" w:hAnsi="宋体"/>
          <w:sz w:val="24"/>
        </w:rPr>
      </w:pPr>
      <w:r>
        <w:rPr>
          <w:rFonts w:hint="eastAsia" w:ascii="宋体" w:hAnsi="宋体"/>
          <w:sz w:val="24"/>
        </w:rPr>
        <w:t>14.3在履行合同过程中，如果乙方遇到不能按时交货和提供服务的情况，应及时以书面形式将不能按时交货的理由、预期延误时间通知甲方。甲方收到乙方通知后，认为其理由正当的，可酌情延长交货时间。</w:t>
      </w:r>
    </w:p>
    <w:p w14:paraId="1D657D49">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15、违约赔偿</w:t>
      </w:r>
    </w:p>
    <w:p w14:paraId="6F1E8FE5">
      <w:pPr>
        <w:spacing w:line="276" w:lineRule="auto"/>
        <w:ind w:left="424" w:leftChars="202"/>
        <w:jc w:val="left"/>
        <w:rPr>
          <w:ins w:id="27" w:author="qian yang" w:date="2025-12-28T21:09:00Z"/>
          <w:rFonts w:hint="eastAsia" w:ascii="宋体" w:hAnsi="宋体"/>
          <w:sz w:val="24"/>
        </w:rPr>
      </w:pPr>
      <w:r>
        <w:rPr>
          <w:rFonts w:hint="eastAsia" w:ascii="宋体" w:hAnsi="宋体"/>
          <w:sz w:val="24"/>
        </w:rPr>
        <w:t>15.1除合同第16条规定外，如果乙方没有按照合同规定的时间交货和提供服务，甲方可要求乙方支付违约金。违约金</w:t>
      </w:r>
      <w:del w:id="28" w:author="qian yang" w:date="2025-12-28T21:08:00Z">
        <w:r>
          <w:rPr>
            <w:rFonts w:hint="eastAsia" w:ascii="宋体" w:hAnsi="宋体"/>
            <w:sz w:val="24"/>
          </w:rPr>
          <w:delText>按</w:delText>
        </w:r>
      </w:del>
      <w:ins w:id="29" w:author="qian yang" w:date="2025-12-28T21:08:00Z">
        <w:r>
          <w:rPr>
            <w:rFonts w:hint="eastAsia" w:ascii="宋体" w:hAnsi="宋体"/>
            <w:sz w:val="24"/>
          </w:rPr>
          <w:t>每天按合同总金额</w:t>
        </w:r>
      </w:ins>
      <w:del w:id="30" w:author="qian yang" w:date="2025-12-28T21:08:00Z">
        <w:r>
          <w:rPr>
            <w:rFonts w:hint="eastAsia" w:ascii="宋体" w:hAnsi="宋体"/>
            <w:sz w:val="24"/>
          </w:rPr>
          <w:delText>每周迟交货物或未提供服务交货价</w:delText>
        </w:r>
      </w:del>
      <w:r>
        <w:rPr>
          <w:rFonts w:hint="eastAsia" w:ascii="宋体" w:hAnsi="宋体"/>
          <w:sz w:val="24"/>
        </w:rPr>
        <w:t>的</w:t>
      </w:r>
      <w:del w:id="31" w:author="qian yang" w:date="2025-12-28T21:08:00Z">
        <w:r>
          <w:rPr>
            <w:rFonts w:hint="eastAsia" w:ascii="宋体" w:hAnsi="宋体"/>
            <w:sz w:val="24"/>
          </w:rPr>
          <w:delText>0.5</w:delText>
        </w:r>
      </w:del>
      <w:ins w:id="32" w:author="qian yang" w:date="2025-12-28T21:08:00Z">
        <w:r>
          <w:rPr>
            <w:rFonts w:hint="eastAsia" w:ascii="宋体" w:hAnsi="宋体"/>
            <w:sz w:val="24"/>
          </w:rPr>
          <w:t>1</w:t>
        </w:r>
      </w:ins>
      <w:r>
        <w:rPr>
          <w:rFonts w:hint="eastAsia" w:ascii="宋体" w:hAnsi="宋体"/>
          <w:sz w:val="24"/>
        </w:rPr>
        <w:t>%计收。</w:t>
      </w:r>
      <w:ins w:id="33" w:author="qian yang" w:date="2025-12-28T21:09:00Z">
        <w:r>
          <w:rPr>
            <w:rFonts w:hint="eastAsia" w:ascii="宋体" w:hAnsi="宋体"/>
            <w:sz w:val="24"/>
          </w:rPr>
          <w:t>延迟10天以上的，</w:t>
        </w:r>
      </w:ins>
      <w:ins w:id="34" w:author="qian yang" w:date="2025-12-28T21:09:00Z">
        <w:r>
          <w:rPr>
            <w:rFonts w:hint="eastAsia" w:ascii="宋体" w:hAnsi="宋体"/>
          </w:rPr>
          <w:t>甲方有权解除合同要求退货，乙方则应在三日内退回货款、上门取回货物，并应按照合同</w:t>
        </w:r>
      </w:ins>
      <w:ins w:id="35" w:author="qian yang" w:date="2025-12-28T21:09:00Z">
        <w:r>
          <w:rPr>
            <w:rFonts w:hint="eastAsia" w:ascii="宋体" w:hAnsi="宋体" w:cs="宋体"/>
            <w:color w:val="000000"/>
            <w:kern w:val="0"/>
          </w:rPr>
          <w:t>总金额</w:t>
        </w:r>
      </w:ins>
      <w:ins w:id="36" w:author="qian yang" w:date="2025-12-28T21:09:00Z">
        <w:r>
          <w:rPr>
            <w:rFonts w:hint="eastAsia" w:ascii="宋体" w:hAnsi="宋体"/>
          </w:rPr>
          <w:t>的30%向甲方偿付违约金，由此给甲方造成损失的，乙方还应继续赔偿</w:t>
        </w:r>
      </w:ins>
      <w:del w:id="37" w:author="qian yang" w:date="2025-12-28T21:09:00Z">
        <w:r>
          <w:rPr>
            <w:rFonts w:hint="eastAsia" w:ascii="宋体" w:hAnsi="宋体"/>
            <w:sz w:val="24"/>
          </w:rPr>
          <w:delText>但违约金的最高限额为迟交货物或没有提供服务的合同价的5%。一周按７天计算，不足７天按一周计算。如果达到最高限额，甲方有权解除合同</w:delText>
        </w:r>
      </w:del>
      <w:r>
        <w:rPr>
          <w:rFonts w:hint="eastAsia" w:ascii="宋体" w:hAnsi="宋体"/>
          <w:sz w:val="24"/>
        </w:rPr>
        <w:t>。</w:t>
      </w:r>
    </w:p>
    <w:p w14:paraId="6A0F5DB2">
      <w:pPr>
        <w:spacing w:line="276" w:lineRule="auto"/>
        <w:ind w:left="424" w:leftChars="202"/>
        <w:jc w:val="left"/>
        <w:rPr>
          <w:ins w:id="38" w:author="qian yang" w:date="2025-12-28T21:09:00Z"/>
          <w:rFonts w:hint="eastAsia" w:ascii="宋体" w:hAnsi="宋体"/>
        </w:rPr>
      </w:pPr>
      <w:ins w:id="39" w:author="qian yang" w:date="2025-12-28T21:09:00Z">
        <w:r>
          <w:rPr>
            <w:rFonts w:hint="eastAsia" w:ascii="宋体" w:hAnsi="宋体"/>
            <w:sz w:val="24"/>
          </w:rPr>
          <w:t>15.2</w:t>
        </w:r>
      </w:ins>
      <w:ins w:id="40" w:author="qian yang" w:date="2025-12-28T21:09:00Z">
        <w:r>
          <w:rPr>
            <w:rFonts w:hint="eastAsia" w:ascii="宋体" w:hAnsi="宋体"/>
          </w:rPr>
          <w:t>因乙方不具备从事本合同资质，或擅自将本合同转包、分包，或乙方提供的产品质量等问题造成任何方人身伤亡、财产损失的，由乙方承担一切法律后果和赔偿、处罚等责任。且甲方有权解除合同要求退货，乙方则应在三日内退回货款、上门取回货物，并应按照合同</w:t>
        </w:r>
      </w:ins>
      <w:ins w:id="41" w:author="qian yang" w:date="2025-12-28T21:09:00Z">
        <w:r>
          <w:rPr>
            <w:rFonts w:hint="eastAsia" w:ascii="宋体" w:hAnsi="宋体" w:cs="宋体"/>
            <w:color w:val="000000"/>
            <w:kern w:val="0"/>
          </w:rPr>
          <w:t>总金额</w:t>
        </w:r>
      </w:ins>
      <w:ins w:id="42" w:author="qian yang" w:date="2025-12-28T21:09:00Z">
        <w:r>
          <w:rPr>
            <w:rFonts w:hint="eastAsia" w:ascii="宋体" w:hAnsi="宋体"/>
          </w:rPr>
          <w:t>的30%向甲方偿付违约金，由此给甲方造成损失的，乙方还应继续赔偿</w:t>
        </w:r>
      </w:ins>
      <w:ins w:id="43" w:author="qian yang" w:date="2025-12-28T21:09:00Z">
        <w:r>
          <w:rPr>
            <w:rFonts w:ascii="宋体" w:hAnsi="宋体"/>
          </w:rPr>
          <w:t>。</w:t>
        </w:r>
      </w:ins>
    </w:p>
    <w:p w14:paraId="5984251F">
      <w:pPr>
        <w:snapToGrid w:val="0"/>
        <w:spacing w:before="119" w:line="360" w:lineRule="auto"/>
        <w:ind w:left="566" w:hanging="41"/>
        <w:rPr>
          <w:rFonts w:hint="eastAsia" w:ascii="宋体" w:hAnsi="宋体"/>
          <w:sz w:val="24"/>
        </w:rPr>
      </w:pPr>
      <w:ins w:id="44" w:author="qian yang" w:date="2025-12-28T21:09:00Z">
        <w:r>
          <w:rPr>
            <w:rFonts w:hint="eastAsia" w:ascii="宋体" w:hAnsi="宋体"/>
            <w:sz w:val="24"/>
          </w:rPr>
          <w:t>15.3</w:t>
        </w:r>
      </w:ins>
      <w:ins w:id="45" w:author="qian yang" w:date="2025-12-28T21:09:00Z">
        <w:r>
          <w:rPr>
            <w:rFonts w:hint="eastAsia"/>
          </w:rPr>
          <w:t>本合同所称“损失”包括直接损失、间接损失（包括但不限于合同履行后可以获得的利益）甲方向第三方采购货物的差价、和解费、诉讼费、仲裁费、公证费、合理的调查费、律师费、差旅费、赔偿费等有关费用。</w:t>
        </w:r>
      </w:ins>
    </w:p>
    <w:p w14:paraId="3D90FAAB">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16、不可抗力</w:t>
      </w:r>
    </w:p>
    <w:p w14:paraId="7DED34E1">
      <w:pPr>
        <w:snapToGrid w:val="0"/>
        <w:spacing w:before="119" w:line="360" w:lineRule="auto"/>
        <w:ind w:left="566" w:hanging="41"/>
        <w:rPr>
          <w:rFonts w:hint="eastAsia" w:ascii="宋体" w:hAnsi="宋体"/>
          <w:sz w:val="24"/>
        </w:rPr>
      </w:pPr>
      <w:r>
        <w:rPr>
          <w:rFonts w:hint="eastAsia" w:ascii="宋体" w:hAnsi="宋体"/>
          <w:sz w:val="24"/>
        </w:rPr>
        <w:t>16.1如果双方中任何一方遭遇法律规定的不可抗力，致使合同履行受阻时，履行合同的期限应予延长，延长的期限应相当于不可抗力所影响的时间。</w:t>
      </w:r>
    </w:p>
    <w:p w14:paraId="101295E0">
      <w:pPr>
        <w:snapToGrid w:val="0"/>
        <w:spacing w:before="119" w:line="360" w:lineRule="auto"/>
        <w:ind w:left="566" w:hanging="41"/>
        <w:rPr>
          <w:rFonts w:hint="eastAsia" w:ascii="宋体" w:hAnsi="宋体"/>
          <w:sz w:val="24"/>
        </w:rPr>
      </w:pPr>
      <w:r>
        <w:rPr>
          <w:rFonts w:hint="eastAsia" w:ascii="宋体" w:hAnsi="宋体"/>
          <w:sz w:val="24"/>
        </w:rPr>
        <w:t>16.2 受事故影响的一方应在不可抗力的事故发生后尽快书面形式通知另一方，并在事故发生后</w:t>
      </w:r>
      <w:r>
        <w:rPr>
          <w:rFonts w:hint="eastAsia" w:ascii="宋体" w:hAnsi="宋体"/>
          <w:sz w:val="24"/>
          <w:u w:val="single"/>
        </w:rPr>
        <w:t>3个工作日</w:t>
      </w:r>
      <w:r>
        <w:rPr>
          <w:rFonts w:hint="eastAsia" w:ascii="宋体" w:hAnsi="宋体"/>
          <w:sz w:val="24"/>
        </w:rPr>
        <w:t>内，将有关部门出具的证明文件送达另一方。</w:t>
      </w:r>
    </w:p>
    <w:p w14:paraId="340C68D9">
      <w:pPr>
        <w:snapToGrid w:val="0"/>
        <w:spacing w:before="119" w:line="360" w:lineRule="auto"/>
        <w:ind w:left="566" w:hanging="41"/>
        <w:rPr>
          <w:rFonts w:hint="eastAsia" w:ascii="宋体" w:hAnsi="宋体"/>
          <w:sz w:val="24"/>
        </w:rPr>
      </w:pPr>
      <w:r>
        <w:rPr>
          <w:rFonts w:hint="eastAsia" w:ascii="宋体" w:hAnsi="宋体"/>
          <w:sz w:val="24"/>
        </w:rPr>
        <w:t>16.3 不可抗力使合同的某些内容有变更必要的， 双方应通过协商在</w:t>
      </w:r>
      <w:r>
        <w:rPr>
          <w:rFonts w:hint="eastAsia" w:ascii="宋体" w:hAnsi="宋体"/>
          <w:sz w:val="24"/>
          <w:u w:val="single"/>
        </w:rPr>
        <w:t>3个工作</w:t>
      </w:r>
      <w:r>
        <w:rPr>
          <w:rFonts w:hint="eastAsia" w:ascii="宋体" w:hAnsi="宋体"/>
          <w:sz w:val="24"/>
        </w:rPr>
        <w:t>日内达成进一步履行合同的协议，因不可抗力致使合同不能履行的，合同终止。</w:t>
      </w:r>
    </w:p>
    <w:p w14:paraId="5B1F28B1">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17、税费</w:t>
      </w:r>
    </w:p>
    <w:p w14:paraId="556902AA">
      <w:pPr>
        <w:snapToGrid w:val="0"/>
        <w:spacing w:before="119" w:line="360" w:lineRule="auto"/>
        <w:ind w:left="566" w:hanging="41"/>
        <w:rPr>
          <w:rFonts w:hint="eastAsia" w:ascii="宋体" w:hAnsi="宋体"/>
          <w:sz w:val="24"/>
        </w:rPr>
      </w:pPr>
      <w:r>
        <w:rPr>
          <w:rFonts w:hint="eastAsia" w:ascii="宋体" w:hAnsi="宋体"/>
          <w:sz w:val="24"/>
        </w:rPr>
        <w:t>17.1</w:t>
      </w:r>
      <w:ins w:id="46" w:author="qian yang" w:date="2025-12-28T21:09:00Z">
        <w:r>
          <w:rPr>
            <w:rFonts w:hint="eastAsia" w:ascii="宋体" w:hAnsi="宋体"/>
            <w:sz w:val="24"/>
          </w:rPr>
          <w:t>除本合同另有约定外，</w:t>
        </w:r>
      </w:ins>
      <w:r>
        <w:rPr>
          <w:rFonts w:hint="eastAsia" w:ascii="宋体" w:hAnsi="宋体"/>
          <w:sz w:val="24"/>
        </w:rPr>
        <w:t>与本合同有关的一切税费均适用中华人民共和国法律的相关规定。</w:t>
      </w:r>
    </w:p>
    <w:p w14:paraId="389810F8">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18、合同争议的解决</w:t>
      </w:r>
    </w:p>
    <w:p w14:paraId="3CCFD26F">
      <w:pPr>
        <w:snapToGrid w:val="0"/>
        <w:spacing w:before="119" w:line="360" w:lineRule="auto"/>
        <w:ind w:left="147" w:leftChars="70"/>
        <w:rPr>
          <w:rFonts w:hint="eastAsia" w:ascii="宋体" w:hAnsi="宋体"/>
          <w:sz w:val="24"/>
        </w:rPr>
      </w:pPr>
      <w:r>
        <w:rPr>
          <w:rFonts w:hint="eastAsia" w:ascii="宋体" w:hAnsi="宋体"/>
          <w:sz w:val="24"/>
        </w:rPr>
        <w:t>因合同履行中发生的争议，可通过合同当事人双方友好协商解决。如自协商开始之起</w:t>
      </w:r>
      <w:r>
        <w:rPr>
          <w:rFonts w:hint="eastAsia" w:ascii="宋体" w:hAnsi="宋体"/>
          <w:sz w:val="24"/>
          <w:u w:val="single"/>
        </w:rPr>
        <w:t>15</w:t>
      </w:r>
      <w:r>
        <w:rPr>
          <w:rFonts w:hint="eastAsia" w:ascii="宋体" w:hAnsi="宋体"/>
          <w:sz w:val="24"/>
        </w:rPr>
        <w:t>日内得不到解决，双方</w:t>
      </w:r>
      <w:ins w:id="47" w:author="qian yang" w:date="2025-12-28T21:09:00Z">
        <w:r>
          <w:rPr>
            <w:rFonts w:hint="eastAsia" w:ascii="宋体" w:hAnsi="宋体"/>
            <w:sz w:val="24"/>
          </w:rPr>
          <w:t>可</w:t>
        </w:r>
      </w:ins>
      <w:del w:id="48" w:author="qian yang" w:date="2025-12-28T21:09:00Z">
        <w:r>
          <w:rPr>
            <w:rFonts w:hint="eastAsia" w:ascii="宋体" w:hAnsi="宋体"/>
            <w:sz w:val="24"/>
          </w:rPr>
          <w:delText>应</w:delText>
        </w:r>
      </w:del>
      <w:r>
        <w:rPr>
          <w:rFonts w:hint="eastAsia" w:ascii="宋体" w:hAnsi="宋体"/>
          <w:sz w:val="24"/>
        </w:rPr>
        <w:t>将争议提交同级政府采购办公室调解。</w:t>
      </w:r>
      <w:ins w:id="49" w:author="qian yang" w:date="2025-12-28T21:10:00Z">
        <w:r>
          <w:rPr>
            <w:rFonts w:hint="eastAsia" w:ascii="宋体" w:hAnsi="宋体"/>
            <w:sz w:val="24"/>
          </w:rPr>
          <w:t>协商或</w:t>
        </w:r>
      </w:ins>
      <w:r>
        <w:rPr>
          <w:rFonts w:hint="eastAsia" w:ascii="宋体" w:hAnsi="宋体"/>
          <w:sz w:val="24"/>
        </w:rPr>
        <w:t>调解不成的，可向北京市海淀区人民法院提起诉讼。</w:t>
      </w:r>
    </w:p>
    <w:p w14:paraId="0BC8CC16">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19、违约解除合同</w:t>
      </w:r>
    </w:p>
    <w:p w14:paraId="314A20B7">
      <w:pPr>
        <w:snapToGrid w:val="0"/>
        <w:spacing w:before="119" w:line="360" w:lineRule="auto"/>
        <w:ind w:left="566" w:hanging="41"/>
        <w:rPr>
          <w:rFonts w:hint="eastAsia" w:ascii="宋体" w:hAnsi="宋体"/>
          <w:sz w:val="24"/>
        </w:rPr>
      </w:pPr>
      <w:r>
        <w:rPr>
          <w:rFonts w:hint="eastAsia" w:ascii="宋体" w:hAnsi="宋体"/>
          <w:sz w:val="24"/>
        </w:rPr>
        <w:t>19.1在乙方违约的情况下，甲方</w:t>
      </w:r>
      <w:ins w:id="50" w:author="qian yang" w:date="2025-12-28T21:11:00Z">
        <w:r>
          <w:rPr>
            <w:rFonts w:hint="eastAsia" w:ascii="宋体" w:hAnsi="宋体"/>
            <w:sz w:val="24"/>
          </w:rPr>
          <w:t>依据本合同约定或法律规定</w:t>
        </w:r>
      </w:ins>
      <w:del w:id="51" w:author="qian yang" w:date="2025-12-28T21:11:00Z">
        <w:r>
          <w:rPr>
            <w:rFonts w:hint="eastAsia" w:ascii="宋体" w:hAnsi="宋体"/>
            <w:sz w:val="24"/>
          </w:rPr>
          <w:delText>经同级政府采购监督管理机关审批后</w:delText>
        </w:r>
      </w:del>
      <w:r>
        <w:rPr>
          <w:rFonts w:hint="eastAsia" w:ascii="宋体" w:hAnsi="宋体"/>
          <w:sz w:val="24"/>
        </w:rPr>
        <w:t>，可向乙方发出书面通知，部分或全部终止合同。同时保留向乙方追诉的权利。</w:t>
      </w:r>
    </w:p>
    <w:p w14:paraId="03D5D337">
      <w:pPr>
        <w:snapToGrid w:val="0"/>
        <w:spacing w:before="119" w:line="360" w:lineRule="auto"/>
        <w:ind w:left="566" w:hanging="41"/>
        <w:rPr>
          <w:rFonts w:hint="eastAsia" w:ascii="宋体" w:hAnsi="宋体"/>
          <w:sz w:val="24"/>
        </w:rPr>
      </w:pPr>
      <w:r>
        <w:rPr>
          <w:rFonts w:hint="eastAsia" w:ascii="宋体" w:hAnsi="宋体"/>
          <w:sz w:val="24"/>
        </w:rPr>
        <w:t xml:space="preserve">19.1.1乙方未能在合同规定的限期或甲方同意延长的限期内，提供全部或部分货物的； </w:t>
      </w:r>
    </w:p>
    <w:p w14:paraId="3D14AA71">
      <w:pPr>
        <w:snapToGrid w:val="0"/>
        <w:spacing w:before="119" w:line="360" w:lineRule="auto"/>
        <w:rPr>
          <w:rFonts w:hint="eastAsia" w:ascii="宋体" w:hAnsi="宋体"/>
          <w:sz w:val="24"/>
        </w:rPr>
      </w:pPr>
      <w:r>
        <w:rPr>
          <w:rFonts w:hint="eastAsia" w:ascii="宋体" w:hAnsi="宋体"/>
          <w:sz w:val="24"/>
        </w:rPr>
        <w:t>19.1.2 乙方未能履行合同规定的其它主要义务的；</w:t>
      </w:r>
    </w:p>
    <w:p w14:paraId="5CDB7323">
      <w:pPr>
        <w:snapToGrid w:val="0"/>
        <w:spacing w:before="119" w:line="360" w:lineRule="auto"/>
        <w:rPr>
          <w:ins w:id="52" w:author="qian yang" w:date="2025-12-28T21:10:00Z"/>
          <w:rFonts w:hint="eastAsia" w:ascii="宋体" w:hAnsi="宋体"/>
          <w:sz w:val="24"/>
        </w:rPr>
      </w:pPr>
      <w:r>
        <w:rPr>
          <w:rFonts w:hint="eastAsia" w:ascii="宋体" w:hAnsi="宋体"/>
          <w:sz w:val="24"/>
        </w:rPr>
        <w:t>19.1.3 甲方认为乙方在本合同履行过程中有腐败和欺诈行为的。</w:t>
      </w:r>
    </w:p>
    <w:p w14:paraId="11793733">
      <w:pPr>
        <w:snapToGrid w:val="0"/>
        <w:spacing w:before="119" w:line="360" w:lineRule="auto"/>
        <w:rPr>
          <w:del w:id="53" w:author="qian yang" w:date="2025-12-28T21:10:00Z"/>
          <w:rFonts w:hint="eastAsia" w:ascii="宋体" w:hAnsi="宋体"/>
          <w:sz w:val="24"/>
        </w:rPr>
      </w:pPr>
    </w:p>
    <w:p w14:paraId="69DCE77E">
      <w:pPr>
        <w:snapToGrid w:val="0"/>
        <w:spacing w:before="119" w:line="360" w:lineRule="auto"/>
        <w:rPr>
          <w:rFonts w:hint="eastAsia" w:ascii="宋体" w:hAnsi="宋体"/>
          <w:sz w:val="24"/>
        </w:rPr>
      </w:pPr>
      <w:r>
        <w:rPr>
          <w:rFonts w:hint="eastAsia" w:ascii="宋体" w:hAnsi="宋体"/>
          <w:sz w:val="24"/>
        </w:rPr>
        <w:t>19.1.3.1“腐败行为”和“欺诈行为”定义如下:</w:t>
      </w:r>
    </w:p>
    <w:p w14:paraId="5AA9CE8C">
      <w:pPr>
        <w:snapToGrid w:val="0"/>
        <w:spacing w:before="119" w:line="360" w:lineRule="auto"/>
        <w:ind w:left="566" w:hanging="41"/>
        <w:rPr>
          <w:rFonts w:hint="eastAsia" w:ascii="宋体" w:hAnsi="宋体"/>
          <w:sz w:val="24"/>
        </w:rPr>
      </w:pPr>
      <w:r>
        <w:rPr>
          <w:rFonts w:hint="eastAsia" w:ascii="宋体" w:hAnsi="宋体"/>
          <w:sz w:val="24"/>
        </w:rPr>
        <w:t>19.1.3.1.1“腐败行为”是指提供/给予/接受或索取任何有价值的东西来影响甲方在合同签订、履行过程中的行为。</w:t>
      </w:r>
    </w:p>
    <w:p w14:paraId="3F65C1C7">
      <w:pPr>
        <w:snapToGrid w:val="0"/>
        <w:spacing w:before="119" w:line="360" w:lineRule="auto"/>
        <w:ind w:left="566" w:hanging="41"/>
        <w:rPr>
          <w:ins w:id="54" w:author="qian yang" w:date="2025-12-28T21:11:00Z"/>
          <w:rFonts w:hint="eastAsia" w:ascii="宋体" w:hAnsi="宋体"/>
          <w:sz w:val="24"/>
        </w:rPr>
      </w:pPr>
      <w:r>
        <w:rPr>
          <w:rFonts w:hint="eastAsia" w:ascii="宋体" w:hAnsi="宋体"/>
          <w:sz w:val="24"/>
        </w:rPr>
        <w:t>19.1.3.1.2“欺诈行为”是指为了影响合同签订、履行过程，以谎报事实的方法， 损害甲方的利益的行为。</w:t>
      </w:r>
    </w:p>
    <w:p w14:paraId="1360298D">
      <w:pPr>
        <w:snapToGrid w:val="0"/>
        <w:spacing w:before="119" w:line="360" w:lineRule="auto"/>
        <w:ind w:left="0" w:firstLine="480" w:firstLineChars="200"/>
        <w:rPr>
          <w:ins w:id="56" w:author="qian yang" w:date="2025-12-28T21:11:00Z"/>
          <w:rFonts w:hint="eastAsia" w:ascii="宋体" w:hAnsi="宋体"/>
          <w:sz w:val="24"/>
        </w:rPr>
        <w:pPrChange w:id="55" w:author="qian yang" w:date="2025-12-28T21:12:00Z">
          <w:pPr>
            <w:snapToGrid w:val="0"/>
            <w:spacing w:before="119" w:line="360" w:lineRule="auto"/>
            <w:ind w:left="566" w:hanging="41"/>
          </w:pPr>
        </w:pPrChange>
      </w:pPr>
      <w:ins w:id="57" w:author="qian yang" w:date="2025-12-28T21:11:00Z">
        <w:bookmarkStart w:id="0" w:name="_Hlk217848645"/>
        <w:r>
          <w:rPr>
            <w:rFonts w:hint="eastAsia" w:ascii="宋体" w:hAnsi="宋体"/>
            <w:sz w:val="24"/>
          </w:rPr>
          <w:t>19.1.4 其它本合同约定或法律规定可解除合同情形。</w:t>
        </w:r>
        <w:bookmarkEnd w:id="0"/>
      </w:ins>
    </w:p>
    <w:p w14:paraId="1A1BF020">
      <w:pPr>
        <w:snapToGrid w:val="0"/>
        <w:spacing w:before="119" w:line="360" w:lineRule="auto"/>
        <w:ind w:left="566" w:hanging="41"/>
        <w:rPr>
          <w:del w:id="58" w:author="qian yang" w:date="2025-12-28T21:11:00Z"/>
          <w:rFonts w:hint="eastAsia" w:ascii="宋体" w:hAnsi="宋体"/>
          <w:sz w:val="24"/>
        </w:rPr>
      </w:pPr>
    </w:p>
    <w:p w14:paraId="3DC7BEDE">
      <w:pPr>
        <w:snapToGrid w:val="0"/>
        <w:spacing w:before="119" w:line="360" w:lineRule="auto"/>
        <w:ind w:left="566" w:hanging="41"/>
        <w:rPr>
          <w:rFonts w:hint="eastAsia" w:ascii="宋体" w:hAnsi="宋体"/>
          <w:sz w:val="24"/>
        </w:rPr>
      </w:pPr>
      <w:r>
        <w:rPr>
          <w:rFonts w:hint="eastAsia" w:ascii="宋体" w:hAnsi="宋体"/>
          <w:sz w:val="24"/>
        </w:rPr>
        <w:t>19.2在甲方根据上述第19.1条规定，</w:t>
      </w:r>
      <w:del w:id="59" w:author="qian yang" w:date="2025-12-28T21:11:00Z">
        <w:r>
          <w:rPr>
            <w:rFonts w:hint="eastAsia" w:ascii="宋体" w:hAnsi="宋体"/>
            <w:sz w:val="24"/>
          </w:rPr>
          <w:delText>全部或部分解除合同之后，应当遵循诚实信用原则，以政府采购监督管理部门同意的方式，购买与未交付的货物类似的货物或服务，乙方应承担甲方购买类似货物或服务而产生的额外支出。</w:delText>
        </w:r>
      </w:del>
      <w:r>
        <w:rPr>
          <w:rFonts w:hint="eastAsia" w:ascii="宋体" w:hAnsi="宋体"/>
          <w:sz w:val="24"/>
        </w:rPr>
        <w:t>部分解除合同的，乙方应继续履行合同中未解除的部分。</w:t>
      </w:r>
    </w:p>
    <w:p w14:paraId="32F220BE">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20、破产终止合同</w:t>
      </w:r>
    </w:p>
    <w:p w14:paraId="0DDEE78D">
      <w:pPr>
        <w:snapToGrid w:val="0"/>
        <w:spacing w:before="119" w:line="360" w:lineRule="auto"/>
        <w:ind w:left="566" w:hanging="41"/>
        <w:rPr>
          <w:rFonts w:hint="eastAsia" w:ascii="宋体" w:hAnsi="宋体"/>
          <w:sz w:val="24"/>
        </w:rPr>
      </w:pPr>
      <w:r>
        <w:rPr>
          <w:rFonts w:hint="eastAsia" w:ascii="宋体" w:hAnsi="宋体"/>
          <w:sz w:val="24"/>
        </w:rPr>
        <w:t>20.1如果乙方破产或被存在列入失信被执行人、终结本次执行的情形推定无清偿能力时，甲方经报同级政府采购监督管理部门审批后，可在任何时候以书面通知乙方，提出终止合同而不给乙方补偿。该合同的终止将不损害或不影响甲方已经采取或将要采取任何行动或补救措施的权利。</w:t>
      </w:r>
    </w:p>
    <w:p w14:paraId="3B65CD7C">
      <w:pPr>
        <w:keepNext/>
        <w:keepLines/>
        <w:autoSpaceDE w:val="0"/>
        <w:autoSpaceDN w:val="0"/>
        <w:adjustRightInd w:val="0"/>
        <w:snapToGrid w:val="0"/>
        <w:spacing w:before="360" w:after="120" w:line="360" w:lineRule="auto"/>
        <w:outlineLvl w:val="2"/>
        <w:rPr>
          <w:rFonts w:hint="eastAsia" w:ascii="宋体" w:hAnsi="宋体" w:cs="宋体"/>
          <w:b/>
          <w:bCs/>
          <w:kern w:val="0"/>
          <w:sz w:val="24"/>
          <w:u w:val="single"/>
        </w:rPr>
      </w:pPr>
      <w:r>
        <w:rPr>
          <w:rFonts w:hint="eastAsia" w:ascii="宋体" w:hAnsi="宋体" w:cs="宋体"/>
          <w:b/>
          <w:bCs/>
          <w:kern w:val="0"/>
          <w:sz w:val="24"/>
        </w:rPr>
        <w:t>21、转让和分包</w:t>
      </w:r>
    </w:p>
    <w:p w14:paraId="4B88EFE7">
      <w:pPr>
        <w:snapToGrid w:val="0"/>
        <w:spacing w:before="119" w:line="360" w:lineRule="auto"/>
        <w:rPr>
          <w:rFonts w:hint="eastAsia" w:ascii="宋体" w:hAnsi="宋体"/>
          <w:sz w:val="24"/>
        </w:rPr>
      </w:pPr>
      <w:r>
        <w:rPr>
          <w:rFonts w:hint="eastAsia" w:ascii="宋体" w:hAnsi="宋体"/>
          <w:sz w:val="24"/>
        </w:rPr>
        <w:t>21.1政府采购合同不能转让。</w:t>
      </w:r>
    </w:p>
    <w:p w14:paraId="5F68534C">
      <w:pPr>
        <w:snapToGrid w:val="0"/>
        <w:spacing w:before="119" w:line="360" w:lineRule="auto"/>
        <w:rPr>
          <w:rFonts w:hint="eastAsia" w:ascii="宋体" w:hAnsi="宋体"/>
          <w:sz w:val="24"/>
        </w:rPr>
      </w:pPr>
      <w:r>
        <w:rPr>
          <w:rFonts w:hint="eastAsia" w:ascii="宋体" w:hAnsi="宋体"/>
          <w:sz w:val="24"/>
        </w:rPr>
        <w:t>21.2 经甲方和同级政府采购监督管理部门事先书面同意乙方可以将合同项下非主体、非关键性工作分包给他人完成。接受分包的人应当具备相应的资格条件，并不得再次分包。分包后不能解除乙方履行本合同的责任和义务，接受分包的人与乙方共同对甲方连带承担合同的责任和义务。</w:t>
      </w:r>
    </w:p>
    <w:p w14:paraId="40507768">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22、合同修改</w:t>
      </w:r>
    </w:p>
    <w:p w14:paraId="6A01A0BA">
      <w:pPr>
        <w:snapToGrid w:val="0"/>
        <w:spacing w:before="119" w:line="360" w:lineRule="auto"/>
        <w:ind w:left="566" w:hanging="41"/>
        <w:rPr>
          <w:rFonts w:hint="eastAsia" w:ascii="宋体" w:hAnsi="宋体"/>
          <w:sz w:val="24"/>
        </w:rPr>
      </w:pPr>
      <w:r>
        <w:rPr>
          <w:rFonts w:hint="eastAsia" w:ascii="宋体" w:hAnsi="宋体"/>
          <w:sz w:val="24"/>
        </w:rPr>
        <w:t>22.1甲方和乙方都不得擅自变更本合同，但合同继续履行将损害国家和社会公共利益的除外。如必须对合同条款进行改动时，当事人双方须共同签署书面文件，作为合同的补充，并报同级政府采购监督管理部门备案。</w:t>
      </w:r>
    </w:p>
    <w:p w14:paraId="5B7FF881">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23、通知</w:t>
      </w:r>
    </w:p>
    <w:p w14:paraId="576D4D25">
      <w:pPr>
        <w:snapToGrid w:val="0"/>
        <w:spacing w:before="119" w:line="360" w:lineRule="auto"/>
        <w:ind w:left="566" w:hanging="41"/>
        <w:rPr>
          <w:rFonts w:hint="eastAsia" w:ascii="宋体" w:hAnsi="宋体"/>
          <w:sz w:val="24"/>
        </w:rPr>
      </w:pPr>
      <w:r>
        <w:rPr>
          <w:rFonts w:hint="eastAsia" w:ascii="宋体" w:hAnsi="宋体"/>
          <w:sz w:val="24"/>
        </w:rPr>
        <w:t>23.1本合同任何一方给另一方的通知，都应以书面形式发送，而另一方也应以书面形式确认并发送到对方明确的地址。</w:t>
      </w:r>
    </w:p>
    <w:p w14:paraId="17356DF1">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24、计量单位及检测报告</w:t>
      </w:r>
    </w:p>
    <w:p w14:paraId="77C786CC">
      <w:pPr>
        <w:snapToGrid w:val="0"/>
        <w:spacing w:before="119" w:line="360" w:lineRule="auto"/>
        <w:rPr>
          <w:rFonts w:hint="eastAsia" w:ascii="宋体" w:hAnsi="宋体"/>
          <w:sz w:val="24"/>
        </w:rPr>
      </w:pPr>
      <w:r>
        <w:rPr>
          <w:rFonts w:hint="eastAsia" w:ascii="宋体" w:hAnsi="宋体"/>
          <w:sz w:val="24"/>
        </w:rPr>
        <w:t>24.1除技术规范中另有规定外,计量单位均使用国家法定计量单位。</w:t>
      </w:r>
    </w:p>
    <w:p w14:paraId="3C8B2E8E">
      <w:pPr>
        <w:snapToGrid w:val="0"/>
        <w:spacing w:before="119" w:line="360" w:lineRule="auto"/>
        <w:ind w:left="1200" w:hanging="1200" w:hangingChars="500"/>
        <w:rPr>
          <w:rFonts w:hint="eastAsia" w:ascii="宋体" w:hAnsi="宋体"/>
          <w:sz w:val="24"/>
        </w:rPr>
      </w:pPr>
      <w:r>
        <w:rPr>
          <w:rFonts w:hint="eastAsia" w:ascii="宋体" w:hAnsi="宋体"/>
          <w:sz w:val="24"/>
        </w:rPr>
        <w:t>24.2 放射、核磁、检验类设备供货商需提供由具有CNAS认证的第三方检测机构出具的设备检定报告。</w:t>
      </w:r>
    </w:p>
    <w:p w14:paraId="4285CD89">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25、适用法律</w:t>
      </w:r>
    </w:p>
    <w:p w14:paraId="222AD358">
      <w:pPr>
        <w:snapToGrid w:val="0"/>
        <w:spacing w:before="119" w:line="360" w:lineRule="auto"/>
        <w:rPr>
          <w:rFonts w:hint="eastAsia" w:ascii="宋体" w:hAnsi="宋体"/>
          <w:sz w:val="24"/>
        </w:rPr>
      </w:pPr>
      <w:r>
        <w:rPr>
          <w:rFonts w:hint="eastAsia" w:ascii="宋体" w:hAnsi="宋体"/>
          <w:sz w:val="24"/>
        </w:rPr>
        <w:t>25.1本合同应按照中华人民共和国的法律进行解释。</w:t>
      </w:r>
    </w:p>
    <w:p w14:paraId="5FFA90E3">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26、履约保证金（/）</w:t>
      </w:r>
    </w:p>
    <w:p w14:paraId="2A953DF7">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27、合同生效和其它</w:t>
      </w:r>
    </w:p>
    <w:p w14:paraId="3A76FCFB">
      <w:pPr>
        <w:snapToGrid w:val="0"/>
        <w:spacing w:line="360" w:lineRule="auto"/>
        <w:ind w:left="566" w:hanging="41"/>
        <w:rPr>
          <w:rFonts w:hint="eastAsia" w:ascii="宋体" w:hAnsi="宋体"/>
          <w:sz w:val="24"/>
        </w:rPr>
      </w:pPr>
      <w:r>
        <w:rPr>
          <w:rFonts w:hint="eastAsia" w:ascii="宋体" w:hAnsi="宋体"/>
          <w:sz w:val="24"/>
        </w:rPr>
        <w:t>27.1政府采购项目的采购合同内容的确定应以招标文件和投标文件为基础，不得违背其实质性内容。政府采购项目的采购合同自签订之日起七个工作日内，甲方应当将合同副本报同级政府采购监督管理部门和有关部门备案。合同将在双方签字盖章并由乙方递交</w:t>
      </w:r>
      <w:r>
        <w:rPr>
          <w:rFonts w:hint="eastAsia" w:ascii="宋体" w:hAnsi="宋体"/>
          <w:sz w:val="24"/>
          <w:highlight w:val="green"/>
          <w:rPrChange w:id="60" w:author="qian yang" w:date="2025-12-28T21:13:00Z">
            <w:rPr>
              <w:rFonts w:hint="eastAsia" w:ascii="宋体" w:hAnsi="宋体"/>
              <w:sz w:val="24"/>
            </w:rPr>
          </w:rPrChange>
        </w:rPr>
        <w:t>履约</w:t>
      </w:r>
      <w:commentRangeStart w:id="3"/>
      <w:r>
        <w:rPr>
          <w:rFonts w:hint="eastAsia" w:ascii="宋体" w:hAnsi="宋体"/>
          <w:sz w:val="24"/>
          <w:highlight w:val="green"/>
          <w:rPrChange w:id="61" w:author="qian yang" w:date="2025-12-28T21:13:00Z">
            <w:rPr>
              <w:rFonts w:hint="eastAsia" w:ascii="宋体" w:hAnsi="宋体"/>
              <w:sz w:val="24"/>
            </w:rPr>
          </w:rPrChange>
        </w:rPr>
        <w:t>保证金</w:t>
      </w:r>
      <w:commentRangeEnd w:id="3"/>
      <w:r>
        <w:rPr>
          <w:rStyle w:val="8"/>
        </w:rPr>
        <w:commentReference w:id="3"/>
      </w:r>
      <w:r>
        <w:rPr>
          <w:rFonts w:hint="eastAsia" w:ascii="宋体" w:hAnsi="宋体"/>
          <w:sz w:val="24"/>
        </w:rPr>
        <w:t>后开始生效。</w:t>
      </w:r>
    </w:p>
    <w:p w14:paraId="01D3F145">
      <w:pPr>
        <w:snapToGrid w:val="0"/>
        <w:spacing w:line="360" w:lineRule="auto"/>
        <w:ind w:left="566" w:hanging="41"/>
        <w:rPr>
          <w:rFonts w:hint="eastAsia" w:ascii="宋体" w:hAnsi="宋体"/>
          <w:sz w:val="24"/>
        </w:rPr>
      </w:pPr>
      <w:r>
        <w:rPr>
          <w:rFonts w:hint="eastAsia" w:ascii="宋体" w:hAnsi="宋体"/>
          <w:sz w:val="24"/>
        </w:rPr>
        <w:t>27.2 本合同一式陆份，甲方（伍）份，乙方（壹）份。</w:t>
      </w:r>
    </w:p>
    <w:p w14:paraId="3ADB8D81">
      <w:pPr>
        <w:widowControl/>
        <w:jc w:val="left"/>
        <w:rPr>
          <w:rFonts w:hint="eastAsia" w:ascii="宋体" w:hAnsi="宋体"/>
          <w:b/>
          <w:spacing w:val="175"/>
          <w:sz w:val="24"/>
        </w:rPr>
      </w:pPr>
      <w:r>
        <w:rPr>
          <w:rFonts w:hint="eastAsia" w:ascii="宋体" w:hAnsi="宋体"/>
          <w:b/>
          <w:spacing w:val="175"/>
          <w:sz w:val="24"/>
        </w:rPr>
        <w:br w:type="page"/>
      </w:r>
    </w:p>
    <w:p w14:paraId="13D05281">
      <w:pPr>
        <w:jc w:val="center"/>
        <w:outlineLvl w:val="0"/>
        <w:rPr>
          <w:rFonts w:hint="eastAsia" w:ascii="宋体" w:hAnsi="宋体"/>
          <w:b/>
          <w:sz w:val="24"/>
        </w:rPr>
      </w:pPr>
      <w:bookmarkStart w:id="1" w:name="_Toc213778818"/>
      <w:r>
        <w:rPr>
          <w:rFonts w:hint="eastAsia" w:ascii="宋体" w:hAnsi="宋体"/>
          <w:b/>
          <w:sz w:val="24"/>
        </w:rPr>
        <w:t>合同特殊条款</w:t>
      </w:r>
      <w:bookmarkEnd w:id="1"/>
    </w:p>
    <w:p w14:paraId="39F9D1AA">
      <w:pPr>
        <w:ind w:left="561" w:hanging="36"/>
        <w:rPr>
          <w:rFonts w:hint="eastAsia" w:ascii="宋体" w:hAnsi="宋体"/>
        </w:rPr>
      </w:pPr>
    </w:p>
    <w:p w14:paraId="3FED4671">
      <w:pPr>
        <w:tabs>
          <w:tab w:val="left" w:pos="5578"/>
        </w:tabs>
        <w:snapToGrid w:val="0"/>
        <w:spacing w:line="360" w:lineRule="auto"/>
        <w:ind w:left="525" w:firstLine="480" w:firstLineChars="200"/>
        <w:rPr>
          <w:rFonts w:hint="eastAsia" w:ascii="宋体" w:hAnsi="宋体"/>
          <w:sz w:val="24"/>
        </w:rPr>
      </w:pPr>
      <w:r>
        <w:rPr>
          <w:rFonts w:hint="eastAsia" w:ascii="宋体" w:hAnsi="宋体"/>
          <w:sz w:val="24"/>
        </w:rPr>
        <w:t>合同特殊条款是合同一般条款的补充和修改。如果两者之间有抵触，应以特殊条款为准。合同特殊条款的序号将与合同一般条款序号相对应。</w:t>
      </w:r>
    </w:p>
    <w:p w14:paraId="0CB4352B">
      <w:pPr>
        <w:numPr>
          <w:ilvl w:val="0"/>
          <w:numId w:val="2"/>
        </w:numPr>
        <w:snapToGrid w:val="0"/>
        <w:spacing w:before="119" w:line="360" w:lineRule="auto"/>
        <w:ind w:left="566" w:hanging="41"/>
        <w:textAlignment w:val="baseline"/>
        <w:rPr>
          <w:rFonts w:hint="eastAsia" w:ascii="宋体" w:hAnsi="宋体"/>
          <w:sz w:val="24"/>
        </w:rPr>
      </w:pPr>
      <w:r>
        <w:rPr>
          <w:rFonts w:hint="eastAsia" w:ascii="宋体" w:hAnsi="宋体"/>
          <w:b/>
          <w:sz w:val="24"/>
        </w:rPr>
        <w:t>定义</w:t>
      </w:r>
    </w:p>
    <w:p w14:paraId="78687D79">
      <w:pPr>
        <w:snapToGrid w:val="0"/>
        <w:spacing w:before="119" w:line="360" w:lineRule="auto"/>
        <w:rPr>
          <w:rFonts w:hint="eastAsia" w:ascii="宋体" w:hAnsi="宋体"/>
          <w:sz w:val="24"/>
        </w:rPr>
      </w:pPr>
      <w:r>
        <w:rPr>
          <w:rFonts w:hint="eastAsia" w:ascii="宋体" w:hAnsi="宋体"/>
          <w:sz w:val="24"/>
        </w:rPr>
        <w:t>1.4甲方：本合同甲方系指：</w:t>
      </w:r>
      <w:r>
        <w:rPr>
          <w:rFonts w:hint="eastAsia" w:ascii="宋体" w:hAnsi="宋体" w:cs="宋体"/>
          <w:sz w:val="24"/>
          <w:u w:val="single"/>
        </w:rPr>
        <w:t>北京市海淀区西三旗社区卫生服务中心</w:t>
      </w:r>
      <w:r>
        <w:rPr>
          <w:rFonts w:hint="eastAsia" w:ascii="宋体" w:hAnsi="宋体" w:cs="宋体"/>
          <w:sz w:val="24"/>
        </w:rPr>
        <w:t>。</w:t>
      </w:r>
    </w:p>
    <w:p w14:paraId="5BA27667">
      <w:pPr>
        <w:snapToGrid w:val="0"/>
        <w:spacing w:before="119" w:line="360" w:lineRule="auto"/>
        <w:rPr>
          <w:rFonts w:hint="eastAsia" w:ascii="宋体" w:hAnsi="宋体" w:cs="宋体"/>
          <w:sz w:val="24"/>
        </w:rPr>
      </w:pPr>
      <w:r>
        <w:rPr>
          <w:rFonts w:hint="eastAsia" w:ascii="宋体" w:hAnsi="宋体"/>
          <w:sz w:val="24"/>
        </w:rPr>
        <w:t>1.5乙方：本合同乙方系指：</w:t>
      </w:r>
      <w:r>
        <w:rPr>
          <w:rFonts w:hint="eastAsia" w:ascii="宋体" w:hAnsi="宋体" w:cs="宋体"/>
          <w:sz w:val="24"/>
          <w:u w:val="single"/>
        </w:rPr>
        <w:t>山东威高血液净化制品股份有限公司</w:t>
      </w:r>
      <w:r>
        <w:rPr>
          <w:rFonts w:hint="eastAsia" w:ascii="宋体" w:hAnsi="宋体" w:cs="宋体"/>
          <w:sz w:val="24"/>
        </w:rPr>
        <w:t>。</w:t>
      </w:r>
    </w:p>
    <w:p w14:paraId="02A5398B">
      <w:pPr>
        <w:snapToGrid w:val="0"/>
        <w:spacing w:before="119" w:line="360" w:lineRule="auto"/>
        <w:rPr>
          <w:rFonts w:hint="eastAsia" w:ascii="宋体" w:hAnsi="宋体"/>
          <w:sz w:val="24"/>
        </w:rPr>
      </w:pPr>
      <w:r>
        <w:rPr>
          <w:rFonts w:hint="eastAsia" w:ascii="宋体" w:hAnsi="宋体"/>
          <w:sz w:val="24"/>
        </w:rPr>
        <w:t>1.6 现场：本合同项下的货物安装和运行地点：</w:t>
      </w:r>
      <w:r>
        <w:rPr>
          <w:rFonts w:hint="eastAsia" w:ascii="宋体" w:hAnsi="宋体"/>
          <w:sz w:val="24"/>
          <w:u w:val="single"/>
        </w:rPr>
        <w:t>甲方指定地点</w:t>
      </w:r>
      <w:r>
        <w:rPr>
          <w:rFonts w:hint="eastAsia" w:ascii="宋体" w:hAnsi="宋体"/>
          <w:sz w:val="24"/>
        </w:rPr>
        <w:t>。</w:t>
      </w:r>
    </w:p>
    <w:p w14:paraId="179D4118">
      <w:pPr>
        <w:snapToGrid w:val="0"/>
        <w:spacing w:before="119" w:line="360" w:lineRule="auto"/>
        <w:rPr>
          <w:rFonts w:hint="eastAsia" w:ascii="宋体" w:hAnsi="宋体"/>
          <w:sz w:val="24"/>
        </w:rPr>
      </w:pPr>
      <w:r>
        <w:rPr>
          <w:rFonts w:hint="eastAsia" w:ascii="宋体" w:hAnsi="宋体"/>
          <w:b/>
          <w:sz w:val="24"/>
        </w:rPr>
        <w:t>6、交货方式</w:t>
      </w:r>
    </w:p>
    <w:p w14:paraId="06D70706">
      <w:pPr>
        <w:snapToGrid w:val="0"/>
        <w:spacing w:before="119" w:line="360" w:lineRule="auto"/>
        <w:rPr>
          <w:rFonts w:hint="eastAsia" w:ascii="宋体" w:hAnsi="宋体"/>
          <w:sz w:val="24"/>
        </w:rPr>
      </w:pPr>
      <w:r>
        <w:rPr>
          <w:rFonts w:hint="eastAsia" w:ascii="宋体" w:hAnsi="宋体"/>
          <w:sz w:val="24"/>
        </w:rPr>
        <w:t>6.1本合同项下的货物交货方式为：</w:t>
      </w:r>
      <w:ins w:id="62" w:author="qian yang" w:date="2025-12-28T21:13:00Z">
        <w:r>
          <w:rPr>
            <w:rFonts w:hint="eastAsia" w:ascii="宋体" w:hAnsi="宋体"/>
            <w:sz w:val="24"/>
            <w:u w:val="single"/>
          </w:rPr>
          <w:t>甲</w:t>
        </w:r>
      </w:ins>
      <w:del w:id="63" w:author="qian yang" w:date="2025-12-28T21:13:00Z">
        <w:r>
          <w:rPr>
            <w:rFonts w:hint="eastAsia" w:ascii="宋体" w:hAnsi="宋体"/>
            <w:sz w:val="24"/>
            <w:u w:val="single"/>
          </w:rPr>
          <w:delText>院</w:delText>
        </w:r>
      </w:del>
      <w:r>
        <w:rPr>
          <w:rFonts w:hint="eastAsia" w:ascii="宋体" w:hAnsi="宋体"/>
          <w:sz w:val="24"/>
          <w:u w:val="single"/>
        </w:rPr>
        <w:t>方指定地点，现场交货</w:t>
      </w:r>
      <w:r>
        <w:rPr>
          <w:rFonts w:hint="eastAsia" w:ascii="宋体" w:hAnsi="宋体"/>
          <w:sz w:val="24"/>
        </w:rPr>
        <w:t>。</w:t>
      </w:r>
    </w:p>
    <w:p w14:paraId="0235185F">
      <w:pPr>
        <w:tabs>
          <w:tab w:val="left" w:pos="420"/>
        </w:tabs>
        <w:spacing w:line="360" w:lineRule="auto"/>
        <w:rPr>
          <w:rFonts w:hint="eastAsia" w:ascii="宋体" w:hAnsi="宋体"/>
          <w:b/>
          <w:sz w:val="24"/>
        </w:rPr>
      </w:pPr>
      <w:r>
        <w:rPr>
          <w:rFonts w:hint="eastAsia" w:ascii="宋体" w:hAnsi="宋体"/>
          <w:b/>
          <w:sz w:val="24"/>
        </w:rPr>
        <w:t>9、付款条件：</w:t>
      </w:r>
      <w:r>
        <w:rPr>
          <w:rFonts w:hint="eastAsia" w:ascii="宋体" w:hAnsi="宋体"/>
          <w:bCs/>
          <w:sz w:val="24"/>
        </w:rPr>
        <w:t>见合同协议书第6条。</w:t>
      </w:r>
    </w:p>
    <w:p w14:paraId="49F4A7EA">
      <w:pPr>
        <w:snapToGrid w:val="0"/>
        <w:spacing w:before="119" w:line="360" w:lineRule="auto"/>
        <w:rPr>
          <w:rFonts w:hint="eastAsia" w:ascii="宋体" w:hAnsi="宋体"/>
          <w:sz w:val="24"/>
        </w:rPr>
      </w:pPr>
      <w:r>
        <w:rPr>
          <w:rFonts w:hint="eastAsia" w:ascii="宋体" w:hAnsi="宋体"/>
          <w:b/>
          <w:sz w:val="24"/>
        </w:rPr>
        <w:t>10、技术资料：</w:t>
      </w:r>
      <w:r>
        <w:rPr>
          <w:rFonts w:hint="eastAsia" w:ascii="宋体" w:hAnsi="宋体"/>
          <w:sz w:val="24"/>
          <w:u w:val="single"/>
        </w:rPr>
        <w:t>中标供货商将技术资料完整、准确并按照甲方固定资产验收部门的要求整理后，上交甲方技术资料管理人员归档。</w:t>
      </w:r>
    </w:p>
    <w:p w14:paraId="49DA86B7">
      <w:pPr>
        <w:snapToGrid w:val="0"/>
        <w:spacing w:before="119" w:line="360" w:lineRule="auto"/>
        <w:rPr>
          <w:rFonts w:hint="eastAsia" w:ascii="宋体" w:hAnsi="宋体"/>
          <w:sz w:val="24"/>
        </w:rPr>
      </w:pPr>
      <w:r>
        <w:rPr>
          <w:rFonts w:hint="eastAsia" w:ascii="宋体" w:hAnsi="宋体"/>
          <w:b/>
          <w:sz w:val="24"/>
        </w:rPr>
        <w:t>11、质量保证：</w:t>
      </w:r>
    </w:p>
    <w:p w14:paraId="5F6EE8A1">
      <w:pPr>
        <w:snapToGrid w:val="0"/>
        <w:spacing w:before="119" w:line="360" w:lineRule="auto"/>
        <w:rPr>
          <w:rFonts w:hint="eastAsia" w:ascii="宋体" w:hAnsi="宋体"/>
          <w:sz w:val="24"/>
        </w:rPr>
      </w:pPr>
      <w:r>
        <w:rPr>
          <w:rFonts w:hint="eastAsia" w:ascii="宋体" w:hAnsi="宋体"/>
          <w:sz w:val="24"/>
        </w:rPr>
        <w:t>11.3</w:t>
      </w:r>
      <w:ins w:id="64" w:author="qian yang" w:date="2025-12-28T21:13:00Z">
        <w:r>
          <w:rPr>
            <w:rFonts w:hint="eastAsia" w:ascii="宋体" w:hAnsi="宋体"/>
            <w:sz w:val="24"/>
          </w:rPr>
          <w:t>保修期自验收合格之日起计算，</w:t>
        </w:r>
      </w:ins>
      <w:r>
        <w:rPr>
          <w:rFonts w:hint="eastAsia" w:ascii="宋体" w:hAnsi="宋体"/>
          <w:sz w:val="24"/>
        </w:rPr>
        <w:t>乙方在收到通知后</w:t>
      </w:r>
      <w:r>
        <w:rPr>
          <w:rFonts w:hint="eastAsia" w:ascii="宋体" w:hAnsi="宋体"/>
          <w:sz w:val="24"/>
          <w:u w:val="single"/>
        </w:rPr>
        <w:t>在保修期</w:t>
      </w:r>
      <w:r>
        <w:rPr>
          <w:rFonts w:hint="eastAsia" w:ascii="宋体" w:hAnsi="宋体"/>
          <w:sz w:val="24"/>
        </w:rPr>
        <w:t>内应免费维修或更换有缺陷的货物或部件。</w:t>
      </w:r>
    </w:p>
    <w:p w14:paraId="3CDF53A3">
      <w:pPr>
        <w:snapToGrid w:val="0"/>
        <w:spacing w:before="119" w:line="360" w:lineRule="auto"/>
        <w:ind w:left="566" w:hanging="41"/>
        <w:rPr>
          <w:rFonts w:hint="eastAsia" w:ascii="宋体" w:hAnsi="宋体"/>
          <w:sz w:val="24"/>
        </w:rPr>
      </w:pPr>
      <w:r>
        <w:rPr>
          <w:rFonts w:hint="eastAsia" w:ascii="宋体" w:hAnsi="宋体"/>
          <w:sz w:val="24"/>
        </w:rPr>
        <w:t>11.4如果乙方在收到通知后</w:t>
      </w:r>
      <w:ins w:id="65" w:author="qian yang" w:date="2025-12-28T21:14:00Z">
        <w:r>
          <w:rPr>
            <w:rFonts w:hint="eastAsia" w:ascii="宋体" w:hAnsi="宋体"/>
            <w:sz w:val="24"/>
            <w:u w:val="single"/>
          </w:rPr>
          <w:t>在附件7《</w:t>
        </w:r>
      </w:ins>
      <w:ins w:id="66" w:author="qian yang" w:date="2025-12-28T21:14:00Z">
        <w:r>
          <w:rPr>
            <w:rFonts w:hint="eastAsia" w:ascii="宋体" w:hAnsi="宋体"/>
            <w:sz w:val="24"/>
          </w:rPr>
          <w:t>售后服务承诺书</w:t>
        </w:r>
      </w:ins>
      <w:ins w:id="67" w:author="qian yang" w:date="2025-12-28T21:14:00Z">
        <w:r>
          <w:rPr>
            <w:rFonts w:hint="eastAsia" w:ascii="宋体" w:hAnsi="宋体"/>
            <w:sz w:val="24"/>
            <w:u w:val="single"/>
          </w:rPr>
          <w:t>》所承诺的时间</w:t>
        </w:r>
      </w:ins>
      <w:del w:id="68" w:author="qian yang" w:date="2025-12-28T21:14:00Z">
        <w:r>
          <w:rPr>
            <w:rFonts w:hint="eastAsia" w:ascii="宋体" w:hAnsi="宋体"/>
            <w:sz w:val="24"/>
            <w:u w:val="single"/>
          </w:rPr>
          <w:delText>3个工作日</w:delText>
        </w:r>
      </w:del>
      <w:r>
        <w:rPr>
          <w:rFonts w:hint="eastAsia" w:ascii="宋体" w:hAnsi="宋体"/>
          <w:sz w:val="24"/>
        </w:rPr>
        <w:t>内没有弥补缺陷，甲方可采取必要的补救措施，但风险和费用将由乙方承担</w:t>
      </w:r>
      <w:ins w:id="69" w:author="qian yang" w:date="2025-12-28T21:14:00Z">
        <w:r>
          <w:rPr>
            <w:rFonts w:hint="eastAsia" w:ascii="宋体" w:hAnsi="宋体"/>
            <w:sz w:val="24"/>
          </w:rPr>
          <w:t>，且每违约一次应向甲方支付合同总金额的5%作为违约金，并赔偿由此给甲方造成的全部损失</w:t>
        </w:r>
      </w:ins>
      <w:r>
        <w:rPr>
          <w:rFonts w:hint="eastAsia" w:ascii="宋体" w:hAnsi="宋体"/>
          <w:sz w:val="24"/>
        </w:rPr>
        <w:t>。</w:t>
      </w:r>
    </w:p>
    <w:p w14:paraId="5E986450">
      <w:pPr>
        <w:snapToGrid w:val="0"/>
        <w:spacing w:before="119" w:line="360" w:lineRule="auto"/>
        <w:ind w:left="566" w:hanging="41"/>
        <w:rPr>
          <w:rFonts w:hint="eastAsia" w:ascii="宋体" w:hAnsi="宋体"/>
          <w:sz w:val="24"/>
        </w:rPr>
      </w:pPr>
      <w:r>
        <w:rPr>
          <w:rFonts w:hint="eastAsia" w:ascii="宋体" w:hAnsi="宋体"/>
          <w:sz w:val="24"/>
        </w:rPr>
        <w:t>11.5合同项下货物的质量保证期为自货物通过最终验收起按照</w:t>
      </w:r>
      <w:ins w:id="70" w:author="qian yang" w:date="2025-12-28T21:15:00Z">
        <w:r>
          <w:rPr>
            <w:rFonts w:hint="eastAsia" w:ascii="宋体" w:hAnsi="宋体"/>
            <w:sz w:val="24"/>
          </w:rPr>
          <w:t>合同约定、</w:t>
        </w:r>
      </w:ins>
      <w:commentRangeStart w:id="4"/>
      <w:r>
        <w:rPr>
          <w:rFonts w:hint="eastAsia" w:ascii="宋体" w:hAnsi="宋体"/>
          <w:sz w:val="24"/>
          <w:u w:val="single"/>
        </w:rPr>
        <w:t>中标条款</w:t>
      </w:r>
      <w:commentRangeEnd w:id="4"/>
      <w:r>
        <w:rPr>
          <w:rStyle w:val="8"/>
        </w:rPr>
        <w:commentReference w:id="4"/>
      </w:r>
      <w:r>
        <w:rPr>
          <w:rFonts w:hint="eastAsia" w:ascii="宋体" w:hAnsi="宋体"/>
          <w:sz w:val="24"/>
          <w:u w:val="single"/>
        </w:rPr>
        <w:t>履行保修工作</w:t>
      </w:r>
      <w:ins w:id="71" w:author="qian yang" w:date="2025-12-28T21:15:00Z">
        <w:r>
          <w:rPr>
            <w:rFonts w:hint="eastAsia" w:ascii="宋体" w:hAnsi="宋体"/>
            <w:sz w:val="24"/>
            <w:u w:val="single"/>
          </w:rPr>
          <w:t>、退换货</w:t>
        </w:r>
      </w:ins>
      <w:r>
        <w:rPr>
          <w:rFonts w:hint="eastAsia" w:ascii="宋体" w:hAnsi="宋体"/>
          <w:sz w:val="24"/>
          <w:u w:val="single"/>
        </w:rPr>
        <w:t>。</w:t>
      </w:r>
    </w:p>
    <w:p w14:paraId="174D3193">
      <w:pPr>
        <w:widowControl/>
        <w:numPr>
          <w:ilvl w:val="0"/>
          <w:numId w:val="3"/>
        </w:numPr>
        <w:snapToGrid w:val="0"/>
        <w:spacing w:before="119" w:line="360" w:lineRule="auto"/>
        <w:ind w:left="1041"/>
        <w:jc w:val="left"/>
        <w:rPr>
          <w:rFonts w:hint="eastAsia" w:ascii="宋体" w:hAnsi="宋体" w:cs="Calibri"/>
          <w:b/>
          <w:sz w:val="24"/>
          <w:szCs w:val="22"/>
        </w:rPr>
      </w:pPr>
      <w:r>
        <w:rPr>
          <w:rFonts w:hint="eastAsia" w:ascii="宋体" w:hAnsi="宋体" w:cs="Calibri"/>
          <w:b/>
          <w:sz w:val="24"/>
          <w:szCs w:val="22"/>
        </w:rPr>
        <w:t>检验和验收：</w:t>
      </w:r>
    </w:p>
    <w:p w14:paraId="07738615">
      <w:pPr>
        <w:tabs>
          <w:tab w:val="left" w:pos="426"/>
          <w:tab w:val="left" w:pos="846"/>
        </w:tabs>
        <w:snapToGrid w:val="0"/>
        <w:spacing w:before="119" w:line="360" w:lineRule="auto"/>
        <w:textAlignment w:val="baseline"/>
        <w:rPr>
          <w:rFonts w:hint="eastAsia" w:ascii="宋体" w:hAnsi="宋体"/>
          <w:sz w:val="24"/>
        </w:rPr>
      </w:pPr>
      <w:r>
        <w:rPr>
          <w:rFonts w:hint="eastAsia" w:ascii="宋体" w:hAnsi="宋体"/>
          <w:b/>
          <w:sz w:val="24"/>
        </w:rPr>
        <w:t>13、索赔：</w:t>
      </w:r>
    </w:p>
    <w:p w14:paraId="75EB9783">
      <w:pPr>
        <w:snapToGrid w:val="0"/>
        <w:spacing w:before="119" w:line="360" w:lineRule="auto"/>
        <w:rPr>
          <w:rFonts w:hint="eastAsia" w:ascii="宋体" w:hAnsi="宋体"/>
          <w:sz w:val="24"/>
        </w:rPr>
      </w:pPr>
      <w:r>
        <w:rPr>
          <w:rFonts w:hint="eastAsia" w:ascii="宋体" w:hAnsi="宋体"/>
          <w:sz w:val="24"/>
        </w:rPr>
        <w:t>13.3索赔通知期限：</w:t>
      </w:r>
      <w:r>
        <w:rPr>
          <w:rFonts w:hint="eastAsia" w:ascii="宋体" w:hAnsi="宋体"/>
          <w:sz w:val="24"/>
          <w:u w:val="single"/>
        </w:rPr>
        <w:t>3</w:t>
      </w:r>
      <w:r>
        <w:rPr>
          <w:rFonts w:hint="eastAsia" w:ascii="宋体" w:hAnsi="宋体"/>
          <w:sz w:val="24"/>
        </w:rPr>
        <w:t>个工作日。</w:t>
      </w:r>
    </w:p>
    <w:p w14:paraId="6A206C28">
      <w:pPr>
        <w:snapToGrid w:val="0"/>
        <w:spacing w:before="119" w:line="360" w:lineRule="auto"/>
        <w:textAlignment w:val="baseline"/>
        <w:rPr>
          <w:rFonts w:hint="eastAsia" w:ascii="宋体" w:hAnsi="宋体"/>
          <w:b/>
          <w:sz w:val="24"/>
        </w:rPr>
      </w:pPr>
      <w:r>
        <w:rPr>
          <w:rFonts w:hint="eastAsia" w:ascii="宋体" w:hAnsi="宋体"/>
          <w:b/>
          <w:sz w:val="24"/>
        </w:rPr>
        <w:t>16、不可抗力：</w:t>
      </w:r>
    </w:p>
    <w:p w14:paraId="78E22633">
      <w:pPr>
        <w:snapToGrid w:val="0"/>
        <w:spacing w:before="119" w:line="360" w:lineRule="auto"/>
        <w:rPr>
          <w:rFonts w:hint="eastAsia" w:ascii="宋体" w:hAnsi="宋体"/>
          <w:sz w:val="24"/>
        </w:rPr>
      </w:pPr>
      <w:r>
        <w:rPr>
          <w:rFonts w:hint="eastAsia" w:ascii="宋体" w:hAnsi="宋体"/>
          <w:sz w:val="24"/>
        </w:rPr>
        <w:t>16.2不可抗力通知送达时间：事故发生后</w:t>
      </w:r>
      <w:r>
        <w:rPr>
          <w:rFonts w:hint="eastAsia" w:ascii="宋体" w:hAnsi="宋体"/>
          <w:sz w:val="24"/>
          <w:u w:val="single"/>
        </w:rPr>
        <w:t>3</w:t>
      </w:r>
      <w:r>
        <w:rPr>
          <w:rFonts w:hint="eastAsia" w:ascii="宋体" w:hAnsi="宋体"/>
          <w:sz w:val="24"/>
        </w:rPr>
        <w:t>个工作日内。</w:t>
      </w:r>
    </w:p>
    <w:p w14:paraId="16E07368">
      <w:pPr>
        <w:keepNext/>
        <w:keepLines/>
        <w:autoSpaceDE w:val="0"/>
        <w:autoSpaceDN w:val="0"/>
        <w:adjustRightInd w:val="0"/>
        <w:snapToGrid w:val="0"/>
        <w:spacing w:before="360" w:after="120" w:line="360" w:lineRule="auto"/>
        <w:outlineLvl w:val="2"/>
        <w:rPr>
          <w:rFonts w:hint="eastAsia" w:ascii="宋体" w:hAnsi="宋体" w:cs="宋体"/>
          <w:b/>
          <w:kern w:val="0"/>
          <w:sz w:val="24"/>
          <w:u w:val="single"/>
        </w:rPr>
      </w:pPr>
      <w:r>
        <w:rPr>
          <w:rFonts w:hint="eastAsia" w:ascii="宋体" w:hAnsi="宋体" w:cs="宋体"/>
          <w:b/>
          <w:kern w:val="0"/>
          <w:sz w:val="24"/>
        </w:rPr>
        <w:t>24、计量单位及检测报告</w:t>
      </w:r>
    </w:p>
    <w:p w14:paraId="3BB82071">
      <w:pPr>
        <w:snapToGrid w:val="0"/>
        <w:spacing w:before="119" w:line="360" w:lineRule="auto"/>
        <w:ind w:left="1200" w:hanging="1200" w:hangingChars="500"/>
        <w:rPr>
          <w:ins w:id="72" w:author="qian yang" w:date="2025-12-28T21:16:00Z"/>
          <w:rFonts w:hint="eastAsia" w:ascii="宋体" w:hAnsi="宋体"/>
          <w:sz w:val="24"/>
        </w:rPr>
      </w:pPr>
      <w:r>
        <w:rPr>
          <w:rFonts w:hint="eastAsia" w:ascii="宋体" w:hAnsi="宋体"/>
          <w:sz w:val="24"/>
        </w:rPr>
        <w:t>24.2放射、核磁、检验类设备供货商需提供由具有CNAS认证的第三方检测机构出具的设备检定报告。</w:t>
      </w:r>
    </w:p>
    <w:p w14:paraId="1522B746">
      <w:pPr>
        <w:snapToGrid w:val="0"/>
        <w:spacing w:before="119" w:line="360" w:lineRule="auto"/>
        <w:ind w:left="1"/>
        <w:rPr>
          <w:ins w:id="73" w:author="qian yang" w:date="2025-12-28T21:16:00Z"/>
          <w:rFonts w:hint="eastAsia" w:ascii="楷体" w:hAnsi="楷体" w:eastAsia="楷体" w:cs="Arial"/>
          <w:sz w:val="24"/>
        </w:rPr>
      </w:pPr>
      <w:ins w:id="74" w:author="qian yang" w:date="2025-12-28T21:16:00Z">
        <w:r>
          <w:rPr>
            <w:rFonts w:hint="eastAsia" w:ascii="宋体" w:hAnsi="宋体"/>
            <w:sz w:val="24"/>
          </w:rPr>
          <w:t>25.</w:t>
        </w:r>
      </w:ins>
      <w:ins w:id="75" w:author="qian yang" w:date="2025-12-28T21:16:00Z">
        <w:r>
          <w:rPr>
            <w:rFonts w:ascii="楷体" w:hAnsi="楷体" w:eastAsia="楷体" w:cs="Arial"/>
            <w:sz w:val="24"/>
          </w:rPr>
          <w:t xml:space="preserve"> </w:t>
        </w:r>
      </w:ins>
      <w:ins w:id="76" w:author="qian yang" w:date="2025-12-28T21:16:00Z">
        <w:r>
          <w:rPr>
            <w:rFonts w:hint="eastAsia" w:ascii="楷体" w:hAnsi="楷体" w:eastAsia="楷体" w:cs="Arial"/>
            <w:sz w:val="24"/>
          </w:rPr>
          <w:t>乙方指定姓名：        ，手机号：          作为本合同授权代表，全权负责本合同联络等一切工作，</w:t>
        </w:r>
      </w:ins>
      <w:ins w:id="77" w:author="qian yang" w:date="2025-12-28T21:16:00Z">
        <w:r>
          <w:rPr>
            <w:rFonts w:ascii="楷体" w:hAnsi="楷体" w:eastAsia="楷体" w:cs="Arial"/>
            <w:sz w:val="24"/>
          </w:rPr>
          <w:t>若乙方对前述信息进行变更，应提前</w:t>
        </w:r>
      </w:ins>
      <w:ins w:id="78" w:author="qian yang" w:date="2025-12-28T21:16:00Z">
        <w:r>
          <w:rPr>
            <w:rFonts w:hint="eastAsia" w:ascii="楷体" w:hAnsi="楷体" w:eastAsia="楷体" w:cs="Arial"/>
            <w:sz w:val="24"/>
          </w:rPr>
          <w:t>【</w:t>
        </w:r>
      </w:ins>
      <w:ins w:id="79" w:author="qian yang" w:date="2025-12-28T21:16:00Z">
        <w:r>
          <w:rPr>
            <w:rFonts w:ascii="楷体" w:hAnsi="楷体" w:eastAsia="楷体" w:cs="Arial"/>
            <w:sz w:val="24"/>
          </w:rPr>
          <w:t xml:space="preserve"> </w:t>
        </w:r>
      </w:ins>
      <w:ins w:id="80" w:author="qian yang" w:date="2025-12-28T21:16:00Z">
        <w:r>
          <w:rPr>
            <w:rFonts w:hint="eastAsia" w:ascii="楷体" w:hAnsi="楷体" w:eastAsia="楷体" w:cs="Arial"/>
            <w:sz w:val="24"/>
          </w:rPr>
          <w:t>2</w:t>
        </w:r>
      </w:ins>
      <w:ins w:id="81" w:author="qian yang" w:date="2025-12-28T21:16:00Z">
        <w:r>
          <w:rPr>
            <w:rFonts w:ascii="楷体" w:hAnsi="楷体" w:eastAsia="楷体" w:cs="Arial"/>
            <w:sz w:val="24"/>
          </w:rPr>
          <w:t xml:space="preserve"> </w:t>
        </w:r>
      </w:ins>
      <w:ins w:id="82" w:author="qian yang" w:date="2025-12-28T21:16:00Z">
        <w:r>
          <w:rPr>
            <w:rFonts w:hint="eastAsia" w:ascii="楷体" w:hAnsi="楷体" w:eastAsia="楷体" w:cs="Arial"/>
            <w:sz w:val="24"/>
          </w:rPr>
          <w:t>】</w:t>
        </w:r>
      </w:ins>
      <w:ins w:id="83" w:author="qian yang" w:date="2025-12-28T21:16:00Z">
        <w:r>
          <w:rPr>
            <w:rFonts w:ascii="楷体" w:hAnsi="楷体" w:eastAsia="楷体" w:cs="Arial"/>
            <w:sz w:val="24"/>
          </w:rPr>
          <w:t>个工作日以加盖乙方公章的书面通知方式交由甲方备案</w:t>
        </w:r>
      </w:ins>
      <w:ins w:id="84" w:author="qian yang" w:date="2025-12-28T21:16:00Z">
        <w:r>
          <w:rPr>
            <w:rFonts w:hint="eastAsia" w:ascii="楷体" w:hAnsi="楷体" w:eastAsia="楷体" w:cs="Arial"/>
            <w:sz w:val="24"/>
          </w:rPr>
          <w:t>，如因乙方前述授权代表信息提供不准确或变更未及时书面通知甲方，导致的全部后果由乙方自行负担。</w:t>
        </w:r>
      </w:ins>
    </w:p>
    <w:p w14:paraId="6FDDB50B">
      <w:pPr>
        <w:snapToGrid w:val="0"/>
        <w:spacing w:before="119" w:line="360" w:lineRule="auto"/>
        <w:ind w:left="1"/>
        <w:rPr>
          <w:ins w:id="85" w:author="qian yang" w:date="2025-12-28T21:16:00Z"/>
          <w:rFonts w:hint="eastAsia" w:ascii="宋体" w:hAnsi="宋体"/>
          <w:sz w:val="24"/>
        </w:rPr>
      </w:pPr>
      <w:ins w:id="86" w:author="qian yang" w:date="2025-12-28T21:16:00Z">
        <w:r>
          <w:rPr>
            <w:rFonts w:hint="eastAsia" w:ascii="宋体" w:hAnsi="宋体"/>
            <w:sz w:val="24"/>
          </w:rPr>
          <w:t>26.</w:t>
        </w:r>
      </w:ins>
      <w:ins w:id="87" w:author="qian yang" w:date="2025-12-28T21:16:00Z">
        <w:r>
          <w:rPr>
            <w:rFonts w:hint="eastAsia" w:ascii="楷体" w:hAnsi="楷体" w:eastAsia="楷体" w:cs="Arial"/>
            <w:sz w:val="24"/>
          </w:rPr>
          <w:t xml:space="preserve"> 乙方因从事本合同造成任何方人身伤害、财产损失等的，应承担由此产生的法律责任及赔偿、处罚等后果。</w:t>
        </w:r>
      </w:ins>
    </w:p>
    <w:p w14:paraId="01489363">
      <w:pPr>
        <w:snapToGrid w:val="0"/>
        <w:spacing w:before="119" w:line="360" w:lineRule="auto"/>
        <w:ind w:left="1200" w:hanging="1200" w:hangingChars="500"/>
        <w:rPr>
          <w:rFonts w:hint="eastAsia" w:ascii="宋体" w:hAnsi="宋体"/>
          <w:sz w:val="24"/>
        </w:rPr>
      </w:pPr>
    </w:p>
    <w:p w14:paraId="21C169B7">
      <w:pPr>
        <w:widowControl/>
        <w:jc w:val="left"/>
        <w:rPr>
          <w:rFonts w:hint="eastAsia" w:ascii="宋体" w:hAnsi="宋体"/>
          <w:sz w:val="24"/>
        </w:rPr>
      </w:pPr>
      <w:r>
        <w:rPr>
          <w:rFonts w:hint="eastAsia" w:ascii="宋体" w:hAnsi="宋体"/>
          <w:sz w:val="24"/>
        </w:rPr>
        <w:br w:type="page"/>
      </w:r>
    </w:p>
    <w:p w14:paraId="14016315">
      <w:pPr>
        <w:spacing w:line="360" w:lineRule="auto"/>
        <w:jc w:val="center"/>
        <w:rPr>
          <w:rFonts w:hint="eastAsia" w:asciiTheme="minorEastAsia" w:hAnsiTheme="minorEastAsia" w:eastAsiaTheme="minorEastAsia"/>
          <w:b/>
          <w:sz w:val="24"/>
        </w:rPr>
      </w:pPr>
      <w:r>
        <w:rPr>
          <w:rFonts w:asciiTheme="minorEastAsia" w:hAnsiTheme="minorEastAsia" w:eastAsiaTheme="minorEastAsia"/>
          <w:b/>
          <w:sz w:val="24"/>
        </w:rPr>
        <w:t>北京市</w:t>
      </w:r>
      <w:r>
        <w:rPr>
          <w:rFonts w:hint="eastAsia" w:asciiTheme="minorEastAsia" w:hAnsiTheme="minorEastAsia" w:eastAsiaTheme="minorEastAsia"/>
          <w:b/>
          <w:sz w:val="24"/>
        </w:rPr>
        <w:t>公立医疗机构医用设备</w:t>
      </w:r>
      <w:r>
        <w:rPr>
          <w:rFonts w:asciiTheme="minorEastAsia" w:hAnsiTheme="minorEastAsia" w:eastAsiaTheme="minorEastAsia"/>
          <w:b/>
          <w:sz w:val="24"/>
        </w:rPr>
        <w:t>廉洁购销合同</w:t>
      </w:r>
    </w:p>
    <w:p w14:paraId="1442C8B1">
      <w:pPr>
        <w:spacing w:line="360" w:lineRule="auto"/>
        <w:ind w:left="525" w:firstLine="2760" w:firstLineChars="1150"/>
        <w:jc w:val="right"/>
        <w:rPr>
          <w:rFonts w:hint="eastAsia" w:asciiTheme="minorEastAsia" w:hAnsiTheme="minorEastAsia" w:eastAsiaTheme="minorEastAsia"/>
          <w:sz w:val="24"/>
        </w:rPr>
      </w:pPr>
      <w:r>
        <w:rPr>
          <w:rFonts w:asciiTheme="minorEastAsia" w:hAnsiTheme="minorEastAsia" w:eastAsiaTheme="minorEastAsia"/>
          <w:sz w:val="24"/>
        </w:rPr>
        <w:t>合同编号</w:t>
      </w:r>
      <w:r>
        <w:rPr>
          <w:rFonts w:hint="eastAsia" w:asciiTheme="minorEastAsia" w:hAnsiTheme="minorEastAsia" w:eastAsiaTheme="minorEastAsia"/>
          <w:sz w:val="24"/>
        </w:rPr>
        <w:t>：</w:t>
      </w:r>
    </w:p>
    <w:p w14:paraId="6119DA48">
      <w:pPr>
        <w:spacing w:line="360" w:lineRule="auto"/>
        <w:rPr>
          <w:rFonts w:hint="eastAsia" w:ascii="宋体" w:hAnsi="宋体" w:cs="宋体"/>
          <w:sz w:val="24"/>
        </w:rPr>
      </w:pPr>
      <w:r>
        <w:rPr>
          <w:rFonts w:asciiTheme="minorEastAsia" w:hAnsiTheme="minorEastAsia" w:eastAsiaTheme="minorEastAsia"/>
          <w:sz w:val="24"/>
        </w:rPr>
        <w:t>甲方(</w:t>
      </w:r>
      <w:r>
        <w:rPr>
          <w:rFonts w:hint="eastAsia" w:asciiTheme="minorEastAsia" w:hAnsiTheme="minorEastAsia" w:eastAsiaTheme="minorEastAsia"/>
          <w:sz w:val="24"/>
        </w:rPr>
        <w:t>医疗机构</w:t>
      </w:r>
      <w:r>
        <w:rPr>
          <w:rFonts w:asciiTheme="minorEastAsia" w:hAnsiTheme="minorEastAsia" w:eastAsiaTheme="minorEastAsia"/>
          <w:sz w:val="24"/>
        </w:rPr>
        <w:t>)</w:t>
      </w:r>
      <w:r>
        <w:rPr>
          <w:rFonts w:hint="eastAsia" w:asciiTheme="minorEastAsia" w:hAnsiTheme="minorEastAsia" w:eastAsiaTheme="minorEastAsia"/>
          <w:sz w:val="24"/>
        </w:rPr>
        <w:t>：</w:t>
      </w:r>
      <w:r>
        <w:rPr>
          <w:rFonts w:hint="eastAsia" w:ascii="宋体" w:hAnsi="宋体" w:cs="宋体"/>
          <w:sz w:val="24"/>
        </w:rPr>
        <w:t>北京市海淀区西三旗社区卫生服务中心</w:t>
      </w:r>
    </w:p>
    <w:p w14:paraId="37D7EDE6">
      <w:pPr>
        <w:spacing w:line="360" w:lineRule="auto"/>
        <w:rPr>
          <w:rFonts w:hint="eastAsia" w:asciiTheme="minorEastAsia" w:hAnsiTheme="minorEastAsia" w:eastAsiaTheme="minorEastAsia"/>
          <w:sz w:val="24"/>
        </w:rPr>
      </w:pPr>
      <w:r>
        <w:rPr>
          <w:rFonts w:asciiTheme="minorEastAsia" w:hAnsiTheme="minorEastAsia" w:eastAsiaTheme="minorEastAsia"/>
          <w:sz w:val="24"/>
        </w:rPr>
        <w:t xml:space="preserve"> </w:t>
      </w:r>
    </w:p>
    <w:p w14:paraId="71CE600D">
      <w:pPr>
        <w:spacing w:line="360" w:lineRule="auto"/>
        <w:rPr>
          <w:rFonts w:hint="eastAsia" w:asciiTheme="minorEastAsia" w:hAnsiTheme="minorEastAsia" w:eastAsiaTheme="minorEastAsia"/>
          <w:sz w:val="24"/>
        </w:rPr>
      </w:pPr>
      <w:r>
        <w:rPr>
          <w:rFonts w:asciiTheme="minorEastAsia" w:hAnsiTheme="minorEastAsia" w:eastAsiaTheme="minorEastAsia"/>
          <w:sz w:val="24"/>
        </w:rPr>
        <w:t>乙方(</w:t>
      </w:r>
      <w:r>
        <w:rPr>
          <w:rFonts w:hint="eastAsia" w:asciiTheme="minorEastAsia" w:hAnsiTheme="minorEastAsia" w:eastAsiaTheme="minorEastAsia"/>
          <w:sz w:val="24"/>
        </w:rPr>
        <w:t>中标</w:t>
      </w:r>
      <w:r>
        <w:rPr>
          <w:rFonts w:asciiTheme="minorEastAsia" w:hAnsiTheme="minorEastAsia" w:eastAsiaTheme="minorEastAsia"/>
          <w:sz w:val="24"/>
        </w:rPr>
        <w:t>厂家)</w:t>
      </w:r>
      <w:r>
        <w:rPr>
          <w:rFonts w:hint="eastAsia" w:asciiTheme="minorEastAsia" w:hAnsiTheme="minorEastAsia" w:eastAsiaTheme="minorEastAsia"/>
          <w:sz w:val="24"/>
        </w:rPr>
        <w:t>：</w:t>
      </w:r>
      <w:r>
        <w:rPr>
          <w:rFonts w:hint="eastAsia" w:ascii="宋体" w:hAnsi="宋体" w:cs="宋体"/>
          <w:sz w:val="24"/>
        </w:rPr>
        <w:t>山东威高血液净化制品股份有限公司</w:t>
      </w:r>
    </w:p>
    <w:p w14:paraId="1547C837">
      <w:pPr>
        <w:spacing w:line="360" w:lineRule="auto"/>
        <w:rPr>
          <w:rFonts w:hint="eastAsia" w:asciiTheme="minorEastAsia" w:hAnsiTheme="minorEastAsia" w:eastAsiaTheme="minorEastAsia"/>
          <w:sz w:val="24"/>
        </w:rPr>
      </w:pPr>
    </w:p>
    <w:p w14:paraId="7DD89242">
      <w:pPr>
        <w:spacing w:line="360" w:lineRule="auto"/>
        <w:ind w:hanging="41"/>
        <w:rPr>
          <w:rFonts w:hint="eastAsia" w:asciiTheme="minorEastAsia" w:hAnsiTheme="minorEastAsia" w:eastAsiaTheme="minorEastAsia"/>
          <w:sz w:val="24"/>
        </w:rPr>
      </w:pPr>
      <w:r>
        <w:rPr>
          <w:rFonts w:asciiTheme="minorEastAsia" w:hAnsiTheme="minorEastAsia" w:eastAsiaTheme="minorEastAsia"/>
          <w:sz w:val="24"/>
        </w:rPr>
        <w:t>为进一步加强医疗卫生行风建设，规范</w:t>
      </w:r>
      <w:r>
        <w:rPr>
          <w:rFonts w:hint="eastAsia" w:asciiTheme="minorEastAsia" w:hAnsiTheme="minorEastAsia" w:eastAsiaTheme="minorEastAsia"/>
          <w:sz w:val="24"/>
        </w:rPr>
        <w:t>北京市公立</w:t>
      </w:r>
      <w:r>
        <w:rPr>
          <w:rFonts w:asciiTheme="minorEastAsia" w:hAnsiTheme="minorEastAsia" w:eastAsiaTheme="minorEastAsia"/>
          <w:sz w:val="24"/>
        </w:rPr>
        <w:t>医疗机构</w:t>
      </w:r>
      <w:r>
        <w:rPr>
          <w:rFonts w:hint="eastAsia" w:asciiTheme="minorEastAsia" w:hAnsiTheme="minorEastAsia" w:eastAsiaTheme="minorEastAsia"/>
          <w:sz w:val="24"/>
        </w:rPr>
        <w:t>医用设备</w:t>
      </w:r>
      <w:r>
        <w:rPr>
          <w:rFonts w:asciiTheme="minorEastAsia" w:hAnsiTheme="minorEastAsia" w:eastAsiaTheme="minorEastAsia"/>
          <w:sz w:val="24"/>
        </w:rPr>
        <w:t>购销行为，有效防范商业贿赂行为，营造公平交易、诚实守信的购销环境，经甲、乙双方协商，同意签订本合同，并共同遵守：</w:t>
      </w:r>
    </w:p>
    <w:p w14:paraId="786FFB97">
      <w:pPr>
        <w:pStyle w:val="9"/>
        <w:widowControl/>
        <w:numPr>
          <w:ilvl w:val="0"/>
          <w:numId w:val="4"/>
        </w:numPr>
        <w:spacing w:line="360" w:lineRule="auto"/>
        <w:ind w:left="915" w:firstLineChars="0"/>
        <w:jc w:val="left"/>
        <w:rPr>
          <w:rFonts w:hint="eastAsia" w:asciiTheme="minorEastAsia" w:hAnsiTheme="minorEastAsia" w:eastAsiaTheme="minorEastAsia"/>
          <w:sz w:val="24"/>
          <w:szCs w:val="24"/>
        </w:rPr>
      </w:pPr>
      <w:r>
        <w:rPr>
          <w:rFonts w:asciiTheme="minorEastAsia" w:hAnsiTheme="minorEastAsia" w:eastAsiaTheme="minorEastAsia"/>
          <w:sz w:val="24"/>
          <w:szCs w:val="24"/>
        </w:rPr>
        <w:t>甲乙双方按照《</w:t>
      </w:r>
      <w:r>
        <w:rPr>
          <w:rFonts w:hint="eastAsia" w:asciiTheme="minorEastAsia" w:hAnsiTheme="minorEastAsia" w:eastAsiaTheme="minorEastAsia"/>
          <w:sz w:val="24"/>
          <w:szCs w:val="24"/>
        </w:rPr>
        <w:t>中华人民共和国民法典</w:t>
      </w:r>
      <w:r>
        <w:rPr>
          <w:rFonts w:asciiTheme="minorEastAsia" w:hAnsiTheme="minorEastAsia" w:eastAsiaTheme="minorEastAsia"/>
          <w:sz w:val="24"/>
          <w:szCs w:val="24"/>
        </w:rPr>
        <w:t>》及购销合同约定购销</w:t>
      </w:r>
      <w:r>
        <w:rPr>
          <w:rFonts w:hint="eastAsia" w:asciiTheme="minorEastAsia" w:hAnsiTheme="minorEastAsia" w:eastAsiaTheme="minorEastAsia"/>
          <w:sz w:val="24"/>
          <w:szCs w:val="24"/>
        </w:rPr>
        <w:t>医用设备</w:t>
      </w:r>
      <w:r>
        <w:rPr>
          <w:rFonts w:asciiTheme="minorEastAsia" w:hAnsiTheme="minorEastAsia" w:eastAsiaTheme="minorEastAsia"/>
          <w:sz w:val="24"/>
          <w:szCs w:val="24"/>
        </w:rPr>
        <w:t>。</w:t>
      </w:r>
    </w:p>
    <w:p w14:paraId="7B13B561">
      <w:pPr>
        <w:pStyle w:val="9"/>
        <w:widowControl/>
        <w:numPr>
          <w:ilvl w:val="0"/>
          <w:numId w:val="4"/>
        </w:numPr>
        <w:spacing w:line="360" w:lineRule="auto"/>
        <w:ind w:left="915" w:firstLineChars="0"/>
        <w:jc w:val="left"/>
        <w:rPr>
          <w:rFonts w:hint="eastAsia" w:asciiTheme="minorEastAsia" w:hAnsiTheme="minorEastAsia" w:eastAsiaTheme="minorEastAsia"/>
          <w:sz w:val="24"/>
          <w:szCs w:val="24"/>
        </w:rPr>
      </w:pPr>
      <w:r>
        <w:rPr>
          <w:rFonts w:asciiTheme="minorEastAsia" w:hAnsiTheme="minorEastAsia" w:eastAsiaTheme="minorEastAsia"/>
          <w:sz w:val="24"/>
          <w:szCs w:val="24"/>
        </w:rPr>
        <w:t>甲方应当严格执行</w:t>
      </w:r>
      <w:r>
        <w:rPr>
          <w:rFonts w:hint="eastAsia" w:asciiTheme="minorEastAsia" w:hAnsiTheme="minorEastAsia" w:eastAsiaTheme="minorEastAsia"/>
          <w:sz w:val="24"/>
          <w:szCs w:val="24"/>
        </w:rPr>
        <w:t>医用设备</w:t>
      </w:r>
      <w:r>
        <w:rPr>
          <w:rFonts w:asciiTheme="minorEastAsia" w:hAnsiTheme="minorEastAsia" w:eastAsiaTheme="minorEastAsia"/>
          <w:sz w:val="24"/>
          <w:szCs w:val="24"/>
        </w:rPr>
        <w:t>购销合同验收、入库制度，对采购</w:t>
      </w:r>
      <w:r>
        <w:rPr>
          <w:rFonts w:hint="eastAsia" w:asciiTheme="minorEastAsia" w:hAnsiTheme="minorEastAsia" w:eastAsiaTheme="minorEastAsia"/>
          <w:sz w:val="24"/>
          <w:szCs w:val="24"/>
        </w:rPr>
        <w:t>医用设备</w:t>
      </w:r>
      <w:r>
        <w:rPr>
          <w:rFonts w:asciiTheme="minorEastAsia" w:hAnsiTheme="minorEastAsia" w:eastAsiaTheme="minorEastAsia"/>
          <w:sz w:val="24"/>
          <w:szCs w:val="24"/>
        </w:rPr>
        <w:t>及发票进行查验，不得违反有关规定合同外采购、违价采购或从非规定渠道采购。</w:t>
      </w:r>
    </w:p>
    <w:p w14:paraId="3E224F3D">
      <w:pPr>
        <w:pStyle w:val="9"/>
        <w:widowControl/>
        <w:numPr>
          <w:ilvl w:val="0"/>
          <w:numId w:val="4"/>
        </w:numPr>
        <w:spacing w:line="360" w:lineRule="auto"/>
        <w:ind w:left="915" w:firstLineChars="0"/>
        <w:jc w:val="left"/>
        <w:rPr>
          <w:rFonts w:hint="eastAsia" w:asciiTheme="minorEastAsia" w:hAnsiTheme="minorEastAsia" w:eastAsiaTheme="minorEastAsia"/>
          <w:sz w:val="24"/>
          <w:szCs w:val="24"/>
        </w:rPr>
      </w:pPr>
      <w:r>
        <w:rPr>
          <w:rFonts w:asciiTheme="minorEastAsia" w:hAnsiTheme="minorEastAsia" w:eastAsiaTheme="minorEastAsia"/>
          <w:sz w:val="24"/>
          <w:szCs w:val="24"/>
        </w:rPr>
        <w:t>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45469A85">
      <w:pPr>
        <w:pStyle w:val="9"/>
        <w:widowControl/>
        <w:numPr>
          <w:ilvl w:val="0"/>
          <w:numId w:val="4"/>
        </w:numPr>
        <w:spacing w:line="360" w:lineRule="auto"/>
        <w:ind w:left="915" w:firstLineChars="0"/>
        <w:jc w:val="left"/>
        <w:rPr>
          <w:rFonts w:hint="eastAsia" w:asciiTheme="minorEastAsia" w:hAnsiTheme="minorEastAsia" w:eastAsiaTheme="minorEastAsia"/>
          <w:sz w:val="24"/>
          <w:szCs w:val="24"/>
        </w:rPr>
      </w:pPr>
      <w:r>
        <w:rPr>
          <w:rFonts w:asciiTheme="minorEastAsia" w:hAnsiTheme="minorEastAsia" w:eastAsiaTheme="minorEastAsia"/>
          <w:sz w:val="24"/>
          <w:szCs w:val="24"/>
        </w:rPr>
        <w:t>严禁甲方工作人员利用任何途径和方式，为乙方统计医师个人及临床科室有关</w:t>
      </w:r>
      <w:r>
        <w:rPr>
          <w:rFonts w:hint="eastAsia" w:asciiTheme="minorEastAsia" w:hAnsiTheme="minorEastAsia" w:eastAsiaTheme="minorEastAsia"/>
          <w:sz w:val="24"/>
          <w:szCs w:val="24"/>
        </w:rPr>
        <w:t>医用设备</w:t>
      </w:r>
      <w:r>
        <w:rPr>
          <w:rFonts w:asciiTheme="minorEastAsia" w:hAnsiTheme="minorEastAsia" w:eastAsiaTheme="minorEastAsia"/>
          <w:sz w:val="24"/>
          <w:szCs w:val="24"/>
        </w:rPr>
        <w:t>用量信息，或为乙方统计提供便利。</w:t>
      </w:r>
    </w:p>
    <w:p w14:paraId="40A2C578">
      <w:pPr>
        <w:pStyle w:val="9"/>
        <w:widowControl/>
        <w:numPr>
          <w:ilvl w:val="0"/>
          <w:numId w:val="4"/>
        </w:numPr>
        <w:spacing w:line="360" w:lineRule="auto"/>
        <w:ind w:left="915" w:firstLineChars="0"/>
        <w:jc w:val="left"/>
        <w:rPr>
          <w:rFonts w:hint="eastAsia" w:asciiTheme="minorEastAsia" w:hAnsiTheme="minorEastAsia" w:eastAsiaTheme="minorEastAsia"/>
          <w:sz w:val="24"/>
          <w:szCs w:val="24"/>
        </w:rPr>
      </w:pPr>
      <w:r>
        <w:rPr>
          <w:rFonts w:asciiTheme="minorEastAsia" w:hAnsiTheme="minorEastAsia" w:eastAsiaTheme="minorEastAsia"/>
          <w:sz w:val="24"/>
          <w:szCs w:val="24"/>
        </w:rPr>
        <w:t>乙方不得以回扣、宴请等方式影响甲方工作人员采购或使用</w:t>
      </w:r>
      <w:r>
        <w:rPr>
          <w:rFonts w:hint="eastAsia" w:asciiTheme="minorEastAsia" w:hAnsiTheme="minorEastAsia" w:eastAsiaTheme="minorEastAsia"/>
          <w:sz w:val="24"/>
          <w:szCs w:val="24"/>
        </w:rPr>
        <w:t>医用设备</w:t>
      </w:r>
      <w:r>
        <w:rPr>
          <w:rFonts w:asciiTheme="minorEastAsia" w:hAnsiTheme="minorEastAsia" w:eastAsiaTheme="minorEastAsia"/>
          <w:sz w:val="24"/>
          <w:szCs w:val="24"/>
        </w:rPr>
        <w:t>产品的选择权，不得在学术活动中提供旅游、超标准支付食宿费用。</w:t>
      </w:r>
    </w:p>
    <w:p w14:paraId="3F7E6EAD">
      <w:pPr>
        <w:pStyle w:val="9"/>
        <w:widowControl/>
        <w:numPr>
          <w:ilvl w:val="0"/>
          <w:numId w:val="4"/>
        </w:numPr>
        <w:spacing w:line="360" w:lineRule="auto"/>
        <w:ind w:left="915" w:firstLineChars="0"/>
        <w:jc w:val="left"/>
        <w:rPr>
          <w:rFonts w:hint="eastAsia" w:asciiTheme="minorEastAsia" w:hAnsiTheme="minorEastAsia" w:eastAsiaTheme="minorEastAsia"/>
          <w:sz w:val="24"/>
          <w:szCs w:val="24"/>
        </w:rPr>
      </w:pPr>
      <w:r>
        <w:rPr>
          <w:rFonts w:asciiTheme="minorEastAsia" w:hAnsiTheme="minorEastAsia" w:eastAsiaTheme="minorEastAsia"/>
          <w:sz w:val="24"/>
          <w:szCs w:val="24"/>
        </w:rPr>
        <w:t>乙方指定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7068B3C5">
      <w:pPr>
        <w:pStyle w:val="9"/>
        <w:widowControl/>
        <w:numPr>
          <w:ilvl w:val="0"/>
          <w:numId w:val="4"/>
        </w:numPr>
        <w:spacing w:line="360" w:lineRule="auto"/>
        <w:ind w:left="915" w:firstLineChars="0"/>
        <w:jc w:val="left"/>
        <w:rPr>
          <w:rFonts w:hint="eastAsia" w:asciiTheme="minorEastAsia" w:hAnsiTheme="minorEastAsia" w:eastAsiaTheme="minorEastAsia"/>
          <w:sz w:val="24"/>
          <w:szCs w:val="24"/>
        </w:rPr>
      </w:pPr>
      <w:r>
        <w:rPr>
          <w:rFonts w:asciiTheme="minorEastAsia" w:hAnsiTheme="minorEastAsia" w:eastAsiaTheme="minorEastAsia"/>
          <w:sz w:val="24"/>
          <w:szCs w:val="24"/>
        </w:rPr>
        <w:t>乙方如违反本合同，一经发现，甲方有权终止购销合同，并向有关卫生计生行政部门报告</w:t>
      </w:r>
      <w:r>
        <w:rPr>
          <w:rFonts w:hint="eastAsia" w:asciiTheme="minorEastAsia" w:hAnsiTheme="minorEastAsia" w:eastAsiaTheme="minorEastAsia"/>
          <w:sz w:val="24"/>
          <w:szCs w:val="24"/>
        </w:rPr>
        <w:t>。</w:t>
      </w:r>
      <w:r>
        <w:rPr>
          <w:rFonts w:asciiTheme="minorEastAsia" w:hAnsiTheme="minorEastAsia" w:eastAsiaTheme="minorEastAsia"/>
          <w:sz w:val="24"/>
          <w:szCs w:val="24"/>
        </w:rPr>
        <w:t>如乙方被列入商业贿赂不良记录</w:t>
      </w:r>
      <w:r>
        <w:rPr>
          <w:rFonts w:hint="eastAsia" w:asciiTheme="minorEastAsia" w:hAnsiTheme="minorEastAsia" w:eastAsiaTheme="minorEastAsia"/>
          <w:sz w:val="24"/>
          <w:szCs w:val="24"/>
        </w:rPr>
        <w:t>，</w:t>
      </w:r>
      <w:r>
        <w:rPr>
          <w:rFonts w:asciiTheme="minorEastAsia" w:hAnsiTheme="minorEastAsia" w:eastAsiaTheme="minorEastAsia"/>
          <w:sz w:val="24"/>
          <w:szCs w:val="24"/>
        </w:rPr>
        <w:t>则严格按照《国家卫生计生委关于建立医药购销领域商业贿赂不良记录的规定》(国卫法制发〔2013〕50号)相关规定处理。</w:t>
      </w:r>
    </w:p>
    <w:p w14:paraId="7BC56CFF">
      <w:pPr>
        <w:pStyle w:val="9"/>
        <w:widowControl/>
        <w:numPr>
          <w:ilvl w:val="0"/>
          <w:numId w:val="4"/>
        </w:numPr>
        <w:spacing w:line="360" w:lineRule="auto"/>
        <w:ind w:left="915" w:firstLineChars="0"/>
        <w:jc w:val="left"/>
        <w:rPr>
          <w:rFonts w:hint="eastAsia" w:asciiTheme="minorEastAsia" w:hAnsiTheme="minorEastAsia" w:eastAsiaTheme="minorEastAsia"/>
          <w:sz w:val="24"/>
          <w:szCs w:val="24"/>
        </w:rPr>
      </w:pPr>
      <w:r>
        <w:rPr>
          <w:rFonts w:asciiTheme="minorEastAsia" w:hAnsiTheme="minorEastAsia" w:eastAsiaTheme="minorEastAsia"/>
          <w:sz w:val="24"/>
          <w:szCs w:val="24"/>
        </w:rPr>
        <w:t>本合同作为</w:t>
      </w:r>
      <w:r>
        <w:rPr>
          <w:rFonts w:hint="eastAsia" w:asciiTheme="minorEastAsia" w:hAnsiTheme="minorEastAsia" w:eastAsiaTheme="minorEastAsia"/>
          <w:sz w:val="24"/>
          <w:szCs w:val="24"/>
        </w:rPr>
        <w:t>医用设备</w:t>
      </w:r>
      <w:r>
        <w:rPr>
          <w:rFonts w:asciiTheme="minorEastAsia" w:hAnsiTheme="minorEastAsia" w:eastAsiaTheme="minorEastAsia"/>
          <w:sz w:val="24"/>
          <w:szCs w:val="24"/>
        </w:rPr>
        <w:t>购销合同的重要组成部分，与购销合同一并执行，具有同等的法律效力。</w:t>
      </w:r>
    </w:p>
    <w:p w14:paraId="5FF36A25">
      <w:pPr>
        <w:pStyle w:val="9"/>
        <w:widowControl/>
        <w:numPr>
          <w:ilvl w:val="0"/>
          <w:numId w:val="4"/>
        </w:numPr>
        <w:spacing w:line="360" w:lineRule="auto"/>
        <w:ind w:left="915" w:firstLineChars="0"/>
        <w:jc w:val="left"/>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本合同一式陆份，甲方（伍）份，乙方（壹）份</w:t>
      </w:r>
      <w:r>
        <w:rPr>
          <w:rFonts w:asciiTheme="minorEastAsia" w:hAnsiTheme="minorEastAsia" w:eastAsiaTheme="minorEastAsia"/>
          <w:sz w:val="24"/>
          <w:szCs w:val="24"/>
        </w:rPr>
        <w:t>，并从签订之日起生效</w:t>
      </w:r>
      <w:r>
        <w:rPr>
          <w:rFonts w:hint="eastAsia" w:asciiTheme="minorEastAsia" w:hAnsiTheme="minorEastAsia" w:eastAsiaTheme="minorEastAsia"/>
          <w:sz w:val="24"/>
          <w:szCs w:val="24"/>
        </w:rPr>
        <w:t>。</w:t>
      </w:r>
    </w:p>
    <w:p w14:paraId="183C02DB">
      <w:pPr>
        <w:spacing w:line="360" w:lineRule="auto"/>
        <w:rPr>
          <w:rFonts w:hint="eastAsia" w:asciiTheme="minorEastAsia" w:hAnsiTheme="minorEastAsia" w:eastAsiaTheme="minorEastAsia"/>
          <w:sz w:val="24"/>
        </w:rPr>
      </w:pPr>
    </w:p>
    <w:p w14:paraId="5146573C">
      <w:pPr>
        <w:spacing w:line="360" w:lineRule="auto"/>
        <w:rPr>
          <w:rFonts w:hint="eastAsia" w:asciiTheme="minorEastAsia" w:hAnsiTheme="minorEastAsia" w:eastAsiaTheme="minorEastAsia"/>
          <w:sz w:val="24"/>
        </w:rPr>
      </w:pPr>
    </w:p>
    <w:p w14:paraId="128D842C">
      <w:pPr>
        <w:spacing w:line="360" w:lineRule="auto"/>
        <w:rPr>
          <w:rFonts w:hint="eastAsia" w:asciiTheme="minorEastAsia" w:hAnsiTheme="minorEastAsia" w:eastAsiaTheme="minorEastAsia"/>
          <w:sz w:val="24"/>
        </w:rPr>
      </w:pPr>
    </w:p>
    <w:p w14:paraId="5A144AA0">
      <w:pPr>
        <w:spacing w:line="360" w:lineRule="auto"/>
        <w:rPr>
          <w:rFonts w:hint="eastAsia" w:asciiTheme="minorEastAsia" w:hAnsiTheme="minorEastAsia" w:eastAsiaTheme="minorEastAsia"/>
          <w:sz w:val="24"/>
        </w:rPr>
      </w:pPr>
    </w:p>
    <w:p w14:paraId="577FB045">
      <w:pPr>
        <w:tabs>
          <w:tab w:val="left" w:pos="7120"/>
        </w:tabs>
        <w:spacing w:line="360" w:lineRule="auto"/>
        <w:rPr>
          <w:rFonts w:hint="eastAsia" w:asciiTheme="minorEastAsia" w:hAnsiTheme="minorEastAsia" w:eastAsiaTheme="minorEastAsia"/>
          <w:b/>
          <w:sz w:val="24"/>
        </w:rPr>
      </w:pPr>
      <w:r>
        <w:rPr>
          <w:rFonts w:asciiTheme="minorEastAsia" w:hAnsiTheme="minorEastAsia" w:eastAsiaTheme="minorEastAsia"/>
          <w:b/>
          <w:sz w:val="24"/>
        </w:rPr>
        <w:t>甲方（盖章）</w:t>
      </w:r>
      <w:r>
        <w:rPr>
          <w:rFonts w:hint="eastAsia" w:asciiTheme="minorEastAsia" w:hAnsiTheme="minorEastAsia" w:eastAsiaTheme="minorEastAsia"/>
          <w:b/>
          <w:sz w:val="24"/>
        </w:rPr>
        <w:t xml:space="preserve">：北京市海淀区西三旗社     </w:t>
      </w:r>
      <w:r>
        <w:rPr>
          <w:rFonts w:asciiTheme="minorEastAsia" w:hAnsiTheme="minorEastAsia" w:eastAsiaTheme="minorEastAsia"/>
          <w:b/>
          <w:sz w:val="24"/>
        </w:rPr>
        <w:t>乙方（盖章）</w:t>
      </w:r>
      <w:r>
        <w:rPr>
          <w:rFonts w:hint="eastAsia" w:asciiTheme="minorEastAsia" w:hAnsiTheme="minorEastAsia" w:eastAsiaTheme="minorEastAsia"/>
          <w:b/>
          <w:sz w:val="24"/>
        </w:rPr>
        <w:t>：</w:t>
      </w:r>
      <w:r>
        <w:rPr>
          <w:rFonts w:hint="eastAsia" w:ascii="宋体" w:hAnsi="宋体" w:cs="宋体"/>
          <w:b/>
          <w:sz w:val="24"/>
        </w:rPr>
        <w:t>山东威高血液净化制</w:t>
      </w:r>
    </w:p>
    <w:p w14:paraId="589A203B">
      <w:pPr>
        <w:spacing w:line="360" w:lineRule="auto"/>
        <w:rPr>
          <w:rFonts w:hint="eastAsia" w:ascii="宋体" w:hAnsi="宋体" w:cs="宋体"/>
          <w:b/>
          <w:sz w:val="24"/>
          <w:u w:val="single"/>
        </w:rPr>
      </w:pPr>
      <w:r>
        <w:rPr>
          <w:rFonts w:hint="eastAsia" w:asciiTheme="minorEastAsia" w:hAnsiTheme="minorEastAsia" w:eastAsiaTheme="minorEastAsia"/>
          <w:b/>
          <w:sz w:val="24"/>
        </w:rPr>
        <w:t xml:space="preserve">区卫生服务中心   </w:t>
      </w:r>
      <w:r>
        <w:rPr>
          <w:rFonts w:asciiTheme="minorEastAsia" w:hAnsiTheme="minorEastAsia" w:eastAsiaTheme="minorEastAsia"/>
          <w:b/>
          <w:sz w:val="24"/>
        </w:rPr>
        <w:t xml:space="preserve"> </w:t>
      </w:r>
      <w:r>
        <w:rPr>
          <w:rFonts w:hint="eastAsia" w:asciiTheme="minorEastAsia" w:hAnsiTheme="minorEastAsia" w:eastAsiaTheme="minorEastAsia"/>
          <w:b/>
          <w:sz w:val="24"/>
        </w:rPr>
        <w:t xml:space="preserve">                    </w:t>
      </w:r>
      <w:r>
        <w:rPr>
          <w:rFonts w:hint="eastAsia" w:ascii="宋体" w:hAnsi="宋体" w:cs="宋体"/>
          <w:b/>
          <w:sz w:val="24"/>
        </w:rPr>
        <w:t>品股份有限公司</w:t>
      </w:r>
    </w:p>
    <w:p w14:paraId="2BD3571E">
      <w:pPr>
        <w:tabs>
          <w:tab w:val="left" w:pos="7120"/>
        </w:tabs>
        <w:spacing w:line="360" w:lineRule="auto"/>
        <w:rPr>
          <w:rFonts w:hint="eastAsia" w:asciiTheme="minorEastAsia" w:hAnsiTheme="minorEastAsia" w:eastAsiaTheme="minorEastAsia"/>
          <w:b/>
          <w:sz w:val="24"/>
        </w:rPr>
      </w:pPr>
    </w:p>
    <w:p w14:paraId="65C1F203">
      <w:pPr>
        <w:tabs>
          <w:tab w:val="left" w:pos="7120"/>
        </w:tabs>
        <w:spacing w:line="360" w:lineRule="auto"/>
        <w:rPr>
          <w:rFonts w:hint="eastAsia" w:asciiTheme="minorEastAsia" w:hAnsiTheme="minorEastAsia" w:eastAsiaTheme="minorEastAsia"/>
          <w:b/>
          <w:sz w:val="24"/>
        </w:rPr>
      </w:pPr>
      <w:r>
        <w:rPr>
          <w:rFonts w:hint="eastAsia" w:asciiTheme="minorEastAsia" w:hAnsiTheme="minorEastAsia" w:eastAsiaTheme="minorEastAsia"/>
          <w:b/>
          <w:sz w:val="24"/>
        </w:rPr>
        <w:t xml:space="preserve">法定代表人/授权代表（签字）：     </w:t>
      </w:r>
      <w:r>
        <w:rPr>
          <w:rFonts w:asciiTheme="minorEastAsia" w:hAnsiTheme="minorEastAsia" w:eastAsiaTheme="minorEastAsia"/>
          <w:b/>
          <w:sz w:val="24"/>
        </w:rPr>
        <w:t xml:space="preserve">     </w:t>
      </w:r>
      <w:r>
        <w:rPr>
          <w:rFonts w:hint="eastAsia" w:asciiTheme="minorEastAsia" w:hAnsiTheme="minorEastAsia" w:eastAsiaTheme="minorEastAsia"/>
          <w:b/>
          <w:sz w:val="24"/>
        </w:rPr>
        <w:t>法定代表人/授权代表（签字）：</w:t>
      </w:r>
    </w:p>
    <w:p w14:paraId="5C6E4E4E">
      <w:pPr>
        <w:tabs>
          <w:tab w:val="left" w:pos="6560"/>
        </w:tabs>
        <w:spacing w:line="360" w:lineRule="auto"/>
        <w:rPr>
          <w:rFonts w:hint="eastAsia" w:asciiTheme="minorEastAsia" w:hAnsiTheme="minorEastAsia" w:eastAsiaTheme="minorEastAsia"/>
          <w:b/>
          <w:sz w:val="24"/>
        </w:rPr>
      </w:pPr>
      <w:r>
        <w:rPr>
          <w:rFonts w:asciiTheme="minorEastAsia" w:hAnsiTheme="minorEastAsia" w:eastAsiaTheme="minorEastAsia"/>
          <w:b/>
          <w:sz w:val="24"/>
        </w:rPr>
        <w:t>时间</w:t>
      </w:r>
      <w:r>
        <w:rPr>
          <w:rFonts w:hint="eastAsia" w:asciiTheme="minorEastAsia" w:hAnsiTheme="minorEastAsia" w:eastAsiaTheme="minorEastAsia"/>
          <w:b/>
          <w:sz w:val="24"/>
        </w:rPr>
        <w:t xml:space="preserve">： </w:t>
      </w:r>
      <w:r>
        <w:rPr>
          <w:rFonts w:asciiTheme="minorEastAsia" w:hAnsiTheme="minorEastAsia" w:eastAsiaTheme="minorEastAsia"/>
          <w:b/>
          <w:sz w:val="24"/>
        </w:rPr>
        <w:t xml:space="preserve">   </w:t>
      </w:r>
      <w:r>
        <w:rPr>
          <w:rFonts w:hint="eastAsia" w:asciiTheme="minorEastAsia" w:hAnsiTheme="minorEastAsia" w:eastAsiaTheme="minorEastAsia"/>
          <w:b/>
          <w:sz w:val="24"/>
        </w:rPr>
        <w:t>年</w:t>
      </w:r>
      <w:r>
        <w:rPr>
          <w:rFonts w:asciiTheme="minorEastAsia" w:hAnsiTheme="minorEastAsia" w:eastAsiaTheme="minorEastAsia"/>
          <w:b/>
          <w:sz w:val="24"/>
        </w:rPr>
        <w:t xml:space="preserve">  </w:t>
      </w:r>
      <w:r>
        <w:rPr>
          <w:rFonts w:hint="eastAsia" w:asciiTheme="minorEastAsia" w:hAnsiTheme="minorEastAsia" w:eastAsiaTheme="minorEastAsia"/>
          <w:b/>
          <w:sz w:val="24"/>
        </w:rPr>
        <w:t>月</w:t>
      </w:r>
      <w:r>
        <w:rPr>
          <w:rFonts w:asciiTheme="minorEastAsia" w:hAnsiTheme="minorEastAsia" w:eastAsiaTheme="minorEastAsia"/>
          <w:b/>
          <w:sz w:val="24"/>
        </w:rPr>
        <w:t xml:space="preserve">   </w:t>
      </w:r>
      <w:r>
        <w:rPr>
          <w:rFonts w:hint="eastAsia" w:asciiTheme="minorEastAsia" w:hAnsiTheme="minorEastAsia" w:eastAsiaTheme="minorEastAsia"/>
          <w:b/>
          <w:sz w:val="24"/>
        </w:rPr>
        <w:t>日</w:t>
      </w:r>
      <w:r>
        <w:rPr>
          <w:rFonts w:asciiTheme="minorEastAsia" w:hAnsiTheme="minorEastAsia" w:eastAsiaTheme="minorEastAsia"/>
          <w:sz w:val="24"/>
        </w:rPr>
        <w:t xml:space="preserve">                </w:t>
      </w:r>
      <w:r>
        <w:rPr>
          <w:rFonts w:hint="eastAsia" w:asciiTheme="minorEastAsia" w:hAnsiTheme="minorEastAsia" w:eastAsiaTheme="minorEastAsia"/>
          <w:sz w:val="24"/>
        </w:rPr>
        <w:t xml:space="preserve"> </w:t>
      </w:r>
      <w:r>
        <w:rPr>
          <w:rFonts w:asciiTheme="minorEastAsia" w:hAnsiTheme="minorEastAsia" w:eastAsiaTheme="minorEastAsia"/>
          <w:b/>
          <w:sz w:val="24"/>
        </w:rPr>
        <w:t>时间</w:t>
      </w:r>
      <w:r>
        <w:rPr>
          <w:rFonts w:hint="eastAsia" w:asciiTheme="minorEastAsia" w:hAnsiTheme="minorEastAsia" w:eastAsiaTheme="minorEastAsia"/>
          <w:b/>
          <w:sz w:val="24"/>
        </w:rPr>
        <w:t xml:space="preserve">： </w:t>
      </w:r>
      <w:r>
        <w:rPr>
          <w:rFonts w:asciiTheme="minorEastAsia" w:hAnsiTheme="minorEastAsia" w:eastAsiaTheme="minorEastAsia"/>
          <w:b/>
          <w:sz w:val="24"/>
        </w:rPr>
        <w:t xml:space="preserve">  </w:t>
      </w:r>
      <w:r>
        <w:rPr>
          <w:rFonts w:hint="eastAsia" w:asciiTheme="minorEastAsia" w:hAnsiTheme="minorEastAsia" w:eastAsiaTheme="minorEastAsia"/>
          <w:b/>
          <w:sz w:val="24"/>
        </w:rPr>
        <w:t xml:space="preserve">年 </w:t>
      </w:r>
      <w:r>
        <w:rPr>
          <w:rFonts w:asciiTheme="minorEastAsia" w:hAnsiTheme="minorEastAsia" w:eastAsiaTheme="minorEastAsia"/>
          <w:b/>
          <w:sz w:val="24"/>
        </w:rPr>
        <w:t xml:space="preserve">  </w:t>
      </w:r>
      <w:r>
        <w:rPr>
          <w:rFonts w:hint="eastAsia" w:asciiTheme="minorEastAsia" w:hAnsiTheme="minorEastAsia" w:eastAsiaTheme="minorEastAsia"/>
          <w:b/>
          <w:sz w:val="24"/>
        </w:rPr>
        <w:t xml:space="preserve">月 </w:t>
      </w:r>
      <w:r>
        <w:rPr>
          <w:rFonts w:asciiTheme="minorEastAsia" w:hAnsiTheme="minorEastAsia" w:eastAsiaTheme="minorEastAsia"/>
          <w:b/>
          <w:sz w:val="24"/>
        </w:rPr>
        <w:t xml:space="preserve">  </w:t>
      </w:r>
      <w:r>
        <w:rPr>
          <w:rFonts w:hint="eastAsia" w:asciiTheme="minorEastAsia" w:hAnsiTheme="minorEastAsia" w:eastAsiaTheme="minorEastAsia"/>
          <w:b/>
          <w:sz w:val="24"/>
        </w:rPr>
        <w:t>日</w:t>
      </w:r>
    </w:p>
    <w:p w14:paraId="0EBEF1C9">
      <w:pPr>
        <w:spacing w:line="360" w:lineRule="auto"/>
        <w:rPr>
          <w:rFonts w:hint="eastAsia" w:asciiTheme="minorEastAsia" w:hAnsiTheme="minorEastAsia" w:eastAsiaTheme="minorEastAsia"/>
          <w:b/>
          <w:sz w:val="24"/>
        </w:rPr>
      </w:pPr>
    </w:p>
    <w:p w14:paraId="4E4E71A1">
      <w:pPr>
        <w:spacing w:line="360" w:lineRule="auto"/>
        <w:rPr>
          <w:rFonts w:hint="eastAsia" w:asciiTheme="minorEastAsia" w:hAnsiTheme="minorEastAsia" w:eastAsiaTheme="minorEastAsia"/>
          <w:b/>
          <w:sz w:val="24"/>
        </w:rPr>
      </w:pPr>
    </w:p>
    <w:p w14:paraId="3269FD83">
      <w:pPr>
        <w:spacing w:line="360" w:lineRule="auto"/>
        <w:rPr>
          <w:rFonts w:hint="eastAsia" w:asciiTheme="minorEastAsia" w:hAnsiTheme="minorEastAsia" w:eastAsiaTheme="minorEastAsia"/>
          <w:b/>
          <w:sz w:val="24"/>
        </w:rPr>
      </w:pPr>
    </w:p>
    <w:p w14:paraId="272F6422">
      <w:pPr>
        <w:spacing w:line="360" w:lineRule="auto"/>
        <w:rPr>
          <w:rFonts w:hint="eastAsia" w:asciiTheme="minorEastAsia" w:hAnsiTheme="minorEastAsia" w:eastAsiaTheme="minorEastAsia"/>
          <w:b/>
          <w:sz w:val="24"/>
        </w:rPr>
      </w:pPr>
    </w:p>
    <w:p w14:paraId="60212226">
      <w:pPr>
        <w:spacing w:line="360" w:lineRule="auto"/>
        <w:rPr>
          <w:rFonts w:hint="eastAsia" w:asciiTheme="minorEastAsia" w:hAnsiTheme="minorEastAsia" w:eastAsiaTheme="minorEastAsia"/>
          <w:b/>
          <w:sz w:val="24"/>
        </w:rPr>
      </w:pPr>
    </w:p>
    <w:p w14:paraId="7227F5AD">
      <w:pPr>
        <w:spacing w:line="360" w:lineRule="auto"/>
        <w:rPr>
          <w:rFonts w:hint="eastAsia" w:asciiTheme="minorEastAsia" w:hAnsiTheme="minorEastAsia" w:eastAsiaTheme="minorEastAsia"/>
          <w:b/>
          <w:sz w:val="24"/>
        </w:rPr>
      </w:pPr>
    </w:p>
    <w:p w14:paraId="0208E0F1">
      <w:pPr>
        <w:spacing w:line="360" w:lineRule="auto"/>
        <w:rPr>
          <w:rFonts w:hint="eastAsia" w:asciiTheme="minorEastAsia" w:hAnsiTheme="minorEastAsia" w:eastAsiaTheme="minorEastAsia"/>
          <w:b/>
          <w:sz w:val="24"/>
        </w:rPr>
      </w:pPr>
    </w:p>
    <w:p w14:paraId="29AA3107">
      <w:pPr>
        <w:spacing w:line="360" w:lineRule="auto"/>
        <w:rPr>
          <w:rFonts w:hint="eastAsia" w:asciiTheme="minorEastAsia" w:hAnsiTheme="minorEastAsia" w:eastAsiaTheme="minorEastAsia"/>
          <w:b/>
          <w:sz w:val="24"/>
        </w:rPr>
      </w:pPr>
    </w:p>
    <w:p w14:paraId="0127AB39">
      <w:pPr>
        <w:spacing w:line="360" w:lineRule="auto"/>
        <w:rPr>
          <w:rFonts w:hint="eastAsia" w:asciiTheme="minorEastAsia" w:hAnsiTheme="minorEastAsia" w:eastAsiaTheme="minorEastAsia"/>
          <w:b/>
          <w:sz w:val="24"/>
        </w:rPr>
      </w:pPr>
    </w:p>
    <w:p w14:paraId="69E04D5F">
      <w:pPr>
        <w:spacing w:line="360" w:lineRule="auto"/>
        <w:rPr>
          <w:rFonts w:hint="eastAsia" w:asciiTheme="minorEastAsia" w:hAnsiTheme="minorEastAsia" w:eastAsiaTheme="minorEastAsia"/>
          <w:b/>
          <w:sz w:val="24"/>
        </w:rPr>
      </w:pPr>
    </w:p>
    <w:p w14:paraId="5D052109">
      <w:pPr>
        <w:spacing w:line="360" w:lineRule="auto"/>
        <w:rPr>
          <w:rFonts w:hint="eastAsia" w:asciiTheme="minorEastAsia" w:hAnsiTheme="minorEastAsia" w:eastAsiaTheme="minorEastAsia"/>
          <w:b/>
          <w:sz w:val="24"/>
        </w:rPr>
      </w:pPr>
    </w:p>
    <w:p w14:paraId="28D12E50">
      <w:pPr>
        <w:spacing w:line="360" w:lineRule="auto"/>
        <w:rPr>
          <w:rFonts w:hint="eastAsia" w:asciiTheme="minorEastAsia" w:hAnsiTheme="minorEastAsia" w:eastAsiaTheme="minorEastAsia"/>
          <w:b/>
          <w:sz w:val="24"/>
        </w:rPr>
      </w:pPr>
    </w:p>
    <w:p w14:paraId="7BEA76F2">
      <w:pPr>
        <w:spacing w:line="360" w:lineRule="auto"/>
        <w:rPr>
          <w:rFonts w:hint="eastAsia" w:asciiTheme="minorEastAsia" w:hAnsiTheme="minorEastAsia" w:eastAsiaTheme="minorEastAsia"/>
          <w:b/>
          <w:sz w:val="24"/>
        </w:rPr>
      </w:pPr>
    </w:p>
    <w:p w14:paraId="6CE2117B">
      <w:pPr>
        <w:spacing w:line="360" w:lineRule="auto"/>
        <w:rPr>
          <w:rFonts w:hint="eastAsia" w:asciiTheme="minorEastAsia" w:hAnsiTheme="minorEastAsia" w:eastAsiaTheme="minorEastAsia"/>
          <w:b/>
          <w:sz w:val="24"/>
        </w:rPr>
      </w:pPr>
    </w:p>
    <w:p w14:paraId="37C5875B">
      <w:pPr>
        <w:spacing w:line="360" w:lineRule="auto"/>
        <w:rPr>
          <w:rFonts w:hint="eastAsia" w:ascii="仿宋" w:hAnsi="仿宋" w:eastAsia="仿宋"/>
          <w:b/>
          <w:sz w:val="24"/>
        </w:rPr>
      </w:pPr>
      <w:r>
        <w:rPr>
          <w:rFonts w:hint="eastAsia" w:ascii="仿宋" w:hAnsi="仿宋" w:eastAsia="仿宋"/>
          <w:b/>
          <w:sz w:val="24"/>
        </w:rPr>
        <w:t>附件1-合同价格表</w:t>
      </w:r>
    </w:p>
    <w:p w14:paraId="2FE688A6">
      <w:pPr>
        <w:spacing w:line="360" w:lineRule="auto"/>
        <w:rPr>
          <w:rFonts w:hint="eastAsia" w:asciiTheme="minorEastAsia" w:hAnsiTheme="minorEastAsia" w:eastAsiaTheme="minorEastAsia"/>
          <w:b/>
          <w:sz w:val="24"/>
        </w:rPr>
      </w:pPr>
      <w:r>
        <w:rPr>
          <w:rFonts w:hint="eastAsia" w:ascii="仿宋" w:hAnsi="仿宋" w:eastAsia="仿宋"/>
          <w:b/>
          <w:sz w:val="24"/>
        </w:rPr>
        <w:drawing>
          <wp:anchor distT="0" distB="0" distL="114300" distR="114300" simplePos="0" relativeHeight="251659264" behindDoc="1" locked="0" layoutInCell="1" allowOverlap="1">
            <wp:simplePos x="0" y="0"/>
            <wp:positionH relativeFrom="column">
              <wp:posOffset>-1094105</wp:posOffset>
            </wp:positionH>
            <wp:positionV relativeFrom="paragraph">
              <wp:posOffset>76835</wp:posOffset>
            </wp:positionV>
            <wp:extent cx="6632575" cy="9381490"/>
            <wp:effectExtent l="0" t="0" r="9525" b="3810"/>
            <wp:wrapNone/>
            <wp:docPr id="1" name="图片 1" descr="13.开标一览表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3.开标一览表_01"/>
                    <pic:cNvPicPr>
                      <a:picLocks noChangeAspect="1"/>
                    </pic:cNvPicPr>
                  </pic:nvPicPr>
                  <pic:blipFill>
                    <a:blip r:embed="rId6"/>
                    <a:stretch>
                      <a:fillRect/>
                    </a:stretch>
                  </pic:blipFill>
                  <pic:spPr>
                    <a:xfrm>
                      <a:off x="0" y="0"/>
                      <a:ext cx="6632575" cy="9381490"/>
                    </a:xfrm>
                    <a:prstGeom prst="rect">
                      <a:avLst/>
                    </a:prstGeom>
                  </pic:spPr>
                </pic:pic>
              </a:graphicData>
            </a:graphic>
          </wp:anchor>
        </w:drawing>
      </w:r>
    </w:p>
    <w:p w14:paraId="3A1512EF">
      <w:pPr>
        <w:spacing w:line="360" w:lineRule="auto"/>
        <w:rPr>
          <w:rFonts w:hint="eastAsia" w:asciiTheme="minorEastAsia" w:hAnsiTheme="minorEastAsia" w:eastAsiaTheme="minorEastAsia"/>
          <w:b/>
          <w:sz w:val="24"/>
        </w:rPr>
      </w:pPr>
    </w:p>
    <w:p w14:paraId="5584315E">
      <w:pPr>
        <w:sectPr>
          <w:pgSz w:w="11906" w:h="16838"/>
          <w:pgMar w:top="1440" w:right="1800" w:bottom="1440" w:left="1800" w:header="851" w:footer="992" w:gutter="0"/>
          <w:cols w:space="425" w:num="1"/>
          <w:docGrid w:type="lines" w:linePitch="312" w:charSpace="0"/>
        </w:sectPr>
      </w:pPr>
    </w:p>
    <w:p w14:paraId="4B66B51F">
      <w:pPr>
        <w:spacing w:line="360" w:lineRule="auto"/>
        <w:sectPr>
          <w:pgSz w:w="11906" w:h="16838"/>
          <w:pgMar w:top="1440" w:right="1800" w:bottom="1440" w:left="1800" w:header="851" w:footer="992" w:gutter="0"/>
          <w:cols w:equalWidth="0" w:num="2">
            <w:col w:w="3940" w:space="425"/>
            <w:col w:w="3940"/>
          </w:cols>
          <w:docGrid w:type="lines" w:linePitch="312" w:charSpace="0"/>
        </w:sectPr>
      </w:pPr>
      <w:r>
        <w:drawing>
          <wp:anchor distT="0" distB="0" distL="114300" distR="114300" simplePos="0" relativeHeight="251660288" behindDoc="1" locked="0" layoutInCell="1" allowOverlap="1">
            <wp:simplePos x="0" y="0"/>
            <wp:positionH relativeFrom="column">
              <wp:posOffset>-1111250</wp:posOffset>
            </wp:positionH>
            <wp:positionV relativeFrom="paragraph">
              <wp:posOffset>300990</wp:posOffset>
            </wp:positionV>
            <wp:extent cx="6739890" cy="9533890"/>
            <wp:effectExtent l="0" t="0" r="3810" b="3810"/>
            <wp:wrapTight wrapText="bothSides">
              <wp:wrapPolygon>
                <wp:start x="0" y="0"/>
                <wp:lineTo x="0" y="21580"/>
                <wp:lineTo x="21572" y="21580"/>
                <wp:lineTo x="21572" y="0"/>
                <wp:lineTo x="0" y="0"/>
              </wp:wrapPolygon>
            </wp:wrapTight>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6739890" cy="9533890"/>
                    </a:xfrm>
                    <a:prstGeom prst="rect">
                      <a:avLst/>
                    </a:prstGeom>
                    <a:noFill/>
                    <a:ln>
                      <a:noFill/>
                    </a:ln>
                  </pic:spPr>
                </pic:pic>
              </a:graphicData>
            </a:graphic>
          </wp:anchor>
        </w:drawing>
      </w:r>
      <w:r>
        <w:rPr>
          <w:rFonts w:hint="eastAsia" w:ascii="仿宋" w:hAnsi="仿宋" w:eastAsia="仿宋"/>
          <w:b/>
          <w:sz w:val="24"/>
        </w:rPr>
        <w:t>附件2-技术参数</w:t>
      </w:r>
    </w:p>
    <w:p w14:paraId="3E3F3529">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1312" behindDoc="1" locked="0" layoutInCell="1" allowOverlap="1">
            <wp:simplePos x="0" y="0"/>
            <wp:positionH relativeFrom="column">
              <wp:posOffset>-787400</wp:posOffset>
            </wp:positionH>
            <wp:positionV relativeFrom="paragraph">
              <wp:posOffset>-706120</wp:posOffset>
            </wp:positionV>
            <wp:extent cx="7061835" cy="9990455"/>
            <wp:effectExtent l="0" t="0" r="12065" b="4445"/>
            <wp:wrapTight wrapText="bothSides">
              <wp:wrapPolygon>
                <wp:start x="0" y="0"/>
                <wp:lineTo x="0" y="21582"/>
                <wp:lineTo x="21559" y="21582"/>
                <wp:lineTo x="21559" y="0"/>
                <wp:lineTo x="0" y="0"/>
              </wp:wrapPolygon>
            </wp:wrapTight>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7061835" cy="9990455"/>
                    </a:xfrm>
                    <a:prstGeom prst="rect">
                      <a:avLst/>
                    </a:prstGeom>
                    <a:noFill/>
                    <a:ln>
                      <a:noFill/>
                    </a:ln>
                  </pic:spPr>
                </pic:pic>
              </a:graphicData>
            </a:graphic>
          </wp:anchor>
        </w:drawing>
      </w:r>
    </w:p>
    <w:p w14:paraId="19E74A00">
      <w:pPr>
        <w:spacing w:line="360" w:lineRule="auto"/>
      </w:pPr>
      <w:r>
        <w:rPr>
          <w:rFonts w:hint="eastAsia"/>
        </w:rPr>
        <w:t>附件3-配置清单</w:t>
      </w:r>
    </w:p>
    <w:p w14:paraId="590EAF40">
      <w:pPr>
        <w:spacing w:line="360" w:lineRule="auto"/>
      </w:pPr>
      <w:r>
        <w:rPr>
          <w:rFonts w:hint="eastAsia"/>
        </w:rPr>
        <w:drawing>
          <wp:anchor distT="0" distB="0" distL="114300" distR="114300" simplePos="0" relativeHeight="251662336" behindDoc="0" locked="0" layoutInCell="1" allowOverlap="1">
            <wp:simplePos x="0" y="0"/>
            <wp:positionH relativeFrom="column">
              <wp:posOffset>-1101725</wp:posOffset>
            </wp:positionH>
            <wp:positionV relativeFrom="paragraph">
              <wp:posOffset>241935</wp:posOffset>
            </wp:positionV>
            <wp:extent cx="7230745" cy="9245600"/>
            <wp:effectExtent l="0" t="0" r="8255" b="0"/>
            <wp:wrapNone/>
            <wp:docPr id="4" name="图片 4" descr="A配置 (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配置 (1)_01"/>
                    <pic:cNvPicPr>
                      <a:picLocks noChangeAspect="1"/>
                    </pic:cNvPicPr>
                  </pic:nvPicPr>
                  <pic:blipFill>
                    <a:blip r:embed="rId9"/>
                    <a:stretch>
                      <a:fillRect/>
                    </a:stretch>
                  </pic:blipFill>
                  <pic:spPr>
                    <a:xfrm>
                      <a:off x="0" y="0"/>
                      <a:ext cx="7230745" cy="9245600"/>
                    </a:xfrm>
                    <a:prstGeom prst="rect">
                      <a:avLst/>
                    </a:prstGeom>
                  </pic:spPr>
                </pic:pic>
              </a:graphicData>
            </a:graphic>
          </wp:anchor>
        </w:drawing>
      </w:r>
    </w:p>
    <w:p w14:paraId="23660E82">
      <w:pPr>
        <w:spacing w:line="360" w:lineRule="auto"/>
        <w:sectPr>
          <w:pgSz w:w="11906" w:h="16838"/>
          <w:pgMar w:top="1440" w:right="1800" w:bottom="1440" w:left="1800" w:header="851" w:footer="992" w:gutter="0"/>
          <w:cols w:equalWidth="0" w:num="2">
            <w:col w:w="3940" w:space="425"/>
            <w:col w:w="3940"/>
          </w:cols>
          <w:docGrid w:type="lines" w:linePitch="312" w:charSpace="0"/>
        </w:sectPr>
      </w:pPr>
    </w:p>
    <w:p w14:paraId="1D47460E">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3360" behindDoc="0" locked="0" layoutInCell="1" allowOverlap="1">
            <wp:simplePos x="0" y="0"/>
            <wp:positionH relativeFrom="column">
              <wp:posOffset>-1117600</wp:posOffset>
            </wp:positionH>
            <wp:positionV relativeFrom="paragraph">
              <wp:posOffset>-902335</wp:posOffset>
            </wp:positionV>
            <wp:extent cx="7468870" cy="9657715"/>
            <wp:effectExtent l="0" t="0" r="11430" b="6985"/>
            <wp:wrapNone/>
            <wp:docPr id="5" name="图片 5" descr="S配置 (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配置 (2)_01"/>
                    <pic:cNvPicPr>
                      <a:picLocks noChangeAspect="1"/>
                    </pic:cNvPicPr>
                  </pic:nvPicPr>
                  <pic:blipFill>
                    <a:blip r:embed="rId10"/>
                    <a:stretch>
                      <a:fillRect/>
                    </a:stretch>
                  </pic:blipFill>
                  <pic:spPr>
                    <a:xfrm>
                      <a:off x="0" y="0"/>
                      <a:ext cx="7468870" cy="9657715"/>
                    </a:xfrm>
                    <a:prstGeom prst="rect">
                      <a:avLst/>
                    </a:prstGeom>
                  </pic:spPr>
                </pic:pic>
              </a:graphicData>
            </a:graphic>
          </wp:anchor>
        </w:drawing>
      </w:r>
    </w:p>
    <w:p w14:paraId="52573CBC">
      <w:pPr>
        <w:spacing w:line="360" w:lineRule="auto"/>
      </w:pPr>
      <w:r>
        <w:rPr>
          <w:rFonts w:hint="eastAsia"/>
        </w:rPr>
        <w:t>附件4-法定代表人授权</w:t>
      </w:r>
    </w:p>
    <w:p w14:paraId="77C1D43B"/>
    <w:p w14:paraId="61F7D6C4">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64384" behindDoc="0" locked="0" layoutInCell="1" allowOverlap="1">
            <wp:simplePos x="0" y="0"/>
            <wp:positionH relativeFrom="column">
              <wp:posOffset>-1146810</wp:posOffset>
            </wp:positionH>
            <wp:positionV relativeFrom="paragraph">
              <wp:posOffset>-160020</wp:posOffset>
            </wp:positionV>
            <wp:extent cx="7292975" cy="9411335"/>
            <wp:effectExtent l="0" t="0" r="9525" b="12065"/>
            <wp:wrapNone/>
            <wp:docPr id="7" name="图片 7" descr="法人授权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法人授权_01"/>
                    <pic:cNvPicPr>
                      <a:picLocks noChangeAspect="1"/>
                    </pic:cNvPicPr>
                  </pic:nvPicPr>
                  <pic:blipFill>
                    <a:blip r:embed="rId11"/>
                    <a:stretch>
                      <a:fillRect/>
                    </a:stretch>
                  </pic:blipFill>
                  <pic:spPr>
                    <a:xfrm>
                      <a:off x="0" y="0"/>
                      <a:ext cx="7292975" cy="9411335"/>
                    </a:xfrm>
                    <a:prstGeom prst="rect">
                      <a:avLst/>
                    </a:prstGeom>
                  </pic:spPr>
                </pic:pic>
              </a:graphicData>
            </a:graphic>
          </wp:anchor>
        </w:drawing>
      </w:r>
    </w:p>
    <w:p w14:paraId="7BF6F670">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5408" behindDoc="0" locked="0" layoutInCell="1" allowOverlap="1">
            <wp:simplePos x="0" y="0"/>
            <wp:positionH relativeFrom="column">
              <wp:posOffset>-1040130</wp:posOffset>
            </wp:positionH>
            <wp:positionV relativeFrom="paragraph">
              <wp:posOffset>89535</wp:posOffset>
            </wp:positionV>
            <wp:extent cx="7414260" cy="4010660"/>
            <wp:effectExtent l="0" t="0" r="2540" b="2540"/>
            <wp:wrapNone/>
            <wp:docPr id="8" name="图片 8" descr="法人授权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法人授权2_01"/>
                    <pic:cNvPicPr>
                      <a:picLocks noChangeAspect="1"/>
                    </pic:cNvPicPr>
                  </pic:nvPicPr>
                  <pic:blipFill>
                    <a:blip r:embed="rId12"/>
                    <a:stretch>
                      <a:fillRect/>
                    </a:stretch>
                  </pic:blipFill>
                  <pic:spPr>
                    <a:xfrm>
                      <a:off x="0" y="0"/>
                      <a:ext cx="7414260" cy="4010660"/>
                    </a:xfrm>
                    <a:prstGeom prst="rect">
                      <a:avLst/>
                    </a:prstGeom>
                  </pic:spPr>
                </pic:pic>
              </a:graphicData>
            </a:graphic>
          </wp:anchor>
        </w:drawing>
      </w:r>
    </w:p>
    <w:p w14:paraId="4C5933B4">
      <w:pPr>
        <w:spacing w:line="360" w:lineRule="auto"/>
      </w:pPr>
      <w:r>
        <w:drawing>
          <wp:anchor distT="0" distB="0" distL="114300" distR="114300" simplePos="0" relativeHeight="251666432" behindDoc="1" locked="0" layoutInCell="1" allowOverlap="1">
            <wp:simplePos x="0" y="0"/>
            <wp:positionH relativeFrom="column">
              <wp:posOffset>-850900</wp:posOffset>
            </wp:positionH>
            <wp:positionV relativeFrom="paragraph">
              <wp:posOffset>234315</wp:posOffset>
            </wp:positionV>
            <wp:extent cx="6715125" cy="9498330"/>
            <wp:effectExtent l="0" t="0" r="3175" b="1270"/>
            <wp:wrapTight wrapText="bothSides">
              <wp:wrapPolygon>
                <wp:start x="0" y="0"/>
                <wp:lineTo x="0" y="21574"/>
                <wp:lineTo x="21569" y="21574"/>
                <wp:lineTo x="21569" y="0"/>
                <wp:lineTo x="0" y="0"/>
              </wp:wrapPolygon>
            </wp:wrapTight>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3"/>
                    <a:stretch>
                      <a:fillRect/>
                    </a:stretch>
                  </pic:blipFill>
                  <pic:spPr>
                    <a:xfrm>
                      <a:off x="0" y="0"/>
                      <a:ext cx="6715125" cy="9498330"/>
                    </a:xfrm>
                    <a:prstGeom prst="rect">
                      <a:avLst/>
                    </a:prstGeom>
                    <a:noFill/>
                    <a:ln>
                      <a:noFill/>
                    </a:ln>
                  </pic:spPr>
                </pic:pic>
              </a:graphicData>
            </a:graphic>
          </wp:anchor>
        </w:drawing>
      </w:r>
      <w:r>
        <w:rPr>
          <w:rFonts w:hint="eastAsia"/>
        </w:rPr>
        <w:t>附件5-公司资质</w:t>
      </w:r>
    </w:p>
    <w:p w14:paraId="1521548A">
      <w:pPr>
        <w:sectPr>
          <w:pgSz w:w="11906" w:h="16838"/>
          <w:pgMar w:top="1440" w:right="1800" w:bottom="1440" w:left="1800" w:header="851" w:footer="992" w:gutter="0"/>
          <w:cols w:space="425" w:num="1"/>
          <w:docGrid w:type="lines" w:linePitch="312" w:charSpace="0"/>
        </w:sectPr>
      </w:pPr>
    </w:p>
    <w:p w14:paraId="3AB4E4EF">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7456" behindDoc="1" locked="0" layoutInCell="1" allowOverlap="1">
            <wp:simplePos x="0" y="0"/>
            <wp:positionH relativeFrom="column">
              <wp:posOffset>-998220</wp:posOffset>
            </wp:positionH>
            <wp:positionV relativeFrom="paragraph">
              <wp:posOffset>-634365</wp:posOffset>
            </wp:positionV>
            <wp:extent cx="7231380" cy="10230485"/>
            <wp:effectExtent l="0" t="0" r="7620" b="5715"/>
            <wp:wrapTight wrapText="bothSides">
              <wp:wrapPolygon>
                <wp:start x="0" y="0"/>
                <wp:lineTo x="0" y="21585"/>
                <wp:lineTo x="21547" y="21585"/>
                <wp:lineTo x="21547" y="0"/>
                <wp:lineTo x="0" y="0"/>
              </wp:wrapPolygon>
            </wp:wrapTight>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4"/>
                    <a:stretch>
                      <a:fillRect/>
                    </a:stretch>
                  </pic:blipFill>
                  <pic:spPr>
                    <a:xfrm>
                      <a:off x="0" y="0"/>
                      <a:ext cx="7231380" cy="10230485"/>
                    </a:xfrm>
                    <a:prstGeom prst="rect">
                      <a:avLst/>
                    </a:prstGeom>
                    <a:noFill/>
                    <a:ln>
                      <a:noFill/>
                    </a:ln>
                  </pic:spPr>
                </pic:pic>
              </a:graphicData>
            </a:graphic>
          </wp:anchor>
        </w:drawing>
      </w:r>
    </w:p>
    <w:p w14:paraId="48BF8482">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-806450</wp:posOffset>
            </wp:positionH>
            <wp:positionV relativeFrom="paragraph">
              <wp:posOffset>-692150</wp:posOffset>
            </wp:positionV>
            <wp:extent cx="7171690" cy="10145395"/>
            <wp:effectExtent l="0" t="0" r="3810" b="1905"/>
            <wp:wrapTight wrapText="bothSides">
              <wp:wrapPolygon>
                <wp:start x="0" y="0"/>
                <wp:lineTo x="0" y="21577"/>
                <wp:lineTo x="21573" y="21577"/>
                <wp:lineTo x="21573" y="0"/>
                <wp:lineTo x="0" y="0"/>
              </wp:wrapPolygon>
            </wp:wrapTight>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5"/>
                    <a:stretch>
                      <a:fillRect/>
                    </a:stretch>
                  </pic:blipFill>
                  <pic:spPr>
                    <a:xfrm>
                      <a:off x="0" y="0"/>
                      <a:ext cx="7171690" cy="10145395"/>
                    </a:xfrm>
                    <a:prstGeom prst="rect">
                      <a:avLst/>
                    </a:prstGeom>
                    <a:noFill/>
                    <a:ln>
                      <a:noFill/>
                    </a:ln>
                  </pic:spPr>
                </pic:pic>
              </a:graphicData>
            </a:graphic>
          </wp:anchor>
        </w:drawing>
      </w:r>
    </w:p>
    <w:p w14:paraId="764B4757">
      <w:pPr>
        <w:spacing w:line="360" w:lineRule="auto"/>
        <w:sectPr>
          <w:pgSz w:w="11906" w:h="16838"/>
          <w:pgMar w:top="1440" w:right="1800" w:bottom="1440" w:left="1800" w:header="851" w:footer="992" w:gutter="0"/>
          <w:cols w:equalWidth="0" w:num="2">
            <w:col w:w="3940" w:space="425"/>
            <w:col w:w="3940"/>
          </w:cols>
          <w:docGrid w:type="lines" w:linePitch="312" w:charSpace="0"/>
        </w:sectPr>
      </w:pPr>
      <w:r>
        <w:drawing>
          <wp:anchor distT="0" distB="0" distL="114300" distR="114300" simplePos="0" relativeHeight="251669504" behindDoc="1" locked="0" layoutInCell="1" allowOverlap="1">
            <wp:simplePos x="0" y="0"/>
            <wp:positionH relativeFrom="column">
              <wp:posOffset>-742950</wp:posOffset>
            </wp:positionH>
            <wp:positionV relativeFrom="paragraph">
              <wp:posOffset>309245</wp:posOffset>
            </wp:positionV>
            <wp:extent cx="6625590" cy="9373235"/>
            <wp:effectExtent l="0" t="0" r="3810" b="12065"/>
            <wp:wrapTight wrapText="bothSides">
              <wp:wrapPolygon>
                <wp:start x="0" y="0"/>
                <wp:lineTo x="0" y="21569"/>
                <wp:lineTo x="21571" y="21569"/>
                <wp:lineTo x="21571" y="0"/>
                <wp:lineTo x="0" y="0"/>
              </wp:wrapPolygon>
            </wp:wrapTight>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6"/>
                    <a:stretch>
                      <a:fillRect/>
                    </a:stretch>
                  </pic:blipFill>
                  <pic:spPr>
                    <a:xfrm>
                      <a:off x="0" y="0"/>
                      <a:ext cx="6625590" cy="9373235"/>
                    </a:xfrm>
                    <a:prstGeom prst="rect">
                      <a:avLst/>
                    </a:prstGeom>
                    <a:noFill/>
                    <a:ln>
                      <a:noFill/>
                    </a:ln>
                  </pic:spPr>
                </pic:pic>
              </a:graphicData>
            </a:graphic>
          </wp:anchor>
        </w:drawing>
      </w:r>
      <w:r>
        <w:rPr>
          <w:rFonts w:hint="eastAsia"/>
        </w:rPr>
        <w:t>附件6-注册证</w:t>
      </w:r>
    </w:p>
    <w:p w14:paraId="40FCC5D3">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0528" behindDoc="1" locked="0" layoutInCell="1" allowOverlap="1">
            <wp:simplePos x="0" y="0"/>
            <wp:positionH relativeFrom="column">
              <wp:posOffset>-1005205</wp:posOffset>
            </wp:positionH>
            <wp:positionV relativeFrom="paragraph">
              <wp:posOffset>-684530</wp:posOffset>
            </wp:positionV>
            <wp:extent cx="7326630" cy="10364470"/>
            <wp:effectExtent l="0" t="0" r="1270" b="11430"/>
            <wp:wrapTight wrapText="bothSides">
              <wp:wrapPolygon>
                <wp:start x="0" y="0"/>
                <wp:lineTo x="0" y="21571"/>
                <wp:lineTo x="21566" y="21571"/>
                <wp:lineTo x="21566" y="0"/>
                <wp:lineTo x="0" y="0"/>
              </wp:wrapPolygon>
            </wp:wrapTight>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17"/>
                    <a:stretch>
                      <a:fillRect/>
                    </a:stretch>
                  </pic:blipFill>
                  <pic:spPr>
                    <a:xfrm>
                      <a:off x="0" y="0"/>
                      <a:ext cx="7326630" cy="10364470"/>
                    </a:xfrm>
                    <a:prstGeom prst="rect">
                      <a:avLst/>
                    </a:prstGeom>
                    <a:noFill/>
                    <a:ln>
                      <a:noFill/>
                    </a:ln>
                  </pic:spPr>
                </pic:pic>
              </a:graphicData>
            </a:graphic>
          </wp:anchor>
        </w:drawing>
      </w:r>
    </w:p>
    <w:p w14:paraId="3C3DF4D0">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1552" behindDoc="1" locked="0" layoutInCell="1" allowOverlap="1">
            <wp:simplePos x="0" y="0"/>
            <wp:positionH relativeFrom="column">
              <wp:posOffset>-920750</wp:posOffset>
            </wp:positionH>
            <wp:positionV relativeFrom="paragraph">
              <wp:posOffset>-775970</wp:posOffset>
            </wp:positionV>
            <wp:extent cx="7435850" cy="10518775"/>
            <wp:effectExtent l="0" t="0" r="6350" b="9525"/>
            <wp:wrapTight wrapText="bothSides">
              <wp:wrapPolygon>
                <wp:start x="0" y="0"/>
                <wp:lineTo x="0" y="21567"/>
                <wp:lineTo x="21582" y="21567"/>
                <wp:lineTo x="21582" y="0"/>
                <wp:lineTo x="0" y="0"/>
              </wp:wrapPolygon>
            </wp:wrapTight>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8"/>
                    <a:stretch>
                      <a:fillRect/>
                    </a:stretch>
                  </pic:blipFill>
                  <pic:spPr>
                    <a:xfrm>
                      <a:off x="0" y="0"/>
                      <a:ext cx="7435850" cy="10518775"/>
                    </a:xfrm>
                    <a:prstGeom prst="rect">
                      <a:avLst/>
                    </a:prstGeom>
                    <a:noFill/>
                    <a:ln>
                      <a:noFill/>
                    </a:ln>
                  </pic:spPr>
                </pic:pic>
              </a:graphicData>
            </a:graphic>
          </wp:anchor>
        </w:drawing>
      </w:r>
    </w:p>
    <w:p w14:paraId="2FE59C24">
      <w:pPr>
        <w:spacing w:line="360" w:lineRule="auto"/>
      </w:pPr>
      <w:r>
        <w:rPr>
          <w:rFonts w:hint="eastAsia"/>
        </w:rPr>
        <w:t>附件7-售后服务承诺书</w:t>
      </w:r>
    </w:p>
    <w:p w14:paraId="16A3DCFC">
      <w:pPr>
        <w:spacing w:line="360" w:lineRule="auto"/>
      </w:pPr>
      <w:r>
        <w:rPr>
          <w:rFonts w:hint="eastAsia"/>
        </w:rPr>
        <w:drawing>
          <wp:anchor distT="0" distB="0" distL="114300" distR="114300" simplePos="0" relativeHeight="251672576" behindDoc="0" locked="0" layoutInCell="1" allowOverlap="1">
            <wp:simplePos x="0" y="0"/>
            <wp:positionH relativeFrom="column">
              <wp:posOffset>-1062990</wp:posOffset>
            </wp:positionH>
            <wp:positionV relativeFrom="paragraph">
              <wp:posOffset>121285</wp:posOffset>
            </wp:positionV>
            <wp:extent cx="6601460" cy="9339580"/>
            <wp:effectExtent l="0" t="0" r="2540" b="7620"/>
            <wp:wrapNone/>
            <wp:docPr id="2" name="图片 2" descr="22.售后服务及培训服务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2.售后服务及培训服务_09"/>
                    <pic:cNvPicPr>
                      <a:picLocks noChangeAspect="1"/>
                    </pic:cNvPicPr>
                  </pic:nvPicPr>
                  <pic:blipFill>
                    <a:blip r:embed="rId19"/>
                    <a:stretch>
                      <a:fillRect/>
                    </a:stretch>
                  </pic:blipFill>
                  <pic:spPr>
                    <a:xfrm>
                      <a:off x="0" y="0"/>
                      <a:ext cx="6601460" cy="9339580"/>
                    </a:xfrm>
                    <a:prstGeom prst="rect">
                      <a:avLst/>
                    </a:prstGeom>
                  </pic:spPr>
                </pic:pic>
              </a:graphicData>
            </a:graphic>
          </wp:anchor>
        </w:drawing>
      </w:r>
    </w:p>
    <w:p w14:paraId="27616319"/>
    <w:p w14:paraId="5E238EB8">
      <w:pPr>
        <w:sectPr>
          <w:pgSz w:w="11906" w:h="16838"/>
          <w:pgMar w:top="1440" w:right="1800" w:bottom="1440" w:left="1800" w:header="851" w:footer="992" w:gutter="0"/>
          <w:cols w:space="425" w:num="1"/>
          <w:docGrid w:type="lines" w:linePitch="312" w:charSpace="0"/>
        </w:sectPr>
      </w:pPr>
    </w:p>
    <w:p w14:paraId="1527247A">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3600" behindDoc="0" locked="0" layoutInCell="1" allowOverlap="1">
            <wp:simplePos x="0" y="0"/>
            <wp:positionH relativeFrom="column">
              <wp:posOffset>-1078230</wp:posOffset>
            </wp:positionH>
            <wp:positionV relativeFrom="paragraph">
              <wp:posOffset>-900430</wp:posOffset>
            </wp:positionV>
            <wp:extent cx="7489825" cy="10597515"/>
            <wp:effectExtent l="0" t="0" r="3175" b="6985"/>
            <wp:wrapNone/>
            <wp:docPr id="26" name="图片 26" descr="22.售后服务及培训服务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2.售后服务及培训服务_10"/>
                    <pic:cNvPicPr>
                      <a:picLocks noChangeAspect="1"/>
                    </pic:cNvPicPr>
                  </pic:nvPicPr>
                  <pic:blipFill>
                    <a:blip r:embed="rId20"/>
                    <a:stretch>
                      <a:fillRect/>
                    </a:stretch>
                  </pic:blipFill>
                  <pic:spPr>
                    <a:xfrm>
                      <a:off x="0" y="0"/>
                      <a:ext cx="7489825" cy="10597515"/>
                    </a:xfrm>
                    <a:prstGeom prst="rect">
                      <a:avLst/>
                    </a:prstGeom>
                  </pic:spPr>
                </pic:pic>
              </a:graphicData>
            </a:graphic>
          </wp:anchor>
        </w:drawing>
      </w:r>
    </w:p>
    <w:p w14:paraId="19AF2AEC">
      <w:pPr>
        <w:sectPr>
          <w:pgSz w:w="11906" w:h="16838"/>
          <w:pgMar w:top="1440" w:right="1800" w:bottom="1440" w:left="1800" w:header="851" w:footer="992" w:gutter="0"/>
          <w:cols w:space="425" w:num="1"/>
          <w:docGrid w:type="lines" w:linePitch="312" w:charSpace="0"/>
        </w:sectPr>
      </w:pPr>
      <w:r>
        <w:drawing>
          <wp:anchor distT="0" distB="0" distL="114300" distR="114300" simplePos="0" relativeHeight="251674624" behindDoc="0" locked="0" layoutInCell="1" allowOverlap="1">
            <wp:simplePos x="0" y="0"/>
            <wp:positionH relativeFrom="column">
              <wp:posOffset>-1078865</wp:posOffset>
            </wp:positionH>
            <wp:positionV relativeFrom="paragraph">
              <wp:posOffset>-884555</wp:posOffset>
            </wp:positionV>
            <wp:extent cx="7486650" cy="10592435"/>
            <wp:effectExtent l="0" t="0" r="6350" b="12065"/>
            <wp:wrapNone/>
            <wp:docPr id="27" name="图片 27" descr="22.售后服务及培训服务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2.售后服务及培训服务_11"/>
                    <pic:cNvPicPr>
                      <a:picLocks noChangeAspect="1"/>
                    </pic:cNvPicPr>
                  </pic:nvPicPr>
                  <pic:blipFill>
                    <a:blip r:embed="rId21"/>
                    <a:stretch>
                      <a:fillRect/>
                    </a:stretch>
                  </pic:blipFill>
                  <pic:spPr>
                    <a:xfrm>
                      <a:off x="0" y="0"/>
                      <a:ext cx="7486650" cy="10592435"/>
                    </a:xfrm>
                    <a:prstGeom prst="rect">
                      <a:avLst/>
                    </a:prstGeom>
                  </pic:spPr>
                </pic:pic>
              </a:graphicData>
            </a:graphic>
          </wp:anchor>
        </w:drawing>
      </w:r>
    </w:p>
    <w:p w14:paraId="700E67F6">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75648" behindDoc="0" locked="0" layoutInCell="1" allowOverlap="1">
            <wp:simplePos x="0" y="0"/>
            <wp:positionH relativeFrom="column">
              <wp:posOffset>-1116965</wp:posOffset>
            </wp:positionH>
            <wp:positionV relativeFrom="paragraph">
              <wp:posOffset>-855345</wp:posOffset>
            </wp:positionV>
            <wp:extent cx="7496175" cy="10605135"/>
            <wp:effectExtent l="0" t="0" r="9525" b="12065"/>
            <wp:wrapNone/>
            <wp:docPr id="28" name="图片 28" descr="22.售后服务及培训服务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2.售后服务及培训服务_12"/>
                    <pic:cNvPicPr>
                      <a:picLocks noChangeAspect="1"/>
                    </pic:cNvPicPr>
                  </pic:nvPicPr>
                  <pic:blipFill>
                    <a:blip r:embed="rId22"/>
                    <a:stretch>
                      <a:fillRect/>
                    </a:stretch>
                  </pic:blipFill>
                  <pic:spPr>
                    <a:xfrm>
                      <a:off x="0" y="0"/>
                      <a:ext cx="7496175" cy="10605135"/>
                    </a:xfrm>
                    <a:prstGeom prst="rect">
                      <a:avLst/>
                    </a:prstGeom>
                  </pic:spPr>
                </pic:pic>
              </a:graphicData>
            </a:graphic>
          </wp:anchor>
        </w:drawing>
      </w:r>
    </w:p>
    <w:p w14:paraId="73B74C77">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76672" behindDoc="0" locked="0" layoutInCell="1" allowOverlap="1">
            <wp:simplePos x="0" y="0"/>
            <wp:positionH relativeFrom="column">
              <wp:posOffset>-1009650</wp:posOffset>
            </wp:positionH>
            <wp:positionV relativeFrom="paragraph">
              <wp:posOffset>-885190</wp:posOffset>
            </wp:positionV>
            <wp:extent cx="7368540" cy="10426700"/>
            <wp:effectExtent l="0" t="0" r="10160" b="0"/>
            <wp:wrapNone/>
            <wp:docPr id="29" name="图片 29" descr="22.售后服务及培训服务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2.售后服务及培训服务_13"/>
                    <pic:cNvPicPr>
                      <a:picLocks noChangeAspect="1"/>
                    </pic:cNvPicPr>
                  </pic:nvPicPr>
                  <pic:blipFill>
                    <a:blip r:embed="rId23"/>
                    <a:stretch>
                      <a:fillRect/>
                    </a:stretch>
                  </pic:blipFill>
                  <pic:spPr>
                    <a:xfrm>
                      <a:off x="0" y="0"/>
                      <a:ext cx="7368540" cy="10426700"/>
                    </a:xfrm>
                    <a:prstGeom prst="rect">
                      <a:avLst/>
                    </a:prstGeom>
                  </pic:spPr>
                </pic:pic>
              </a:graphicData>
            </a:graphic>
          </wp:anchor>
        </w:drawing>
      </w:r>
    </w:p>
    <w:p w14:paraId="59FD540F">
      <w:pPr>
        <w:sectPr>
          <w:pgSz w:w="11906" w:h="16838"/>
          <w:pgMar w:top="1440" w:right="1800" w:bottom="1440" w:left="1800" w:header="851" w:footer="992" w:gutter="0"/>
          <w:cols w:space="425" w:num="1"/>
          <w:docGrid w:type="lines" w:linePitch="312" w:charSpace="0"/>
        </w:sectPr>
      </w:pPr>
      <w:r>
        <w:rPr>
          <w:rFonts w:hint="eastAsia"/>
        </w:rPr>
        <w:drawing>
          <wp:anchor distT="0" distB="0" distL="114300" distR="114300" simplePos="0" relativeHeight="251677696" behindDoc="0" locked="0" layoutInCell="1" allowOverlap="1">
            <wp:simplePos x="0" y="0"/>
            <wp:positionH relativeFrom="column">
              <wp:posOffset>-1123950</wp:posOffset>
            </wp:positionH>
            <wp:positionV relativeFrom="paragraph">
              <wp:posOffset>-908050</wp:posOffset>
            </wp:positionV>
            <wp:extent cx="7483475" cy="10587355"/>
            <wp:effectExtent l="0" t="0" r="9525" b="4445"/>
            <wp:wrapNone/>
            <wp:docPr id="30" name="图片 30" descr="22.售后服务及培训服务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2.售后服务及培训服务_14"/>
                    <pic:cNvPicPr>
                      <a:picLocks noChangeAspect="1"/>
                    </pic:cNvPicPr>
                  </pic:nvPicPr>
                  <pic:blipFill>
                    <a:blip r:embed="rId24"/>
                    <a:stretch>
                      <a:fillRect/>
                    </a:stretch>
                  </pic:blipFill>
                  <pic:spPr>
                    <a:xfrm>
                      <a:off x="0" y="0"/>
                      <a:ext cx="7483475" cy="10587355"/>
                    </a:xfrm>
                    <a:prstGeom prst="rect">
                      <a:avLst/>
                    </a:prstGeom>
                  </pic:spPr>
                </pic:pic>
              </a:graphicData>
            </a:graphic>
          </wp:anchor>
        </w:drawing>
      </w:r>
    </w:p>
    <w:p w14:paraId="668EB3C4">
      <w:r>
        <w:rPr>
          <w:rFonts w:hint="eastAsia"/>
        </w:rPr>
        <w:drawing>
          <wp:anchor distT="0" distB="0" distL="114300" distR="114300" simplePos="0" relativeHeight="251678720" behindDoc="0" locked="0" layoutInCell="1" allowOverlap="1">
            <wp:simplePos x="0" y="0"/>
            <wp:positionH relativeFrom="column">
              <wp:posOffset>-1101090</wp:posOffset>
            </wp:positionH>
            <wp:positionV relativeFrom="paragraph">
              <wp:posOffset>-893445</wp:posOffset>
            </wp:positionV>
            <wp:extent cx="7559040" cy="10694035"/>
            <wp:effectExtent l="0" t="0" r="10160" b="12065"/>
            <wp:wrapNone/>
            <wp:docPr id="31" name="图片 31" descr="22.售后服务及培训服务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2.售后服务及培训服务_15"/>
                    <pic:cNvPicPr>
                      <a:picLocks noChangeAspect="1"/>
                    </pic:cNvPicPr>
                  </pic:nvPicPr>
                  <pic:blipFill>
                    <a:blip r:embed="rId25"/>
                    <a:stretch>
                      <a:fillRect/>
                    </a:stretch>
                  </pic:blipFill>
                  <pic:spPr>
                    <a:xfrm>
                      <a:off x="0" y="0"/>
                      <a:ext cx="7559040" cy="10694035"/>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qian yang" w:date="2025-12-28T21:01:00Z" w:initials="">
    <w:p w14:paraId="60974CBE">
      <w:pPr>
        <w:pStyle w:val="2"/>
      </w:pPr>
      <w:r>
        <w:rPr>
          <w:rFonts w:hint="eastAsia"/>
        </w:rPr>
        <w:t>合同约定需不低于采购需求</w:t>
      </w:r>
    </w:p>
  </w:comment>
  <w:comment w:id="1" w:author="qian yang" w:date="2025-12-28T21:02:00Z" w:initials="">
    <w:p w14:paraId="0107D70F">
      <w:pPr>
        <w:pStyle w:val="2"/>
      </w:pPr>
      <w:r>
        <w:rPr>
          <w:rFonts w:hint="eastAsia"/>
        </w:rPr>
        <w:t>如系非法定代表人的授权代表签字，需查验乙方公司授权该代表签署协议的授权委托书原件、代表身份证证件，并保留上述加盖公章委托手续，作为本合同附件。</w:t>
      </w:r>
    </w:p>
    <w:p w14:paraId="24D218CB">
      <w:pPr>
        <w:pStyle w:val="2"/>
      </w:pPr>
    </w:p>
    <w:p w14:paraId="3F4CF24A">
      <w:pPr>
        <w:pStyle w:val="2"/>
      </w:pPr>
    </w:p>
  </w:comment>
  <w:comment w:id="2" w:author="qian yang" w:date="2025-12-28T21:07:00Z" w:initials="">
    <w:p w14:paraId="4AE6D62D">
      <w:pPr>
        <w:pStyle w:val="2"/>
      </w:pPr>
      <w:r>
        <w:rPr>
          <w:rFonts w:hint="eastAsia"/>
        </w:rPr>
        <w:t>未见，合同约定甲方通知后30工作日供货，如不低于招标采购时要求且双方认可可以删除本条。</w:t>
      </w:r>
    </w:p>
    <w:p w14:paraId="306D603B">
      <w:pPr>
        <w:pStyle w:val="2"/>
      </w:pPr>
    </w:p>
  </w:comment>
  <w:comment w:id="3" w:author="qian yang" w:date="2025-12-28T21:13:00Z" w:initials="">
    <w:p w14:paraId="41E6AD8A">
      <w:pPr>
        <w:pStyle w:val="2"/>
      </w:pPr>
      <w:r>
        <w:rPr>
          <w:rFonts w:hint="eastAsia"/>
        </w:rPr>
        <w:t>确认是否有履约保证金，如有需在合同中约定，无则不应将其设置为合同生效要件。</w:t>
      </w:r>
    </w:p>
  </w:comment>
  <w:comment w:id="4" w:author="qian yang" w:date="2025-12-28T21:16:00Z" w:initials="">
    <w:p w14:paraId="0CD01D3C">
      <w:pPr>
        <w:pStyle w:val="2"/>
      </w:pPr>
      <w:r>
        <w:rPr>
          <w:rFonts w:hint="eastAsia"/>
        </w:rPr>
        <w:t>建议将中标条款规定的期限直接约定在本合同中，后续只看合同约定就好。</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0974CBE" w15:done="0"/>
  <w15:commentEx w15:paraId="3F4CF24A" w15:done="0"/>
  <w15:commentEx w15:paraId="306D603B" w15:done="0"/>
  <w15:commentEx w15:paraId="41E6AD8A" w15:done="0"/>
  <w15:commentEx w15:paraId="0CD01D3C"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楷体">
    <w:altName w:val="楷体_GB2312"/>
    <w:panose1 w:val="02010609060101010101"/>
    <w:charset w:val="86"/>
    <w:family w:val="modern"/>
    <w:pitch w:val="default"/>
    <w:sig w:usb0="00000000" w:usb1="00000000" w:usb2="00000016" w:usb3="00000000" w:csb0="00040001"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multilevel"/>
    <w:tmpl w:val="00000002"/>
    <w:lvl w:ilvl="0" w:tentative="0">
      <w:start w:val="1"/>
      <w:numFmt w:val="decimal"/>
      <w:lvlText w:val="%1、"/>
      <w:lvlJc w:val="left"/>
      <w:pPr>
        <w:ind w:left="357" w:hanging="351"/>
      </w:pPr>
      <w:rPr>
        <w:rFonts w:ascii="Times New Roman" w:eastAsia="宋体"/>
        <w:b w:val="0"/>
        <w:i w:val="0"/>
        <w:color w:val="0F0F0F"/>
        <w:spacing w:val="0"/>
        <w:w w:val="100"/>
        <w:sz w:val="21"/>
        <w:u w:val="none"/>
        <w:vertAlign w:val="baseline"/>
        <w:em w:val="dot"/>
      </w:rPr>
    </w:lvl>
    <w:lvl w:ilvl="1" w:tentative="0">
      <w:start w:val="1"/>
      <w:numFmt w:val="lowerLetter"/>
      <w:lvlText w:val="%2)"/>
      <w:lvlJc w:val="left"/>
      <w:pPr>
        <w:ind w:left="839" w:hanging="413"/>
      </w:pPr>
      <w:rPr>
        <w:rFonts w:ascii="Times New Roman" w:eastAsia="宋体"/>
        <w:b w:val="0"/>
        <w:i w:val="0"/>
        <w:color w:val="0F0F0F"/>
        <w:spacing w:val="0"/>
        <w:w w:val="100"/>
        <w:sz w:val="21"/>
        <w:u w:val="none"/>
        <w:vertAlign w:val="baseline"/>
        <w:em w:val="dot"/>
      </w:rPr>
    </w:lvl>
    <w:lvl w:ilvl="2" w:tentative="0">
      <w:start w:val="1"/>
      <w:numFmt w:val="lowerRoman"/>
      <w:lvlText w:val="%3."/>
      <w:lvlJc w:val="left"/>
      <w:pPr>
        <w:ind w:left="1258" w:hanging="413"/>
      </w:pPr>
      <w:rPr>
        <w:rFonts w:ascii="Times New Roman" w:eastAsia="宋体"/>
        <w:b w:val="0"/>
        <w:i w:val="0"/>
        <w:color w:val="0F0F0F"/>
        <w:spacing w:val="0"/>
        <w:w w:val="100"/>
        <w:sz w:val="21"/>
        <w:u w:val="none"/>
        <w:vertAlign w:val="baseline"/>
        <w:em w:val="dot"/>
      </w:rPr>
    </w:lvl>
    <w:lvl w:ilvl="3" w:tentative="0">
      <w:start w:val="1"/>
      <w:numFmt w:val="decimal"/>
      <w:lvlText w:val="%4."/>
      <w:lvlJc w:val="left"/>
      <w:pPr>
        <w:ind w:left="1678" w:hanging="413"/>
      </w:pPr>
      <w:rPr>
        <w:rFonts w:ascii="Times New Roman" w:eastAsia="宋体"/>
        <w:b w:val="0"/>
        <w:i w:val="0"/>
        <w:color w:val="0F0F0F"/>
        <w:spacing w:val="0"/>
        <w:w w:val="100"/>
        <w:sz w:val="21"/>
        <w:u w:val="none"/>
        <w:vertAlign w:val="baseline"/>
        <w:em w:val="dot"/>
      </w:rPr>
    </w:lvl>
    <w:lvl w:ilvl="4" w:tentative="0">
      <w:start w:val="1"/>
      <w:numFmt w:val="lowerLetter"/>
      <w:lvlText w:val="%5)"/>
      <w:lvlJc w:val="left"/>
      <w:pPr>
        <w:ind w:left="2097" w:hanging="413"/>
      </w:pPr>
      <w:rPr>
        <w:rFonts w:ascii="Times New Roman" w:eastAsia="宋体"/>
        <w:b w:val="0"/>
        <w:i w:val="0"/>
        <w:color w:val="0F0F0F"/>
        <w:spacing w:val="0"/>
        <w:w w:val="100"/>
        <w:sz w:val="21"/>
        <w:u w:val="none"/>
        <w:vertAlign w:val="baseline"/>
        <w:em w:val="dot"/>
      </w:rPr>
    </w:lvl>
    <w:lvl w:ilvl="5" w:tentative="0">
      <w:start w:val="1"/>
      <w:numFmt w:val="lowerRoman"/>
      <w:lvlText w:val="%6."/>
      <w:lvlJc w:val="left"/>
      <w:pPr>
        <w:ind w:left="2517" w:hanging="413"/>
      </w:pPr>
      <w:rPr>
        <w:rFonts w:ascii="Times New Roman" w:eastAsia="宋体"/>
        <w:b w:val="0"/>
        <w:i w:val="0"/>
        <w:color w:val="0F0F0F"/>
        <w:spacing w:val="0"/>
        <w:w w:val="100"/>
        <w:sz w:val="21"/>
        <w:u w:val="none"/>
        <w:vertAlign w:val="baseline"/>
        <w:em w:val="dot"/>
      </w:rPr>
    </w:lvl>
    <w:lvl w:ilvl="6" w:tentative="0">
      <w:start w:val="1"/>
      <w:numFmt w:val="decimal"/>
      <w:lvlText w:val="%7."/>
      <w:lvlJc w:val="left"/>
      <w:pPr>
        <w:ind w:left="2936" w:hanging="413"/>
      </w:pPr>
      <w:rPr>
        <w:rFonts w:ascii="Times New Roman" w:eastAsia="宋体"/>
        <w:b w:val="0"/>
        <w:i w:val="0"/>
        <w:color w:val="0F0F0F"/>
        <w:spacing w:val="0"/>
        <w:w w:val="100"/>
        <w:sz w:val="21"/>
        <w:u w:val="none"/>
        <w:vertAlign w:val="baseline"/>
        <w:em w:val="dot"/>
      </w:rPr>
    </w:lvl>
    <w:lvl w:ilvl="7" w:tentative="0">
      <w:start w:val="1"/>
      <w:numFmt w:val="lowerLetter"/>
      <w:lvlText w:val="%8)"/>
      <w:lvlJc w:val="left"/>
      <w:pPr>
        <w:ind w:left="3356" w:hanging="413"/>
      </w:pPr>
      <w:rPr>
        <w:rFonts w:ascii="Times New Roman" w:eastAsia="宋体"/>
        <w:b w:val="0"/>
        <w:i w:val="0"/>
        <w:color w:val="0F0F0F"/>
        <w:spacing w:val="0"/>
        <w:w w:val="100"/>
        <w:sz w:val="21"/>
        <w:u w:val="none"/>
        <w:vertAlign w:val="baseline"/>
        <w:em w:val="dot"/>
      </w:rPr>
    </w:lvl>
    <w:lvl w:ilvl="8" w:tentative="0">
      <w:start w:val="1"/>
      <w:numFmt w:val="lowerRoman"/>
      <w:lvlText w:val="%9."/>
      <w:lvlJc w:val="left"/>
      <w:pPr>
        <w:ind w:left="3775" w:hanging="413"/>
      </w:pPr>
      <w:rPr>
        <w:rFonts w:ascii="Times New Roman" w:eastAsia="宋体"/>
        <w:b w:val="0"/>
        <w:i w:val="0"/>
        <w:color w:val="0F0F0F"/>
        <w:spacing w:val="0"/>
        <w:w w:val="100"/>
        <w:sz w:val="21"/>
        <w:u w:val="none"/>
        <w:vertAlign w:val="baseline"/>
        <w:em w:val="dot"/>
      </w:rPr>
    </w:lvl>
  </w:abstractNum>
  <w:abstractNum w:abstractNumId="1">
    <w:nsid w:val="4F07115B"/>
    <w:multiLevelType w:val="multilevel"/>
    <w:tmpl w:val="4F07115B"/>
    <w:lvl w:ilvl="0" w:tentative="0">
      <w:start w:val="1"/>
      <w:numFmt w:val="decimal"/>
      <w:lvlText w:val="%1."/>
      <w:lvlJc w:val="left"/>
      <w:pPr>
        <w:tabs>
          <w:tab w:val="left" w:pos="704"/>
        </w:tabs>
        <w:ind w:left="704" w:hanging="420"/>
      </w:pPr>
    </w:lvl>
    <w:lvl w:ilvl="1" w:tentative="0">
      <w:start w:val="1"/>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66C42A18"/>
    <w:multiLevelType w:val="multilevel"/>
    <w:tmpl w:val="66C42A18"/>
    <w:lvl w:ilvl="0" w:tentative="0">
      <w:start w:val="1"/>
      <w:numFmt w:val="japaneseCounting"/>
      <w:lvlText w:val="%1、"/>
      <w:lvlJc w:val="left"/>
      <w:pPr>
        <w:ind w:left="810" w:hanging="390"/>
      </w:pPr>
      <w:rPr>
        <w:rFonts w:hint="default"/>
        <w:lang w:val="en-US"/>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7A0E4795"/>
    <w:multiLevelType w:val="multilevel"/>
    <w:tmpl w:val="7A0E4795"/>
    <w:lvl w:ilvl="0" w:tentative="0">
      <w:start w:val="12"/>
      <w:numFmt w:val="decimal"/>
      <w:lvlText w:val="%1、"/>
      <w:lvlJc w:val="left"/>
      <w:pPr>
        <w:ind w:left="516" w:hanging="516"/>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qian yang">
    <w15:presenceInfo w15:providerId="Windows Live" w15:userId="01fc2c1f092934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44F6"/>
    <w:rsid w:val="00032CAD"/>
    <w:rsid w:val="002E5B9C"/>
    <w:rsid w:val="0050189C"/>
    <w:rsid w:val="009E0A55"/>
    <w:rsid w:val="00A644F6"/>
    <w:rsid w:val="00C706B0"/>
    <w:rsid w:val="00D033A5"/>
    <w:rsid w:val="00DC52DA"/>
    <w:rsid w:val="00E2688A"/>
    <w:rsid w:val="10EF03BE"/>
    <w:rsid w:val="1CD62C9C"/>
    <w:rsid w:val="5E8B0B69"/>
    <w:rsid w:val="6EF74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3"/>
    <w:uiPriority w:val="0"/>
    <w:pPr>
      <w:jc w:val="left"/>
    </w:pPr>
  </w:style>
  <w:style w:type="paragraph" w:styleId="3">
    <w:name w:val="footer"/>
    <w:basedOn w:val="1"/>
    <w:link w:val="11"/>
    <w:qFormat/>
    <w:uiPriority w:val="0"/>
    <w:pPr>
      <w:tabs>
        <w:tab w:val="center" w:pos="4153"/>
        <w:tab w:val="right" w:pos="8306"/>
      </w:tabs>
      <w:snapToGrid w:val="0"/>
      <w:jc w:val="left"/>
    </w:pPr>
    <w:rPr>
      <w:sz w:val="18"/>
      <w:szCs w:val="18"/>
    </w:rPr>
  </w:style>
  <w:style w:type="paragraph" w:styleId="4">
    <w:name w:val="header"/>
    <w:basedOn w:val="1"/>
    <w:link w:val="10"/>
    <w:qFormat/>
    <w:uiPriority w:val="0"/>
    <w:pPr>
      <w:tabs>
        <w:tab w:val="center" w:pos="4153"/>
        <w:tab w:val="right" w:pos="8306"/>
      </w:tabs>
      <w:snapToGrid w:val="0"/>
      <w:jc w:val="center"/>
    </w:pPr>
    <w:rPr>
      <w:sz w:val="18"/>
      <w:szCs w:val="18"/>
    </w:rPr>
  </w:style>
  <w:style w:type="paragraph" w:styleId="5">
    <w:name w:val="annotation subject"/>
    <w:basedOn w:val="2"/>
    <w:next w:val="2"/>
    <w:link w:val="14"/>
    <w:qFormat/>
    <w:uiPriority w:val="0"/>
    <w:rPr>
      <w:b/>
      <w:bCs/>
    </w:rPr>
  </w:style>
  <w:style w:type="character" w:styleId="8">
    <w:name w:val="annotation reference"/>
    <w:basedOn w:val="7"/>
    <w:qFormat/>
    <w:uiPriority w:val="0"/>
    <w:rPr>
      <w:sz w:val="21"/>
      <w:szCs w:val="21"/>
    </w:rPr>
  </w:style>
  <w:style w:type="paragraph" w:styleId="9">
    <w:name w:val="List Paragraph"/>
    <w:basedOn w:val="1"/>
    <w:qFormat/>
    <w:uiPriority w:val="34"/>
    <w:pPr>
      <w:ind w:firstLine="420" w:firstLineChars="200"/>
    </w:pPr>
    <w:rPr>
      <w:rFonts w:ascii="Calibri" w:hAnsi="Calibri"/>
      <w:szCs w:val="22"/>
    </w:rPr>
  </w:style>
  <w:style w:type="character" w:customStyle="1" w:styleId="10">
    <w:name w:val="页眉 字符"/>
    <w:basedOn w:val="7"/>
    <w:link w:val="4"/>
    <w:qFormat/>
    <w:uiPriority w:val="0"/>
    <w:rPr>
      <w:rFonts w:ascii="Times New Roman" w:hAnsi="Times New Roman" w:eastAsia="宋体" w:cs="Times New Roman"/>
      <w:kern w:val="2"/>
      <w:sz w:val="18"/>
      <w:szCs w:val="18"/>
    </w:rPr>
  </w:style>
  <w:style w:type="character" w:customStyle="1" w:styleId="11">
    <w:name w:val="页脚 字符"/>
    <w:basedOn w:val="7"/>
    <w:link w:val="3"/>
    <w:qFormat/>
    <w:uiPriority w:val="0"/>
    <w:rPr>
      <w:rFonts w:ascii="Times New Roman" w:hAnsi="Times New Roman" w:eastAsia="宋体" w:cs="Times New Roman"/>
      <w:kern w:val="2"/>
      <w:sz w:val="18"/>
      <w:szCs w:val="18"/>
    </w:rPr>
  </w:style>
  <w:style w:type="paragraph" w:customStyle="1" w:styleId="12">
    <w:name w:val="Revision"/>
    <w:hidden/>
    <w:unhideWhenUsed/>
    <w:qFormat/>
    <w:uiPriority w:val="99"/>
    <w:rPr>
      <w:rFonts w:ascii="Times New Roman" w:hAnsi="Times New Roman" w:eastAsia="宋体" w:cs="Times New Roman"/>
      <w:kern w:val="2"/>
      <w:sz w:val="21"/>
      <w:szCs w:val="24"/>
      <w:lang w:val="en-US" w:eastAsia="zh-CN" w:bidi="ar-SA"/>
    </w:rPr>
  </w:style>
  <w:style w:type="character" w:customStyle="1" w:styleId="13">
    <w:name w:val="批注文字 字符"/>
    <w:basedOn w:val="7"/>
    <w:link w:val="2"/>
    <w:qFormat/>
    <w:uiPriority w:val="0"/>
    <w:rPr>
      <w:rFonts w:ascii="Times New Roman" w:hAnsi="Times New Roman" w:eastAsia="宋体" w:cs="Times New Roman"/>
      <w:kern w:val="2"/>
      <w:sz w:val="21"/>
      <w:szCs w:val="24"/>
    </w:rPr>
  </w:style>
  <w:style w:type="character" w:customStyle="1" w:styleId="14">
    <w:name w:val="批注主题 字符"/>
    <w:basedOn w:val="13"/>
    <w:link w:val="5"/>
    <w:uiPriority w:val="0"/>
    <w:rPr>
      <w:rFonts w:ascii="Times New Roman" w:hAnsi="Times New Roman" w:eastAsia="宋体" w:cs="Times New Roman"/>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tiff"/><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8" Type="http://schemas.microsoft.com/office/2011/relationships/people" Target="people.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image" Target="media/image20.tiff"/><Relationship Id="rId24" Type="http://schemas.openxmlformats.org/officeDocument/2006/relationships/image" Target="media/image19.tiff"/><Relationship Id="rId23" Type="http://schemas.openxmlformats.org/officeDocument/2006/relationships/image" Target="media/image18.tiff"/><Relationship Id="rId22" Type="http://schemas.openxmlformats.org/officeDocument/2006/relationships/image" Target="media/image17.tiff"/><Relationship Id="rId21" Type="http://schemas.openxmlformats.org/officeDocument/2006/relationships/image" Target="media/image16.tiff"/><Relationship Id="rId20" Type="http://schemas.openxmlformats.org/officeDocument/2006/relationships/image" Target="media/image15.tiff"/><Relationship Id="rId2" Type="http://schemas.openxmlformats.org/officeDocument/2006/relationships/settings" Target="settings.xml"/><Relationship Id="rId19" Type="http://schemas.openxmlformats.org/officeDocument/2006/relationships/image" Target="media/image14.tiff"/><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37</Pages>
  <Words>2303</Words>
  <Characters>2548</Characters>
  <Lines>280</Lines>
  <Paragraphs>265</Paragraphs>
  <TotalTime>15</TotalTime>
  <ScaleCrop>false</ScaleCrop>
  <LinksUpToDate>false</LinksUpToDate>
  <CharactersWithSpaces>2794</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2025-12-19T05:30:00Z</dcterms:created>
  <dc:creator>admin</dc:creator>
  <cp:lastModifiedBy>筱鑫鑫</cp:lastModifiedBy>
  <dcterms:modified xsi:type="dcterms:W3CDTF">2025-12-29T01:51:43Z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eyJoZGlkIjoiOWFjNjQ3MmJiMDNhOTUwZWMwODhlNTJhYjU1NDYyMzAiLCJ1c2VySWQiOiI0MDc4MjUzMjcifQ==</vt:lpwstr>
  </property>
  <property fmtid="{D5CDD505-2E9C-101B-9397-08002B2CF9AE}" pid="4" name="ICV">
    <vt:lpwstr>94B0BD8FA9DB49819E6361D6560735C4_12</vt:lpwstr>
  </property>
</Properties>
</file>