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B8B76">
      <w:pPr>
        <w:pStyle w:val="14"/>
        <w:rPr>
          <w:rFonts w:hint="eastAsia" w:ascii="仿宋" w:hAnsi="仿宋" w:eastAsia="仿宋"/>
          <w:b/>
          <w:sz w:val="44"/>
        </w:rPr>
      </w:pPr>
    </w:p>
    <w:p w14:paraId="5A8873B1">
      <w:pPr>
        <w:snapToGrid w:val="0"/>
        <w:spacing w:before="0" w:line="600" w:lineRule="exact"/>
        <w:jc w:val="center"/>
        <w:outlineLvl w:val="9"/>
        <w:rPr>
          <w:rFonts w:hint="eastAsia" w:ascii="方正小标宋简体" w:hAnsi="方正小标宋简体" w:eastAsia="方正小标宋简体" w:cs="方正小标宋简体"/>
          <w:b w:val="0"/>
          <w:bCs/>
          <w:sz w:val="44"/>
          <w:szCs w:val="44"/>
        </w:rPr>
      </w:pPr>
      <w:bookmarkStart w:id="0" w:name="_Toc1643677437"/>
      <w:bookmarkStart w:id="1" w:name="_Toc626277497"/>
      <w:bookmarkStart w:id="2" w:name="_Toc816160769"/>
      <w:bookmarkStart w:id="3" w:name="_Toc107445006"/>
      <w:r>
        <w:rPr>
          <w:rFonts w:hint="eastAsia" w:ascii="方正小标宋简体" w:hAnsi="方正小标宋简体" w:eastAsia="方正小标宋简体" w:cs="方正小标宋简体"/>
          <w:b w:val="0"/>
          <w:bCs/>
          <w:sz w:val="44"/>
          <w:szCs w:val="44"/>
        </w:rPr>
        <w:t>海淀区精神障碍社区康复服务项目</w:t>
      </w:r>
    </w:p>
    <w:p w14:paraId="058F94A3">
      <w:pPr>
        <w:snapToGrid w:val="0"/>
        <w:spacing w:before="0" w:line="600" w:lineRule="exact"/>
        <w:jc w:val="center"/>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委托服务合同</w:t>
      </w:r>
      <w:bookmarkEnd w:id="0"/>
      <w:bookmarkEnd w:id="1"/>
      <w:bookmarkEnd w:id="2"/>
      <w:bookmarkEnd w:id="3"/>
    </w:p>
    <w:p w14:paraId="03F33F30">
      <w:pPr>
        <w:pStyle w:val="2"/>
        <w:jc w:val="center"/>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（通用版）</w:t>
      </w:r>
    </w:p>
    <w:p w14:paraId="0CB5DD65">
      <w:pPr>
        <w:pStyle w:val="2"/>
        <w:jc w:val="center"/>
        <w:rPr>
          <w:rFonts w:hint="default"/>
          <w:lang w:val="en-US" w:eastAsia="zh-CN"/>
        </w:rPr>
      </w:pPr>
    </w:p>
    <w:p w14:paraId="15ECB8E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甲方：北京市</w:t>
      </w:r>
      <w:r>
        <w:rPr>
          <w:rFonts w:hint="eastAsia" w:ascii="仿宋_GB2312" w:hAnsi="仿宋_GB2312" w:eastAsia="仿宋_GB2312" w:cs="仿宋_GB2312"/>
          <w:sz w:val="32"/>
          <w:szCs w:val="32"/>
          <w:lang w:eastAsia="zh-CN"/>
        </w:rPr>
        <w:t>海淀</w:t>
      </w:r>
      <w:r>
        <w:rPr>
          <w:rFonts w:hint="eastAsia" w:ascii="仿宋_GB2312" w:hAnsi="仿宋_GB2312" w:eastAsia="仿宋_GB2312" w:cs="仿宋_GB2312"/>
          <w:sz w:val="32"/>
          <w:szCs w:val="32"/>
        </w:rPr>
        <w:t>区民政局</w:t>
      </w:r>
    </w:p>
    <w:p w14:paraId="594E94D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地址：北京市</w:t>
      </w:r>
      <w:r>
        <w:rPr>
          <w:rFonts w:hint="eastAsia" w:ascii="仿宋_GB2312" w:hAnsi="仿宋_GB2312" w:eastAsia="仿宋_GB2312" w:cs="仿宋_GB2312"/>
          <w:sz w:val="32"/>
          <w:szCs w:val="32"/>
          <w:lang w:eastAsia="zh-CN"/>
        </w:rPr>
        <w:t>海淀区</w:t>
      </w:r>
      <w:r>
        <w:rPr>
          <w:rFonts w:hint="eastAsia" w:ascii="仿宋_GB2312" w:hAnsi="仿宋_GB2312" w:eastAsia="仿宋_GB2312" w:cs="仿宋_GB2312"/>
          <w:sz w:val="32"/>
          <w:szCs w:val="32"/>
          <w:highlight w:val="none"/>
          <w:u w:val="single"/>
          <w:lang w:eastAsia="zh-CN"/>
        </w:rPr>
        <w:t>蓝靛厂西路1号</w:t>
      </w:r>
    </w:p>
    <w:p w14:paraId="0215029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陆叶</w:t>
      </w:r>
    </w:p>
    <w:p w14:paraId="48F0905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val="en-US" w:eastAsia="zh-CN"/>
        </w:rPr>
        <w:t>010-88862845</w:t>
      </w:r>
    </w:p>
    <w:p w14:paraId="4D2411F6">
      <w:pPr>
        <w:keepNext w:val="0"/>
        <w:keepLines w:val="0"/>
        <w:pageBreakBefore w:val="0"/>
        <w:widowControl w:val="0"/>
        <w:kinsoku/>
        <w:wordWrap/>
        <w:overflowPunct/>
        <w:topLinePunct w:val="0"/>
        <w:autoSpaceDE/>
        <w:autoSpaceDN/>
        <w:bidi w:val="0"/>
        <w:adjustRightInd/>
        <w:snapToGrid w:val="0"/>
        <w:spacing w:before="313" w:beforeLines="100"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北京市海淀睿搏社会工作事务所</w:t>
      </w:r>
    </w:p>
    <w:p w14:paraId="23D3353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地址：北京市海淀区羊坊店路18号1幢11层1112室</w:t>
      </w:r>
    </w:p>
    <w:p w14:paraId="35AAC44D">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赵慧芳</w:t>
      </w:r>
    </w:p>
    <w:p w14:paraId="2C3F93B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13681049935</w:t>
      </w:r>
    </w:p>
    <w:p w14:paraId="4016F58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p>
    <w:p w14:paraId="08CDDBE5">
      <w:pPr>
        <w:keepNext w:val="0"/>
        <w:keepLines w:val="0"/>
        <w:pageBreakBefore w:val="0"/>
        <w:kinsoku/>
        <w:wordWrap/>
        <w:overflowPunct/>
        <w:topLinePunct w:val="0"/>
        <w:autoSpaceDE/>
        <w:autoSpaceDN/>
        <w:bidi w:val="0"/>
        <w:adjustRightInd/>
        <w:spacing w:before="0" w:after="0" w:line="540" w:lineRule="exact"/>
        <w:ind w:firstLine="640" w:firstLineChars="200"/>
        <w:jc w:val="left"/>
        <w:outlineLvl w:val="9"/>
        <w:rPr>
          <w:rFonts w:hint="eastAsia" w:ascii="仿宋_GB2312" w:hAnsi="仿宋_GB2312" w:eastAsia="仿宋_GB2312" w:cs="仿宋_GB2312"/>
          <w:b w:val="0"/>
          <w:kern w:val="2"/>
          <w:sz w:val="32"/>
          <w:szCs w:val="32"/>
        </w:rPr>
      </w:pPr>
      <w:bookmarkStart w:id="4" w:name="_Toc366426449"/>
      <w:bookmarkStart w:id="5" w:name="_Toc401985441"/>
      <w:bookmarkStart w:id="6" w:name="_Toc784862886"/>
      <w:bookmarkStart w:id="7" w:name="_Toc1990763423"/>
      <w:r>
        <w:rPr>
          <w:rFonts w:hint="eastAsia" w:ascii="仿宋_GB2312" w:hAnsi="仿宋_GB2312" w:eastAsia="仿宋_GB2312" w:cs="仿宋_GB2312"/>
          <w:b w:val="0"/>
          <w:kern w:val="2"/>
          <w:sz w:val="32"/>
          <w:szCs w:val="32"/>
        </w:rPr>
        <w:t>经甲乙双方协商，根据《中华人民共和国民法典》及有关法律</w:t>
      </w:r>
      <w:r>
        <w:rPr>
          <w:rFonts w:hint="eastAsia" w:ascii="仿宋_GB2312" w:hAnsi="仿宋_GB2312" w:eastAsia="仿宋_GB2312" w:cs="仿宋_GB2312"/>
          <w:b w:val="0"/>
          <w:kern w:val="2"/>
          <w:sz w:val="32"/>
          <w:szCs w:val="32"/>
          <w:lang w:eastAsia="zh-CN"/>
        </w:rPr>
        <w:t>、</w:t>
      </w:r>
      <w:r>
        <w:rPr>
          <w:rFonts w:hint="eastAsia" w:ascii="仿宋_GB2312" w:hAnsi="仿宋_GB2312" w:eastAsia="仿宋_GB2312" w:cs="仿宋_GB2312"/>
          <w:b w:val="0"/>
          <w:kern w:val="2"/>
          <w:sz w:val="32"/>
          <w:szCs w:val="32"/>
        </w:rPr>
        <w:t>法规</w:t>
      </w:r>
      <w:r>
        <w:rPr>
          <w:rFonts w:hint="eastAsia" w:ascii="仿宋_GB2312" w:hAnsi="仿宋_GB2312" w:eastAsia="仿宋_GB2312" w:cs="仿宋_GB2312"/>
          <w:b w:val="0"/>
          <w:kern w:val="2"/>
          <w:sz w:val="32"/>
          <w:szCs w:val="32"/>
          <w:lang w:val="en-US" w:eastAsia="zh-CN"/>
        </w:rPr>
        <w:t>规定</w:t>
      </w:r>
      <w:r>
        <w:rPr>
          <w:rFonts w:hint="eastAsia" w:ascii="仿宋_GB2312" w:hAnsi="仿宋_GB2312" w:eastAsia="仿宋_GB2312" w:cs="仿宋_GB2312"/>
          <w:b w:val="0"/>
          <w:kern w:val="2"/>
          <w:sz w:val="32"/>
          <w:szCs w:val="32"/>
        </w:rPr>
        <w:t>，在平等自愿的基础上，就甲方委托乙方开展</w:t>
      </w:r>
      <w:r>
        <w:rPr>
          <w:rFonts w:hint="eastAsia" w:ascii="仿宋_GB2312" w:hAnsi="仿宋_GB2312" w:eastAsia="仿宋_GB2312" w:cs="仿宋_GB2312"/>
          <w:b w:val="0"/>
          <w:kern w:val="2"/>
          <w:sz w:val="32"/>
          <w:szCs w:val="32"/>
          <w:u w:val="none"/>
          <w:lang w:eastAsia="zh-CN"/>
        </w:rPr>
        <w:t>海淀</w:t>
      </w:r>
      <w:r>
        <w:rPr>
          <w:rFonts w:hint="eastAsia" w:ascii="仿宋_GB2312" w:hAnsi="仿宋_GB2312" w:eastAsia="仿宋_GB2312" w:cs="仿宋_GB2312"/>
          <w:b w:val="0"/>
          <w:kern w:val="2"/>
          <w:sz w:val="32"/>
          <w:szCs w:val="32"/>
          <w:u w:val="none"/>
        </w:rPr>
        <w:t>区精神障碍社区康复服务</w:t>
      </w:r>
      <w:r>
        <w:rPr>
          <w:rFonts w:hint="eastAsia" w:ascii="仿宋_GB2312" w:hAnsi="仿宋_GB2312" w:eastAsia="仿宋_GB2312" w:cs="仿宋_GB2312"/>
          <w:b w:val="0"/>
          <w:kern w:val="2"/>
          <w:sz w:val="32"/>
          <w:szCs w:val="32"/>
        </w:rPr>
        <w:t>项目/活动，签署本合同并同意按照以下条款和条件具体执行。</w:t>
      </w:r>
      <w:bookmarkEnd w:id="4"/>
      <w:bookmarkEnd w:id="5"/>
      <w:bookmarkEnd w:id="6"/>
      <w:bookmarkEnd w:id="7"/>
    </w:p>
    <w:p w14:paraId="6D9164B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rPr>
        <w:t>第一条 项目实施内容</w:t>
      </w:r>
      <w:r>
        <w:rPr>
          <w:rFonts w:hint="eastAsia" w:ascii="黑体" w:hAnsi="黑体" w:eastAsia="黑体" w:cs="黑体"/>
          <w:b w:val="0"/>
          <w:bCs/>
          <w:sz w:val="32"/>
          <w:szCs w:val="32"/>
          <w:lang w:val="en-US" w:eastAsia="zh-CN"/>
        </w:rPr>
        <w:t xml:space="preserve">  </w:t>
      </w:r>
    </w:p>
    <w:p w14:paraId="518B0F09">
      <w:pPr>
        <w:keepNext w:val="0"/>
        <w:keepLines w:val="0"/>
        <w:pageBreakBefore w:val="0"/>
        <w:kinsoku/>
        <w:wordWrap/>
        <w:overflowPunct/>
        <w:topLinePunct w:val="0"/>
        <w:autoSpaceDE/>
        <w:autoSpaceDN/>
        <w:bidi w:val="0"/>
        <w:adjustRightInd/>
        <w:snapToGrid w:val="0"/>
        <w:spacing w:before="119" w:line="540" w:lineRule="exact"/>
        <w:ind w:firstLine="640" w:firstLineChars="200"/>
        <w:outlineLvl w:val="9"/>
        <w:rPr>
          <w:rFonts w:hint="eastAsia" w:ascii="仿宋_GB2312" w:hAnsi="仿宋_GB2312" w:eastAsia="仿宋_GB2312" w:cs="仿宋_GB2312"/>
          <w:b w:val="0"/>
          <w:kern w:val="2"/>
          <w:sz w:val="32"/>
          <w:szCs w:val="32"/>
          <w:highlight w:val="none"/>
          <w:u w:val="none"/>
        </w:rPr>
      </w:pPr>
      <w:r>
        <w:rPr>
          <w:rFonts w:hint="eastAsia" w:ascii="仿宋_GB2312" w:hAnsi="仿宋_GB2312" w:eastAsia="仿宋_GB2312" w:cs="仿宋_GB2312"/>
          <w:b w:val="0"/>
          <w:color w:val="auto"/>
          <w:kern w:val="2"/>
          <w:sz w:val="32"/>
          <w:szCs w:val="32"/>
          <w:lang w:val="en-US" w:eastAsia="zh-CN"/>
        </w:rPr>
        <w:t>1.</w:t>
      </w:r>
      <w:r>
        <w:rPr>
          <w:rFonts w:hint="eastAsia" w:ascii="仿宋_GB2312" w:hAnsi="仿宋_GB2312" w:eastAsia="仿宋_GB2312" w:cs="仿宋_GB2312"/>
          <w:b w:val="0"/>
          <w:color w:val="auto"/>
          <w:kern w:val="2"/>
          <w:sz w:val="32"/>
          <w:szCs w:val="32"/>
        </w:rPr>
        <w:t>乙方应按照</w:t>
      </w:r>
      <w:r>
        <w:rPr>
          <w:rFonts w:hint="eastAsia" w:ascii="仿宋_GB2312" w:hAnsi="仿宋_GB2312" w:eastAsia="仿宋_GB2312" w:cs="仿宋_GB2312"/>
          <w:b w:val="0"/>
          <w:color w:val="auto"/>
          <w:kern w:val="2"/>
          <w:sz w:val="32"/>
          <w:szCs w:val="32"/>
          <w:u w:val="none"/>
          <w:lang w:eastAsia="zh-CN"/>
        </w:rPr>
        <w:t>《</w:t>
      </w:r>
      <w:r>
        <w:rPr>
          <w:rFonts w:hint="eastAsia" w:ascii="仿宋_GB2312" w:hAnsi="仿宋_GB2312" w:eastAsia="仿宋_GB2312" w:cs="仿宋_GB2312"/>
          <w:b w:val="0"/>
          <w:color w:val="auto"/>
          <w:kern w:val="2"/>
          <w:sz w:val="32"/>
          <w:szCs w:val="32"/>
          <w:u w:val="none"/>
        </w:rPr>
        <w:t>北京市海淀区精神障碍社区康复服务融合行动项目实施方案</w:t>
      </w:r>
      <w:r>
        <w:rPr>
          <w:rFonts w:hint="eastAsia" w:ascii="仿宋_GB2312" w:hAnsi="仿宋_GB2312" w:eastAsia="仿宋_GB2312" w:cs="仿宋_GB2312"/>
          <w:b w:val="0"/>
          <w:color w:val="auto"/>
          <w:kern w:val="2"/>
          <w:sz w:val="32"/>
          <w:szCs w:val="32"/>
          <w:u w:val="none"/>
          <w:lang w:eastAsia="zh-CN"/>
        </w:rPr>
        <w:t>》</w:t>
      </w:r>
      <w:r>
        <w:rPr>
          <w:rFonts w:hint="eastAsia" w:ascii="仿宋_GB2312" w:hAnsi="仿宋_GB2312" w:eastAsia="仿宋_GB2312" w:cs="仿宋_GB2312"/>
          <w:b w:val="0"/>
          <w:color w:val="auto"/>
          <w:kern w:val="2"/>
          <w:sz w:val="32"/>
          <w:szCs w:val="32"/>
        </w:rPr>
        <w:t>中所列</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精神障碍社区康复服务项目</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内容组织项目实施</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整合资源统筹设置精神障碍社区康复服务站点，为符合条件的处于非急性期且经专业评估适合接受社区康复的严重精神障碍患者及其家庭成员提供康复训练、辅助性支持、精康转介等专业服务，对居家患者提供上门康复服务。</w:t>
      </w:r>
      <w:r>
        <w:rPr>
          <w:rFonts w:hint="eastAsia" w:ascii="仿宋_GB2312" w:hAnsi="仿宋_GB2312" w:eastAsia="仿宋_GB2312" w:cs="仿宋_GB2312"/>
          <w:b w:val="0"/>
          <w:color w:val="auto"/>
          <w:kern w:val="2"/>
          <w:sz w:val="32"/>
          <w:szCs w:val="32"/>
          <w:lang w:eastAsia="zh-CN"/>
        </w:rPr>
        <w:t>本项目计划</w:t>
      </w:r>
      <w:r>
        <w:rPr>
          <w:rFonts w:hint="eastAsia" w:ascii="仿宋_GB2312" w:hAnsi="仿宋_GB2312" w:eastAsia="仿宋_GB2312" w:cs="仿宋_GB2312"/>
          <w:b w:val="0"/>
          <w:color w:val="auto"/>
          <w:kern w:val="2"/>
          <w:sz w:val="32"/>
          <w:szCs w:val="32"/>
        </w:rPr>
        <w:t>筛选</w:t>
      </w:r>
      <w:r>
        <w:rPr>
          <w:rFonts w:hint="eastAsia" w:ascii="仿宋_GB2312" w:hAnsi="仿宋_GB2312" w:eastAsia="仿宋_GB2312" w:cs="仿宋_GB2312"/>
          <w:b w:val="0"/>
          <w:color w:val="auto"/>
          <w:kern w:val="2"/>
          <w:sz w:val="32"/>
          <w:szCs w:val="32"/>
          <w:lang w:val="en-US" w:eastAsia="zh-CN"/>
        </w:rPr>
        <w:t>1</w:t>
      </w:r>
      <w:r>
        <w:rPr>
          <w:rFonts w:hint="eastAsia" w:ascii="仿宋_GB2312" w:hAnsi="仿宋_GB2312" w:eastAsia="仿宋_GB2312" w:cs="仿宋_GB2312"/>
          <w:b w:val="0"/>
          <w:color w:val="auto"/>
          <w:kern w:val="2"/>
          <w:sz w:val="32"/>
          <w:szCs w:val="32"/>
        </w:rPr>
        <w:t>000名严重精神障碍患者做入户评估、建档</w:t>
      </w:r>
      <w:r>
        <w:rPr>
          <w:rFonts w:hint="eastAsia" w:ascii="仿宋_GB2312" w:hAnsi="仿宋_GB2312" w:eastAsia="仿宋_GB2312" w:cs="仿宋_GB2312"/>
          <w:b w:val="0"/>
          <w:color w:val="auto"/>
          <w:kern w:val="2"/>
          <w:sz w:val="32"/>
          <w:szCs w:val="32"/>
          <w:lang w:eastAsia="zh-CN"/>
        </w:rPr>
        <w:t>；计划</w:t>
      </w:r>
      <w:r>
        <w:rPr>
          <w:rFonts w:hint="eastAsia" w:ascii="仿宋_GB2312" w:hAnsi="仿宋_GB2312" w:eastAsia="仿宋_GB2312" w:cs="仿宋_GB2312"/>
          <w:b w:val="0"/>
          <w:color w:val="auto"/>
          <w:kern w:val="2"/>
          <w:sz w:val="32"/>
          <w:szCs w:val="32"/>
        </w:rPr>
        <w:t>为</w:t>
      </w:r>
      <w:r>
        <w:rPr>
          <w:rFonts w:hint="eastAsia" w:ascii="仿宋_GB2312" w:hAnsi="仿宋_GB2312" w:eastAsia="仿宋_GB2312" w:cs="仿宋_GB2312"/>
          <w:b w:val="0"/>
          <w:color w:val="auto"/>
          <w:kern w:val="2"/>
          <w:sz w:val="32"/>
          <w:szCs w:val="32"/>
          <w:u w:val="single"/>
          <w:lang w:val="en-US" w:eastAsia="zh-CN"/>
        </w:rPr>
        <w:t xml:space="preserve"> 866 </w:t>
      </w:r>
      <w:r>
        <w:rPr>
          <w:rFonts w:hint="eastAsia" w:ascii="仿宋_GB2312" w:hAnsi="仿宋_GB2312" w:eastAsia="仿宋_GB2312" w:cs="仿宋_GB2312"/>
          <w:b w:val="0"/>
          <w:color w:val="auto"/>
          <w:kern w:val="2"/>
          <w:sz w:val="32"/>
          <w:szCs w:val="32"/>
        </w:rPr>
        <w:t>名严重精神障碍患者及其家庭成员开展康复服务，接受康复服务的精神障碍患者人均服务次数不少于10次</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同步为</w:t>
      </w:r>
      <w:r>
        <w:rPr>
          <w:rFonts w:hint="eastAsia" w:ascii="仿宋_GB2312" w:hAnsi="仿宋_GB2312" w:eastAsia="仿宋_GB2312" w:cs="仿宋_GB2312"/>
          <w:b w:val="0"/>
          <w:color w:val="auto"/>
          <w:kern w:val="2"/>
          <w:sz w:val="32"/>
          <w:szCs w:val="32"/>
          <w:u w:val="single"/>
          <w:lang w:val="en-US" w:eastAsia="zh-CN"/>
        </w:rPr>
        <w:t xml:space="preserve"> 16 </w:t>
      </w:r>
      <w:r>
        <w:rPr>
          <w:rFonts w:hint="eastAsia" w:ascii="仿宋_GB2312" w:hAnsi="仿宋_GB2312" w:eastAsia="仿宋_GB2312" w:cs="仿宋_GB2312"/>
          <w:b w:val="0"/>
          <w:color w:val="auto"/>
          <w:kern w:val="2"/>
          <w:sz w:val="32"/>
          <w:szCs w:val="32"/>
        </w:rPr>
        <w:t>名社会功能恢复较好的对象定制个案支持</w:t>
      </w:r>
      <w:r>
        <w:rPr>
          <w:rFonts w:hint="eastAsia" w:ascii="仿宋_GB2312" w:hAnsi="仿宋_GB2312" w:eastAsia="仿宋_GB2312" w:cs="仿宋_GB2312"/>
          <w:b w:val="0"/>
          <w:color w:val="auto"/>
          <w:kern w:val="2"/>
          <w:sz w:val="32"/>
          <w:szCs w:val="32"/>
          <w:lang w:eastAsia="zh-CN"/>
        </w:rPr>
        <w:t>，并制作</w:t>
      </w:r>
      <w:r>
        <w:rPr>
          <w:rFonts w:hint="eastAsia" w:ascii="仿宋_GB2312" w:hAnsi="仿宋_GB2312" w:eastAsia="仿宋_GB2312" w:cs="仿宋_GB2312"/>
          <w:b w:val="0"/>
          <w:color w:val="auto"/>
          <w:kern w:val="2"/>
          <w:sz w:val="32"/>
          <w:szCs w:val="32"/>
          <w:lang w:val="en-US" w:eastAsia="zh-CN"/>
        </w:rPr>
        <w:t>40本</w:t>
      </w:r>
      <w:r>
        <w:rPr>
          <w:rFonts w:hint="eastAsia" w:ascii="仿宋_GB2312" w:hAnsi="仿宋_GB2312" w:eastAsia="仿宋_GB2312" w:cs="仿宋_GB2312"/>
          <w:b w:val="0"/>
          <w:color w:val="auto"/>
          <w:kern w:val="2"/>
          <w:sz w:val="32"/>
          <w:szCs w:val="32"/>
          <w:lang w:eastAsia="zh-CN"/>
        </w:rPr>
        <w:t>精康服务案例集</w:t>
      </w:r>
      <w:r>
        <w:rPr>
          <w:rFonts w:hint="eastAsia" w:ascii="仿宋_GB2312" w:hAnsi="仿宋_GB2312" w:eastAsia="仿宋_GB2312" w:cs="仿宋_GB2312"/>
          <w:b w:val="0"/>
          <w:color w:val="auto"/>
          <w:kern w:val="2"/>
          <w:sz w:val="32"/>
          <w:szCs w:val="32"/>
          <w:u w:val="none"/>
          <w:lang w:eastAsia="zh-CN" w:bidi="ar-SA"/>
        </w:rPr>
        <w:t>；在</w:t>
      </w:r>
      <w:r>
        <w:rPr>
          <w:rFonts w:hint="eastAsia" w:ascii="仿宋_GB2312" w:hAnsi="仿宋_GB2312" w:eastAsia="仿宋_GB2312" w:cs="仿宋_GB2312"/>
          <w:b w:val="0"/>
          <w:color w:val="auto"/>
          <w:kern w:val="2"/>
          <w:sz w:val="32"/>
          <w:szCs w:val="32"/>
          <w:u w:val="none"/>
          <w:lang w:bidi="ar-SA"/>
        </w:rPr>
        <w:t>康复对象所在社区，计划开展社区融合服务及政策法规宣传活动</w:t>
      </w:r>
      <w:r>
        <w:rPr>
          <w:rFonts w:hint="eastAsia" w:ascii="仿宋_GB2312" w:hAnsi="仿宋_GB2312" w:eastAsia="仿宋_GB2312" w:cs="仿宋_GB2312"/>
          <w:b w:val="0"/>
          <w:color w:val="auto"/>
          <w:kern w:val="2"/>
          <w:sz w:val="32"/>
          <w:szCs w:val="32"/>
          <w:u w:val="single"/>
          <w:lang w:val="en-US" w:eastAsia="zh-CN" w:bidi="ar-SA"/>
        </w:rPr>
        <w:t xml:space="preserve"> 1 </w:t>
      </w:r>
      <w:r>
        <w:rPr>
          <w:rFonts w:hint="eastAsia" w:ascii="仿宋_GB2312" w:hAnsi="仿宋_GB2312" w:eastAsia="仿宋_GB2312" w:cs="仿宋_GB2312"/>
          <w:b w:val="0"/>
          <w:color w:val="auto"/>
          <w:kern w:val="2"/>
          <w:sz w:val="32"/>
          <w:szCs w:val="32"/>
          <w:u w:val="none"/>
          <w:lang w:bidi="ar-SA"/>
        </w:rPr>
        <w:t>场</w:t>
      </w:r>
      <w:r>
        <w:rPr>
          <w:rFonts w:hint="eastAsia" w:ascii="仿宋_GB2312" w:hAnsi="仿宋_GB2312" w:eastAsia="仿宋_GB2312" w:cs="仿宋_GB2312"/>
          <w:b w:val="0"/>
          <w:color w:val="auto"/>
          <w:kern w:val="2"/>
          <w:sz w:val="32"/>
          <w:szCs w:val="32"/>
          <w:u w:val="none"/>
          <w:lang w:eastAsia="zh-CN" w:bidi="ar-SA"/>
        </w:rPr>
        <w:t>，</w:t>
      </w:r>
      <w:r>
        <w:rPr>
          <w:rFonts w:hint="eastAsia" w:ascii="仿宋_GB2312" w:hAnsi="仿宋_GB2312" w:eastAsia="仿宋_GB2312" w:cs="仿宋_GB2312"/>
          <w:b w:val="0"/>
          <w:color w:val="auto"/>
          <w:kern w:val="2"/>
          <w:sz w:val="32"/>
          <w:szCs w:val="32"/>
          <w:u w:val="none"/>
          <w:lang w:bidi="ar-SA"/>
        </w:rPr>
        <w:t>如开展法律法规和政策宣</w:t>
      </w:r>
      <w:r>
        <w:rPr>
          <w:rFonts w:hint="eastAsia" w:ascii="仿宋_GB2312" w:hAnsi="仿宋_GB2312" w:eastAsia="仿宋_GB2312" w:cs="仿宋_GB2312"/>
          <w:b w:val="0"/>
          <w:kern w:val="2"/>
          <w:sz w:val="32"/>
          <w:szCs w:val="32"/>
          <w:u w:val="none"/>
          <w:lang w:bidi="ar-SA"/>
        </w:rPr>
        <w:t>传、</w:t>
      </w:r>
      <w:r>
        <w:rPr>
          <w:rFonts w:hint="eastAsia" w:ascii="仿宋_GB2312" w:hAnsi="仿宋_GB2312" w:eastAsia="仿宋_GB2312" w:cs="仿宋_GB2312"/>
          <w:b w:val="0"/>
          <w:kern w:val="2"/>
          <w:sz w:val="32"/>
          <w:szCs w:val="32"/>
          <w:highlight w:val="none"/>
          <w:u w:val="none"/>
          <w:lang w:bidi="ar"/>
        </w:rPr>
        <w:t>友好社区环境建设等工作</w:t>
      </w:r>
      <w:r>
        <w:rPr>
          <w:rFonts w:hint="eastAsia" w:ascii="仿宋_GB2312" w:hAnsi="仿宋_GB2312" w:eastAsia="仿宋_GB2312" w:cs="仿宋_GB2312"/>
          <w:b w:val="0"/>
          <w:kern w:val="2"/>
          <w:sz w:val="32"/>
          <w:szCs w:val="32"/>
          <w:highlight w:val="none"/>
          <w:u w:val="none"/>
          <w:lang w:eastAsia="zh-CN" w:bidi="ar"/>
        </w:rPr>
        <w:t>。</w:t>
      </w:r>
      <w:r>
        <w:rPr>
          <w:rFonts w:hint="eastAsia" w:ascii="仿宋_GB2312" w:hAnsi="仿宋_GB2312" w:eastAsia="仿宋_GB2312" w:cs="仿宋_GB2312"/>
          <w:b w:val="0"/>
          <w:kern w:val="2"/>
          <w:sz w:val="32"/>
          <w:szCs w:val="32"/>
          <w:highlight w:val="none"/>
          <w:u w:val="none"/>
        </w:rPr>
        <w:t xml:space="preserve">                   </w:t>
      </w:r>
    </w:p>
    <w:p w14:paraId="7C7CA076">
      <w:pPr>
        <w:keepNext w:val="0"/>
        <w:keepLines w:val="0"/>
        <w:pageBreakBefore w:val="0"/>
        <w:kinsoku/>
        <w:wordWrap/>
        <w:overflowPunct/>
        <w:topLinePunct w:val="0"/>
        <w:autoSpaceDE/>
        <w:autoSpaceDN/>
        <w:bidi w:val="0"/>
        <w:adjustRightInd/>
        <w:snapToGrid w:val="0"/>
        <w:spacing w:before="119" w:line="540" w:lineRule="exact"/>
        <w:ind w:firstLine="640" w:firstLineChars="200"/>
        <w:outlineLvl w:val="9"/>
        <w:rPr>
          <w:rFonts w:hint="eastAsia" w:ascii="仿宋_GB2312" w:hAnsi="仿宋_GB2312" w:eastAsia="仿宋_GB2312" w:cs="仿宋_GB2312"/>
          <w:b w:val="0"/>
          <w:kern w:val="2"/>
          <w:sz w:val="32"/>
          <w:szCs w:val="32"/>
        </w:rPr>
      </w:pPr>
      <w:bookmarkStart w:id="8" w:name="_Toc704093306"/>
      <w:bookmarkStart w:id="9" w:name="_Toc1262439396"/>
      <w:bookmarkStart w:id="10" w:name="_Toc817088771"/>
      <w:bookmarkStart w:id="11" w:name="_Toc1747423685"/>
      <w:r>
        <w:rPr>
          <w:rFonts w:hint="eastAsia" w:ascii="仿宋_GB2312" w:hAnsi="仿宋_GB2312" w:eastAsia="仿宋_GB2312" w:cs="仿宋_GB2312"/>
          <w:b w:val="0"/>
          <w:kern w:val="2"/>
          <w:sz w:val="32"/>
          <w:szCs w:val="32"/>
        </w:rPr>
        <w:t>2.项目实施周期</w:t>
      </w:r>
      <w:r>
        <w:rPr>
          <w:rFonts w:hint="eastAsia" w:ascii="仿宋_GB2312" w:hAnsi="仿宋_GB2312" w:eastAsia="仿宋_GB2312" w:cs="仿宋_GB2312"/>
          <w:b w:val="0"/>
          <w:kern w:val="2"/>
          <w:sz w:val="32"/>
          <w:szCs w:val="32"/>
          <w:lang w:eastAsia="zh-CN"/>
        </w:rPr>
        <w:t>：</w:t>
      </w:r>
      <w:r>
        <w:rPr>
          <w:rFonts w:hint="eastAsia" w:ascii="仿宋_GB2312" w:hAnsi="仿宋_GB2312" w:eastAsia="仿宋_GB2312" w:cs="仿宋_GB2312"/>
          <w:b w:val="0"/>
          <w:kern w:val="2"/>
          <w:sz w:val="32"/>
          <w:szCs w:val="32"/>
          <w:lang w:val="en-US" w:eastAsia="zh-CN"/>
        </w:rPr>
        <w:t>本合同</w:t>
      </w:r>
      <w:r>
        <w:rPr>
          <w:rFonts w:hint="eastAsia" w:ascii="仿宋_GB2312" w:hAnsi="仿宋_GB2312" w:eastAsia="仿宋_GB2312" w:cs="仿宋_GB2312"/>
          <w:b w:val="0"/>
          <w:kern w:val="2"/>
          <w:sz w:val="32"/>
          <w:szCs w:val="32"/>
        </w:rPr>
        <w:t>自签订</w:t>
      </w:r>
      <w:r>
        <w:rPr>
          <w:rFonts w:hint="eastAsia" w:ascii="仿宋_GB2312" w:hAnsi="仿宋_GB2312" w:eastAsia="仿宋_GB2312" w:cs="仿宋_GB2312"/>
          <w:b w:val="0"/>
          <w:kern w:val="2"/>
          <w:sz w:val="32"/>
          <w:szCs w:val="32"/>
          <w:lang w:val="en-US" w:eastAsia="zh-CN"/>
        </w:rPr>
        <w:t>盖章生效</w:t>
      </w:r>
      <w:r>
        <w:rPr>
          <w:rFonts w:hint="eastAsia" w:ascii="仿宋_GB2312" w:hAnsi="仿宋_GB2312" w:eastAsia="仿宋_GB2312" w:cs="仿宋_GB2312"/>
          <w:b w:val="0"/>
          <w:kern w:val="2"/>
          <w:sz w:val="32"/>
          <w:szCs w:val="32"/>
        </w:rPr>
        <w:t>之日</w:t>
      </w:r>
      <w:r>
        <w:rPr>
          <w:rFonts w:hint="eastAsia" w:ascii="仿宋_GB2312" w:hAnsi="仿宋_GB2312" w:eastAsia="仿宋_GB2312" w:cs="仿宋_GB2312"/>
          <w:b w:val="0"/>
          <w:kern w:val="2"/>
          <w:sz w:val="32"/>
          <w:szCs w:val="32"/>
          <w:lang w:val="en-US" w:eastAsia="zh-CN"/>
        </w:rPr>
        <w:t>起至本合同内容全部完成，完成时限为</w:t>
      </w:r>
      <w:r>
        <w:rPr>
          <w:rFonts w:hint="eastAsia" w:ascii="仿宋_GB2312" w:hAnsi="仿宋_GB2312" w:eastAsia="仿宋_GB2312" w:cs="仿宋_GB2312"/>
          <w:b w:val="0"/>
          <w:color w:val="auto"/>
          <w:kern w:val="2"/>
          <w:sz w:val="32"/>
          <w:szCs w:val="32"/>
          <w:u w:val="single"/>
          <w:lang w:val="en-US" w:eastAsia="zh-CN"/>
        </w:rPr>
        <w:t xml:space="preserve"> 2027 </w:t>
      </w:r>
      <w:r>
        <w:rPr>
          <w:rFonts w:hint="eastAsia" w:ascii="仿宋_GB2312" w:hAnsi="仿宋_GB2312" w:eastAsia="仿宋_GB2312" w:cs="仿宋_GB2312"/>
          <w:b w:val="0"/>
          <w:kern w:val="2"/>
          <w:sz w:val="32"/>
          <w:szCs w:val="32"/>
        </w:rPr>
        <w:t>年</w:t>
      </w:r>
      <w:r>
        <w:rPr>
          <w:rFonts w:hint="eastAsia" w:ascii="仿宋_GB2312" w:hAnsi="仿宋_GB2312" w:eastAsia="仿宋_GB2312" w:cs="仿宋_GB2312"/>
          <w:b w:val="0"/>
          <w:color w:val="auto"/>
          <w:kern w:val="2"/>
          <w:sz w:val="32"/>
          <w:szCs w:val="32"/>
          <w:u w:val="single"/>
          <w:lang w:val="en-US" w:eastAsia="zh-CN"/>
        </w:rPr>
        <w:t xml:space="preserve"> 6 </w:t>
      </w:r>
      <w:r>
        <w:rPr>
          <w:rFonts w:hint="eastAsia" w:ascii="仿宋_GB2312" w:hAnsi="仿宋_GB2312" w:eastAsia="仿宋_GB2312" w:cs="仿宋_GB2312"/>
          <w:b w:val="0"/>
          <w:kern w:val="2"/>
          <w:sz w:val="32"/>
          <w:szCs w:val="32"/>
        </w:rPr>
        <w:t>月</w:t>
      </w:r>
      <w:r>
        <w:rPr>
          <w:rFonts w:hint="eastAsia" w:ascii="仿宋_GB2312" w:hAnsi="仿宋_GB2312" w:eastAsia="仿宋_GB2312" w:cs="仿宋_GB2312"/>
          <w:b w:val="0"/>
          <w:color w:val="auto"/>
          <w:kern w:val="2"/>
          <w:sz w:val="32"/>
          <w:szCs w:val="32"/>
          <w:u w:val="single"/>
          <w:lang w:val="en-US" w:eastAsia="zh-CN"/>
        </w:rPr>
        <w:t xml:space="preserve"> 30 </w:t>
      </w:r>
      <w:r>
        <w:rPr>
          <w:rFonts w:hint="eastAsia" w:ascii="仿宋_GB2312" w:hAnsi="仿宋_GB2312" w:eastAsia="仿宋_GB2312" w:cs="仿宋_GB2312"/>
          <w:b w:val="0"/>
          <w:kern w:val="2"/>
          <w:sz w:val="32"/>
          <w:szCs w:val="32"/>
        </w:rPr>
        <w:t>日前。</w:t>
      </w:r>
      <w:bookmarkEnd w:id="8"/>
      <w:bookmarkEnd w:id="9"/>
      <w:bookmarkEnd w:id="10"/>
      <w:bookmarkEnd w:id="11"/>
    </w:p>
    <w:p w14:paraId="415E1CF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 xml:space="preserve">第二条 </w:t>
      </w:r>
      <w:r>
        <w:rPr>
          <w:rFonts w:hint="eastAsia" w:ascii="黑体" w:hAnsi="黑体" w:eastAsia="黑体" w:cs="黑体"/>
          <w:b w:val="0"/>
          <w:bCs/>
          <w:sz w:val="32"/>
          <w:szCs w:val="32"/>
          <w:lang w:val="en-US" w:eastAsia="zh-CN"/>
        </w:rPr>
        <w:t>验收要求及绩效考核要求</w:t>
      </w:r>
    </w:p>
    <w:p w14:paraId="76A52F12">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本项目按照《精神障碍社区康复服务工作规范》（民发〔2020〕147号）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政府采购履约验收管理相关法律法规及项目采购</w:t>
      </w:r>
      <w:r>
        <w:rPr>
          <w:rFonts w:hint="eastAsia" w:ascii="仿宋_GB2312" w:hAnsi="仿宋_GB2312" w:eastAsia="仿宋_GB2312" w:cs="仿宋_GB2312"/>
          <w:sz w:val="32"/>
          <w:szCs w:val="32"/>
          <w:highlight w:val="none"/>
        </w:rPr>
        <w:t>文件、中标合同约定执行，实行过程考核加终期验收。乙方应于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日前向甲方交付项目总结报告</w:t>
      </w:r>
      <w:r>
        <w:rPr>
          <w:rFonts w:hint="eastAsia" w:ascii="仿宋_GB2312" w:hAnsi="仿宋_GB2312" w:eastAsia="仿宋_GB2312" w:cs="仿宋_GB2312"/>
          <w:sz w:val="32"/>
          <w:szCs w:val="32"/>
          <w:highlight w:val="none"/>
          <w:lang w:eastAsia="zh-CN"/>
        </w:rPr>
        <w:t>及验收材料（</w:t>
      </w:r>
      <w:r>
        <w:rPr>
          <w:rFonts w:hint="eastAsia" w:ascii="仿宋_GB2312" w:hAnsi="仿宋_GB2312" w:eastAsia="仿宋_GB2312" w:cs="仿宋_GB2312"/>
          <w:sz w:val="32"/>
          <w:szCs w:val="32"/>
          <w:highlight w:val="none"/>
          <w:lang w:val="en-US" w:eastAsia="zh-CN"/>
        </w:rPr>
        <w:t>包括但不限于服务档案</w:t>
      </w:r>
      <w:r>
        <w:rPr>
          <w:rFonts w:hint="eastAsia" w:ascii="仿宋_GB2312" w:hAnsi="仿宋_GB2312" w:eastAsia="仿宋_GB2312" w:cs="仿宋_GB2312"/>
          <w:sz w:val="32"/>
          <w:szCs w:val="32"/>
          <w:lang w:val="en-US" w:eastAsia="zh-CN"/>
        </w:rPr>
        <w:t>、活动材料、财务资料等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，并按甲方要求完成修改，直至验收合格。</w:t>
      </w:r>
    </w:p>
    <w:p w14:paraId="2FACA512">
      <w:pPr>
        <w:keepNext w:val="0"/>
        <w:keepLines w:val="0"/>
        <w:pageBreakBefore w:val="0"/>
        <w:numPr>
          <w:ilvl w:val="0"/>
          <w:numId w:val="0"/>
        </w:numPr>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绩效考核要求</w:t>
      </w:r>
    </w:p>
    <w:tbl>
      <w:tblPr>
        <w:tblStyle w:val="22"/>
        <w:tblW w:w="5116" w:type="pct"/>
        <w:tblInd w:w="-2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34"/>
        <w:gridCol w:w="1261"/>
        <w:gridCol w:w="4767"/>
        <w:gridCol w:w="1909"/>
      </w:tblGrid>
      <w:tr w14:paraId="591C3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9" w:type="pct"/>
            <w:tcBorders>
              <w:top w:val="single" w:color="000000" w:sz="8" w:space="0"/>
              <w:left w:val="single" w:color="000000" w:sz="8" w:space="0"/>
              <w:bottom w:val="single" w:color="000000" w:sz="8" w:space="0"/>
              <w:right w:val="single" w:color="000000" w:sz="8" w:space="0"/>
            </w:tcBorders>
            <w:noWrap w:val="0"/>
            <w:vAlign w:val="center"/>
          </w:tcPr>
          <w:p w14:paraId="6AB1D050">
            <w:pPr>
              <w:keepNext w:val="0"/>
              <w:keepLines w:val="0"/>
              <w:widowControl/>
              <w:suppressLineNumbers w:val="0"/>
              <w:spacing w:line="540" w:lineRule="exact"/>
              <w:jc w:val="center"/>
              <w:textAlignment w:val="center"/>
              <w:rPr>
                <w:rFonts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一级指标</w:t>
            </w:r>
          </w:p>
        </w:tc>
        <w:tc>
          <w:tcPr>
            <w:tcW w:w="680" w:type="pct"/>
            <w:tcBorders>
              <w:top w:val="single" w:color="000000" w:sz="8" w:space="0"/>
              <w:left w:val="nil"/>
              <w:bottom w:val="single" w:color="000000" w:sz="8" w:space="0"/>
              <w:right w:val="single" w:color="000000" w:sz="8" w:space="0"/>
            </w:tcBorders>
            <w:noWrap w:val="0"/>
            <w:vAlign w:val="center"/>
          </w:tcPr>
          <w:p w14:paraId="26382588">
            <w:pPr>
              <w:keepNext w:val="0"/>
              <w:keepLines w:val="0"/>
              <w:widowControl/>
              <w:suppressLineNumbers w:val="0"/>
              <w:spacing w:line="540" w:lineRule="exact"/>
              <w:jc w:val="center"/>
              <w:textAlignment w:val="center"/>
              <w:rPr>
                <w:rFonts w:hint="default"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二级指标</w:t>
            </w:r>
          </w:p>
        </w:tc>
        <w:tc>
          <w:tcPr>
            <w:tcW w:w="2570" w:type="pct"/>
            <w:tcBorders>
              <w:top w:val="single" w:color="000000" w:sz="8" w:space="0"/>
              <w:left w:val="nil"/>
              <w:bottom w:val="single" w:color="000000" w:sz="8" w:space="0"/>
              <w:right w:val="single" w:color="000000" w:sz="8" w:space="0"/>
            </w:tcBorders>
            <w:noWrap w:val="0"/>
            <w:vAlign w:val="center"/>
          </w:tcPr>
          <w:p w14:paraId="505E0333">
            <w:pPr>
              <w:keepNext w:val="0"/>
              <w:keepLines w:val="0"/>
              <w:widowControl/>
              <w:suppressLineNumbers w:val="0"/>
              <w:spacing w:line="540" w:lineRule="exact"/>
              <w:jc w:val="center"/>
              <w:textAlignment w:val="center"/>
              <w:rPr>
                <w:rFonts w:hint="default"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三级指标</w:t>
            </w:r>
          </w:p>
        </w:tc>
        <w:tc>
          <w:tcPr>
            <w:tcW w:w="1029" w:type="pct"/>
            <w:tcBorders>
              <w:top w:val="single" w:color="000000" w:sz="8" w:space="0"/>
              <w:left w:val="nil"/>
              <w:bottom w:val="single" w:color="000000" w:sz="8" w:space="0"/>
              <w:right w:val="single" w:color="000000" w:sz="8" w:space="0"/>
            </w:tcBorders>
            <w:noWrap w:val="0"/>
            <w:vAlign w:val="center"/>
          </w:tcPr>
          <w:p w14:paraId="439E3889">
            <w:pPr>
              <w:keepNext w:val="0"/>
              <w:keepLines w:val="0"/>
              <w:widowControl/>
              <w:suppressLineNumbers w:val="0"/>
              <w:spacing w:line="540" w:lineRule="exact"/>
              <w:jc w:val="center"/>
              <w:textAlignment w:val="center"/>
              <w:rPr>
                <w:rFonts w:hint="default"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指标值</w:t>
            </w:r>
          </w:p>
        </w:tc>
      </w:tr>
      <w:tr w14:paraId="7243E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719" w:type="pct"/>
            <w:vMerge w:val="restart"/>
            <w:tcBorders>
              <w:top w:val="nil"/>
              <w:left w:val="single" w:color="000000" w:sz="8" w:space="0"/>
              <w:bottom w:val="single" w:color="000000" w:sz="8" w:space="0"/>
              <w:right w:val="single" w:color="000000" w:sz="8" w:space="0"/>
            </w:tcBorders>
            <w:noWrap w:val="0"/>
            <w:vAlign w:val="center"/>
          </w:tcPr>
          <w:p w14:paraId="0B408AAC">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产出指标</w:t>
            </w:r>
          </w:p>
        </w:tc>
        <w:tc>
          <w:tcPr>
            <w:tcW w:w="680" w:type="pct"/>
            <w:vMerge w:val="restart"/>
            <w:tcBorders>
              <w:top w:val="nil"/>
              <w:left w:val="nil"/>
              <w:bottom w:val="nil"/>
              <w:right w:val="single" w:color="000000" w:sz="8" w:space="0"/>
            </w:tcBorders>
            <w:noWrap w:val="0"/>
            <w:vAlign w:val="center"/>
          </w:tcPr>
          <w:p w14:paraId="75B1BB4A">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数量指标</w:t>
            </w:r>
          </w:p>
        </w:tc>
        <w:tc>
          <w:tcPr>
            <w:tcW w:w="2570" w:type="pct"/>
            <w:tcBorders>
              <w:top w:val="nil"/>
              <w:left w:val="nil"/>
              <w:bottom w:val="single" w:color="000000" w:sz="8" w:space="0"/>
              <w:right w:val="single" w:color="000000" w:sz="8" w:space="0"/>
            </w:tcBorders>
            <w:noWrap w:val="0"/>
            <w:vAlign w:val="center"/>
          </w:tcPr>
          <w:p w14:paraId="0D58B268">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在册精神障碍患者覆盖率</w:t>
            </w:r>
          </w:p>
        </w:tc>
        <w:tc>
          <w:tcPr>
            <w:tcW w:w="1029" w:type="pct"/>
            <w:tcBorders>
              <w:top w:val="nil"/>
              <w:left w:val="nil"/>
              <w:bottom w:val="single" w:color="000000" w:sz="8" w:space="0"/>
              <w:right w:val="single" w:color="000000" w:sz="8" w:space="0"/>
            </w:tcBorders>
            <w:noWrap w:val="0"/>
            <w:vAlign w:val="center"/>
          </w:tcPr>
          <w:p w14:paraId="6F00E901">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w:t>
            </w:r>
          </w:p>
        </w:tc>
      </w:tr>
      <w:tr w14:paraId="50834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719" w:type="pct"/>
            <w:vMerge w:val="continue"/>
            <w:tcBorders>
              <w:top w:val="nil"/>
              <w:left w:val="single" w:color="000000" w:sz="8" w:space="0"/>
              <w:bottom w:val="single" w:color="000000" w:sz="8" w:space="0"/>
              <w:right w:val="single" w:color="000000" w:sz="8" w:space="0"/>
            </w:tcBorders>
            <w:noWrap w:val="0"/>
            <w:vAlign w:val="center"/>
          </w:tcPr>
          <w:p w14:paraId="29E11C83">
            <w:pPr>
              <w:spacing w:line="540" w:lineRule="exact"/>
              <w:jc w:val="center"/>
              <w:rPr>
                <w:rFonts w:hint="default" w:ascii="等线" w:hAnsi="等线" w:eastAsia="等线" w:cs="等线"/>
                <w:i w:val="0"/>
                <w:iCs w:val="0"/>
                <w:color w:val="000000"/>
                <w:sz w:val="24"/>
                <w:szCs w:val="24"/>
                <w:u w:val="none"/>
              </w:rPr>
            </w:pPr>
          </w:p>
        </w:tc>
        <w:tc>
          <w:tcPr>
            <w:tcW w:w="680" w:type="pct"/>
            <w:vMerge w:val="continue"/>
            <w:tcBorders>
              <w:top w:val="nil"/>
              <w:left w:val="nil"/>
              <w:bottom w:val="nil"/>
              <w:right w:val="single" w:color="000000" w:sz="8" w:space="0"/>
            </w:tcBorders>
            <w:noWrap w:val="0"/>
            <w:vAlign w:val="center"/>
          </w:tcPr>
          <w:p w14:paraId="288C5850">
            <w:pPr>
              <w:spacing w:line="540" w:lineRule="exact"/>
              <w:jc w:val="center"/>
              <w:rPr>
                <w:rFonts w:hint="default" w:ascii="等线" w:hAnsi="等线" w:eastAsia="等线" w:cs="等线"/>
                <w:i w:val="0"/>
                <w:iCs w:val="0"/>
                <w:color w:val="000000"/>
                <w:sz w:val="24"/>
                <w:szCs w:val="24"/>
                <w:u w:val="none"/>
              </w:rPr>
            </w:pPr>
          </w:p>
        </w:tc>
        <w:tc>
          <w:tcPr>
            <w:tcW w:w="2570" w:type="pct"/>
            <w:tcBorders>
              <w:top w:val="nil"/>
              <w:left w:val="nil"/>
              <w:bottom w:val="single" w:color="000000" w:sz="8" w:space="0"/>
              <w:right w:val="single" w:color="000000" w:sz="8" w:space="0"/>
            </w:tcBorders>
            <w:noWrap w:val="0"/>
            <w:vAlign w:val="center"/>
          </w:tcPr>
          <w:p w14:paraId="5FA56E86">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接受康复服务的精神障碍患者人均接受服务次数</w:t>
            </w:r>
          </w:p>
        </w:tc>
        <w:tc>
          <w:tcPr>
            <w:tcW w:w="1029" w:type="pct"/>
            <w:tcBorders>
              <w:top w:val="nil"/>
              <w:left w:val="nil"/>
              <w:bottom w:val="single" w:color="000000" w:sz="8" w:space="0"/>
              <w:right w:val="single" w:color="000000" w:sz="8" w:space="0"/>
            </w:tcBorders>
            <w:noWrap w:val="0"/>
            <w:vAlign w:val="center"/>
          </w:tcPr>
          <w:p w14:paraId="365874D5">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≥10次</w:t>
            </w:r>
          </w:p>
        </w:tc>
      </w:tr>
      <w:tr w14:paraId="23029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719" w:type="pct"/>
            <w:vMerge w:val="continue"/>
            <w:tcBorders>
              <w:top w:val="nil"/>
              <w:left w:val="single" w:color="000000" w:sz="8" w:space="0"/>
              <w:bottom w:val="single" w:color="000000" w:sz="8" w:space="0"/>
              <w:right w:val="single" w:color="000000" w:sz="8" w:space="0"/>
            </w:tcBorders>
            <w:noWrap w:val="0"/>
            <w:vAlign w:val="center"/>
          </w:tcPr>
          <w:p w14:paraId="4708E793">
            <w:pPr>
              <w:spacing w:line="540" w:lineRule="exact"/>
              <w:jc w:val="center"/>
              <w:rPr>
                <w:rFonts w:hint="default" w:ascii="等线" w:hAnsi="等线" w:eastAsia="等线" w:cs="等线"/>
                <w:i w:val="0"/>
                <w:iCs w:val="0"/>
                <w:color w:val="000000"/>
                <w:sz w:val="24"/>
                <w:szCs w:val="24"/>
                <w:u w:val="none"/>
              </w:rPr>
            </w:pPr>
          </w:p>
        </w:tc>
        <w:tc>
          <w:tcPr>
            <w:tcW w:w="680" w:type="pct"/>
            <w:vMerge w:val="continue"/>
            <w:tcBorders>
              <w:top w:val="nil"/>
              <w:left w:val="nil"/>
              <w:bottom w:val="nil"/>
              <w:right w:val="single" w:color="000000" w:sz="8" w:space="0"/>
            </w:tcBorders>
            <w:noWrap w:val="0"/>
            <w:vAlign w:val="center"/>
          </w:tcPr>
          <w:p w14:paraId="28547379">
            <w:pPr>
              <w:spacing w:line="540" w:lineRule="exact"/>
              <w:jc w:val="center"/>
              <w:rPr>
                <w:rFonts w:hint="default" w:ascii="等线" w:hAnsi="等线" w:eastAsia="等线" w:cs="等线"/>
                <w:i w:val="0"/>
                <w:iCs w:val="0"/>
                <w:color w:val="000000"/>
                <w:sz w:val="24"/>
                <w:szCs w:val="24"/>
                <w:u w:val="none"/>
              </w:rPr>
            </w:pPr>
          </w:p>
        </w:tc>
        <w:tc>
          <w:tcPr>
            <w:tcW w:w="2570" w:type="pct"/>
            <w:tcBorders>
              <w:top w:val="nil"/>
              <w:left w:val="nil"/>
              <w:bottom w:val="single" w:color="000000" w:sz="8" w:space="0"/>
              <w:right w:val="single" w:color="000000" w:sz="8" w:space="0"/>
            </w:tcBorders>
            <w:noWrap w:val="0"/>
            <w:vAlign w:val="center"/>
          </w:tcPr>
          <w:p w14:paraId="5EDB10B6">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精神障碍社区康复社会服务机构服务乡镇和社区覆盖率</w:t>
            </w:r>
          </w:p>
        </w:tc>
        <w:tc>
          <w:tcPr>
            <w:tcW w:w="1029" w:type="pct"/>
            <w:tcBorders>
              <w:top w:val="nil"/>
              <w:left w:val="nil"/>
              <w:bottom w:val="single" w:color="000000" w:sz="8" w:space="0"/>
              <w:right w:val="single" w:color="000000" w:sz="8" w:space="0"/>
            </w:tcBorders>
            <w:noWrap w:val="0"/>
            <w:vAlign w:val="center"/>
          </w:tcPr>
          <w:p w14:paraId="5EB62D28">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w:t>
            </w:r>
          </w:p>
        </w:tc>
      </w:tr>
      <w:tr w14:paraId="2CC6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9" w:type="pct"/>
            <w:vMerge w:val="continue"/>
            <w:tcBorders>
              <w:top w:val="nil"/>
              <w:left w:val="single" w:color="000000" w:sz="8" w:space="0"/>
              <w:bottom w:val="single" w:color="000000" w:sz="8" w:space="0"/>
              <w:right w:val="single" w:color="000000" w:sz="8" w:space="0"/>
            </w:tcBorders>
            <w:noWrap w:val="0"/>
            <w:vAlign w:val="center"/>
          </w:tcPr>
          <w:p w14:paraId="287F00A7">
            <w:pPr>
              <w:spacing w:line="540" w:lineRule="exact"/>
              <w:jc w:val="center"/>
              <w:rPr>
                <w:rFonts w:hint="default" w:ascii="等线" w:hAnsi="等线" w:eastAsia="等线" w:cs="等线"/>
                <w:i w:val="0"/>
                <w:iCs w:val="0"/>
                <w:color w:val="000000"/>
                <w:sz w:val="24"/>
                <w:szCs w:val="24"/>
                <w:u w:val="none"/>
              </w:rPr>
            </w:pPr>
          </w:p>
        </w:tc>
        <w:tc>
          <w:tcPr>
            <w:tcW w:w="680" w:type="pct"/>
            <w:vMerge w:val="continue"/>
            <w:tcBorders>
              <w:top w:val="nil"/>
              <w:left w:val="nil"/>
              <w:bottom w:val="single" w:color="auto" w:sz="4" w:space="0"/>
              <w:right w:val="single" w:color="000000" w:sz="8" w:space="0"/>
            </w:tcBorders>
            <w:noWrap w:val="0"/>
            <w:vAlign w:val="center"/>
          </w:tcPr>
          <w:p w14:paraId="7018F179">
            <w:pPr>
              <w:spacing w:line="540" w:lineRule="exact"/>
              <w:jc w:val="center"/>
              <w:rPr>
                <w:rFonts w:hint="default" w:ascii="等线" w:hAnsi="等线" w:eastAsia="等线" w:cs="等线"/>
                <w:i w:val="0"/>
                <w:iCs w:val="0"/>
                <w:color w:val="000000"/>
                <w:sz w:val="24"/>
                <w:szCs w:val="24"/>
                <w:u w:val="none"/>
              </w:rPr>
            </w:pPr>
          </w:p>
        </w:tc>
        <w:tc>
          <w:tcPr>
            <w:tcW w:w="2570" w:type="pct"/>
            <w:tcBorders>
              <w:top w:val="nil"/>
              <w:left w:val="nil"/>
              <w:bottom w:val="single" w:color="000000" w:sz="8" w:space="0"/>
              <w:right w:val="single" w:color="000000" w:sz="8" w:space="0"/>
            </w:tcBorders>
            <w:noWrap w:val="0"/>
            <w:vAlign w:val="center"/>
          </w:tcPr>
          <w:p w14:paraId="36578A24">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精神障碍社区康复服务站点街镇覆盖率</w:t>
            </w:r>
          </w:p>
        </w:tc>
        <w:tc>
          <w:tcPr>
            <w:tcW w:w="1029" w:type="pct"/>
            <w:tcBorders>
              <w:top w:val="nil"/>
              <w:left w:val="nil"/>
              <w:bottom w:val="single" w:color="000000" w:sz="8" w:space="0"/>
              <w:right w:val="single" w:color="000000" w:sz="8" w:space="0"/>
            </w:tcBorders>
            <w:noWrap w:val="0"/>
            <w:vAlign w:val="center"/>
          </w:tcPr>
          <w:p w14:paraId="38678717">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lang w:val="en-US"/>
              </w:rPr>
            </w:pPr>
            <w:r>
              <w:rPr>
                <w:rFonts w:hint="default" w:ascii="等线" w:hAnsi="等线" w:eastAsia="等线" w:cs="等线"/>
                <w:i w:val="0"/>
                <w:iCs w:val="0"/>
                <w:color w:val="000000"/>
                <w:kern w:val="0"/>
                <w:sz w:val="24"/>
                <w:szCs w:val="24"/>
                <w:u w:val="none"/>
                <w:lang w:val="en-US" w:eastAsia="zh-CN" w:bidi="ar"/>
              </w:rPr>
              <w:t>1</w:t>
            </w:r>
            <w:r>
              <w:rPr>
                <w:rFonts w:hint="eastAsia" w:ascii="等线" w:hAnsi="等线" w:eastAsia="等线" w:cs="等线"/>
                <w:i w:val="0"/>
                <w:iCs w:val="0"/>
                <w:color w:val="000000"/>
                <w:kern w:val="0"/>
                <w:sz w:val="24"/>
                <w:szCs w:val="24"/>
                <w:u w:val="none"/>
                <w:lang w:val="en-US" w:eastAsia="zh-CN" w:bidi="ar"/>
              </w:rPr>
              <w:t>00%</w:t>
            </w:r>
          </w:p>
        </w:tc>
      </w:tr>
      <w:tr w14:paraId="7F36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19" w:type="pct"/>
            <w:vMerge w:val="continue"/>
            <w:tcBorders>
              <w:top w:val="nil"/>
              <w:left w:val="single" w:color="000000" w:sz="8" w:space="0"/>
              <w:bottom w:val="single" w:color="000000" w:sz="8" w:space="0"/>
              <w:right w:val="single" w:color="auto" w:sz="4" w:space="0"/>
            </w:tcBorders>
            <w:noWrap w:val="0"/>
            <w:vAlign w:val="center"/>
          </w:tcPr>
          <w:p w14:paraId="7F625184">
            <w:pPr>
              <w:spacing w:line="540" w:lineRule="exact"/>
              <w:jc w:val="center"/>
              <w:rPr>
                <w:rFonts w:hint="default" w:ascii="等线" w:hAnsi="等线" w:eastAsia="等线" w:cs="等线"/>
                <w:i w:val="0"/>
                <w:iCs w:val="0"/>
                <w:color w:val="000000"/>
                <w:sz w:val="24"/>
                <w:szCs w:val="24"/>
                <w:u w:val="none"/>
              </w:rPr>
            </w:pPr>
          </w:p>
        </w:tc>
        <w:tc>
          <w:tcPr>
            <w:tcW w:w="680" w:type="pct"/>
            <w:tcBorders>
              <w:top w:val="single" w:color="auto" w:sz="4" w:space="0"/>
              <w:left w:val="single" w:color="auto" w:sz="4" w:space="0"/>
              <w:bottom w:val="single" w:color="auto" w:sz="4" w:space="0"/>
              <w:right w:val="single" w:color="auto" w:sz="4" w:space="0"/>
            </w:tcBorders>
            <w:noWrap w:val="0"/>
            <w:vAlign w:val="center"/>
          </w:tcPr>
          <w:p w14:paraId="2D91450A">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质量指标</w:t>
            </w:r>
          </w:p>
        </w:tc>
        <w:tc>
          <w:tcPr>
            <w:tcW w:w="2570" w:type="pct"/>
            <w:tcBorders>
              <w:top w:val="nil"/>
              <w:left w:val="single" w:color="auto" w:sz="4" w:space="0"/>
              <w:bottom w:val="single" w:color="000000" w:sz="8" w:space="0"/>
              <w:right w:val="single" w:color="000000" w:sz="8" w:space="0"/>
            </w:tcBorders>
            <w:noWrap w:val="0"/>
            <w:vAlign w:val="center"/>
          </w:tcPr>
          <w:p w14:paraId="0CC74086">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建立精神障碍社区康复服务长效机制</w:t>
            </w:r>
          </w:p>
        </w:tc>
        <w:tc>
          <w:tcPr>
            <w:tcW w:w="1029" w:type="pct"/>
            <w:tcBorders>
              <w:top w:val="nil"/>
              <w:left w:val="nil"/>
              <w:bottom w:val="single" w:color="000000" w:sz="8" w:space="0"/>
              <w:right w:val="single" w:color="000000" w:sz="8" w:space="0"/>
            </w:tcBorders>
            <w:noWrap/>
            <w:vAlign w:val="center"/>
          </w:tcPr>
          <w:p w14:paraId="6E795E38">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是</w:t>
            </w:r>
          </w:p>
        </w:tc>
      </w:tr>
      <w:tr w14:paraId="73F22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719" w:type="pct"/>
            <w:vMerge w:val="restart"/>
            <w:tcBorders>
              <w:top w:val="nil"/>
              <w:left w:val="single" w:color="000000" w:sz="8" w:space="0"/>
              <w:bottom w:val="nil"/>
              <w:right w:val="single" w:color="000000" w:sz="8" w:space="0"/>
            </w:tcBorders>
            <w:noWrap w:val="0"/>
            <w:vAlign w:val="center"/>
          </w:tcPr>
          <w:p w14:paraId="4C8835E0">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效益指标</w:t>
            </w:r>
          </w:p>
        </w:tc>
        <w:tc>
          <w:tcPr>
            <w:tcW w:w="680" w:type="pct"/>
            <w:vMerge w:val="restart"/>
            <w:tcBorders>
              <w:top w:val="single" w:color="auto" w:sz="4" w:space="0"/>
              <w:left w:val="nil"/>
              <w:bottom w:val="single" w:color="auto" w:sz="4" w:space="0"/>
              <w:right w:val="single" w:color="000000" w:sz="8" w:space="0"/>
            </w:tcBorders>
            <w:noWrap w:val="0"/>
            <w:vAlign w:val="center"/>
          </w:tcPr>
          <w:p w14:paraId="26E1AEC2">
            <w:pPr>
              <w:keepNext w:val="0"/>
              <w:keepLines w:val="0"/>
              <w:widowControl/>
              <w:suppressLineNumbers w:val="0"/>
              <w:spacing w:line="540" w:lineRule="exact"/>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社会效益</w:t>
            </w:r>
          </w:p>
          <w:p w14:paraId="31D0B61C">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指标</w:t>
            </w:r>
          </w:p>
        </w:tc>
        <w:tc>
          <w:tcPr>
            <w:tcW w:w="2570" w:type="pct"/>
            <w:tcBorders>
              <w:top w:val="nil"/>
              <w:left w:val="nil"/>
              <w:bottom w:val="single" w:color="000000" w:sz="8" w:space="0"/>
              <w:right w:val="single" w:color="000000" w:sz="8" w:space="0"/>
            </w:tcBorders>
            <w:noWrap w:val="0"/>
            <w:vAlign w:val="center"/>
          </w:tcPr>
          <w:p w14:paraId="540B10E8">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精神障碍患者回归家庭、融入社会的能力</w:t>
            </w:r>
          </w:p>
        </w:tc>
        <w:tc>
          <w:tcPr>
            <w:tcW w:w="1029" w:type="pct"/>
            <w:tcBorders>
              <w:top w:val="nil"/>
              <w:left w:val="nil"/>
              <w:bottom w:val="single" w:color="000000" w:sz="8" w:space="0"/>
              <w:right w:val="single" w:color="000000" w:sz="8" w:space="0"/>
            </w:tcBorders>
            <w:noWrap w:val="0"/>
            <w:vAlign w:val="center"/>
          </w:tcPr>
          <w:p w14:paraId="558B67D6">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highlight w:val="none"/>
                <w:u w:val="none"/>
              </w:rPr>
            </w:pPr>
            <w:r>
              <w:rPr>
                <w:rFonts w:hint="default" w:ascii="等线" w:hAnsi="等线" w:eastAsia="等线" w:cs="等线"/>
                <w:i w:val="0"/>
                <w:iCs w:val="0"/>
                <w:color w:val="000000"/>
                <w:kern w:val="0"/>
                <w:sz w:val="24"/>
                <w:szCs w:val="24"/>
                <w:highlight w:val="none"/>
                <w:u w:val="none"/>
                <w:lang w:val="en-US" w:eastAsia="zh-CN" w:bidi="ar"/>
              </w:rPr>
              <w:t>明显提升</w:t>
            </w:r>
          </w:p>
        </w:tc>
      </w:tr>
      <w:tr w14:paraId="2F05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19" w:type="pct"/>
            <w:vMerge w:val="continue"/>
            <w:tcBorders>
              <w:top w:val="nil"/>
              <w:left w:val="single" w:color="000000" w:sz="8" w:space="0"/>
              <w:bottom w:val="nil"/>
              <w:right w:val="single" w:color="000000" w:sz="8" w:space="0"/>
            </w:tcBorders>
            <w:noWrap w:val="0"/>
            <w:vAlign w:val="center"/>
          </w:tcPr>
          <w:p w14:paraId="43B39A3C">
            <w:pPr>
              <w:spacing w:line="540" w:lineRule="exact"/>
              <w:jc w:val="center"/>
              <w:rPr>
                <w:rFonts w:hint="default" w:ascii="等线" w:hAnsi="等线" w:eastAsia="等线" w:cs="等线"/>
                <w:i w:val="0"/>
                <w:iCs w:val="0"/>
                <w:color w:val="000000"/>
                <w:sz w:val="24"/>
                <w:szCs w:val="24"/>
                <w:u w:val="none"/>
              </w:rPr>
            </w:pPr>
          </w:p>
        </w:tc>
        <w:tc>
          <w:tcPr>
            <w:tcW w:w="680" w:type="pct"/>
            <w:vMerge w:val="continue"/>
            <w:tcBorders>
              <w:top w:val="single" w:color="auto" w:sz="4" w:space="0"/>
              <w:left w:val="nil"/>
              <w:bottom w:val="single" w:color="auto" w:sz="4" w:space="0"/>
              <w:right w:val="single" w:color="000000" w:sz="8" w:space="0"/>
            </w:tcBorders>
            <w:noWrap w:val="0"/>
            <w:vAlign w:val="center"/>
          </w:tcPr>
          <w:p w14:paraId="1E5C58AA">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p>
        </w:tc>
        <w:tc>
          <w:tcPr>
            <w:tcW w:w="2570" w:type="pct"/>
            <w:tcBorders>
              <w:top w:val="nil"/>
              <w:left w:val="nil"/>
              <w:bottom w:val="single" w:color="000000" w:sz="8" w:space="0"/>
              <w:right w:val="single" w:color="000000" w:sz="8" w:space="0"/>
            </w:tcBorders>
            <w:noWrap w:val="0"/>
            <w:vAlign w:val="center"/>
          </w:tcPr>
          <w:p w14:paraId="4C6B6B21">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关心、理解、支持精神障碍患者的社会氛围</w:t>
            </w:r>
          </w:p>
        </w:tc>
        <w:tc>
          <w:tcPr>
            <w:tcW w:w="1029" w:type="pct"/>
            <w:tcBorders>
              <w:top w:val="nil"/>
              <w:left w:val="nil"/>
              <w:bottom w:val="single" w:color="000000" w:sz="8" w:space="0"/>
              <w:right w:val="single" w:color="000000" w:sz="8" w:space="0"/>
            </w:tcBorders>
            <w:noWrap w:val="0"/>
            <w:vAlign w:val="center"/>
          </w:tcPr>
          <w:p w14:paraId="279BB708">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highlight w:val="none"/>
                <w:u w:val="none"/>
              </w:rPr>
            </w:pPr>
            <w:r>
              <w:rPr>
                <w:rFonts w:hint="default" w:ascii="等线" w:hAnsi="等线" w:eastAsia="等线" w:cs="等线"/>
                <w:i w:val="0"/>
                <w:iCs w:val="0"/>
                <w:color w:val="000000"/>
                <w:kern w:val="0"/>
                <w:sz w:val="24"/>
                <w:szCs w:val="24"/>
                <w:highlight w:val="none"/>
                <w:u w:val="none"/>
                <w:lang w:val="en-US" w:eastAsia="zh-CN" w:bidi="ar"/>
              </w:rPr>
              <w:t>明显提升</w:t>
            </w:r>
          </w:p>
        </w:tc>
      </w:tr>
      <w:tr w14:paraId="724B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719" w:type="pct"/>
            <w:vMerge w:val="continue"/>
            <w:tcBorders>
              <w:top w:val="nil"/>
              <w:left w:val="single" w:color="000000" w:sz="8" w:space="0"/>
              <w:bottom w:val="nil"/>
              <w:right w:val="single" w:color="000000" w:sz="8" w:space="0"/>
            </w:tcBorders>
            <w:noWrap w:val="0"/>
            <w:vAlign w:val="center"/>
          </w:tcPr>
          <w:p w14:paraId="4BBCDBD5">
            <w:pPr>
              <w:spacing w:line="540" w:lineRule="exact"/>
              <w:jc w:val="center"/>
              <w:rPr>
                <w:rFonts w:hint="default" w:ascii="等线" w:hAnsi="等线" w:eastAsia="等线" w:cs="等线"/>
                <w:i w:val="0"/>
                <w:iCs w:val="0"/>
                <w:color w:val="000000"/>
                <w:sz w:val="24"/>
                <w:szCs w:val="24"/>
                <w:u w:val="none"/>
              </w:rPr>
            </w:pPr>
          </w:p>
        </w:tc>
        <w:tc>
          <w:tcPr>
            <w:tcW w:w="680" w:type="pct"/>
            <w:vMerge w:val="continue"/>
            <w:tcBorders>
              <w:top w:val="single" w:color="auto" w:sz="4" w:space="0"/>
              <w:left w:val="nil"/>
              <w:bottom w:val="single" w:color="auto" w:sz="4" w:space="0"/>
              <w:right w:val="single" w:color="000000" w:sz="8" w:space="0"/>
            </w:tcBorders>
            <w:noWrap/>
            <w:vAlign w:val="bottom"/>
          </w:tcPr>
          <w:p w14:paraId="5D25DA91">
            <w:pPr>
              <w:spacing w:line="540" w:lineRule="exact"/>
              <w:rPr>
                <w:rFonts w:hint="default" w:ascii="等线" w:hAnsi="等线" w:eastAsia="等线" w:cs="等线"/>
                <w:i w:val="0"/>
                <w:iCs w:val="0"/>
                <w:color w:val="000000"/>
                <w:sz w:val="22"/>
                <w:szCs w:val="22"/>
                <w:u w:val="none"/>
              </w:rPr>
            </w:pPr>
          </w:p>
        </w:tc>
        <w:tc>
          <w:tcPr>
            <w:tcW w:w="2570" w:type="pct"/>
            <w:tcBorders>
              <w:top w:val="nil"/>
              <w:left w:val="nil"/>
              <w:bottom w:val="single" w:color="000000" w:sz="8" w:space="0"/>
              <w:right w:val="single" w:color="000000" w:sz="8" w:space="0"/>
            </w:tcBorders>
            <w:noWrap w:val="0"/>
            <w:vAlign w:val="center"/>
          </w:tcPr>
          <w:p w14:paraId="2BF3FD78">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精神障碍患者公共安全风险和危机事件发生率下降幅度</w:t>
            </w:r>
          </w:p>
        </w:tc>
        <w:tc>
          <w:tcPr>
            <w:tcW w:w="1029" w:type="pct"/>
            <w:tcBorders>
              <w:top w:val="nil"/>
              <w:left w:val="nil"/>
              <w:bottom w:val="single" w:color="000000" w:sz="8" w:space="0"/>
              <w:right w:val="single" w:color="000000" w:sz="8" w:space="0"/>
            </w:tcBorders>
            <w:noWrap w:val="0"/>
            <w:vAlign w:val="center"/>
          </w:tcPr>
          <w:p w14:paraId="3119BFE6">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highlight w:val="none"/>
                <w:u w:val="none"/>
              </w:rPr>
            </w:pPr>
            <w:r>
              <w:rPr>
                <w:rFonts w:hint="default" w:ascii="等线" w:hAnsi="等线" w:eastAsia="等线" w:cs="等线"/>
                <w:i w:val="0"/>
                <w:iCs w:val="0"/>
                <w:color w:val="000000"/>
                <w:kern w:val="0"/>
                <w:sz w:val="24"/>
                <w:szCs w:val="24"/>
                <w:highlight w:val="none"/>
                <w:u w:val="none"/>
                <w:lang w:val="en-US" w:eastAsia="zh-CN" w:bidi="ar"/>
              </w:rPr>
              <w:t>明显下降</w:t>
            </w:r>
          </w:p>
        </w:tc>
      </w:tr>
      <w:tr w14:paraId="07B3D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19" w:type="pct"/>
            <w:tcBorders>
              <w:top w:val="single" w:color="000000" w:sz="8" w:space="0"/>
              <w:left w:val="single" w:color="000000" w:sz="8" w:space="0"/>
              <w:bottom w:val="single" w:color="auto" w:sz="4" w:space="0"/>
              <w:right w:val="single" w:color="000000" w:sz="8" w:space="0"/>
            </w:tcBorders>
            <w:noWrap w:val="0"/>
            <w:vAlign w:val="center"/>
          </w:tcPr>
          <w:p w14:paraId="4801EB02">
            <w:pPr>
              <w:keepNext w:val="0"/>
              <w:keepLines w:val="0"/>
              <w:widowControl/>
              <w:suppressLineNumbers w:val="0"/>
              <w:spacing w:line="540" w:lineRule="exact"/>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满意度</w:t>
            </w:r>
          </w:p>
          <w:p w14:paraId="35A65D0D">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指标</w:t>
            </w:r>
          </w:p>
        </w:tc>
        <w:tc>
          <w:tcPr>
            <w:tcW w:w="680" w:type="pct"/>
            <w:tcBorders>
              <w:top w:val="single" w:color="auto" w:sz="4" w:space="0"/>
              <w:left w:val="nil"/>
              <w:bottom w:val="single" w:color="000000" w:sz="8" w:space="0"/>
              <w:right w:val="single" w:color="000000" w:sz="8" w:space="0"/>
            </w:tcBorders>
            <w:noWrap w:val="0"/>
            <w:vAlign w:val="center"/>
          </w:tcPr>
          <w:p w14:paraId="1C223709">
            <w:pPr>
              <w:keepNext w:val="0"/>
              <w:keepLines w:val="0"/>
              <w:widowControl/>
              <w:suppressLineNumbers w:val="0"/>
              <w:spacing w:line="540" w:lineRule="exact"/>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服务对象</w:t>
            </w:r>
          </w:p>
          <w:p w14:paraId="3D1E47D7">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满意度指标</w:t>
            </w:r>
          </w:p>
        </w:tc>
        <w:tc>
          <w:tcPr>
            <w:tcW w:w="2570" w:type="pct"/>
            <w:tcBorders>
              <w:top w:val="nil"/>
              <w:left w:val="nil"/>
              <w:bottom w:val="single" w:color="000000" w:sz="8" w:space="0"/>
              <w:right w:val="single" w:color="000000" w:sz="8" w:space="0"/>
            </w:tcBorders>
            <w:noWrap w:val="0"/>
            <w:vAlign w:val="center"/>
          </w:tcPr>
          <w:p w14:paraId="4F85D9E1">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接受康复服务的精神障碍患者或家庭成员满意度</w:t>
            </w:r>
          </w:p>
        </w:tc>
        <w:tc>
          <w:tcPr>
            <w:tcW w:w="1029" w:type="pct"/>
            <w:tcBorders>
              <w:top w:val="nil"/>
              <w:left w:val="nil"/>
              <w:bottom w:val="single" w:color="000000" w:sz="8" w:space="0"/>
              <w:right w:val="single" w:color="000000" w:sz="8" w:space="0"/>
            </w:tcBorders>
            <w:noWrap w:val="0"/>
            <w:vAlign w:val="center"/>
          </w:tcPr>
          <w:p w14:paraId="32899175">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≥90%</w:t>
            </w:r>
          </w:p>
        </w:tc>
      </w:tr>
    </w:tbl>
    <w:p w14:paraId="2F6D4147">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 xml:space="preserve">第三条 </w:t>
      </w:r>
      <w:r>
        <w:rPr>
          <w:rFonts w:hint="eastAsia" w:ascii="黑体" w:hAnsi="黑体" w:eastAsia="黑体" w:cs="黑体"/>
          <w:b w:val="0"/>
          <w:bCs/>
          <w:sz w:val="32"/>
          <w:szCs w:val="32"/>
        </w:rPr>
        <w:t>双方权利义务</w:t>
      </w:r>
    </w:p>
    <w:p w14:paraId="25D6861C">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（一）甲方权利义务</w:t>
      </w:r>
    </w:p>
    <w:p w14:paraId="376AF4D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1.甲方有权利按本合同的约定从项目/活动主题、形式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进度</w:t>
      </w:r>
      <w:r>
        <w:rPr>
          <w:rFonts w:hint="eastAsia" w:ascii="仿宋_GB2312" w:hAnsi="仿宋_GB2312" w:eastAsia="仿宋_GB2312" w:cs="仿宋_GB2312"/>
          <w:sz w:val="32"/>
          <w:szCs w:val="32"/>
        </w:rPr>
        <w:t>等方面进行总体把控，并为乙方提供项目/活动</w:t>
      </w:r>
      <w:r>
        <w:rPr>
          <w:rFonts w:hint="eastAsia" w:ascii="仿宋_GB2312" w:hAnsi="仿宋_GB2312" w:eastAsia="仿宋_GB2312" w:cs="仿宋_GB2312"/>
          <w:sz w:val="32"/>
          <w:szCs w:val="32"/>
          <w:lang w:val="en-US" w:eastAsia="zh-CN"/>
        </w:rPr>
        <w:t>必要</w:t>
      </w:r>
      <w:r>
        <w:rPr>
          <w:rFonts w:hint="eastAsia" w:ascii="仿宋_GB2312" w:hAnsi="仿宋_GB2312" w:eastAsia="仿宋_GB2312" w:cs="仿宋_GB2312"/>
          <w:sz w:val="32"/>
          <w:szCs w:val="32"/>
        </w:rPr>
        <w:t>的资源对接。</w:t>
      </w:r>
    </w:p>
    <w:p w14:paraId="0CBA3114">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2.甲方以及其委托的第三方有权对乙方的工作内容及工作质量进行监督和指导，要求乙方及时汇报实施进度，并有权要求乙方进行整改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乙方应当予以配合</w:t>
      </w:r>
      <w:r>
        <w:rPr>
          <w:rFonts w:hint="eastAsia" w:ascii="仿宋_GB2312" w:hAnsi="仿宋_GB2312" w:eastAsia="仿宋_GB2312" w:cs="仿宋_GB2312"/>
          <w:sz w:val="32"/>
          <w:szCs w:val="32"/>
        </w:rPr>
        <w:t>。</w:t>
      </w:r>
    </w:p>
    <w:p w14:paraId="08613F4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3.若本项目需要甲方提供基础资料的，甲方应</w:t>
      </w:r>
      <w:r>
        <w:rPr>
          <w:rFonts w:hint="eastAsia" w:ascii="仿宋_GB2312" w:hAnsi="仿宋_GB2312" w:eastAsia="仿宋_GB2312" w:cs="仿宋_GB2312"/>
          <w:sz w:val="32"/>
          <w:szCs w:val="32"/>
          <w:lang w:val="en-US" w:eastAsia="zh-CN"/>
        </w:rPr>
        <w:t>予以配合，向</w:t>
      </w:r>
      <w:r>
        <w:rPr>
          <w:rFonts w:hint="eastAsia" w:ascii="仿宋_GB2312" w:hAnsi="仿宋_GB2312" w:eastAsia="仿宋_GB2312" w:cs="仿宋_GB2312"/>
          <w:sz w:val="32"/>
          <w:szCs w:val="32"/>
        </w:rPr>
        <w:t>乙方提交</w:t>
      </w:r>
      <w:r>
        <w:rPr>
          <w:rFonts w:hint="eastAsia" w:ascii="仿宋_GB2312" w:hAnsi="仿宋_GB2312" w:eastAsia="仿宋_GB2312" w:cs="仿宋_GB2312"/>
          <w:sz w:val="32"/>
          <w:szCs w:val="32"/>
          <w:lang w:val="en-US" w:eastAsia="zh-CN"/>
        </w:rPr>
        <w:t>项目必需的</w:t>
      </w:r>
      <w:r>
        <w:rPr>
          <w:rFonts w:hint="eastAsia" w:ascii="仿宋_GB2312" w:hAnsi="仿宋_GB2312" w:eastAsia="仿宋_GB2312" w:cs="仿宋_GB2312"/>
          <w:sz w:val="32"/>
          <w:szCs w:val="32"/>
        </w:rPr>
        <w:t>基础资料及文件，并对其完整性、正确性及时效性负责。乙方收到基础资料及文件后一个工作日内提出补正意见，逾期未提出的视为甲方提交材料齐全，由此产生的责任由乙方承担。</w:t>
      </w:r>
    </w:p>
    <w:p w14:paraId="0D6E6454">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4.甲方应按时支付乙方合同费用。</w:t>
      </w:r>
    </w:p>
    <w:p w14:paraId="7B1F4684">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（二）乙方权利义务</w:t>
      </w:r>
    </w:p>
    <w:p w14:paraId="09DC237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1.乙方及乙方实施本项目的工作人员应当具备相应的资质；若因乙方及其工作人员资质问题导致合同无法履行或给甲方造成不利影响的，乙方应承担甲方由此产生的全部损失。</w:t>
      </w:r>
    </w:p>
    <w:p w14:paraId="510B2E0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2.乙方应严格按照本合同约定的内容、时限要求向甲方交付</w:t>
      </w:r>
      <w:r>
        <w:rPr>
          <w:rFonts w:hint="eastAsia" w:ascii="仿宋_GB2312" w:hAnsi="仿宋_GB2312" w:eastAsia="仿宋_GB2312" w:cs="仿宋_GB2312"/>
          <w:sz w:val="32"/>
          <w:szCs w:val="32"/>
          <w:lang w:val="en-US" w:eastAsia="zh-CN"/>
        </w:rPr>
        <w:t>全部服务成果、</w:t>
      </w:r>
      <w:r>
        <w:rPr>
          <w:rFonts w:hint="eastAsia" w:ascii="仿宋_GB2312" w:hAnsi="仿宋_GB2312" w:eastAsia="仿宋_GB2312" w:cs="仿宋_GB2312"/>
          <w:sz w:val="32"/>
          <w:szCs w:val="32"/>
        </w:rPr>
        <w:t>项目总结报告</w:t>
      </w:r>
      <w:r>
        <w:rPr>
          <w:rFonts w:hint="eastAsia" w:ascii="仿宋_GB2312" w:hAnsi="仿宋_GB2312" w:eastAsia="仿宋_GB2312" w:cs="仿宋_GB2312"/>
          <w:sz w:val="32"/>
          <w:szCs w:val="32"/>
          <w:lang w:eastAsia="zh-CN"/>
        </w:rPr>
        <w:t>及验收材料</w:t>
      </w:r>
      <w:r>
        <w:rPr>
          <w:rFonts w:hint="eastAsia" w:ascii="仿宋_GB2312" w:hAnsi="仿宋_GB2312" w:eastAsia="仿宋_GB2312" w:cs="仿宋_GB2312"/>
          <w:sz w:val="32"/>
          <w:szCs w:val="32"/>
        </w:rPr>
        <w:t>，纸质版【1】份，电子版【形式】一份。</w:t>
      </w:r>
    </w:p>
    <w:p w14:paraId="2F1A5C3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Cs/>
          <w:sz w:val="32"/>
          <w:szCs w:val="32"/>
        </w:rPr>
        <w:t>乙</w:t>
      </w:r>
      <w:r>
        <w:rPr>
          <w:rFonts w:hint="eastAsia" w:ascii="仿宋_GB2312" w:hAnsi="仿宋_GB2312" w:eastAsia="仿宋_GB2312" w:cs="仿宋_GB2312"/>
          <w:sz w:val="32"/>
          <w:szCs w:val="32"/>
        </w:rPr>
        <w:t>方应按照甲方安排，自觉接受甲方和第三方对项目的实施质量、内容的评估和验收，并应对制作的项目作品出现的遗漏或错误在甲方要求的期限内整改。</w:t>
      </w:r>
    </w:p>
    <w:p w14:paraId="1BC185A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4.乙方项目经费管理使用应遵守相关财会制度，专款专用，保障项目顺利实施，并接受甲方、甲方委托的第三方以及财政、审计部门对项目实施过程的监督检查。</w:t>
      </w:r>
    </w:p>
    <w:p w14:paraId="4AC86B1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5.如在项目执行期间发生紧急情况，乙方有义务及时通知甲方并积极予以协助解决。</w:t>
      </w:r>
    </w:p>
    <w:p w14:paraId="1152051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6.乙方为完成承办项目/活动而采购、摆设的各种物品、搭设的各种构筑物必须稳固、安全，无潜在风险和隐患，并在本合同履行期间内承担维修、维护、管理责任,由此产生的一切不利后果由乙方承担。</w:t>
      </w:r>
    </w:p>
    <w:p w14:paraId="18B9B5A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7.在活动过程中，乙方应当做好相关的保护措施，保证参加活动人员的安全。 </w:t>
      </w:r>
      <w:bookmarkStart w:id="20" w:name="_GoBack"/>
      <w:bookmarkEnd w:id="20"/>
    </w:p>
    <w:p w14:paraId="40C8E8EF">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8.未经甲方同意，乙方不得将本合同项目部分或全部工作转让第三方承担。</w:t>
      </w:r>
    </w:p>
    <w:p w14:paraId="7970A6A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9.乙方负责按时支付有关服务人员的工资、五险一金及其他费用，乙方与服务人员之间的劳动及劳务合同</w:t>
      </w:r>
      <w:r>
        <w:rPr>
          <w:rFonts w:hint="eastAsia" w:ascii="仿宋_GB2312" w:hAnsi="仿宋_GB2312" w:eastAsia="仿宋_GB2312" w:cs="仿宋_GB2312"/>
          <w:sz w:val="32"/>
          <w:szCs w:val="32"/>
          <w:lang w:val="en-US" w:eastAsia="zh-CN"/>
        </w:rPr>
        <w:t>等任何</w:t>
      </w:r>
      <w:r>
        <w:rPr>
          <w:rFonts w:hint="eastAsia" w:ascii="仿宋_GB2312" w:hAnsi="仿宋_GB2312" w:eastAsia="仿宋_GB2312" w:cs="仿宋_GB2312"/>
          <w:sz w:val="32"/>
          <w:szCs w:val="32"/>
        </w:rPr>
        <w:t>纠纷</w:t>
      </w:r>
      <w:r>
        <w:rPr>
          <w:rFonts w:hint="eastAsia" w:ascii="仿宋_GB2312" w:hAnsi="仿宋_GB2312" w:eastAsia="仿宋_GB2312" w:cs="仿宋_GB2312"/>
          <w:sz w:val="32"/>
          <w:szCs w:val="32"/>
          <w:lang w:val="en-US" w:eastAsia="zh-CN"/>
        </w:rPr>
        <w:t>均由乙方负责解决，与甲方无关；甲方因此遭受损失的，乙方应予以赔偿</w:t>
      </w:r>
      <w:r>
        <w:rPr>
          <w:rFonts w:hint="eastAsia" w:ascii="仿宋_GB2312" w:hAnsi="仿宋_GB2312" w:eastAsia="仿宋_GB2312" w:cs="仿宋_GB2312"/>
          <w:sz w:val="32"/>
          <w:szCs w:val="32"/>
        </w:rPr>
        <w:t>。</w:t>
      </w:r>
    </w:p>
    <w:p w14:paraId="7100FA00">
      <w:pPr>
        <w:pStyle w:val="2"/>
        <w:keepNext w:val="0"/>
        <w:keepLines w:val="0"/>
        <w:pageBreakBefore w:val="0"/>
        <w:tabs>
          <w:tab w:val="left" w:pos="567"/>
        </w:tabs>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因乙方或乙方人员原因导致甲方、其他第三方或其自身受到损失的，由乙方承担全部责任，如由此给甲方造成损失的，乙方应予赔偿。</w:t>
      </w:r>
    </w:p>
    <w:p w14:paraId="490513E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第四条 保密制度</w:t>
      </w:r>
    </w:p>
    <w:p w14:paraId="7A81214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1.乙方应遵守甲方的保密制度，不得将从甲方</w:t>
      </w:r>
      <w:r>
        <w:rPr>
          <w:rFonts w:hint="eastAsia" w:ascii="仿宋_GB2312" w:hAnsi="仿宋_GB2312" w:eastAsia="仿宋_GB2312" w:cs="仿宋_GB2312"/>
          <w:sz w:val="32"/>
          <w:szCs w:val="32"/>
          <w:lang w:eastAsia="zh-CN"/>
        </w:rPr>
        <w:t>及服务对象</w:t>
      </w:r>
      <w:r>
        <w:rPr>
          <w:rFonts w:hint="eastAsia" w:ascii="仿宋_GB2312" w:hAnsi="仿宋_GB2312" w:eastAsia="仿宋_GB2312" w:cs="仿宋_GB2312"/>
          <w:sz w:val="32"/>
          <w:szCs w:val="32"/>
        </w:rPr>
        <w:t>处获取的一切文件、资料</w:t>
      </w:r>
      <w:r>
        <w:rPr>
          <w:rFonts w:hint="eastAsia" w:ascii="仿宋_GB2312" w:hAnsi="仿宋_GB2312" w:eastAsia="仿宋_GB2312" w:cs="仿宋_GB2312"/>
          <w:sz w:val="32"/>
          <w:szCs w:val="32"/>
          <w:lang w:val="en-US" w:eastAsia="zh-CN"/>
        </w:rPr>
        <w:t>及数据等</w:t>
      </w:r>
      <w:r>
        <w:rPr>
          <w:rFonts w:hint="eastAsia" w:ascii="仿宋_GB2312" w:hAnsi="仿宋_GB2312" w:eastAsia="仿宋_GB2312" w:cs="仿宋_GB2312"/>
          <w:sz w:val="32"/>
          <w:szCs w:val="32"/>
        </w:rPr>
        <w:t>信息等泄露给第三方</w:t>
      </w:r>
      <w:r>
        <w:rPr>
          <w:rFonts w:hint="eastAsia" w:ascii="仿宋_GB2312" w:hAnsi="仿宋_GB2312" w:eastAsia="仿宋_GB2312" w:cs="仿宋_GB2312"/>
          <w:sz w:val="32"/>
          <w:szCs w:val="32"/>
          <w:lang w:val="en-US" w:eastAsia="zh-CN"/>
        </w:rPr>
        <w:t>或以其他任何方式予以披露</w:t>
      </w:r>
      <w:r>
        <w:rPr>
          <w:rFonts w:hint="eastAsia" w:ascii="仿宋_GB2312" w:hAnsi="仿宋_GB2312" w:eastAsia="仿宋_GB2312" w:cs="仿宋_GB2312"/>
          <w:sz w:val="32"/>
          <w:szCs w:val="32"/>
        </w:rPr>
        <w:t>。</w:t>
      </w:r>
    </w:p>
    <w:p w14:paraId="2185F0E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乙方承诺只在该项目需要时使用上述信息资料</w:t>
      </w:r>
      <w:r>
        <w:rPr>
          <w:rFonts w:hint="eastAsia" w:ascii="仿宋_GB2312" w:hAnsi="仿宋_GB2312" w:eastAsia="仿宋_GB2312" w:cs="仿宋_GB2312"/>
          <w:sz w:val="32"/>
          <w:szCs w:val="32"/>
          <w:lang w:eastAsia="zh-CN"/>
        </w:rPr>
        <w:t>。</w:t>
      </w:r>
    </w:p>
    <w:p w14:paraId="0FE2333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乙方承诺在没有获得甲方事先书面同意之前，不得在任何时候以任何形式为本项目以外的目的使用上述信息资料。如需使用项目中的有关数据，需获得甲方授权，并符合法律法规有关规定。</w:t>
      </w:r>
    </w:p>
    <w:p w14:paraId="5B219E8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乙方的员工泄露甲方及</w:t>
      </w:r>
      <w:r>
        <w:rPr>
          <w:rFonts w:hint="eastAsia" w:ascii="仿宋_GB2312" w:hAnsi="仿宋_GB2312" w:eastAsia="仿宋_GB2312" w:cs="仿宋_GB2312"/>
          <w:sz w:val="32"/>
          <w:szCs w:val="32"/>
          <w:lang w:val="en-US" w:eastAsia="zh-CN"/>
        </w:rPr>
        <w:t>服务对象</w:t>
      </w:r>
      <w:r>
        <w:rPr>
          <w:rFonts w:hint="eastAsia" w:ascii="仿宋_GB2312" w:hAnsi="仿宋_GB2312" w:eastAsia="仿宋_GB2312" w:cs="仿宋_GB2312"/>
          <w:sz w:val="32"/>
          <w:szCs w:val="32"/>
        </w:rPr>
        <w:t>有关资料、内部业务信息或工作信息的行为，视为乙方违反合同，由乙方承担违约责任。乙方应与参与此项目的正式员工、实习生、志愿者等相关工作人员签订保密协议并向相关工作人员进行保密培训，严格约束工作人员不得泄露甲方及</w:t>
      </w:r>
      <w:r>
        <w:rPr>
          <w:rFonts w:hint="eastAsia" w:ascii="仿宋_GB2312" w:hAnsi="仿宋_GB2312" w:eastAsia="仿宋_GB2312" w:cs="仿宋_GB2312"/>
          <w:sz w:val="32"/>
          <w:szCs w:val="32"/>
          <w:lang w:val="en-US" w:eastAsia="zh-CN"/>
        </w:rPr>
        <w:t>服务对象</w:t>
      </w:r>
      <w:r>
        <w:rPr>
          <w:rFonts w:hint="eastAsia" w:ascii="仿宋_GB2312" w:hAnsi="仿宋_GB2312" w:eastAsia="仿宋_GB2312" w:cs="仿宋_GB2312"/>
          <w:sz w:val="32"/>
          <w:szCs w:val="32"/>
        </w:rPr>
        <w:t>有关资料、内部业务信息或工作信息。</w:t>
      </w:r>
    </w:p>
    <w:p w14:paraId="223CE88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5.保密期限为永久，本条保密义务</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val="en-US" w:eastAsia="zh-CN"/>
        </w:rPr>
        <w:t>终止、解除而无</w:t>
      </w:r>
      <w:r>
        <w:rPr>
          <w:rFonts w:hint="eastAsia" w:ascii="仿宋_GB2312" w:hAnsi="仿宋_GB2312" w:eastAsia="仿宋_GB2312" w:cs="仿宋_GB2312"/>
          <w:sz w:val="32"/>
          <w:szCs w:val="32"/>
        </w:rPr>
        <w:t>效。</w:t>
      </w:r>
    </w:p>
    <w:p w14:paraId="5B71290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第五条 知识产权约定</w:t>
      </w:r>
    </w:p>
    <w:p w14:paraId="57E2358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1.在本合同项目实施过程中，乙方</w:t>
      </w:r>
      <w:r>
        <w:rPr>
          <w:rFonts w:hint="eastAsia" w:ascii="仿宋_GB2312" w:hAnsi="仿宋_GB2312" w:eastAsia="仿宋_GB2312" w:cs="仿宋_GB2312"/>
          <w:sz w:val="32"/>
          <w:szCs w:val="32"/>
          <w:lang w:val="en-US" w:eastAsia="zh-CN"/>
        </w:rPr>
        <w:t>在项目实施前已拥有的</w:t>
      </w:r>
      <w:r>
        <w:rPr>
          <w:rFonts w:hint="eastAsia" w:ascii="仿宋_GB2312" w:hAnsi="仿宋_GB2312" w:eastAsia="仿宋_GB2312" w:cs="仿宋_GB2312"/>
          <w:sz w:val="32"/>
          <w:szCs w:val="32"/>
        </w:rPr>
        <w:t>原始资料的版权归乙方所有；</w:t>
      </w:r>
      <w:r>
        <w:rPr>
          <w:rFonts w:hint="eastAsia" w:ascii="仿宋_GB2312" w:hAnsi="仿宋_GB2312" w:eastAsia="仿宋_GB2312" w:cs="仿宋_GB2312"/>
          <w:sz w:val="32"/>
          <w:szCs w:val="32"/>
          <w:lang w:val="en-US" w:eastAsia="zh-CN"/>
        </w:rPr>
        <w:t>本项目全部服务</w:t>
      </w:r>
      <w:r>
        <w:rPr>
          <w:rFonts w:hint="eastAsia" w:ascii="仿宋_GB2312" w:hAnsi="仿宋_GB2312" w:eastAsia="仿宋_GB2312" w:cs="仿宋_GB2312"/>
          <w:sz w:val="32"/>
          <w:szCs w:val="32"/>
        </w:rPr>
        <w:t>成果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包括但不限于报告、档案、影像、数据、设计方案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甲方提供的基础资料、素材以及乙方完成项目过程中从甲方处获取的全部资料</w:t>
      </w:r>
      <w:r>
        <w:rPr>
          <w:rFonts w:hint="eastAsia" w:ascii="仿宋_GB2312" w:hAnsi="仿宋_GB2312" w:eastAsia="仿宋_GB2312" w:cs="仿宋_GB2312"/>
          <w:sz w:val="32"/>
          <w:szCs w:val="32"/>
          <w:lang w:val="en-US" w:eastAsia="zh-CN"/>
        </w:rPr>
        <w:t>的知识产</w:t>
      </w:r>
      <w:r>
        <w:rPr>
          <w:rFonts w:hint="eastAsia" w:ascii="仿宋_GB2312" w:hAnsi="仿宋_GB2312" w:eastAsia="仿宋_GB2312" w:cs="仿宋_GB2312"/>
          <w:sz w:val="32"/>
          <w:szCs w:val="32"/>
        </w:rPr>
        <w:t>权</w:t>
      </w:r>
      <w:r>
        <w:rPr>
          <w:rFonts w:hint="eastAsia" w:ascii="仿宋_GB2312" w:hAnsi="仿宋_GB2312" w:eastAsia="仿宋_GB2312" w:cs="仿宋_GB2312"/>
          <w:sz w:val="32"/>
          <w:szCs w:val="32"/>
          <w:lang w:val="en-US" w:eastAsia="zh-CN"/>
        </w:rPr>
        <w:t>均</w:t>
      </w:r>
      <w:r>
        <w:rPr>
          <w:rFonts w:hint="eastAsia" w:ascii="仿宋_GB2312" w:hAnsi="仿宋_GB2312" w:eastAsia="仿宋_GB2312" w:cs="仿宋_GB2312"/>
          <w:sz w:val="32"/>
          <w:szCs w:val="32"/>
        </w:rPr>
        <w:t>归甲方所有。</w:t>
      </w:r>
    </w:p>
    <w:p w14:paraId="511E3C2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甲、乙双方均负有对其所提供资料的瑕疵担保义务。乙方保证其成果未抄袭或剽窃第三方的作品，不侵害第三方的合法权利，不存在法律纠纷，未违反知识产权法律的相关规定。若甲方因此与第三方产生纠纷，由乙方负责处理并承担全部费用。</w:t>
      </w:r>
    </w:p>
    <w:p w14:paraId="391CE46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3.甲、乙双方均应保护对方的知识产权，未经对方同意，任何一方均不得对对方的资料及文件擅自修改、复制、进行网络传播、售卖、向第三人转让或用于本合同项目外的</w:t>
      </w:r>
      <w:r>
        <w:rPr>
          <w:rFonts w:hint="eastAsia" w:ascii="仿宋_GB2312" w:hAnsi="仿宋_GB2312" w:eastAsia="仿宋_GB2312" w:cs="仿宋_GB2312"/>
          <w:sz w:val="32"/>
          <w:szCs w:val="32"/>
          <w:lang w:val="en-US" w:eastAsia="zh-CN"/>
        </w:rPr>
        <w:t>目的</w:t>
      </w:r>
      <w:r>
        <w:rPr>
          <w:rFonts w:hint="eastAsia" w:ascii="仿宋_GB2312" w:hAnsi="仿宋_GB2312" w:eastAsia="仿宋_GB2312" w:cs="仿宋_GB2312"/>
          <w:sz w:val="32"/>
          <w:szCs w:val="32"/>
        </w:rPr>
        <w:t>。如发生以上情况，泄密方须承担一切由此引起的连带后果并承担赔偿责任。</w:t>
      </w:r>
    </w:p>
    <w:p w14:paraId="727BDC58">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第六条 合同费用</w:t>
      </w:r>
    </w:p>
    <w:p w14:paraId="7A2CDEC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甲方按以下方式支付合同费用：</w:t>
      </w:r>
    </w:p>
    <w:p w14:paraId="0546A5D1">
      <w:pPr>
        <w:keepNext w:val="0"/>
        <w:keepLines w:val="0"/>
        <w:pageBreakBefore w:val="0"/>
        <w:numPr>
          <w:ilvl w:val="-1"/>
          <w:numId w:val="0"/>
        </w:numPr>
        <w:kinsoku/>
        <w:wordWrap/>
        <w:overflowPunct/>
        <w:topLinePunct w:val="0"/>
        <w:autoSpaceDE/>
        <w:autoSpaceDN/>
        <w:bidi w:val="0"/>
        <w:adjustRightInd/>
        <w:spacing w:before="120" w:beforeLines="5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本合同总额（含税）为：人民币</w:t>
      </w:r>
      <w:r>
        <w:rPr>
          <w:rFonts w:hint="eastAsia" w:ascii="仿宋_GB2312" w:hAnsi="仿宋_GB2312" w:eastAsia="仿宋_GB2312" w:cs="仿宋_GB2312"/>
          <w:sz w:val="32"/>
          <w:szCs w:val="32"/>
          <w:u w:val="single"/>
        </w:rPr>
        <w:t>：1,288,329.76元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lang w:val="en-US" w:eastAsia="zh-CN"/>
        </w:rPr>
        <w:t>壹佰贰拾捌万捌仟叁佰贰拾玖元柒角陆分</w:t>
      </w:r>
      <w:r>
        <w:rPr>
          <w:rFonts w:hint="eastAsia" w:ascii="仿宋_GB2312" w:hAnsi="仿宋_GB2312" w:eastAsia="仿宋_GB2312" w:cs="仿宋_GB2312"/>
          <w:sz w:val="32"/>
          <w:szCs w:val="32"/>
        </w:rPr>
        <w:t>。已包括本</w:t>
      </w:r>
      <w:r>
        <w:rPr>
          <w:rFonts w:hint="eastAsia"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rPr>
        <w:t>约定</w:t>
      </w:r>
      <w:r>
        <w:rPr>
          <w:rFonts w:hint="eastAsia" w:ascii="仿宋_GB2312" w:hAnsi="仿宋_GB2312" w:eastAsia="仿宋_GB2312" w:cs="仿宋_GB2312"/>
          <w:sz w:val="32"/>
          <w:szCs w:val="32"/>
          <w:lang w:val="en-US" w:eastAsia="zh-CN"/>
        </w:rPr>
        <w:t>全部</w:t>
      </w:r>
      <w:r>
        <w:rPr>
          <w:rFonts w:hint="eastAsia" w:ascii="仿宋_GB2312" w:hAnsi="仿宋_GB2312" w:eastAsia="仿宋_GB2312" w:cs="仿宋_GB2312"/>
          <w:sz w:val="32"/>
          <w:szCs w:val="32"/>
        </w:rPr>
        <w:t>内容</w:t>
      </w:r>
      <w:r>
        <w:rPr>
          <w:rFonts w:hint="eastAsia" w:ascii="仿宋_GB2312" w:hAnsi="仿宋_GB2312" w:eastAsia="仿宋_GB2312" w:cs="仿宋_GB2312"/>
          <w:sz w:val="32"/>
          <w:szCs w:val="32"/>
          <w:lang w:val="en-US" w:eastAsia="zh-CN"/>
        </w:rPr>
        <w:t>所需的一切费用</w:t>
      </w:r>
      <w:r>
        <w:rPr>
          <w:rFonts w:hint="eastAsia" w:ascii="仿宋_GB2312" w:hAnsi="仿宋_GB2312" w:eastAsia="仿宋_GB2312" w:cs="仿宋_GB2312"/>
          <w:sz w:val="32"/>
          <w:szCs w:val="32"/>
        </w:rPr>
        <w:t>。</w:t>
      </w:r>
    </w:p>
    <w:p w14:paraId="7EDE275A">
      <w:pPr>
        <w:keepNext w:val="0"/>
        <w:keepLines w:val="0"/>
        <w:pageBreakBefore w:val="0"/>
        <w:numPr>
          <w:ilvl w:val="-1"/>
          <w:numId w:val="0"/>
        </w:numPr>
        <w:kinsoku/>
        <w:wordWrap/>
        <w:overflowPunct/>
        <w:topLinePunct w:val="0"/>
        <w:autoSpaceDE/>
        <w:autoSpaceDN/>
        <w:bidi w:val="0"/>
        <w:adjustRightInd/>
        <w:spacing w:before="120" w:beforeLines="5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2.合同费用由甲方分两次支付给乙</w:t>
      </w:r>
      <w:r>
        <w:rPr>
          <w:rFonts w:hint="eastAsia" w:ascii="仿宋_GB2312" w:hAnsi="仿宋_GB2312" w:eastAsia="仿宋_GB2312" w:cs="仿宋_GB2312"/>
          <w:sz w:val="32"/>
          <w:szCs w:val="32"/>
          <w:highlight w:val="none"/>
          <w:lang w:val="en-US" w:eastAsia="zh-CN"/>
        </w:rPr>
        <w:t>方。</w:t>
      </w:r>
      <w:r>
        <w:rPr>
          <w:rFonts w:hint="eastAsia" w:ascii="仿宋_GB2312" w:hAnsi="仿宋_GB2312" w:eastAsia="仿宋_GB2312" w:cs="仿宋_GB2312"/>
          <w:sz w:val="32"/>
          <w:szCs w:val="32"/>
          <w:highlight w:val="none"/>
        </w:rPr>
        <w:t>合同签订后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个工作日内，甲方向乙方支</w:t>
      </w:r>
      <w:r>
        <w:rPr>
          <w:rFonts w:hint="eastAsia" w:ascii="仿宋_GB2312" w:hAnsi="仿宋_GB2312" w:eastAsia="仿宋_GB2312" w:cs="仿宋_GB2312"/>
          <w:sz w:val="32"/>
          <w:szCs w:val="32"/>
          <w:highlight w:val="none"/>
        </w:rPr>
        <w:t>付</w:t>
      </w:r>
      <w:r>
        <w:rPr>
          <w:rFonts w:hint="eastAsia" w:ascii="仿宋_GB2312" w:hAnsi="仿宋_GB2312" w:eastAsia="仿宋_GB2312" w:cs="仿宋_GB2312"/>
          <w:sz w:val="32"/>
          <w:szCs w:val="32"/>
          <w:highlight w:val="none"/>
          <w:lang w:val="en-US" w:eastAsia="zh-CN"/>
        </w:rPr>
        <w:t>合同费用的70</w:t>
      </w:r>
      <w:r>
        <w:rPr>
          <w:rFonts w:hint="eastAsia" w:ascii="仿宋_GB2312" w:hAnsi="仿宋_GB2312" w:eastAsia="仿宋_GB2312" w:cs="仿宋_GB2312"/>
          <w:sz w:val="32"/>
          <w:szCs w:val="32"/>
          <w:highlight w:val="none"/>
        </w:rPr>
        <w:t>%，即人民币</w:t>
      </w:r>
      <w:r>
        <w:rPr>
          <w:rFonts w:hint="eastAsia" w:ascii="仿宋_GB2312" w:hAnsi="仿宋_GB2312" w:eastAsia="仿宋_GB2312" w:cs="仿宋_GB2312"/>
          <w:sz w:val="32"/>
          <w:szCs w:val="32"/>
          <w:u w:val="none"/>
        </w:rPr>
        <w:t>901</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830.83</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lang w:val="en-US" w:eastAsia="zh-CN"/>
        </w:rPr>
        <w:t>玖拾万壹仟捌佰叁拾元捌角叁分</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乙方完成所有服务项目且提交甲方要求的全部成果文件及验收材料并经甲方验收合格后【10】个工作日内，甲方向乙方支</w:t>
      </w:r>
      <w:r>
        <w:rPr>
          <w:rFonts w:hint="eastAsia" w:ascii="仿宋_GB2312" w:hAnsi="仿宋_GB2312" w:eastAsia="仿宋_GB2312" w:cs="仿宋_GB2312"/>
          <w:sz w:val="32"/>
          <w:szCs w:val="32"/>
          <w:highlight w:val="none"/>
        </w:rPr>
        <w:t>付剩余</w:t>
      </w:r>
      <w:r>
        <w:rPr>
          <w:rFonts w:hint="eastAsia" w:ascii="仿宋_GB2312" w:hAnsi="仿宋_GB2312" w:eastAsia="仿宋_GB2312" w:cs="仿宋_GB2312"/>
          <w:sz w:val="32"/>
          <w:szCs w:val="32"/>
          <w:highlight w:val="none"/>
          <w:lang w:val="en-US" w:eastAsia="zh-CN"/>
        </w:rPr>
        <w:t>款项：合同费用的3</w:t>
      </w:r>
      <w:r>
        <w:rPr>
          <w:rFonts w:hint="eastAsia" w:ascii="仿宋_GB2312" w:hAnsi="仿宋_GB2312" w:eastAsia="仿宋_GB2312" w:cs="仿宋_GB2312"/>
          <w:sz w:val="32"/>
          <w:szCs w:val="32"/>
          <w:highlight w:val="none"/>
        </w:rPr>
        <w:t>0%，即</w:t>
      </w:r>
      <w:r>
        <w:rPr>
          <w:rFonts w:hint="eastAsia" w:ascii="仿宋_GB2312" w:hAnsi="仿宋_GB2312" w:eastAsia="仿宋_GB2312" w:cs="仿宋_GB2312"/>
          <w:sz w:val="32"/>
          <w:szCs w:val="32"/>
          <w:highlight w:val="none"/>
          <w:lang w:val="en-US" w:eastAsia="zh-CN"/>
        </w:rPr>
        <w:t>人民币</w:t>
      </w:r>
      <w:r>
        <w:rPr>
          <w:rFonts w:hint="eastAsia" w:ascii="仿宋_GB2312" w:hAnsi="仿宋_GB2312" w:eastAsia="仿宋_GB2312" w:cs="仿宋_GB2312"/>
          <w:sz w:val="32"/>
          <w:szCs w:val="32"/>
          <w:u w:val="none"/>
        </w:rPr>
        <w:t>386</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498.93</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lang w:val="en-US" w:eastAsia="zh-CN"/>
        </w:rPr>
        <w:t>叁拾捌万陆仟肆佰玖拾捌元玖角叁分</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w:t>
      </w:r>
    </w:p>
    <w:p w14:paraId="46110156">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乙方应</w:t>
      </w:r>
      <w:r>
        <w:rPr>
          <w:rFonts w:hint="eastAsia" w:ascii="仿宋_GB2312" w:hAnsi="仿宋_GB2312" w:eastAsia="仿宋_GB2312" w:cs="仿宋_GB2312"/>
          <w:sz w:val="32"/>
          <w:szCs w:val="32"/>
          <w:lang w:val="en-US" w:eastAsia="zh-CN"/>
        </w:rPr>
        <w:t>在甲方付款前</w:t>
      </w:r>
      <w:r>
        <w:rPr>
          <w:rFonts w:hint="eastAsia" w:ascii="仿宋_GB2312" w:hAnsi="仿宋_GB2312" w:eastAsia="仿宋_GB2312" w:cs="仿宋_GB2312"/>
          <w:sz w:val="32"/>
          <w:szCs w:val="32"/>
        </w:rPr>
        <w:t>向甲方提供等额有效的正式发票，否则，甲方有权拒绝支付且不承担违约责任。</w:t>
      </w:r>
    </w:p>
    <w:p w14:paraId="4CF2B30A">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甲方如遇财政预算或国库封账等原因导致无法按期付款的，甲方有权迟延付款且不承担任何违约责任。</w:t>
      </w:r>
    </w:p>
    <w:p w14:paraId="77032B00">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.乙方账户信息：</w:t>
      </w:r>
    </w:p>
    <w:p w14:paraId="2C6D3065">
      <w:pPr>
        <w:keepNext w:val="0"/>
        <w:keepLines w:val="0"/>
        <w:pageBreakBefore w:val="0"/>
        <w:kinsoku/>
        <w:wordWrap/>
        <w:overflowPunct/>
        <w:topLinePunct w:val="0"/>
        <w:autoSpaceDE/>
        <w:autoSpaceDN/>
        <w:bidi w:val="0"/>
        <w:adjustRightInd/>
        <w:spacing w:line="54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收款单位：</w:t>
      </w:r>
      <w:r>
        <w:rPr>
          <w:rFonts w:hint="eastAsia" w:ascii="仿宋_GB2312" w:hAnsi="仿宋_GB2312" w:eastAsia="仿宋_GB2312" w:cs="仿宋_GB2312"/>
          <w:sz w:val="32"/>
          <w:szCs w:val="32"/>
          <w:lang w:val="en-US" w:eastAsia="zh-CN"/>
        </w:rPr>
        <w:t>北京市海淀睿搏社会工作事务所</w:t>
      </w:r>
    </w:p>
    <w:p w14:paraId="6BDD0CF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r>
        <w:rPr>
          <w:rFonts w:hint="eastAsia" w:ascii="仿宋_GB2312" w:hAnsi="仿宋_GB2312" w:eastAsia="仿宋_GB2312" w:cs="仿宋_GB2312"/>
          <w:sz w:val="32"/>
          <w:szCs w:val="32"/>
          <w:lang w:val="en-US" w:eastAsia="zh-CN"/>
        </w:rPr>
        <w:t>工行翠微路支行营业室</w:t>
      </w:r>
    </w:p>
    <w:p w14:paraId="7D33EFAA">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r>
        <w:rPr>
          <w:rFonts w:hint="eastAsia" w:ascii="仿宋_GB2312" w:hAnsi="仿宋_GB2312" w:eastAsia="仿宋_GB2312" w:cs="仿宋_GB2312"/>
          <w:sz w:val="32"/>
          <w:szCs w:val="32"/>
          <w:lang w:val="en-US" w:eastAsia="zh-CN"/>
        </w:rPr>
        <w:t>0200080909200163494</w:t>
      </w:r>
    </w:p>
    <w:p w14:paraId="45AEDAE7">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乙方保证上述信息真实、准确，乙方的上述账户信息发生变化的，应至少于甲方付款【3】个工作日前书面通知甲方，否则由此导致的错付、无法支付等所有后果均由乙方自行承担。</w:t>
      </w:r>
    </w:p>
    <w:p w14:paraId="0ABE026C">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第七条 不可抗力</w:t>
      </w:r>
    </w:p>
    <w:p w14:paraId="42469E6A">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rPr>
        <w:t>所述“不可抗力”，是指战争、自然灾害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政策变更</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rPr>
        <w:t>双方无法预见、无法避免及无法克服的事件。</w:t>
      </w:r>
    </w:p>
    <w:p w14:paraId="2F3B4E24">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2.甲</w:t>
      </w:r>
      <w:r>
        <w:rPr>
          <w:rFonts w:hint="eastAsia" w:ascii="仿宋_GB2312" w:hAnsi="仿宋_GB2312" w:eastAsia="仿宋_GB2312" w:cs="仿宋_GB2312"/>
          <w:sz w:val="32"/>
          <w:szCs w:val="32"/>
        </w:rPr>
        <w:t>乙双方中任何一方因不可抗力无法履行本合同时，根据不可抗力的影响，部分或全部免除责任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当事人迟延履行后发生不可抗力的，不能免除责任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发生不可抗力的一方应</w:t>
      </w:r>
      <w:r>
        <w:rPr>
          <w:rFonts w:hint="eastAsia" w:ascii="仿宋_GB2312" w:hAnsi="仿宋_GB2312" w:eastAsia="仿宋_GB2312" w:cs="仿宋_GB2312"/>
          <w:sz w:val="32"/>
          <w:szCs w:val="32"/>
          <w:lang w:val="en-US" w:eastAsia="zh-CN"/>
        </w:rPr>
        <w:t>以最快的速度通知对方并</w:t>
      </w:r>
      <w:r>
        <w:rPr>
          <w:rFonts w:hint="eastAsia" w:ascii="仿宋_GB2312" w:hAnsi="仿宋_GB2312" w:eastAsia="仿宋_GB2312" w:cs="仿宋_GB2312"/>
          <w:sz w:val="32"/>
          <w:szCs w:val="32"/>
        </w:rPr>
        <w:t>出具</w:t>
      </w:r>
      <w:r>
        <w:rPr>
          <w:rFonts w:hint="eastAsia" w:ascii="仿宋_GB2312" w:hAnsi="仿宋_GB2312" w:eastAsia="仿宋_GB2312" w:cs="仿宋_GB2312"/>
          <w:sz w:val="32"/>
          <w:szCs w:val="32"/>
          <w:lang w:val="en-US" w:eastAsia="zh-CN"/>
        </w:rPr>
        <w:t>有关部门的</w:t>
      </w:r>
      <w:r>
        <w:rPr>
          <w:rFonts w:hint="eastAsia" w:ascii="仿宋_GB2312" w:hAnsi="仿宋_GB2312" w:eastAsia="仿宋_GB2312" w:cs="仿宋_GB2312"/>
          <w:sz w:val="32"/>
          <w:szCs w:val="32"/>
        </w:rPr>
        <w:t>证明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遭受不可抗力的一方应及时采取措施，防止对方损失扩大，否则</w:t>
      </w:r>
      <w:r>
        <w:rPr>
          <w:rFonts w:hint="eastAsia" w:ascii="仿宋_GB2312" w:hAnsi="仿宋_GB2312" w:eastAsia="仿宋_GB2312" w:cs="仿宋_GB2312"/>
          <w:sz w:val="32"/>
          <w:szCs w:val="32"/>
        </w:rPr>
        <w:t>对损失</w:t>
      </w:r>
      <w:r>
        <w:rPr>
          <w:rFonts w:hint="eastAsia" w:ascii="仿宋_GB2312" w:hAnsi="仿宋_GB2312" w:eastAsia="仿宋_GB2312" w:cs="仿宋_GB2312"/>
          <w:sz w:val="32"/>
          <w:szCs w:val="32"/>
          <w:lang w:val="en-US" w:eastAsia="zh-CN"/>
        </w:rPr>
        <w:t>扩大的部分</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val="en-US" w:eastAsia="zh-CN"/>
        </w:rPr>
        <w:t>赔偿</w:t>
      </w:r>
      <w:r>
        <w:rPr>
          <w:rFonts w:hint="eastAsia" w:ascii="仿宋_GB2312" w:hAnsi="仿宋_GB2312" w:eastAsia="仿宋_GB2312" w:cs="仿宋_GB2312"/>
          <w:sz w:val="32"/>
          <w:szCs w:val="32"/>
        </w:rPr>
        <w:t>责任。</w:t>
      </w:r>
    </w:p>
    <w:p w14:paraId="1BF0B513">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ar"/>
        </w:rPr>
        <w:t>3.不可抗力事件导致合同目的无法实现的，</w:t>
      </w:r>
      <w:r>
        <w:rPr>
          <w:rFonts w:hint="eastAsia" w:ascii="仿宋_GB2312" w:hAnsi="仿宋_GB2312" w:eastAsia="仿宋_GB2312" w:cs="仿宋_GB2312"/>
          <w:sz w:val="32"/>
          <w:szCs w:val="32"/>
        </w:rPr>
        <w:t>双方</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rPr>
        <w:t>协商解</w:t>
      </w:r>
      <w:r>
        <w:rPr>
          <w:rFonts w:hint="eastAsia" w:ascii="仿宋_GB2312" w:hAnsi="仿宋_GB2312" w:eastAsia="仿宋_GB2312" w:cs="仿宋_GB2312"/>
          <w:sz w:val="32"/>
          <w:szCs w:val="32"/>
          <w:lang w:val="en-US" w:eastAsia="zh-CN"/>
        </w:rPr>
        <w:t>除合同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互不承担违约赔偿责任，</w:t>
      </w:r>
      <w:r>
        <w:rPr>
          <w:rFonts w:hint="eastAsia" w:ascii="仿宋_GB2312" w:hAnsi="仿宋_GB2312" w:eastAsia="仿宋_GB2312" w:cs="仿宋_GB2312"/>
          <w:color w:val="auto"/>
          <w:kern w:val="2"/>
          <w:sz w:val="32"/>
          <w:szCs w:val="32"/>
          <w:lang w:val="en-US" w:eastAsia="zh-CN" w:bidi="ar"/>
        </w:rPr>
        <w:t>甲方仅就乙方在不可抗力发生前已完成并经甲方确认的实际工作量结算相应费用</w:t>
      </w:r>
      <w:r>
        <w:rPr>
          <w:rFonts w:hint="eastAsia" w:ascii="仿宋_GB2312" w:hAnsi="仿宋_GB2312" w:eastAsia="仿宋_GB2312" w:cs="仿宋_GB2312"/>
          <w:sz w:val="32"/>
          <w:szCs w:val="32"/>
        </w:rPr>
        <w:t>，除此之外不再支付任何费用。</w:t>
      </w:r>
    </w:p>
    <w:p w14:paraId="4FFDE039">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第八条 违约责任</w:t>
      </w:r>
    </w:p>
    <w:p w14:paraId="6CBC125A">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rPr>
        <w:t>在本合同约定的项目周期内完成</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的，每逾期一日，应当支付合同总费用【1】%的违约金；逾期超过【20】日的，甲方有权单方解除本合同，乙方应向甲方支付合同总费用【20】%的违约金，并就甲方的损失承担赔偿责任。</w:t>
      </w:r>
    </w:p>
    <w:p w14:paraId="749FC6D9">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2.乙方应对项目实施过程中出现的遗漏或错误负责补充或修改，由于乙方工作错误造成甲方损失的，乙方应</w:t>
      </w:r>
      <w:r>
        <w:rPr>
          <w:rFonts w:hint="eastAsia" w:ascii="仿宋_GB2312" w:hAnsi="仿宋_GB2312" w:eastAsia="仿宋_GB2312" w:cs="仿宋_GB2312"/>
          <w:sz w:val="32"/>
          <w:szCs w:val="32"/>
          <w:lang w:val="en-US" w:eastAsia="zh-CN"/>
        </w:rPr>
        <w:t>立即</w:t>
      </w:r>
      <w:r>
        <w:rPr>
          <w:rFonts w:hint="eastAsia" w:ascii="仿宋_GB2312" w:hAnsi="仿宋_GB2312" w:eastAsia="仿宋_GB2312" w:cs="仿宋_GB2312"/>
          <w:sz w:val="32"/>
          <w:szCs w:val="32"/>
        </w:rPr>
        <w:t>采取补救措施，导致合同无法履行或经两次以上（不含两次）整改工作仍未通过甲方评审、验收要求的，甲方有权解除合同，乙方应向甲方支付合同总费用【20】%的违约金，并就甲方的损失承担赔偿责任。</w:t>
      </w:r>
    </w:p>
    <w:p w14:paraId="18AB6AE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乙方因需要改进工作而未在项目周期内按时完成工作的，其责任按照本条第1款的规定予以处理。</w:t>
      </w:r>
    </w:p>
    <w:p w14:paraId="2A67BB7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3.未经甲方同意，乙方将本合同项目部分或全部工作转让第三方承担的，甲方有权解除本合同，乙方应向甲方支付合同总费用【20】%的违约金，并就甲方的损失承担赔偿责任。</w:t>
      </w:r>
    </w:p>
    <w:p w14:paraId="01546A36">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4.若乙方服务能力或资质丧失，致使合同无法履行或者给甲方履行本合同带来不利影响的，甲方有权解除本合同，乙方应向甲方支付合同总费用【20】%的违约金，并就甲方的损失承担赔偿责任。</w:t>
      </w:r>
    </w:p>
    <w:p w14:paraId="234909B2">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5.乙方有违反上述知识产权和保密义务的行为，甲方有权</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立即</w:t>
      </w:r>
      <w:r>
        <w:rPr>
          <w:rFonts w:hint="eastAsia" w:ascii="仿宋_GB2312" w:hAnsi="仿宋_GB2312" w:eastAsia="仿宋_GB2312" w:cs="仿宋_GB2312"/>
          <w:sz w:val="32"/>
          <w:szCs w:val="32"/>
        </w:rPr>
        <w:t>停止侵权行为，要求乙方承担本合同总金额20%的违约金，由此给甲方造成的损失，甲方有权要求乙方赔偿。</w:t>
      </w:r>
    </w:p>
    <w:p w14:paraId="4BC003A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6.如果乙方违反本合同约定其他义务的，甲方</w:t>
      </w:r>
      <w:r>
        <w:rPr>
          <w:rFonts w:hint="eastAsia" w:ascii="仿宋_GB2312" w:hAnsi="仿宋_GB2312" w:eastAsia="仿宋_GB2312" w:cs="仿宋_GB2312"/>
          <w:sz w:val="32"/>
          <w:szCs w:val="32"/>
          <w:lang w:val="en-US" w:eastAsia="zh-CN"/>
        </w:rPr>
        <w:t>予以</w:t>
      </w:r>
      <w:r>
        <w:rPr>
          <w:rFonts w:hint="eastAsia" w:ascii="仿宋_GB2312" w:hAnsi="仿宋_GB2312" w:eastAsia="仿宋_GB2312" w:cs="仿宋_GB2312"/>
          <w:sz w:val="32"/>
          <w:szCs w:val="32"/>
        </w:rPr>
        <w:t>警告并</w:t>
      </w:r>
      <w:r>
        <w:rPr>
          <w:rFonts w:hint="eastAsia" w:ascii="仿宋_GB2312" w:hAnsi="仿宋_GB2312" w:eastAsia="仿宋_GB2312" w:cs="仿宋_GB2312"/>
          <w:sz w:val="32"/>
          <w:szCs w:val="32"/>
          <w:lang w:val="en-US" w:eastAsia="zh-CN"/>
        </w:rPr>
        <w:t>督促</w:t>
      </w:r>
      <w:r>
        <w:rPr>
          <w:rFonts w:hint="eastAsia" w:ascii="仿宋_GB2312" w:hAnsi="仿宋_GB2312" w:eastAsia="仿宋_GB2312" w:cs="仿宋_GB2312"/>
          <w:sz w:val="32"/>
          <w:szCs w:val="32"/>
        </w:rPr>
        <w:t>其改正，每出现一次，应按照合同总费用的【5】%支付违约金；超过三次的（不含三次），甲方有权解除本合同，乙方应向甲方支付合同总费用【20】%的违约金，并就甲方的损失承担赔偿责任。</w:t>
      </w:r>
    </w:p>
    <w:p w14:paraId="5D7F7E14">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7.本合同因乙方违约而提前解除的，</w:t>
      </w:r>
      <w:r>
        <w:rPr>
          <w:rFonts w:hint="eastAsia" w:ascii="仿宋_GB2312" w:hAnsi="仿宋_GB2312" w:eastAsia="仿宋_GB2312" w:cs="仿宋_GB2312"/>
          <w:sz w:val="32"/>
          <w:szCs w:val="32"/>
          <w:lang w:val="en-US" w:eastAsia="zh-CN"/>
        </w:rPr>
        <w:t>双方应按实际</w:t>
      </w:r>
      <w:r>
        <w:rPr>
          <w:rFonts w:hint="eastAsia" w:ascii="仿宋_GB2312" w:hAnsi="仿宋_GB2312" w:eastAsia="仿宋_GB2312" w:cs="仿宋_GB2312"/>
          <w:sz w:val="32"/>
          <w:szCs w:val="32"/>
        </w:rPr>
        <w:t>工作量</w:t>
      </w:r>
      <w:r>
        <w:rPr>
          <w:rFonts w:hint="eastAsia" w:ascii="仿宋_GB2312" w:hAnsi="仿宋_GB2312" w:eastAsia="仿宋_GB2312" w:cs="仿宋_GB2312"/>
          <w:sz w:val="32"/>
          <w:szCs w:val="32"/>
          <w:lang w:val="en-US" w:eastAsia="zh-CN"/>
        </w:rPr>
        <w:t>进行结算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甲方已向乙方支付费用的，经结算后如有剩余，</w:t>
      </w:r>
      <w:r>
        <w:rPr>
          <w:rFonts w:hint="eastAsia" w:ascii="仿宋_GB2312" w:hAnsi="仿宋_GB2312" w:eastAsia="仿宋_GB2312" w:cs="仿宋_GB2312"/>
          <w:sz w:val="32"/>
          <w:szCs w:val="32"/>
        </w:rPr>
        <w:t>乙方应在合同解除后【30】日归还甲方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并向甲方承担由此造成的违约责任。</w:t>
      </w:r>
    </w:p>
    <w:p w14:paraId="0B542A1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第九条 合同变更、终止</w:t>
      </w:r>
    </w:p>
    <w:p w14:paraId="5345E069">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1.合同履行过程中，如需变更合同条款，应由甲、乙两方共同协商，签订补充</w:t>
      </w:r>
      <w:r>
        <w:rPr>
          <w:rFonts w:hint="eastAsia" w:ascii="仿宋_GB2312" w:hAnsi="仿宋_GB2312" w:eastAsia="仿宋_GB2312" w:cs="仿宋_GB2312"/>
          <w:sz w:val="32"/>
          <w:szCs w:val="32"/>
          <w:lang w:val="en-US" w:eastAsia="zh-CN"/>
        </w:rPr>
        <w:t>协议</w:t>
      </w:r>
      <w:r>
        <w:rPr>
          <w:rFonts w:hint="eastAsia" w:ascii="仿宋_GB2312" w:hAnsi="仿宋_GB2312" w:eastAsia="仿宋_GB2312" w:cs="仿宋_GB2312"/>
          <w:sz w:val="32"/>
          <w:szCs w:val="32"/>
        </w:rPr>
        <w:t>。</w:t>
      </w:r>
    </w:p>
    <w:p w14:paraId="5BAB2617">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2.合同履行中，若甲方因为工作安排需要提前终止合同的，应提前书面</w:t>
      </w:r>
      <w:r>
        <w:rPr>
          <w:rFonts w:hint="eastAsia" w:ascii="仿宋_GB2312" w:hAnsi="仿宋_GB2312" w:eastAsia="仿宋_GB2312" w:cs="仿宋_GB2312"/>
          <w:sz w:val="32"/>
          <w:szCs w:val="32"/>
          <w:lang w:val="en-US" w:eastAsia="zh-CN"/>
        </w:rPr>
        <w:t>通</w:t>
      </w:r>
      <w:r>
        <w:rPr>
          <w:rFonts w:hint="eastAsia" w:ascii="仿宋_GB2312" w:hAnsi="仿宋_GB2312" w:eastAsia="仿宋_GB2312" w:cs="仿宋_GB2312"/>
          <w:sz w:val="32"/>
          <w:szCs w:val="32"/>
        </w:rPr>
        <w:t>知乙方。乙方尚未实施项目的，应</w:t>
      </w:r>
      <w:r>
        <w:rPr>
          <w:rFonts w:hint="eastAsia" w:ascii="仿宋_GB2312" w:hAnsi="仿宋_GB2312" w:eastAsia="仿宋_GB2312" w:cs="仿宋_GB2312"/>
          <w:sz w:val="32"/>
          <w:szCs w:val="32"/>
          <w:lang w:val="en-US" w:eastAsia="zh-CN"/>
        </w:rPr>
        <w:t>在收到通知后</w:t>
      </w:r>
      <w:r>
        <w:rPr>
          <w:rFonts w:hint="eastAsia" w:ascii="仿宋_GB2312" w:hAnsi="仿宋_GB2312" w:eastAsia="仿宋_GB2312" w:cs="仿宋_GB2312"/>
          <w:sz w:val="32"/>
          <w:szCs w:val="32"/>
        </w:rPr>
        <w:t>【30】</w:t>
      </w:r>
      <w:r>
        <w:rPr>
          <w:rFonts w:hint="eastAsia" w:ascii="仿宋_GB2312" w:hAnsi="仿宋_GB2312" w:eastAsia="仿宋_GB2312" w:cs="仿宋_GB2312"/>
          <w:sz w:val="32"/>
          <w:szCs w:val="32"/>
          <w:lang w:val="en-US" w:eastAsia="zh-CN"/>
        </w:rPr>
        <w:t>个工作日内全额</w:t>
      </w:r>
      <w:r>
        <w:rPr>
          <w:rFonts w:hint="eastAsia" w:ascii="仿宋_GB2312" w:hAnsi="仿宋_GB2312" w:eastAsia="仿宋_GB2312" w:cs="仿宋_GB2312"/>
          <w:sz w:val="32"/>
          <w:szCs w:val="32"/>
        </w:rPr>
        <w:t>退还甲方已支付</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费用；已开始实施项目的，甲方</w:t>
      </w:r>
      <w:r>
        <w:rPr>
          <w:rFonts w:hint="eastAsia" w:ascii="仿宋_GB2312" w:hAnsi="仿宋_GB2312" w:eastAsia="仿宋_GB2312" w:cs="仿宋_GB2312"/>
          <w:sz w:val="32"/>
          <w:szCs w:val="32"/>
          <w:lang w:val="en-US" w:eastAsia="zh-CN"/>
        </w:rPr>
        <w:t>仅对</w:t>
      </w:r>
      <w:r>
        <w:rPr>
          <w:rFonts w:hint="eastAsia" w:ascii="仿宋_GB2312" w:hAnsi="仿宋_GB2312" w:eastAsia="仿宋_GB2312" w:cs="仿宋_GB2312"/>
          <w:sz w:val="32"/>
          <w:szCs w:val="32"/>
        </w:rPr>
        <w:t>乙方已</w:t>
      </w:r>
      <w:r>
        <w:rPr>
          <w:rFonts w:hint="eastAsia" w:ascii="仿宋_GB2312" w:hAnsi="仿宋_GB2312" w:eastAsia="仿宋_GB2312" w:cs="仿宋_GB2312"/>
          <w:sz w:val="32"/>
          <w:szCs w:val="32"/>
          <w:lang w:val="en-US" w:eastAsia="zh-CN"/>
        </w:rPr>
        <w:t>完成且经甲方确认</w:t>
      </w:r>
      <w:r>
        <w:rPr>
          <w:rFonts w:hint="eastAsia" w:ascii="仿宋_GB2312" w:hAnsi="仿宋_GB2312" w:eastAsia="仿宋_GB2312" w:cs="仿宋_GB2312"/>
          <w:sz w:val="32"/>
          <w:szCs w:val="32"/>
        </w:rPr>
        <w:t>的实际工作量</w:t>
      </w:r>
      <w:r>
        <w:rPr>
          <w:rFonts w:hint="eastAsia" w:ascii="仿宋_GB2312" w:hAnsi="仿宋_GB2312" w:eastAsia="仿宋_GB2312" w:cs="仿宋_GB2312"/>
          <w:sz w:val="32"/>
          <w:szCs w:val="32"/>
          <w:lang w:val="en-US" w:eastAsia="zh-CN"/>
        </w:rPr>
        <w:t>进行结算；甲方已向乙方支付费用的，经结算后如有剩余，</w:t>
      </w:r>
      <w:r>
        <w:rPr>
          <w:rFonts w:hint="eastAsia" w:ascii="仿宋_GB2312" w:hAnsi="仿宋_GB2312" w:eastAsia="仿宋_GB2312" w:cs="仿宋_GB2312"/>
          <w:sz w:val="32"/>
          <w:szCs w:val="32"/>
        </w:rPr>
        <w:t>乙方应在合同解除后【30】日归还甲方。</w:t>
      </w:r>
    </w:p>
    <w:p w14:paraId="5058ED3E">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3.本合同期限届满即终止。如一方要求续签，应在本合同期限</w:t>
      </w:r>
      <w:r>
        <w:rPr>
          <w:rFonts w:hint="eastAsia" w:ascii="仿宋_GB2312" w:hAnsi="仿宋_GB2312" w:eastAsia="仿宋_GB2312" w:cs="仿宋_GB2312"/>
          <w:sz w:val="32"/>
          <w:szCs w:val="32"/>
          <w:lang w:val="en-US" w:eastAsia="zh-CN"/>
        </w:rPr>
        <w:t>届</w:t>
      </w:r>
      <w:r>
        <w:rPr>
          <w:rFonts w:hint="eastAsia" w:ascii="仿宋_GB2312" w:hAnsi="仿宋_GB2312" w:eastAsia="仿宋_GB2312" w:cs="仿宋_GB2312"/>
          <w:sz w:val="32"/>
          <w:szCs w:val="32"/>
        </w:rPr>
        <w:t>满前一个月内提出，由双方协商确定。</w:t>
      </w:r>
    </w:p>
    <w:p w14:paraId="69DFF1F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第十条 通知条款</w:t>
      </w:r>
    </w:p>
    <w:p w14:paraId="45809E8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双方确</w:t>
      </w:r>
      <w:r>
        <w:rPr>
          <w:rFonts w:hint="eastAsia" w:ascii="仿宋_GB2312" w:hAnsi="仿宋_GB2312" w:eastAsia="仿宋_GB2312" w:cs="仿宋_GB2312"/>
          <w:sz w:val="32"/>
          <w:szCs w:val="32"/>
          <w:lang w:val="en-US" w:eastAsia="zh-CN"/>
        </w:rPr>
        <w:t>认</w:t>
      </w:r>
      <w:r>
        <w:rPr>
          <w:rFonts w:hint="eastAsia" w:ascii="仿宋_GB2312" w:hAnsi="仿宋_GB2312" w:eastAsia="仿宋_GB2312" w:cs="仿宋_GB2312"/>
          <w:sz w:val="32"/>
          <w:szCs w:val="32"/>
        </w:rPr>
        <w:t>，甲方指定为</w:t>
      </w:r>
      <w:r>
        <w:rPr>
          <w:rFonts w:hint="eastAsia" w:ascii="仿宋_GB2312" w:hAnsi="仿宋_GB2312" w:eastAsia="仿宋_GB2312" w:cs="仿宋_GB2312"/>
          <w:sz w:val="32"/>
          <w:szCs w:val="32"/>
          <w:u w:val="single"/>
          <w:lang w:eastAsia="zh-CN"/>
        </w:rPr>
        <w:t>陆叶</w:t>
      </w:r>
      <w:r>
        <w:rPr>
          <w:rFonts w:hint="eastAsia" w:ascii="仿宋_GB2312" w:hAnsi="仿宋_GB2312" w:eastAsia="仿宋_GB2312" w:cs="仿宋_GB2312"/>
          <w:color w:val="000000"/>
          <w:sz w:val="32"/>
          <w:szCs w:val="32"/>
        </w:rPr>
        <w:t>（联系方式：</w:t>
      </w:r>
      <w:r>
        <w:rPr>
          <w:rFonts w:hint="eastAsia" w:ascii="仿宋_GB2312" w:hAnsi="仿宋_GB2312" w:eastAsia="仿宋_GB2312" w:cs="仿宋_GB2312"/>
          <w:color w:val="000000"/>
          <w:sz w:val="32"/>
          <w:szCs w:val="32"/>
          <w:u w:val="single"/>
          <w:lang w:val="en-US" w:eastAsia="zh-CN"/>
        </w:rPr>
        <w:t>010-88862845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为</w:t>
      </w:r>
      <w:r>
        <w:rPr>
          <w:rFonts w:hint="eastAsia" w:ascii="仿宋_GB2312" w:hAnsi="仿宋_GB2312" w:eastAsia="仿宋_GB2312" w:cs="仿宋_GB2312"/>
          <w:sz w:val="32"/>
          <w:szCs w:val="32"/>
        </w:rPr>
        <w:t>甲方项目联系人，乙方指定</w:t>
      </w:r>
      <w:r>
        <w:rPr>
          <w:rFonts w:hint="eastAsia" w:ascii="仿宋_GB2312" w:hAnsi="仿宋_GB2312" w:eastAsia="仿宋_GB2312" w:cs="仿宋_GB2312"/>
          <w:sz w:val="32"/>
          <w:szCs w:val="32"/>
          <w:u w:val="single"/>
          <w:lang w:val="en-US" w:eastAsia="zh-CN"/>
        </w:rPr>
        <w:t>赵慧芳</w:t>
      </w:r>
      <w:r>
        <w:rPr>
          <w:rFonts w:hint="eastAsia" w:ascii="仿宋_GB2312" w:hAnsi="仿宋_GB2312" w:eastAsia="仿宋_GB2312" w:cs="仿宋_GB2312"/>
          <w:sz w:val="32"/>
          <w:szCs w:val="32"/>
        </w:rPr>
        <w:t>为乙方项目联系人（联系方式：</w:t>
      </w:r>
      <w:r>
        <w:rPr>
          <w:rFonts w:hint="eastAsia" w:ascii="仿宋_GB2312" w:hAnsi="仿宋_GB2312" w:eastAsia="仿宋_GB2312" w:cs="仿宋_GB2312"/>
          <w:sz w:val="32"/>
          <w:szCs w:val="32"/>
          <w:u w:val="single"/>
          <w:lang w:val="en-US" w:eastAsia="zh-CN"/>
        </w:rPr>
        <w:t>13681049935</w:t>
      </w:r>
      <w:r>
        <w:rPr>
          <w:rFonts w:hint="eastAsia" w:ascii="仿宋_GB2312" w:hAnsi="仿宋_GB2312" w:eastAsia="仿宋_GB2312" w:cs="仿宋_GB2312"/>
          <w:sz w:val="32"/>
          <w:szCs w:val="32"/>
        </w:rPr>
        <w:t>）。一方变更项目联系人的，应当及时以书面形式通知另一方。未及时通知并影响本合同履行或造成损失的，</w:t>
      </w:r>
      <w:r>
        <w:rPr>
          <w:rFonts w:hint="eastAsia" w:ascii="仿宋_GB2312" w:hAnsi="仿宋_GB2312" w:eastAsia="仿宋_GB2312" w:cs="仿宋_GB2312"/>
          <w:sz w:val="32"/>
          <w:szCs w:val="32"/>
          <w:lang w:val="en-US" w:eastAsia="zh-CN"/>
        </w:rPr>
        <w:t>由未履行通知义务的一方</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val="en-US" w:eastAsia="zh-CN"/>
        </w:rPr>
        <w:t>全部</w:t>
      </w:r>
      <w:r>
        <w:rPr>
          <w:rFonts w:hint="eastAsia" w:ascii="仿宋_GB2312" w:hAnsi="仿宋_GB2312" w:eastAsia="仿宋_GB2312" w:cs="仿宋_GB2312"/>
          <w:sz w:val="32"/>
          <w:szCs w:val="32"/>
        </w:rPr>
        <w:t>责任。</w:t>
      </w:r>
    </w:p>
    <w:p w14:paraId="1533130B">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第十一条 争议解决</w:t>
      </w:r>
    </w:p>
    <w:p w14:paraId="01D51963">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双方因履行本合同而发生的争议，应协商、调解解决。协商、调解达不成一致的，</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向甲方所在地有管辖权的人民法院提起诉讼解决。</w:t>
      </w:r>
    </w:p>
    <w:p w14:paraId="27385E1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第十二条 合同生效及其他</w:t>
      </w:r>
    </w:p>
    <w:p w14:paraId="6A65CA6D">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1.本合同经双方法定代表人或授权代表签字并加盖单位公章或合同专用章</w:t>
      </w:r>
      <w:r>
        <w:rPr>
          <w:rFonts w:hint="eastAsia" w:ascii="仿宋_GB2312" w:hAnsi="仿宋_GB2312" w:eastAsia="仿宋_GB2312" w:cs="仿宋_GB2312"/>
          <w:sz w:val="32"/>
          <w:szCs w:val="32"/>
          <w:lang w:val="en-US" w:eastAsia="zh-CN"/>
        </w:rPr>
        <w:t>之</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起</w:t>
      </w:r>
      <w:r>
        <w:rPr>
          <w:rFonts w:hint="eastAsia" w:ascii="仿宋_GB2312" w:hAnsi="仿宋_GB2312" w:eastAsia="仿宋_GB2312" w:cs="仿宋_GB2312"/>
          <w:sz w:val="32"/>
          <w:szCs w:val="32"/>
        </w:rPr>
        <w:t>生效。</w:t>
      </w:r>
    </w:p>
    <w:p w14:paraId="39F094DC">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本合同一式【肆】份，甲方【叁】份、乙方【壹】份，具有同等法律效力。</w:t>
      </w:r>
    </w:p>
    <w:p w14:paraId="30BB3108">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.本合同附件与</w:t>
      </w: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合同具有同等效力。</w:t>
      </w:r>
    </w:p>
    <w:p w14:paraId="625D7E65">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p>
    <w:p w14:paraId="42297DED">
      <w:pPr>
        <w:pStyle w:val="18"/>
        <w:keepNext w:val="0"/>
        <w:keepLines w:val="0"/>
        <w:pageBreakBefore w:val="0"/>
        <w:widowControl w:val="0"/>
        <w:shd w:val="clear" w:color="auto"/>
        <w:kinsoku/>
        <w:wordWrap/>
        <w:overflowPunct/>
        <w:topLinePunct w:val="0"/>
        <w:autoSpaceDE/>
        <w:autoSpaceDN/>
        <w:bidi w:val="0"/>
        <w:adjustRightInd/>
        <w:snapToGrid/>
        <w:spacing w:beforeAutospacing="0" w:afterAutospacing="0" w:line="560" w:lineRule="exact"/>
        <w:ind w:left="1598" w:leftChars="304" w:right="0" w:rightChars="0" w:hanging="960" w:hangingChars="300"/>
        <w:jc w:val="left"/>
        <w:textAlignment w:val="auto"/>
        <w:rPr>
          <w:rFonts w:hint="eastAsia" w:ascii="仿宋_GB2312" w:hAnsi="仿宋_GB2312" w:eastAsia="仿宋_GB2312" w:cs="仿宋_GB2312"/>
          <w:kern w:val="2"/>
          <w:sz w:val="32"/>
          <w:szCs w:val="32"/>
          <w:highlight w:val="none"/>
          <w:shd w:val="clear"/>
          <w:lang w:val="en-US" w:eastAsia="zh-CN"/>
        </w:rPr>
      </w:pPr>
      <w:r>
        <w:rPr>
          <w:rFonts w:hint="eastAsia" w:ascii="仿宋_GB2312" w:hAnsi="仿宋_GB2312" w:eastAsia="仿宋_GB2312" w:cs="仿宋_GB2312"/>
          <w:kern w:val="2"/>
          <w:sz w:val="32"/>
          <w:szCs w:val="32"/>
          <w:highlight w:val="none"/>
          <w:shd w:val="clear"/>
          <w:lang w:val="en-US" w:eastAsia="zh-CN"/>
        </w:rPr>
        <w:t>附件：1.北京市海淀区精神障碍社区康复服务融合行动项目实施方案</w:t>
      </w:r>
    </w:p>
    <w:p w14:paraId="521AFEB6">
      <w:pPr>
        <w:pStyle w:val="18"/>
        <w:keepNext w:val="0"/>
        <w:keepLines w:val="0"/>
        <w:pageBreakBefore w:val="0"/>
        <w:widowControl w:val="0"/>
        <w:shd w:val="clear" w:color="auto"/>
        <w:kinsoku/>
        <w:wordWrap/>
        <w:overflowPunct/>
        <w:topLinePunct w:val="0"/>
        <w:autoSpaceDE/>
        <w:autoSpaceDN/>
        <w:bidi w:val="0"/>
        <w:adjustRightInd/>
        <w:snapToGrid/>
        <w:spacing w:beforeAutospacing="0" w:afterAutospacing="0" w:line="560" w:lineRule="exact"/>
        <w:ind w:left="0" w:leftChars="0" w:right="0" w:rightChars="0" w:firstLine="1478" w:firstLineChars="462"/>
        <w:jc w:val="left"/>
        <w:textAlignment w:val="auto"/>
        <w:rPr>
          <w:rFonts w:hint="eastAsia" w:ascii="仿宋_GB2312" w:hAnsi="仿宋_GB2312" w:eastAsia="仿宋_GB2312" w:cs="仿宋_GB2312"/>
          <w:kern w:val="2"/>
          <w:sz w:val="32"/>
          <w:szCs w:val="32"/>
          <w:highlight w:val="none"/>
          <w:shd w:val="clear"/>
          <w:lang w:val="en-US" w:eastAsia="zh-CN"/>
        </w:rPr>
      </w:pPr>
      <w:r>
        <w:rPr>
          <w:rFonts w:hint="eastAsia" w:ascii="仿宋_GB2312" w:hAnsi="仿宋_GB2312" w:eastAsia="仿宋_GB2312" w:cs="仿宋_GB2312"/>
          <w:kern w:val="2"/>
          <w:sz w:val="32"/>
          <w:szCs w:val="32"/>
          <w:highlight w:val="none"/>
          <w:shd w:val="clear"/>
          <w:lang w:val="en-US" w:eastAsia="zh-CN"/>
        </w:rPr>
        <w:t>2.北京市海淀睿搏社会工作事务所基本情况</w:t>
      </w:r>
    </w:p>
    <w:p w14:paraId="04E44C3F">
      <w:pPr>
        <w:keepNext w:val="0"/>
        <w:keepLines w:val="0"/>
        <w:pageBreakBefore w:val="0"/>
        <w:tabs>
          <w:tab w:val="left" w:pos="0"/>
        </w:tabs>
        <w:kinsoku/>
        <w:wordWrap/>
        <w:overflowPunct/>
        <w:topLinePunct w:val="0"/>
        <w:autoSpaceDE/>
        <w:autoSpaceDN/>
        <w:bidi w:val="0"/>
        <w:adjustRightInd/>
        <w:snapToGrid/>
        <w:spacing w:before="0" w:line="540" w:lineRule="exact"/>
        <w:ind w:left="2238" w:leftChars="304" w:hanging="1600" w:hangingChars="500"/>
        <w:rPr>
          <w:rFonts w:hint="eastAsia" w:ascii="仿宋_GB2312" w:hAnsi="仿宋_GB2312" w:eastAsia="仿宋_GB2312" w:cs="仿宋_GB2312"/>
          <w:sz w:val="32"/>
          <w:szCs w:val="32"/>
        </w:rPr>
      </w:pPr>
    </w:p>
    <w:p w14:paraId="19B1A278">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（以下无正文，为合同签署页）</w:t>
      </w:r>
    </w:p>
    <w:p w14:paraId="6443EFE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14:paraId="735E98E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法定代表</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或授权代表</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p>
    <w:p w14:paraId="45A66D59">
      <w:pPr>
        <w:keepNext w:val="0"/>
        <w:keepLines w:val="0"/>
        <w:pageBreakBefore w:val="0"/>
        <w:tabs>
          <w:tab w:val="left" w:pos="900"/>
          <w:tab w:val="left" w:pos="1080"/>
        </w:tabs>
        <w:kinsoku/>
        <w:wordWrap/>
        <w:overflowPunct/>
        <w:topLinePunct w:val="0"/>
        <w:autoSpaceDE/>
        <w:autoSpaceDN/>
        <w:bidi w:val="0"/>
        <w:adjustRightInd/>
        <w:snapToGrid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w:t>
      </w:r>
    </w:p>
    <w:p w14:paraId="36165CCB">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p>
    <w:p w14:paraId="2BE11CC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法定代表</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或授权代表</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u w:val="single"/>
        </w:rPr>
        <w:t xml:space="preserve">                </w:t>
      </w:r>
    </w:p>
    <w:p w14:paraId="6726E1B5">
      <w:pPr>
        <w:tabs>
          <w:tab w:val="left" w:pos="900"/>
          <w:tab w:val="left" w:pos="1080"/>
        </w:tabs>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w:t>
      </w:r>
    </w:p>
    <w:p w14:paraId="4AF4CB7F">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附件1</w:t>
      </w:r>
    </w:p>
    <w:p w14:paraId="33537C6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lang w:eastAsia="zh-CN"/>
        </w:rPr>
      </w:pPr>
    </w:p>
    <w:p w14:paraId="2EF93C2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lang w:eastAsia="zh-CN"/>
        </w:rPr>
      </w:pPr>
      <w:r>
        <w:rPr>
          <w:rFonts w:hint="eastAsia" w:ascii="方正小标宋简体" w:hAnsi="方正小标宋简体" w:eastAsia="方正小标宋简体" w:cs="方正小标宋简体"/>
          <w:b w:val="0"/>
          <w:bCs/>
          <w:sz w:val="44"/>
          <w:szCs w:val="44"/>
          <w:highlight w:val="none"/>
          <w:lang w:eastAsia="zh-CN"/>
        </w:rPr>
        <w:t>北京市海淀区精神障碍社区康复服务</w:t>
      </w:r>
      <w:bookmarkStart w:id="12" w:name="_Toc1101158444"/>
      <w:bookmarkStart w:id="13" w:name="_Toc309666108"/>
      <w:bookmarkStart w:id="14" w:name="_Toc202258910"/>
      <w:bookmarkStart w:id="15" w:name="_Toc2037216039"/>
    </w:p>
    <w:p w14:paraId="4FB9ECC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lang w:eastAsia="zh-CN"/>
        </w:rPr>
      </w:pPr>
      <w:r>
        <w:rPr>
          <w:rFonts w:hint="eastAsia" w:ascii="方正小标宋简体" w:hAnsi="方正小标宋简体" w:eastAsia="方正小标宋简体" w:cs="方正小标宋简体"/>
          <w:b w:val="0"/>
          <w:bCs/>
          <w:sz w:val="44"/>
          <w:szCs w:val="44"/>
          <w:highlight w:val="none"/>
          <w:lang w:eastAsia="zh-CN"/>
        </w:rPr>
        <w:t>融合行动项目实施方案</w:t>
      </w:r>
      <w:bookmarkEnd w:id="12"/>
      <w:bookmarkEnd w:id="13"/>
      <w:bookmarkEnd w:id="14"/>
      <w:bookmarkEnd w:id="15"/>
    </w:p>
    <w:p w14:paraId="4D88FACB">
      <w:pPr>
        <w:pStyle w:val="2"/>
        <w:keepNext w:val="0"/>
        <w:keepLines w:val="0"/>
        <w:pageBreakBefore w:val="0"/>
        <w:widowControl w:val="0"/>
        <w:tabs>
          <w:tab w:val="left" w:pos="567"/>
        </w:tabs>
        <w:kinsoku/>
        <w:wordWrap/>
        <w:overflowPunct w:val="0"/>
        <w:topLinePunct w:val="0"/>
        <w:bidi w:val="0"/>
        <w:adjustRightInd w:val="0"/>
        <w:snapToGrid w:val="0"/>
        <w:spacing w:before="0" w:after="0" w:line="360" w:lineRule="auto"/>
        <w:ind w:right="0" w:rightChars="0" w:firstLine="480" w:firstLineChars="200"/>
        <w:jc w:val="both"/>
        <w:textAlignment w:val="auto"/>
        <w:outlineLvl w:val="9"/>
        <w:rPr>
          <w:rFonts w:hint="eastAsia" w:ascii="仿宋_GB2312" w:hAnsi="仿宋_GB2312" w:eastAsia="仿宋_GB2312" w:cs="仿宋_GB2312"/>
          <w:color w:val="auto"/>
          <w:kern w:val="0"/>
          <w:sz w:val="24"/>
          <w:szCs w:val="24"/>
          <w:lang w:val="en-US" w:eastAsia="zh-CN" w:bidi="ar-SA"/>
        </w:rPr>
      </w:pPr>
    </w:p>
    <w:p w14:paraId="5D8B6F5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为深入贯彻落实</w:t>
      </w:r>
      <w:r>
        <w:rPr>
          <w:rFonts w:hint="eastAsia" w:ascii="仿宋_GB2312" w:hAnsi="仿宋_GB2312" w:eastAsia="仿宋_GB2312" w:cs="仿宋_GB2312"/>
          <w:color w:val="auto"/>
          <w:kern w:val="0"/>
          <w:sz w:val="32"/>
          <w:szCs w:val="32"/>
        </w:rPr>
        <w:t>党的二十大关于“完善残疾人社会保障制度和关爱服务体系”有关要求和</w:t>
      </w:r>
      <w:r>
        <w:rPr>
          <w:rFonts w:hint="eastAsia" w:ascii="仿宋_GB2312" w:hAnsi="仿宋_GB2312" w:eastAsia="仿宋_GB2312" w:cs="仿宋_GB2312"/>
          <w:color w:val="auto"/>
          <w:kern w:val="0"/>
          <w:sz w:val="32"/>
          <w:szCs w:val="32"/>
          <w:lang w:val="en-US" w:eastAsia="zh-CN" w:bidi="ar-SA"/>
        </w:rPr>
        <w:t>习近平总书记“关心关爱精神障碍人员”等重要指示精神，</w:t>
      </w:r>
      <w:r>
        <w:rPr>
          <w:rFonts w:hint="eastAsia" w:ascii="仿宋_GB2312" w:hAnsi="仿宋_GB2312" w:eastAsia="仿宋_GB2312" w:cs="仿宋_GB2312"/>
          <w:color w:val="auto"/>
          <w:kern w:val="0"/>
          <w:sz w:val="32"/>
          <w:szCs w:val="32"/>
        </w:rPr>
        <w:t>推动</w:t>
      </w:r>
      <w:r>
        <w:rPr>
          <w:rFonts w:hint="eastAsia" w:ascii="仿宋_GB2312" w:hAnsi="仿宋_GB2312" w:eastAsia="仿宋_GB2312" w:cs="仿宋_GB2312"/>
          <w:color w:val="auto"/>
          <w:kern w:val="0"/>
          <w:sz w:val="32"/>
          <w:szCs w:val="32"/>
          <w:lang w:eastAsia="zh-CN"/>
        </w:rPr>
        <w:t>海淀</w:t>
      </w:r>
      <w:r>
        <w:rPr>
          <w:rFonts w:hint="eastAsia" w:ascii="仿宋_GB2312" w:hAnsi="仿宋_GB2312" w:eastAsia="仿宋_GB2312" w:cs="仿宋_GB2312"/>
          <w:color w:val="auto"/>
          <w:kern w:val="0"/>
          <w:sz w:val="32"/>
          <w:szCs w:val="32"/>
        </w:rPr>
        <w:t>区精神障碍社区康复服务高质量发展，根据《</w:t>
      </w:r>
      <w:r>
        <w:rPr>
          <w:rFonts w:hint="eastAsia" w:ascii="仿宋_GB2312" w:hAnsi="仿宋_GB2312" w:eastAsia="仿宋_GB2312" w:cs="仿宋_GB2312"/>
          <w:color w:val="auto"/>
          <w:kern w:val="0"/>
          <w:sz w:val="32"/>
          <w:szCs w:val="32"/>
          <w:lang w:eastAsia="zh-CN"/>
        </w:rPr>
        <w:t>财政部</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民政部关于</w:t>
      </w:r>
      <w:r>
        <w:rPr>
          <w:rFonts w:hint="eastAsia" w:ascii="仿宋_GB2312" w:hAnsi="仿宋_GB2312" w:eastAsia="仿宋_GB2312" w:cs="仿宋_GB2312"/>
          <w:color w:val="auto"/>
          <w:kern w:val="0"/>
          <w:sz w:val="32"/>
          <w:szCs w:val="32"/>
          <w:lang w:eastAsia="zh-CN"/>
        </w:rPr>
        <w:t>下达</w:t>
      </w: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年中央</w:t>
      </w:r>
      <w:r>
        <w:rPr>
          <w:rFonts w:hint="eastAsia" w:ascii="仿宋_GB2312" w:hAnsi="仿宋_GB2312" w:eastAsia="仿宋_GB2312" w:cs="仿宋_GB2312"/>
          <w:color w:val="auto"/>
          <w:kern w:val="0"/>
          <w:sz w:val="32"/>
          <w:szCs w:val="32"/>
          <w:lang w:eastAsia="zh-CN"/>
        </w:rPr>
        <w:t>专项</w:t>
      </w:r>
      <w:r>
        <w:rPr>
          <w:rFonts w:hint="eastAsia" w:ascii="仿宋_GB2312" w:hAnsi="仿宋_GB2312" w:eastAsia="仿宋_GB2312" w:cs="仿宋_GB2312"/>
          <w:color w:val="auto"/>
          <w:kern w:val="0"/>
          <w:sz w:val="32"/>
          <w:szCs w:val="32"/>
        </w:rPr>
        <w:t>彩票公益金支持</w:t>
      </w:r>
      <w:r>
        <w:rPr>
          <w:rFonts w:hint="eastAsia" w:ascii="仿宋_GB2312" w:hAnsi="仿宋_GB2312" w:eastAsia="仿宋_GB2312" w:cs="仿宋_GB2312"/>
          <w:color w:val="auto"/>
          <w:kern w:val="0"/>
          <w:sz w:val="32"/>
          <w:szCs w:val="32"/>
          <w:lang w:eastAsia="zh-CN"/>
        </w:rPr>
        <w:t>精神障碍社区康复服务融合行动</w:t>
      </w:r>
      <w:r>
        <w:rPr>
          <w:rFonts w:hint="eastAsia" w:ascii="仿宋_GB2312" w:hAnsi="仿宋_GB2312" w:eastAsia="仿宋_GB2312" w:cs="仿宋_GB2312"/>
          <w:color w:val="auto"/>
          <w:kern w:val="0"/>
          <w:sz w:val="32"/>
          <w:szCs w:val="32"/>
        </w:rPr>
        <w:t>项目</w:t>
      </w:r>
      <w:r>
        <w:rPr>
          <w:rFonts w:hint="eastAsia" w:ascii="仿宋_GB2312" w:hAnsi="仿宋_GB2312" w:eastAsia="仿宋_GB2312" w:cs="仿宋_GB2312"/>
          <w:color w:val="auto"/>
          <w:kern w:val="0"/>
          <w:sz w:val="32"/>
          <w:szCs w:val="32"/>
          <w:lang w:eastAsia="zh-CN"/>
        </w:rPr>
        <w:t>资金</w:t>
      </w:r>
      <w:r>
        <w:rPr>
          <w:rFonts w:hint="eastAsia" w:ascii="仿宋_GB2312" w:hAnsi="仿宋_GB2312" w:eastAsia="仿宋_GB2312" w:cs="仿宋_GB2312"/>
          <w:color w:val="auto"/>
          <w:kern w:val="0"/>
          <w:sz w:val="32"/>
          <w:szCs w:val="32"/>
        </w:rPr>
        <w:t>的通知》（</w:t>
      </w:r>
      <w:r>
        <w:rPr>
          <w:rFonts w:hint="eastAsia" w:ascii="仿宋_GB2312" w:hAnsi="仿宋_GB2312" w:eastAsia="仿宋_GB2312" w:cs="仿宋_GB2312"/>
          <w:color w:val="auto"/>
          <w:kern w:val="0"/>
          <w:sz w:val="32"/>
          <w:szCs w:val="32"/>
          <w:lang w:eastAsia="zh-CN"/>
        </w:rPr>
        <w:t>财社</w:t>
      </w: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67</w:t>
      </w:r>
      <w:r>
        <w:rPr>
          <w:rFonts w:hint="eastAsia" w:ascii="仿宋_GB2312" w:hAnsi="仿宋_GB2312" w:eastAsia="仿宋_GB2312" w:cs="仿宋_GB2312"/>
          <w:color w:val="auto"/>
          <w:kern w:val="0"/>
          <w:sz w:val="32"/>
          <w:szCs w:val="32"/>
        </w:rPr>
        <w:t>号）精神和</w:t>
      </w:r>
      <w:r>
        <w:rPr>
          <w:rFonts w:hint="eastAsia" w:ascii="仿宋_GB2312" w:hAnsi="仿宋_GB2312" w:eastAsia="仿宋_GB2312" w:cs="仿宋_GB2312"/>
          <w:color w:val="auto"/>
          <w:kern w:val="0"/>
          <w:sz w:val="32"/>
          <w:szCs w:val="32"/>
          <w:lang w:eastAsia="zh-CN"/>
        </w:rPr>
        <w:t>北京</w:t>
      </w:r>
      <w:r>
        <w:rPr>
          <w:rFonts w:hint="eastAsia" w:ascii="仿宋_GB2312" w:hAnsi="仿宋_GB2312" w:eastAsia="仿宋_GB2312" w:cs="仿宋_GB2312"/>
          <w:color w:val="auto"/>
          <w:kern w:val="0"/>
          <w:sz w:val="32"/>
          <w:szCs w:val="32"/>
        </w:rPr>
        <w:t>市民政局有关要求，结合</w:t>
      </w:r>
      <w:r>
        <w:rPr>
          <w:rFonts w:hint="eastAsia" w:ascii="仿宋_GB2312" w:hAnsi="仿宋_GB2312" w:eastAsia="仿宋_GB2312" w:cs="仿宋_GB2312"/>
          <w:color w:val="auto"/>
          <w:kern w:val="0"/>
          <w:sz w:val="32"/>
          <w:szCs w:val="32"/>
          <w:lang w:eastAsia="zh-CN"/>
        </w:rPr>
        <w:t>海淀区</w:t>
      </w:r>
      <w:r>
        <w:rPr>
          <w:rFonts w:hint="eastAsia" w:ascii="仿宋_GB2312" w:hAnsi="仿宋_GB2312" w:eastAsia="仿宋_GB2312" w:cs="仿宋_GB2312"/>
          <w:color w:val="auto"/>
          <w:kern w:val="0"/>
          <w:sz w:val="32"/>
          <w:szCs w:val="32"/>
        </w:rPr>
        <w:t>实际，特制定</w:t>
      </w:r>
      <w:r>
        <w:rPr>
          <w:rFonts w:hint="eastAsia" w:ascii="仿宋_GB2312" w:hAnsi="仿宋_GB2312" w:eastAsia="仿宋_GB2312" w:cs="仿宋_GB2312"/>
          <w:color w:val="auto"/>
          <w:kern w:val="0"/>
          <w:sz w:val="32"/>
          <w:szCs w:val="32"/>
          <w:lang w:eastAsia="zh-CN"/>
        </w:rPr>
        <w:t>本</w:t>
      </w:r>
      <w:r>
        <w:rPr>
          <w:rFonts w:hint="eastAsia" w:ascii="仿宋_GB2312" w:hAnsi="仿宋_GB2312" w:eastAsia="仿宋_GB2312" w:cs="仿宋_GB2312"/>
          <w:color w:val="auto"/>
          <w:kern w:val="0"/>
          <w:sz w:val="32"/>
          <w:szCs w:val="32"/>
        </w:rPr>
        <w:t>方案</w:t>
      </w:r>
      <w:r>
        <w:rPr>
          <w:rFonts w:hint="eastAsia" w:ascii="仿宋_GB2312" w:hAnsi="仿宋_GB2312" w:eastAsia="仿宋_GB2312" w:cs="仿宋_GB2312"/>
          <w:color w:val="auto"/>
          <w:kern w:val="0"/>
          <w:sz w:val="32"/>
          <w:szCs w:val="32"/>
          <w:lang w:val="en-US" w:eastAsia="zh-CN" w:bidi="ar-SA"/>
        </w:rPr>
        <w:t>。</w:t>
      </w:r>
    </w:p>
    <w:p w14:paraId="00A062F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一、工作目标</w:t>
      </w:r>
    </w:p>
    <w:p w14:paraId="02E16A1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（一）总体目标</w:t>
      </w:r>
    </w:p>
    <w:p w14:paraId="225433E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通过中央专项彩票公益金支持，在全区深入开展精神障碍社区康复服务，健全政府部门主导、专业机构运营、社会广泛参与的精神康复服务体系，构建“医疗救治、社区康复、居家照护、社会融入”服务链条，因地制宜探索形成具有辖区特色的精康融合服务模式。</w:t>
      </w:r>
    </w:p>
    <w:p w14:paraId="1883D1F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（二）具体目标</w:t>
      </w:r>
    </w:p>
    <w:p w14:paraId="2610826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1.通过发挥项目资金的示范引领作用，完善精神障碍社区康复服务内容，健全专业化精神障碍社区康复服务支撑网络，引导更多资源加大支持力度，有效探索精神障碍社区康复服务发展体制机制和政策体系。                                                                                                                                                              </w:t>
      </w:r>
    </w:p>
    <w:p w14:paraId="3EF11C5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通过开展精神障碍社区康复服务，降低精神障碍患者的复发率、致残率和肇事肇祸率，提升精神障碍患者生活自理能力、社会适应与参与能力和就业能力，帮助精神障碍患者及家庭降低负担、减轻痛苦、回归家庭和融入社会。</w:t>
      </w:r>
    </w:p>
    <w:p w14:paraId="3A3D385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依托现有适宜场所优化设置全区精康服务站点阵地布局，每个街镇至少建成1个精康服务站点，重点打造2个街镇示范性精康服务站点，建成1个区级精神障碍社区康复服务中心，发挥片区辐射引领作用和孵化指导功能。</w:t>
      </w:r>
    </w:p>
    <w:p w14:paraId="4075E90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4.加强精神障碍社区康复服务专业人才队伍建设，提升精神障碍社区康复服务站点工作人员、精康服务机构的社会工作者、康复师等各类直接服务人员的服务能力和素质，提高海淀区精康服务质量和水平。</w:t>
      </w:r>
    </w:p>
    <w:p w14:paraId="41211DE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二、重点任务实施方案</w:t>
      </w:r>
    </w:p>
    <w:p w14:paraId="1C93A12B">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（一）整体工作进度安排及建立工作机制</w:t>
      </w:r>
    </w:p>
    <w:p w14:paraId="6A71055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部署启动阶段（2026年7至8月）。建立健全海淀区精神障碍社区康复服务协作机制，进一步明确各部门目标任务和责任分工，筹备全区精康融合行动动员部署会，启动海淀区精神障碍社区康复服务融合行动。对从事精康服务的市场主体进行调研，做好前期立项准备。</w:t>
      </w:r>
    </w:p>
    <w:p w14:paraId="660DACC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全面实施阶段（2026年9至12月）。组织街镇将在册严重精神障碍患者进行梳理分类，建立精康服务基础台账，加强政策宣传引导。全面实施精神障碍社区康复服务融合行动，完成立项与政府采购工作，确定服务供应商。对康复服务对象进行一对一评估建档，建立服务信息台账。扎实开展康复训练、辅助性支持、精康转介等专业服务。加强项目定期督导及业务培训，对项目执行中出现的问题和偏差及时予以纠正，提升服务专业水平。</w:t>
      </w:r>
    </w:p>
    <w:p w14:paraId="6A2F588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巩固提升阶段（2027年1至6月）。深入开展精神障碍社区康复服务融合行动，健全医康结合、院社衔接、居家兜底、长效管护精康融合工作体系。加强服务阵地建设，发挥片区辐射引领作用和孵化指导功能。注重项目实施过程中的经验总结和案例收集，逐步形成具有辖区特色的工作机制和服务模式，加强信息宣传。</w:t>
      </w:r>
    </w:p>
    <w:p w14:paraId="5B7900D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（二）康复对象需求信息收集和整合办法</w:t>
      </w:r>
    </w:p>
    <w:p w14:paraId="298EF16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建立与卫健及残联的信息共享机制，掌握和整合全区严重精神障碍患者底数、基本情况及服务需求。各部门联合深入街镇开展走访调研，了解基层精神卫生工作中的困难及问题，为开展精康融合行动打好基础。收集属地街镇报告信息，依托现有数据建立海淀区精神障碍社区康复服务基础台账。</w:t>
      </w:r>
    </w:p>
    <w:p w14:paraId="2C3C98E8">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（三）社区康复服务提供主体的资源情况、遴选办法及初步意向</w:t>
      </w:r>
    </w:p>
    <w:p w14:paraId="5A6934C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海淀区注册登记社会组织579家（社会团体146家、民办非企业单位433家），其中3A级以上社会组织194家，社会组织资源丰富、实力过硬。区级康复类残疾人服务机构15家，社会工作服务机构12家，精神卫生领域社会团体1家，具有丰富的相关领域服务经验。通过洽谈邀约等形式，已与3家社会组织建立初步合作意向，后续将严格按照政府采购要求，通过招投标等采购方式遴选确定服务商。</w:t>
      </w:r>
    </w:p>
    <w:p w14:paraId="0E6EF54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（四）精神卫生医疗机构、精神卫生福利机构及其他有条件的机构发挥作用情况</w:t>
      </w:r>
    </w:p>
    <w:p w14:paraId="63327BD8">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海淀区医疗专业资源聚集，精神卫生服务供给较为充足。目前，辖区共有精神专科医院4家（中国人民解放军联勤保障部队第九八四医院、北京大学第六医院、北京市海淀区心理康复医院、北京怡宁医院），12家二级以上综合医院均已开设精神心理科，33家社区卫生服务中心开设精神心理科。其中，北京市海淀区心理康复医院（海淀区精神卫生防治指导中心）隶属于区卫健委，是一所以精神、心理和康复诊疗为主要特色，集医疗、公共卫生、教学科研为一体的二级专科医院，精神卫生防治指导中心负责辖区严重精神障碍管理的技术指导与督导考核等工作。形成了以专科医院为核心、其他综合医院及基层社区卫生服务机构为支撑的精神疾病防治服务体系，计划依托该体系充分发挥精康融合技术指导和辐射带动作用。</w:t>
      </w:r>
    </w:p>
    <w:p w14:paraId="4AFDD96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（五）专家督导、专业服务人才培养、对康复对象的评估和转介</w:t>
      </w:r>
    </w:p>
    <w:p w14:paraId="4D5C4AC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计划委托符合条件的社会组织，整合卫健、残联及海淀区心理康复医院等单位的专家资源，牵头建立海淀区精康融合专家智库，并开展定期督导及培训工作。整合街镇已有的精神卫生社工、民政或残联专干、温馨家园工作人员、社工服务机构专业社工等人员力量，配齐配强基层精康服务人才，通过教育培训提升专业服务水平，通过推广自助互助理念扩大社区康复人才队伍。</w:t>
      </w:r>
    </w:p>
    <w:p w14:paraId="58BC373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由社工服务机构专业社工主导，社区卫生服务中心精防医生协助入户，对康复对象开展一对一初始评估，一人一册建立患者服务档案；定期开展过程评估，对上门康复指导服务成效进行跟踪监测，根据评估情况，对康复训练效果达到预期目标的患者提出新的康复目标，制定新的康复措施和计划；对康复训练效果不理想者，修正原康复计划、调整康复目标和康复措施。与卫健部门合作打通双向转介服务，建立“医疗兜底、社工赋能、双向转介”的社医联动机制，形成诊疗康复工作闭环，统一精神障碍社区康复转介单格式，明确转介标准及流程。</w:t>
      </w:r>
    </w:p>
    <w:p w14:paraId="667BC43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（六）精神障碍社区康复服务站点的规划布局、设置标准、功能划分及管理办法</w:t>
      </w:r>
    </w:p>
    <w:p w14:paraId="4B430AD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辖区服务阵地基础扎实，助残公共服务水平较高。全区已建成残疾人温馨家园57家，家园功能、人才队伍、服务网络、治理机制全面提升，为残疾人提供康复服务、精神文化、权益保护、就业指导等多元化服务，充分满足残疾人的多样化需求，确保残疾人在“家门口”就能享受到优质的助残服务，极大提升了残疾人的幸福感和获得感。其中，清河街道、八里庄街道的温馨家园获评全市首批“五星级温馨家园”，起到了良好示范作用。</w:t>
      </w:r>
    </w:p>
    <w:p w14:paraId="4E4F705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项目坚持因地制宜、资源统筹原则，综合考量患者康复需求、场地承载能力及课程排期等要素，灵活依托温馨家园、职康站、养老驿站等现有阵地，科学布局精神障碍社区康复服务站点。通过优化空间格局与功能配置，最大限度盘活存量资源，实现基层服务阵地的高效整合与集约利用。项目实施期间建成1个区级精神障碍社区康复服务中心，全区至少建设29个精康服务站点，重点打造2个街镇示范性精康服务站点，主要依托街镇残联专干、社工机构服务人员等加强站点服务管理。</w:t>
      </w:r>
    </w:p>
    <w:p w14:paraId="2819407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（七）社区康复服务内容、实施服务保障力量及服务质量过程管理</w:t>
      </w:r>
    </w:p>
    <w:p w14:paraId="651A3B9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社区康复服务内容包括服药训练、预防复发训练、躯体管理训练、生活技能训练、社交技能训练、职业康复训练、心理治疗和康复、同伴支持、家庭支持等。由专业社工服务机构加强精康服务保障和质量管理，另委托社会组织作为督导机构，定期开展督促指导，并组织业务培训。邀请民政部专家组对项目进行专家督导，接受北京市民政局的指导检查，确保服务成效。</w:t>
      </w:r>
    </w:p>
    <w:p w14:paraId="7D60A00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（八）运用信息化手段开展运营管理、实施效果评价等考虑及保障条件</w:t>
      </w:r>
    </w:p>
    <w:p w14:paraId="0CE607E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依托民政部开发的精康服务系统，对精康服务进行信息化管理，加强全流程监管。利用街镇、社区（村）的社区服务平台、微信社群等，搭建线上康复服务沟通渠道，开展线上用药指导、心理疏导、康复课程、政策宣传、随访沟通，打破时间空间限制，拓宽服务供给途径。结合定期开展的过程评估和服务对象满意度测评，动态监测项目实施效果，不断优化调整服务内容。</w:t>
      </w:r>
    </w:p>
    <w:p w14:paraId="5193080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color w:val="auto"/>
          <w:kern w:val="0"/>
          <w:sz w:val="32"/>
          <w:szCs w:val="32"/>
        </w:rPr>
        <w:t>（九）中央财政专项补助资金使用方案及预算明细</w:t>
      </w:r>
    </w:p>
    <w:p w14:paraId="5949EAF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1.精神障碍社区康复服务项目（3876795.50元）</w:t>
      </w:r>
    </w:p>
    <w:p w14:paraId="6B0AE47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（1）入户评估、建档及档案管理（366600元）。评估、建档及档案管理3000人，均价122.2元/人·户。平均每人入户服务时长不低于1小时，后期建档及档案管理时长不低于1小时。</w:t>
      </w:r>
    </w:p>
    <w:p w14:paraId="516D15D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①社工劳务费：入户评估2×40元/人·户=80元/人·户，志愿者2人，2×12.5元/人·户=25元/人·户。合计105元（服务对象对接转介、评估表格及报告撰写、建档、档案动态管理等）。</w:t>
      </w:r>
    </w:p>
    <w:p w14:paraId="68C42D1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②服务物资费：17.2元/人。（入户发放给评估对象的服务用品，不限于康复宣传材料、康复训练小道具、分装药盒、定时提醒闹钟、纸巾等）</w:t>
      </w:r>
    </w:p>
    <w:p w14:paraId="5C16DBF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（2）康复训练（3164200元）。服务平均10次/人，共服务26000人次，均价121.7元/人次。人均直接服务时长不低于10小时。</w:t>
      </w:r>
    </w:p>
    <w:p w14:paraId="54FC41E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①社工劳务费：2×40元/人次=80元/人次；志愿者2×12.5元/人次=25元/人次。合计105元（康复服务、康复指导记录撰写、服务档案管理等）。 </w:t>
      </w:r>
    </w:p>
    <w:p w14:paraId="36AC64A8">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②服务物资费：16.7元/人次（发放给服务对象的康复相关用品，不限于康复宣传材料、康复训练小道具、成人防滑地板袜、环保垃圾袋等，活动材料不限于图画册、剪纸材料、绒线材料、积木材料等，积分用品不限于药盒、纸巾、计时器等，以及活动场所制度上墙及标识牌等）。  </w:t>
      </w:r>
    </w:p>
    <w:p w14:paraId="53C5A59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个案康复服务及精康服务案例集（70800元）。服务50人，6次/人，均价204元/人次。个案康复服务分4个阶段（个案建档、需求评估、服务实施、评估总结），服务时长合计不低于30小时。案例集共120本，每本不少于200页。</w:t>
      </w:r>
    </w:p>
    <w:p w14:paraId="378D2F4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①社工劳务费及材料费：2人×91.6元=183.2元/人次（个案记录撰写、服务档案管理、康复指导、心理咨询、材料费等）；志愿者1人，20.8元/人次（个案服务咨询、康复方案建议、案例修改指导等）。合计204元。</w:t>
      </w:r>
    </w:p>
    <w:p w14:paraId="279D186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②精康服务案例集制作费：80元×120本=9600元（案例集编辑排版、印刷制作）。</w:t>
      </w:r>
    </w:p>
    <w:p w14:paraId="3CFAB26F">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（4）社区融合服务及宣传活动（21573.36元）。活动共2次。每次活动从前期筹备、活动开展到后期总结共约5天。</w:t>
      </w:r>
    </w:p>
    <w:p w14:paraId="0B1CEB9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①工作人员劳务费：3人×300元/人·天×5天×2=9000元（活动策划、物资筹备、人员邀约、现场执行、摄影记录、秩序保障、活动收尾、资料总结等）。</w:t>
      </w:r>
    </w:p>
    <w:p w14:paraId="5B8A20B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②活动宣传品：150份×20元/份×2=6000元（发放给参与活动的社区居民、精康服务对象、嘉宾等，预估参与150人）。</w:t>
      </w:r>
    </w:p>
    <w:p w14:paraId="4D4A024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③服务物资费：2次共6573.36元（主背景板1块600元/次×2=1200元，条幅及易拉宝3个300元×2=600元，音响等设备租赁1000元/次×2次=2000元，饮用水6箱300元/次×2次=600元，活动手册50份1000元/次×2次=2000元，桌牌及纸笔袋等共173.36元）。</w:t>
      </w:r>
    </w:p>
    <w:p w14:paraId="1422FC2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（5）项目管理费（253622.14元）。按照项目经费7%计算253622.14元。</w:t>
      </w:r>
    </w:p>
    <w:p w14:paraId="3EC6C98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2.督导培训（123204.50元）</w:t>
      </w:r>
    </w:p>
    <w:p w14:paraId="617F834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督导评估项目（67104.5元）。计划组建1个督导组共5人，对精神障碍社区康复服务项目实施情况及成效定期进行督导评估，督导4次，每次督导2天，共督导8天。组建海淀区精康融合行动专家智库共10人，对精神障碍社区康复服务具体工作开展技术指导，人均指导3次。</w:t>
      </w:r>
    </w:p>
    <w:p w14:paraId="7B39CB0F">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①督导评估劳务费：高级专家3人×800元/人·天×8天=19200元，其他技术人员2人×500元/人·天×8天=8000元，合计27200元。</w:t>
      </w:r>
    </w:p>
    <w:p w14:paraId="55B8D25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②专家指导劳务费：高级专家5人×800元/人·天×3次=12000元，其他技术人员5人×500元/人·天×3次=7500元，合计19500元。</w:t>
      </w:r>
    </w:p>
    <w:p w14:paraId="49FCB60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③社工劳务费：社工2人×300元/人·天×20天=12000元（统筹组织、制定督导评估方案及评估量表、联络对接、整理资料、撰写评估报告）。</w:t>
      </w:r>
    </w:p>
    <w:p w14:paraId="7943B00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④其他费用：督导组交通费200元/天，8天共1600元；督导组午餐费50元/人·天，8天共2000元；资料打印费500元；专家智库聘书150元。合计4250元。</w:t>
      </w:r>
    </w:p>
    <w:p w14:paraId="7576C2C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⑤项目管理费：项目管理费（27200+19500+12000+500+150）×7%=4154.5元。</w:t>
      </w:r>
    </w:p>
    <w:p w14:paraId="31977DE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（2）民政部专家组督导检查（6400元）。预计迎接民政部专家组督导检查2次（800元/人·天），时间定于2026年11月及2027年5月。每次需支付专家劳务费800元×4人=3200元，2次（2天）督导检查共6400元。</w:t>
      </w:r>
    </w:p>
    <w:p w14:paraId="1CF0DE3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（3）业务培训（49700元）。预计参训人员约120人，12课时，共培训2天，费用49700元。</w:t>
      </w:r>
    </w:p>
    <w:p w14:paraId="6C94EF3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①专家讲课费：4名正高，每人2课时，每人讲课费1000元/课时×2课时+代扣代缴个人所得税300元，共9200元；2名副高，每人2课时，每人讲课费500元/课时×2课时+代扣代缴个人所得税50元，共2100元。合计11300元。</w:t>
      </w:r>
    </w:p>
    <w:p w14:paraId="3290FB3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②餐费：120人×80元/人·天×2天=19200元（早餐30元/人·天，午餐50元/人·天）。</w:t>
      </w:r>
    </w:p>
    <w:p w14:paraId="4144E80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③其他费用：120人×80元/人·天×2天=19200元（场地费，资料费、交通费，其他费用）。</w:t>
      </w:r>
    </w:p>
    <w:p w14:paraId="6544C1F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（十）拟打造亮点、经验及服务模式</w:t>
      </w:r>
    </w:p>
    <w:p w14:paraId="4B1CAB0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1.健全部门联动工作机制，搭建“区级统筹、街镇落地、社区兜底、居家延伸”的四级精康服务网络。</w:t>
      </w:r>
    </w:p>
    <w:p w14:paraId="2A94444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2.建立一支至少100人的基层精康服务队伍，培养一批相对稳定的专业服务人才。</w:t>
      </w:r>
    </w:p>
    <w:p w14:paraId="61F4603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3.通过“稳定启航-功能重建-潜能发展”三阶复元导航体系，为处于不同康复阶段、具有不同康复需求的患者提供精准支持，探索一条从医院到社区、从家庭到社会的全链条康复路径。</w:t>
      </w:r>
    </w:p>
    <w:p w14:paraId="3B08BE0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4.依托辖区丰富的文旅资源和产业发展，探索严重精神障碍患者就业及辅助性就业渠道，提供就业训练和真实价值创造机会，促进患者融入社会。</w:t>
      </w:r>
    </w:p>
    <w:p w14:paraId="2247845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三、项目服务内容</w:t>
      </w:r>
    </w:p>
    <w:p w14:paraId="65885C9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（一）开展精神障碍社区康复服务</w:t>
      </w:r>
    </w:p>
    <w:p w14:paraId="12B02E6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采取政府购买服务形式引入专业精神康复服务机构，整合资源统筹设置精神障碍社区康复服务站点，为符合条件的处于非急性期且经专业评估适合接受社区康复的严重精神障碍患者及其家庭成员提供康复训练、辅助性支持、精康转介等专业服务，对居家患者提供上门康复服务。计划为2600名严重精神障碍患者及其家庭成员开展康复服务，接受康复服务的精神障碍患者人均服务次数不少于10次。</w:t>
      </w:r>
    </w:p>
    <w:p w14:paraId="0926994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康复训练服务。覆盖2600名服务对象开展针对性的康复训练，不限于居家康复、小组康复等活动，可根据每位对象的实际康复需求灵活调配上门指导、分组集中训练等服务资源，同步为50名社会功能恢复较好的对象定制个案支持，推动其更好回归社会生活。</w:t>
      </w:r>
    </w:p>
    <w:p w14:paraId="66015B9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辅助性支持服务。一是设置适合康复对象的辅助性就业项目、提供就业指导与岗位适应性训练等。在站点内接受精神障碍社区康复服务患者的就业率（含辅助性就业）不低于5%。二是对康复对象家庭的支持，如提供社会保障政策和专业康复资源链接，为家庭提供照料技能和专业康复知识培训等。三是对康复对象所在社区的支持，如开展法律法规和政策宣传、友好社区环境建设等工作。计划开展社区融合服务及政策法规宣传活动2场。</w:t>
      </w:r>
    </w:p>
    <w:p w14:paraId="37792AE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精康转介服务。收集康复对象需求信息，为康复对象提供及时、高效、便捷的转介服务，强化就业（含辅助性就业）转介服务。建立康复服务机构与精神卫生医疗机构之间的双向转介机制，病情稳定、出院后需继续康复的严重精神障碍患者，由精神卫生医疗机构出具康复建议并填写转介单，转介至对应康复站点接受服务；对康复效果不佳、病情变化或急性发作的服务对象，及时联系精神卫生医疗机构处置；患者康复需求如发生变化，可转介至其他相应康复机构。</w:t>
      </w:r>
    </w:p>
    <w:p w14:paraId="096D26E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（二）开展督导培训</w:t>
      </w:r>
    </w:p>
    <w:p w14:paraId="76BEAA0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委托具有精神康复服务能力的社会组织，组织专家对精神障碍社区康复服务站点、康复服务机构及其工作人员开展专业督导。组织开展业务培训，持续提升专业水平和能力。</w:t>
      </w:r>
    </w:p>
    <w:p w14:paraId="7D903EA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计划按季度开展精神障碍社区康复服务督导工作，督导次数不少于4次；每年组织开展精神障碍社区康复服务业务培训1次。</w:t>
      </w:r>
    </w:p>
    <w:p w14:paraId="6C768ED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四、组织实施保障</w:t>
      </w:r>
    </w:p>
    <w:p w14:paraId="45E8D6F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（一）加强组织领导</w:t>
      </w:r>
    </w:p>
    <w:p w14:paraId="42B32BC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健全民政牵头抓总、卫健业务指导、残联协同联动、公安风险管控、属地推进落实、机构具体实施的多元协作机制，定期召开海淀区精康融合行动工作会，压实各级工作职责，细化任务分工，加强资源整合，统筹推进康复网络建设、双向转介、服务提质、风险防控各项工作，形成齐抓共管、协同高效、闭环运行的工作格局。</w:t>
      </w:r>
    </w:p>
    <w:p w14:paraId="6161B77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（二）抓好资金监管</w:t>
      </w:r>
    </w:p>
    <w:p w14:paraId="2B9765E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规范使用中央专项彩票公益金，严格实行专款专用、专账核算，规范资金审核拨付流程，加强全流程资金监管。足额保障人员劳务、入户服务、康复物资、场地运维、活动开展、业务培训、档案管理等各项支出，主动接受财政、审计、纪检监督，确保资金安全合规、高效惠及服务对象。</w:t>
      </w:r>
    </w:p>
    <w:p w14:paraId="2C8A489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（三）建强人员队伍</w:t>
      </w:r>
    </w:p>
    <w:p w14:paraId="705BDB8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配齐专职康复社工、心理疏导专家、入户随访专员，联动精防医生常态化下沉指导，稳定基层服务力量。组织开展政策法规、康复技能、风险处置、隐私保密、沟通技巧等方面的专业培训，提升从业人员专业能力、应急处置能力和规范化服务水平，构建专业化、常态化、长效化精康服务队伍。</w:t>
      </w:r>
    </w:p>
    <w:p w14:paraId="7C1D72F2">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（四）加强风险防控</w:t>
      </w:r>
    </w:p>
    <w:p w14:paraId="5DAAFE5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严格落实患者个人信息保密管理，规范档案保管、信息流转、入户服务流程，严防隐私泄露引发矛盾纠纷。强化入户服务安全防护，规范沟通方式与服务言行，妥善化解家庭矛盾、情绪对立等潜在风险。联动医疗机构开展应急处置，完善病情突发波动、冲动过激、自伤自残、肇事肇祸突发事件应急预案，保障项目平稳有序运行。</w:t>
      </w:r>
    </w:p>
    <w:p w14:paraId="6EE3A1C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（五）加大宣传力度</w:t>
      </w:r>
    </w:p>
    <w:p w14:paraId="03F6EB3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通过线上线下渠道，广泛普及精神卫生健康知识、精康融合惠民政策、社区康复服务内容等，提升群众知晓度与社会认可度，正向引导社会舆论，营造理解、包容、关爱精神障碍患者的良好社会氛围。及时总结项目特色做法、服务成效与典型案例，加强宣传推广，引导更多社会力量关心支持精神障碍社区康复工作，构建全民关注、多方参与、共建共享的精神卫生关爱格局。</w:t>
      </w:r>
    </w:p>
    <w:p w14:paraId="3FEE86F3">
      <w:pPr>
        <w:pStyle w:val="14"/>
        <w:spacing w:line="560" w:lineRule="exact"/>
        <w:rPr>
          <w:rFonts w:hint="eastAsia" w:ascii="黑体" w:hAnsi="黑体" w:eastAsia="黑体" w:cs="黑体"/>
          <w:color w:val="auto"/>
          <w:sz w:val="32"/>
          <w:szCs w:val="32"/>
          <w:lang w:val="en-US" w:eastAsia="zh-CN"/>
        </w:rPr>
      </w:pPr>
    </w:p>
    <w:p w14:paraId="5B40076D">
      <w:pPr>
        <w:pStyle w:val="14"/>
        <w:spacing w:line="560" w:lineRule="exact"/>
        <w:rPr>
          <w:rFonts w:hint="eastAsia" w:ascii="黑体" w:hAnsi="黑体" w:eastAsia="黑体" w:cs="黑体"/>
          <w:color w:val="auto"/>
          <w:sz w:val="32"/>
          <w:szCs w:val="32"/>
          <w:lang w:val="en-US" w:eastAsia="zh-CN"/>
        </w:rPr>
      </w:pPr>
    </w:p>
    <w:p w14:paraId="2C2741B1">
      <w:pPr>
        <w:pStyle w:val="14"/>
        <w:spacing w:line="560" w:lineRule="exact"/>
        <w:rPr>
          <w:rFonts w:hint="eastAsia" w:ascii="黑体" w:hAnsi="黑体" w:eastAsia="黑体" w:cs="黑体"/>
          <w:color w:val="auto"/>
          <w:sz w:val="32"/>
          <w:szCs w:val="32"/>
          <w:lang w:val="en-US" w:eastAsia="zh-CN"/>
        </w:rPr>
      </w:pPr>
    </w:p>
    <w:p w14:paraId="226F9104">
      <w:pPr>
        <w:pStyle w:val="14"/>
        <w:spacing w:line="560" w:lineRule="exact"/>
        <w:rPr>
          <w:rFonts w:hint="eastAsia" w:ascii="黑体" w:hAnsi="黑体" w:eastAsia="黑体" w:cs="黑体"/>
          <w:color w:val="auto"/>
          <w:sz w:val="32"/>
          <w:szCs w:val="32"/>
          <w:lang w:val="en-US" w:eastAsia="zh-CN"/>
        </w:rPr>
      </w:pPr>
    </w:p>
    <w:p w14:paraId="249021EC">
      <w:pPr>
        <w:pStyle w:val="14"/>
        <w:spacing w:line="560" w:lineRule="exact"/>
        <w:rPr>
          <w:rFonts w:hint="eastAsia" w:ascii="黑体" w:hAnsi="黑体" w:eastAsia="黑体" w:cs="黑体"/>
          <w:color w:val="auto"/>
          <w:sz w:val="32"/>
          <w:szCs w:val="32"/>
          <w:lang w:val="en-US" w:eastAsia="zh-CN"/>
        </w:rPr>
      </w:pPr>
    </w:p>
    <w:p w14:paraId="5578EC44">
      <w:pPr>
        <w:pStyle w:val="14"/>
        <w:spacing w:line="560" w:lineRule="exact"/>
        <w:rPr>
          <w:rFonts w:hint="eastAsia" w:ascii="黑体" w:hAnsi="黑体" w:eastAsia="黑体" w:cs="黑体"/>
          <w:color w:val="auto"/>
          <w:sz w:val="32"/>
          <w:szCs w:val="32"/>
          <w:lang w:val="en-US" w:eastAsia="zh-CN"/>
        </w:rPr>
      </w:pPr>
    </w:p>
    <w:p w14:paraId="1B822846">
      <w:pPr>
        <w:pStyle w:val="14"/>
        <w:spacing w:line="560" w:lineRule="exact"/>
        <w:rPr>
          <w:rFonts w:hint="eastAsia" w:ascii="黑体" w:hAnsi="黑体" w:eastAsia="黑体" w:cs="黑体"/>
          <w:color w:val="auto"/>
          <w:sz w:val="32"/>
          <w:szCs w:val="32"/>
          <w:lang w:val="en-US" w:eastAsia="zh-CN"/>
        </w:rPr>
      </w:pPr>
    </w:p>
    <w:p w14:paraId="5C74E53A">
      <w:pPr>
        <w:pStyle w:val="14"/>
        <w:spacing w:line="560" w:lineRule="exact"/>
        <w:rPr>
          <w:rFonts w:hint="eastAsia" w:ascii="黑体" w:hAnsi="黑体" w:eastAsia="黑体" w:cs="黑体"/>
          <w:color w:val="auto"/>
          <w:sz w:val="32"/>
          <w:szCs w:val="32"/>
          <w:lang w:val="en-US" w:eastAsia="zh-CN"/>
        </w:rPr>
      </w:pPr>
    </w:p>
    <w:p w14:paraId="7FF07C67">
      <w:pPr>
        <w:pStyle w:val="14"/>
        <w:spacing w:line="560" w:lineRule="exact"/>
        <w:rPr>
          <w:rFonts w:hint="eastAsia" w:ascii="黑体" w:hAnsi="黑体" w:eastAsia="黑体" w:cs="黑体"/>
          <w:color w:val="auto"/>
          <w:sz w:val="32"/>
          <w:szCs w:val="32"/>
          <w:lang w:val="en-US" w:eastAsia="zh-CN"/>
        </w:rPr>
      </w:pPr>
    </w:p>
    <w:p w14:paraId="0C8078D9">
      <w:pPr>
        <w:pStyle w:val="14"/>
        <w:spacing w:line="560" w:lineRule="exact"/>
        <w:rPr>
          <w:rFonts w:hint="eastAsia" w:ascii="黑体" w:hAnsi="黑体" w:eastAsia="黑体" w:cs="黑体"/>
          <w:color w:val="auto"/>
          <w:sz w:val="32"/>
          <w:szCs w:val="32"/>
          <w:lang w:val="en-US" w:eastAsia="zh-CN"/>
        </w:rPr>
      </w:pPr>
    </w:p>
    <w:p w14:paraId="7B2191DE">
      <w:pPr>
        <w:pStyle w:val="14"/>
        <w:spacing w:line="560" w:lineRule="exact"/>
        <w:rPr>
          <w:rFonts w:hint="eastAsia" w:ascii="黑体" w:hAnsi="黑体" w:eastAsia="黑体" w:cs="黑体"/>
          <w:color w:val="auto"/>
          <w:sz w:val="32"/>
          <w:szCs w:val="32"/>
          <w:lang w:val="en-US" w:eastAsia="zh-CN"/>
        </w:rPr>
      </w:pPr>
    </w:p>
    <w:p w14:paraId="007CA11D">
      <w:pPr>
        <w:pStyle w:val="14"/>
        <w:spacing w:line="560" w:lineRule="exact"/>
        <w:rPr>
          <w:rFonts w:hint="eastAsia" w:ascii="黑体" w:hAnsi="黑体" w:eastAsia="黑体" w:cs="黑体"/>
          <w:color w:val="auto"/>
          <w:sz w:val="32"/>
          <w:szCs w:val="32"/>
          <w:lang w:val="en-US" w:eastAsia="zh-CN"/>
        </w:rPr>
      </w:pPr>
    </w:p>
    <w:p w14:paraId="14C1111B">
      <w:pPr>
        <w:pStyle w:val="14"/>
        <w:spacing w:line="560" w:lineRule="exact"/>
        <w:rPr>
          <w:rFonts w:hint="eastAsia" w:ascii="黑体" w:hAnsi="黑体" w:eastAsia="黑体" w:cs="黑体"/>
          <w:color w:val="auto"/>
          <w:sz w:val="32"/>
          <w:szCs w:val="32"/>
          <w:lang w:val="en-US" w:eastAsia="zh-CN"/>
        </w:rPr>
      </w:pPr>
    </w:p>
    <w:p w14:paraId="27B21927">
      <w:pPr>
        <w:pStyle w:val="14"/>
        <w:spacing w:line="56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14:paraId="3FD545DF">
      <w:pPr>
        <w:pStyle w:val="14"/>
        <w:keepNext w:val="0"/>
        <w:keepLines w:val="0"/>
        <w:pageBreakBefore w:val="0"/>
        <w:widowControl w:val="0"/>
        <w:kinsoku/>
        <w:wordWrap/>
        <w:overflowPunct/>
        <w:topLinePunct w:val="0"/>
        <w:autoSpaceDE/>
        <w:autoSpaceDN/>
        <w:bidi w:val="0"/>
        <w:adjustRightInd/>
        <w:snapToGrid w:val="0"/>
        <w:spacing w:line="560" w:lineRule="exact"/>
        <w:ind w:right="0" w:rightChars="0"/>
        <w:jc w:val="center"/>
        <w:textAlignment w:val="auto"/>
        <w:rPr>
          <w:rFonts w:hint="eastAsia" w:ascii="方正小标宋简体" w:hAnsi="方正小标宋简体" w:eastAsia="方正小标宋简体" w:cs="方正小标宋简体"/>
          <w:sz w:val="44"/>
          <w:szCs w:val="44"/>
          <w:highlight w:val="none"/>
          <w:lang w:val="en-US" w:eastAsia="zh-CN"/>
        </w:rPr>
      </w:pPr>
    </w:p>
    <w:p w14:paraId="58CA7234">
      <w:pPr>
        <w:pStyle w:val="14"/>
        <w:keepNext w:val="0"/>
        <w:keepLines w:val="0"/>
        <w:pageBreakBefore w:val="0"/>
        <w:widowControl w:val="0"/>
        <w:kinsoku/>
        <w:wordWrap/>
        <w:overflowPunct/>
        <w:topLinePunct w:val="0"/>
        <w:autoSpaceDE/>
        <w:autoSpaceDN/>
        <w:bidi w:val="0"/>
        <w:adjustRightInd/>
        <w:snapToGrid w:val="0"/>
        <w:spacing w:line="560" w:lineRule="exact"/>
        <w:ind w:right="0" w:rightChars="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北京市海淀睿搏社会工作事务所基本情况</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1"/>
        <w:gridCol w:w="2593"/>
        <w:gridCol w:w="1933"/>
        <w:gridCol w:w="2600"/>
      </w:tblGrid>
      <w:tr w14:paraId="265B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066" w:type="pct"/>
            <w:noWrap w:val="0"/>
            <w:vAlign w:val="center"/>
          </w:tcPr>
          <w:p w14:paraId="0BAFBB7A">
            <w:pPr>
              <w:jc w:val="center"/>
              <w:rPr>
                <w:rFonts w:hint="eastAsia" w:ascii="仿宋_GB2312" w:hAnsi="仿宋_GB2312" w:eastAsia="仿宋_GB2312" w:cs="仿宋_GB2312"/>
                <w:b/>
                <w:bCs/>
                <w:sz w:val="24"/>
                <w:szCs w:val="24"/>
              </w:rPr>
            </w:pPr>
            <w:bookmarkStart w:id="16" w:name="OLE_LINK1"/>
            <w:r>
              <w:rPr>
                <w:rFonts w:hint="eastAsia" w:ascii="仿宋_GB2312" w:hAnsi="仿宋_GB2312" w:eastAsia="仿宋_GB2312" w:cs="仿宋_GB2312"/>
                <w:b/>
                <w:bCs/>
                <w:sz w:val="24"/>
                <w:szCs w:val="24"/>
              </w:rPr>
              <w:t>单位全称</w:t>
            </w:r>
          </w:p>
        </w:tc>
        <w:tc>
          <w:tcPr>
            <w:tcW w:w="3933" w:type="pct"/>
            <w:gridSpan w:val="3"/>
            <w:noWrap w:val="0"/>
            <w:vAlign w:val="center"/>
          </w:tcPr>
          <w:p w14:paraId="1CCB9AEA">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北京市海淀睿搏社会工作事务所 </w:t>
            </w:r>
          </w:p>
        </w:tc>
      </w:tr>
      <w:tr w14:paraId="68A9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066" w:type="pct"/>
            <w:noWrap w:val="0"/>
            <w:vAlign w:val="center"/>
          </w:tcPr>
          <w:p w14:paraId="07DD9F6B">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社会信用代码</w:t>
            </w:r>
          </w:p>
        </w:tc>
        <w:tc>
          <w:tcPr>
            <w:tcW w:w="1431" w:type="pct"/>
            <w:noWrap w:val="0"/>
            <w:vAlign w:val="center"/>
          </w:tcPr>
          <w:p w14:paraId="68A76D51">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521101085674905308 </w:t>
            </w:r>
          </w:p>
        </w:tc>
        <w:tc>
          <w:tcPr>
            <w:tcW w:w="1067" w:type="pct"/>
            <w:noWrap w:val="0"/>
            <w:vAlign w:val="center"/>
          </w:tcPr>
          <w:p w14:paraId="399C5676">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地址</w:t>
            </w:r>
          </w:p>
        </w:tc>
        <w:tc>
          <w:tcPr>
            <w:tcW w:w="1434" w:type="pct"/>
            <w:noWrap w:val="0"/>
            <w:vAlign w:val="center"/>
          </w:tcPr>
          <w:p w14:paraId="39BFF43A">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北京市海淀区羊坊店路18号1幢11层1112室 </w:t>
            </w:r>
          </w:p>
        </w:tc>
      </w:tr>
      <w:tr w14:paraId="62B9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066" w:type="pct"/>
            <w:noWrap w:val="0"/>
            <w:vAlign w:val="center"/>
          </w:tcPr>
          <w:p w14:paraId="3446A2EA">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联系人</w:t>
            </w:r>
          </w:p>
        </w:tc>
        <w:tc>
          <w:tcPr>
            <w:tcW w:w="1431" w:type="pct"/>
            <w:noWrap w:val="0"/>
            <w:vAlign w:val="center"/>
          </w:tcPr>
          <w:p w14:paraId="0F4B3C99">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赵慧芳 </w:t>
            </w:r>
          </w:p>
        </w:tc>
        <w:tc>
          <w:tcPr>
            <w:tcW w:w="1067" w:type="pct"/>
            <w:noWrap w:val="0"/>
            <w:vAlign w:val="center"/>
          </w:tcPr>
          <w:p w14:paraId="794E5016">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手机</w:t>
            </w:r>
          </w:p>
        </w:tc>
        <w:tc>
          <w:tcPr>
            <w:tcW w:w="1434" w:type="pct"/>
            <w:noWrap w:val="0"/>
            <w:vAlign w:val="center"/>
          </w:tcPr>
          <w:p w14:paraId="256E11B8">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13681049935  </w:t>
            </w:r>
          </w:p>
        </w:tc>
      </w:tr>
      <w:tr w14:paraId="6BD9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066" w:type="pct"/>
            <w:noWrap w:val="0"/>
            <w:vAlign w:val="center"/>
          </w:tcPr>
          <w:p w14:paraId="27435F36">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电话</w:t>
            </w:r>
          </w:p>
        </w:tc>
        <w:tc>
          <w:tcPr>
            <w:tcW w:w="1431" w:type="pct"/>
            <w:noWrap w:val="0"/>
            <w:vAlign w:val="center"/>
          </w:tcPr>
          <w:p w14:paraId="0D25418A">
            <w:pPr>
              <w:jc w:val="center"/>
              <w:rPr>
                <w:rFonts w:hint="default" w:ascii="仿宋_GB2312" w:hAnsi="仿宋_GB2312" w:eastAsia="仿宋_GB2312" w:cs="仿宋_GB2312"/>
                <w:sz w:val="24"/>
                <w:szCs w:val="24"/>
                <w:lang w:val="en-US"/>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val="en-US" w:eastAsia="zh-CN"/>
              </w:rPr>
              <w:t>/</w:t>
            </w:r>
          </w:p>
        </w:tc>
        <w:tc>
          <w:tcPr>
            <w:tcW w:w="1067" w:type="pct"/>
            <w:noWrap w:val="0"/>
            <w:vAlign w:val="center"/>
          </w:tcPr>
          <w:p w14:paraId="2B8A8F68">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邮箱</w:t>
            </w:r>
          </w:p>
        </w:tc>
        <w:tc>
          <w:tcPr>
            <w:tcW w:w="1434" w:type="pct"/>
            <w:noWrap w:val="0"/>
            <w:vAlign w:val="center"/>
          </w:tcPr>
          <w:p w14:paraId="7DDA53D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bjhdrb@126.com </w:t>
            </w:r>
          </w:p>
        </w:tc>
      </w:tr>
      <w:tr w14:paraId="38DE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066" w:type="pct"/>
            <w:noWrap w:val="0"/>
            <w:vAlign w:val="center"/>
          </w:tcPr>
          <w:p w14:paraId="0BB891A1">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成立日期</w:t>
            </w:r>
          </w:p>
        </w:tc>
        <w:tc>
          <w:tcPr>
            <w:tcW w:w="1431" w:type="pct"/>
            <w:noWrap w:val="0"/>
            <w:vAlign w:val="center"/>
          </w:tcPr>
          <w:p w14:paraId="0FC663EB">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2010年12月 </w:t>
            </w:r>
          </w:p>
        </w:tc>
        <w:tc>
          <w:tcPr>
            <w:tcW w:w="1067" w:type="pct"/>
            <w:noWrap w:val="0"/>
            <w:vAlign w:val="center"/>
          </w:tcPr>
          <w:p w14:paraId="76275CE1">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单位人数</w:t>
            </w:r>
          </w:p>
        </w:tc>
        <w:tc>
          <w:tcPr>
            <w:tcW w:w="1434" w:type="pct"/>
            <w:noWrap w:val="0"/>
            <w:vAlign w:val="center"/>
          </w:tcPr>
          <w:p w14:paraId="5AA08815">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18名专职人员</w:t>
            </w:r>
          </w:p>
        </w:tc>
      </w:tr>
      <w:tr w14:paraId="6B9F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7" w:hRule="atLeast"/>
        </w:trPr>
        <w:tc>
          <w:tcPr>
            <w:tcW w:w="1066" w:type="pct"/>
            <w:noWrap w:val="0"/>
            <w:vAlign w:val="center"/>
          </w:tcPr>
          <w:p w14:paraId="57E516BF">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单位基本情况</w:t>
            </w:r>
          </w:p>
        </w:tc>
        <w:tc>
          <w:tcPr>
            <w:tcW w:w="3933" w:type="pct"/>
            <w:gridSpan w:val="3"/>
            <w:noWrap w:val="0"/>
            <w:vAlign w:val="center"/>
          </w:tcPr>
          <w:p w14:paraId="2EC297A9">
            <w:pPr>
              <w:spacing w:line="5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北京市海淀睿搏社会工作事务所成立于2010年，经海淀区民政局注册、当前由海淀区委社会工作部任主管单位，2019年与2024年连续两次被评为5A级社会组织。</w:t>
            </w:r>
          </w:p>
          <w:p w14:paraId="47D1A402">
            <w:pPr>
              <w:spacing w:line="5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构使命与理念:长期以来秉持“少年为本，援助家庭;社区为本，助人自助;社工为本，增能赋权”的工作理念。让困境儿童及家庭得到帮助，为困境老人及家庭传递温暖，用爱心助力需求者成长，使社工成为受尊重的职业。</w:t>
            </w:r>
          </w:p>
          <w:p w14:paraId="187C7FAD">
            <w:pPr>
              <w:spacing w:line="56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主要业务范围:长期坚持面向低保低收入、困境老人、困境儿童提供社会救助及慈善救助服务、老年人生活服务及精神慰藉服务、东西部乡村振兴对口支援项目及为老服务项目、</w:t>
            </w:r>
            <w:r>
              <w:rPr>
                <w:rFonts w:hint="eastAsia" w:ascii="仿宋_GB2312" w:hAnsi="仿宋_GB2312" w:eastAsia="仿宋_GB2312" w:cs="仿宋_GB2312"/>
                <w:sz w:val="24"/>
                <w:szCs w:val="24"/>
                <w:lang w:eastAsia="zh-CN"/>
              </w:rPr>
              <w:t>社区</w:t>
            </w:r>
            <w:r>
              <w:rPr>
                <w:rFonts w:hint="eastAsia" w:ascii="仿宋_GB2312" w:hAnsi="仿宋_GB2312" w:eastAsia="仿宋_GB2312" w:cs="仿宋_GB2312"/>
                <w:sz w:val="24"/>
                <w:szCs w:val="24"/>
              </w:rPr>
              <w:t>工作者能力提升培训服务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同时与多家医院开展医务</w:t>
            </w:r>
            <w:r>
              <w:rPr>
                <w:rFonts w:hint="eastAsia" w:ascii="仿宋_GB2312" w:hAnsi="仿宋_GB2312" w:eastAsia="仿宋_GB2312" w:cs="仿宋_GB2312"/>
                <w:sz w:val="24"/>
                <w:szCs w:val="24"/>
                <w:lang w:eastAsia="zh-CN"/>
              </w:rPr>
              <w:t>社工项目。</w:t>
            </w:r>
          </w:p>
          <w:p w14:paraId="5AE6F398">
            <w:pPr>
              <w:spacing w:line="56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机构荣誉:运用社会工作理念方法，为有需要的个人、家庭、社区、组织，提供多样化的社会工作专业服务。获得困难群众精准救助工作丰富经验，取得良好社会影响。受到困难群众及家庭、所合作的街镇民生保障部门等方面的充分肯定。获得中央电视台、香港健康卫士、北京电视台、北京日报、北京青年报、“海淀新闻”电视台、北京社区报、北京社会建设网站等多家媒体宣传报道。被评为“全国百强社会工作服务机构”，“北京市社会领域先进基层党组织”、“最美社工团队”、北京市首批“社会工作实务实训实践基地"</w:t>
            </w:r>
          </w:p>
        </w:tc>
      </w:tr>
      <w:bookmarkEnd w:id="16"/>
    </w:tbl>
    <w:p w14:paraId="53E77576">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39AA6048">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365B9664">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0A455E46">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749B8E05">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3A573B0D">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611DEF43">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7949351E">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63873ECF">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1D8BA0BF">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39E3F71E">
      <w:pPr>
        <w:pStyle w:val="2"/>
        <w:rPr>
          <w:rFonts w:hint="eastAsia" w:ascii="方正小标宋简体" w:hAnsi="方正小标宋简体" w:eastAsia="方正小标宋简体" w:cs="方正小标宋简体"/>
          <w:b w:val="0"/>
          <w:bCs w:val="0"/>
          <w:sz w:val="44"/>
          <w:szCs w:val="44"/>
          <w:highlight w:val="none"/>
        </w:rPr>
      </w:pPr>
    </w:p>
    <w:p w14:paraId="6DA38809">
      <w:pPr>
        <w:pStyle w:val="2"/>
        <w:rPr>
          <w:rFonts w:hint="eastAsia" w:ascii="方正小标宋简体" w:hAnsi="方正小标宋简体" w:eastAsia="方正小标宋简体" w:cs="方正小标宋简体"/>
          <w:b w:val="0"/>
          <w:bCs w:val="0"/>
          <w:sz w:val="44"/>
          <w:szCs w:val="44"/>
          <w:highlight w:val="none"/>
        </w:rPr>
      </w:pPr>
    </w:p>
    <w:p w14:paraId="5B41BD24">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7601B4FE">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553FFB4F">
      <w:pPr>
        <w:spacing w:line="560" w:lineRule="exact"/>
        <w:jc w:val="center"/>
        <w:rPr>
          <w:rFonts w:hint="eastAsia" w:ascii="黑体" w:hAnsi="黑体" w:eastAsia="黑体" w:cs="黑体"/>
          <w:b/>
          <w:bCs/>
        </w:rPr>
      </w:pPr>
      <w:r>
        <w:rPr>
          <w:rFonts w:hint="eastAsia" w:ascii="方正小标宋简体" w:hAnsi="方正小标宋简体" w:eastAsia="方正小标宋简体" w:cs="方正小标宋简体"/>
          <w:b w:val="0"/>
          <w:bCs w:val="0"/>
          <w:sz w:val="44"/>
          <w:szCs w:val="44"/>
          <w:highlight w:val="none"/>
        </w:rPr>
        <w:t>单位营业执照</w:t>
      </w:r>
    </w:p>
    <w:p w14:paraId="42A436AA">
      <w:r>
        <w:drawing>
          <wp:inline distT="0" distB="0" distL="114300" distR="114300">
            <wp:extent cx="5438140" cy="3834765"/>
            <wp:effectExtent l="0" t="0" r="1016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438140" cy="3834765"/>
                    </a:xfrm>
                    <a:prstGeom prst="rect">
                      <a:avLst/>
                    </a:prstGeom>
                    <a:noFill/>
                    <a:ln>
                      <a:noFill/>
                    </a:ln>
                  </pic:spPr>
                </pic:pic>
              </a:graphicData>
            </a:graphic>
          </wp:inline>
        </w:drawing>
      </w:r>
    </w:p>
    <w:p w14:paraId="62E67CC5">
      <w:pPr>
        <w:jc w:val="center"/>
      </w:pPr>
      <w:r>
        <w:drawing>
          <wp:inline distT="0" distB="0" distL="114300" distR="114300">
            <wp:extent cx="5251450" cy="3733800"/>
            <wp:effectExtent l="0" t="0" r="635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8"/>
                    <a:stretch>
                      <a:fillRect/>
                    </a:stretch>
                  </pic:blipFill>
                  <pic:spPr>
                    <a:xfrm>
                      <a:off x="0" y="0"/>
                      <a:ext cx="5251450" cy="3733800"/>
                    </a:xfrm>
                    <a:prstGeom prst="rect">
                      <a:avLst/>
                    </a:prstGeom>
                    <a:noFill/>
                    <a:ln>
                      <a:noFill/>
                    </a:ln>
                  </pic:spPr>
                </pic:pic>
              </a:graphicData>
            </a:graphic>
          </wp:inline>
        </w:drawing>
      </w:r>
    </w:p>
    <w:p w14:paraId="62D380E6">
      <w:r>
        <w:drawing>
          <wp:inline distT="0" distB="0" distL="114300" distR="114300">
            <wp:extent cx="5614670" cy="3792220"/>
            <wp:effectExtent l="0" t="0" r="5080" b="1778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9"/>
                    <a:stretch>
                      <a:fillRect/>
                    </a:stretch>
                  </pic:blipFill>
                  <pic:spPr>
                    <a:xfrm>
                      <a:off x="0" y="0"/>
                      <a:ext cx="5614670" cy="3792220"/>
                    </a:xfrm>
                    <a:prstGeom prst="rect">
                      <a:avLst/>
                    </a:prstGeom>
                    <a:noFill/>
                    <a:ln>
                      <a:noFill/>
                    </a:ln>
                  </pic:spPr>
                </pic:pic>
              </a:graphicData>
            </a:graphic>
          </wp:inline>
        </w:drawing>
      </w:r>
    </w:p>
    <w:p w14:paraId="240F0F9B">
      <w:pPr>
        <w:pStyle w:val="2"/>
      </w:pPr>
    </w:p>
    <w:p w14:paraId="0DEC08E6">
      <w:pPr>
        <w:rPr>
          <w:rFonts w:hint="eastAsia" w:ascii="黑体" w:hAnsi="黑体" w:eastAsia="黑体" w:cs="黑体"/>
          <w:b/>
          <w:bCs/>
        </w:rPr>
      </w:pPr>
      <w:r>
        <w:drawing>
          <wp:inline distT="0" distB="0" distL="114300" distR="114300">
            <wp:extent cx="5615940" cy="4032250"/>
            <wp:effectExtent l="0" t="0" r="3810" b="635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
                    <a:stretch>
                      <a:fillRect/>
                    </a:stretch>
                  </pic:blipFill>
                  <pic:spPr>
                    <a:xfrm>
                      <a:off x="0" y="0"/>
                      <a:ext cx="5615940" cy="4032250"/>
                    </a:xfrm>
                    <a:prstGeom prst="rect">
                      <a:avLst/>
                    </a:prstGeom>
                    <a:noFill/>
                    <a:ln>
                      <a:noFill/>
                    </a:ln>
                  </pic:spPr>
                </pic:pic>
              </a:graphicData>
            </a:graphic>
          </wp:inline>
        </w:drawing>
      </w:r>
      <w:r>
        <w:rPr>
          <w:rFonts w:ascii="黑体" w:hAnsi="黑体" w:eastAsia="黑体" w:cs="黑体"/>
          <w:b/>
          <w:bCs/>
        </w:rPr>
        <w:br w:type="page"/>
      </w:r>
    </w:p>
    <w:p w14:paraId="18152598">
      <w:pPr>
        <w:spacing w:line="560" w:lineRule="exact"/>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近两年类似服务类型项目业绩</w:t>
      </w:r>
    </w:p>
    <w:p w14:paraId="0E4337C6">
      <w:pPr>
        <w:spacing w:line="560" w:lineRule="exact"/>
        <w:jc w:val="center"/>
        <w:rPr>
          <w:rFonts w:hint="eastAsia" w:ascii="方正小标宋简体" w:hAnsi="方正小标宋简体" w:eastAsia="方正小标宋简体" w:cs="方正小标宋简体"/>
          <w:b w:val="0"/>
          <w:bCs w:val="0"/>
          <w:sz w:val="44"/>
          <w:szCs w:val="44"/>
          <w:highlight w:val="none"/>
        </w:rPr>
      </w:pPr>
    </w:p>
    <w:tbl>
      <w:tblPr>
        <w:tblStyle w:val="22"/>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790"/>
        <w:gridCol w:w="4364"/>
        <w:gridCol w:w="2192"/>
      </w:tblGrid>
      <w:tr w14:paraId="0387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2ADB7F55">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981" w:type="pct"/>
            <w:noWrap w:val="0"/>
            <w:vAlign w:val="center"/>
          </w:tcPr>
          <w:p w14:paraId="37C2B409">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执行年度</w:t>
            </w:r>
          </w:p>
        </w:tc>
        <w:tc>
          <w:tcPr>
            <w:tcW w:w="2393" w:type="pct"/>
            <w:noWrap w:val="0"/>
            <w:vAlign w:val="center"/>
          </w:tcPr>
          <w:p w14:paraId="09E03DEA">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项目名称</w:t>
            </w:r>
          </w:p>
        </w:tc>
        <w:tc>
          <w:tcPr>
            <w:tcW w:w="1202" w:type="pct"/>
            <w:noWrap w:val="0"/>
            <w:vAlign w:val="center"/>
          </w:tcPr>
          <w:p w14:paraId="40237ABF">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采购方</w:t>
            </w:r>
          </w:p>
        </w:tc>
      </w:tr>
      <w:tr w14:paraId="51A4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23" w:type="pct"/>
            <w:noWrap w:val="0"/>
            <w:vAlign w:val="center"/>
          </w:tcPr>
          <w:p w14:paraId="431B7430">
            <w:pPr>
              <w:spacing w:line="360" w:lineRule="auto"/>
              <w:jc w:val="center"/>
              <w:rPr>
                <w:rFonts w:hint="eastAsia" w:ascii="仿宋_GB2312" w:hAnsi="仿宋_GB2312" w:eastAsia="仿宋_GB2312" w:cs="仿宋_GB2312"/>
                <w:color w:val="auto"/>
                <w:sz w:val="24"/>
                <w:szCs w:val="24"/>
              </w:rPr>
            </w:pPr>
            <w:bookmarkStart w:id="17" w:name="_Hlk219988492"/>
            <w:r>
              <w:rPr>
                <w:rFonts w:hint="eastAsia" w:ascii="仿宋_GB2312" w:hAnsi="仿宋_GB2312" w:eastAsia="仿宋_GB2312" w:cs="仿宋_GB2312"/>
                <w:color w:val="auto"/>
                <w:sz w:val="24"/>
                <w:szCs w:val="24"/>
              </w:rPr>
              <w:t>1</w:t>
            </w:r>
          </w:p>
        </w:tc>
        <w:tc>
          <w:tcPr>
            <w:tcW w:w="981" w:type="pct"/>
            <w:noWrap w:val="0"/>
            <w:vAlign w:val="center"/>
          </w:tcPr>
          <w:p w14:paraId="16005081">
            <w:pPr>
              <w:jc w:val="cente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2025年1月1日至20</w:t>
            </w:r>
            <w:r>
              <w:rPr>
                <w:rFonts w:hint="eastAsia" w:ascii="仿宋_GB2312" w:hAnsi="仿宋_GB2312" w:eastAsia="仿宋_GB2312" w:cs="仿宋_GB2312"/>
                <w:spacing w:val="14"/>
                <w:sz w:val="24"/>
                <w:szCs w:val="24"/>
                <w:lang w:val="en-US" w:eastAsia="zh-CN"/>
              </w:rPr>
              <w:t>2</w:t>
            </w:r>
            <w:r>
              <w:rPr>
                <w:rFonts w:hint="eastAsia" w:ascii="仿宋_GB2312" w:hAnsi="仿宋_GB2312" w:eastAsia="仿宋_GB2312" w:cs="仿宋_GB2312"/>
                <w:spacing w:val="14"/>
                <w:sz w:val="24"/>
                <w:szCs w:val="24"/>
              </w:rPr>
              <w:t>5年12月3日</w:t>
            </w:r>
          </w:p>
        </w:tc>
        <w:tc>
          <w:tcPr>
            <w:tcW w:w="2393" w:type="pct"/>
            <w:noWrap w:val="0"/>
            <w:vAlign w:val="center"/>
          </w:tcPr>
          <w:p w14:paraId="6D5DF5C5">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2025年羊坊店街道困难群众社会救助项目</w:t>
            </w:r>
          </w:p>
        </w:tc>
        <w:tc>
          <w:tcPr>
            <w:tcW w:w="1202" w:type="pct"/>
            <w:noWrap w:val="0"/>
            <w:vAlign w:val="center"/>
          </w:tcPr>
          <w:p w14:paraId="75C7A232">
            <w:pP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羊坊店街道办事处</w:t>
            </w:r>
          </w:p>
        </w:tc>
      </w:tr>
      <w:tr w14:paraId="26AD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759E2571">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981" w:type="pct"/>
            <w:noWrap w:val="0"/>
            <w:vAlign w:val="center"/>
          </w:tcPr>
          <w:p w14:paraId="5F7FE5A9">
            <w:pPr>
              <w:jc w:val="cente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2026年1月1日至2026年12月3日</w:t>
            </w:r>
          </w:p>
        </w:tc>
        <w:tc>
          <w:tcPr>
            <w:tcW w:w="2393" w:type="pct"/>
            <w:noWrap w:val="0"/>
            <w:vAlign w:val="center"/>
          </w:tcPr>
          <w:p w14:paraId="433A823C">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2026年北下关街道困难群众社会救助项目</w:t>
            </w:r>
          </w:p>
        </w:tc>
        <w:tc>
          <w:tcPr>
            <w:tcW w:w="1202" w:type="pct"/>
            <w:noWrap w:val="0"/>
            <w:vAlign w:val="center"/>
          </w:tcPr>
          <w:p w14:paraId="1237A8B7">
            <w:pP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北下关街道办事处</w:t>
            </w:r>
          </w:p>
        </w:tc>
      </w:tr>
      <w:tr w14:paraId="6C8D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6C170D39">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981" w:type="pct"/>
            <w:noWrap w:val="0"/>
            <w:vAlign w:val="center"/>
          </w:tcPr>
          <w:p w14:paraId="70175858">
            <w:pPr>
              <w:jc w:val="cente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2024年1月1日至2024年12月3日</w:t>
            </w:r>
          </w:p>
        </w:tc>
        <w:tc>
          <w:tcPr>
            <w:tcW w:w="2393" w:type="pct"/>
            <w:noWrap w:val="0"/>
            <w:vAlign w:val="center"/>
          </w:tcPr>
          <w:p w14:paraId="208B5C94">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2024年度马连洼街道困难群众救助服务项目</w:t>
            </w:r>
          </w:p>
        </w:tc>
        <w:tc>
          <w:tcPr>
            <w:tcW w:w="1202" w:type="pct"/>
            <w:noWrap w:val="0"/>
            <w:vAlign w:val="center"/>
          </w:tcPr>
          <w:p w14:paraId="17119C00">
            <w:pP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马连洼街道办事处</w:t>
            </w:r>
          </w:p>
        </w:tc>
      </w:tr>
      <w:bookmarkEnd w:id="17"/>
      <w:tr w14:paraId="04622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23" w:type="pct"/>
            <w:noWrap w:val="0"/>
            <w:vAlign w:val="center"/>
          </w:tcPr>
          <w:p w14:paraId="3D52CD75">
            <w:pPr>
              <w:spacing w:line="360" w:lineRule="auto"/>
              <w:jc w:val="center"/>
              <w:rPr>
                <w:rFonts w:hint="eastAsia" w:ascii="仿宋_GB2312" w:hAnsi="仿宋_GB2312" w:eastAsia="仿宋_GB2312" w:cs="仿宋_GB2312"/>
                <w:color w:val="auto"/>
                <w:sz w:val="24"/>
                <w:szCs w:val="24"/>
              </w:rPr>
            </w:pPr>
            <w:bookmarkStart w:id="18" w:name="_Hlk219988715"/>
            <w:r>
              <w:rPr>
                <w:rFonts w:hint="eastAsia" w:ascii="仿宋_GB2312" w:hAnsi="仿宋_GB2312" w:eastAsia="仿宋_GB2312" w:cs="仿宋_GB2312"/>
                <w:color w:val="auto"/>
                <w:sz w:val="24"/>
                <w:szCs w:val="24"/>
              </w:rPr>
              <w:t>4</w:t>
            </w:r>
          </w:p>
        </w:tc>
        <w:tc>
          <w:tcPr>
            <w:tcW w:w="981" w:type="pct"/>
            <w:noWrap w:val="0"/>
            <w:vAlign w:val="center"/>
          </w:tcPr>
          <w:p w14:paraId="23BD91DB">
            <w:pPr>
              <w:jc w:val="cente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2024年1月30日至2025年1月29日</w:t>
            </w:r>
          </w:p>
        </w:tc>
        <w:tc>
          <w:tcPr>
            <w:tcW w:w="2393" w:type="pct"/>
            <w:noWrap w:val="0"/>
            <w:vAlign w:val="center"/>
          </w:tcPr>
          <w:p w14:paraId="4FF45EFB">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医务社工体系建设(北京市)项目社会工作服务一一北京京煤集团总医院</w:t>
            </w:r>
          </w:p>
        </w:tc>
        <w:tc>
          <w:tcPr>
            <w:tcW w:w="1202" w:type="pct"/>
            <w:noWrap w:val="0"/>
            <w:vAlign w:val="center"/>
          </w:tcPr>
          <w:p w14:paraId="4909A025">
            <w:pPr>
              <w:rPr>
                <w:rFonts w:hint="eastAsia" w:ascii="仿宋_GB2312" w:hAnsi="仿宋_GB2312" w:eastAsia="仿宋_GB2312" w:cs="仿宋_GB2312"/>
                <w:spacing w:val="14"/>
                <w:sz w:val="24"/>
                <w:szCs w:val="24"/>
              </w:rPr>
            </w:pPr>
            <w:r>
              <w:rPr>
                <w:rFonts w:hint="eastAsia" w:ascii="仿宋_GB2312" w:hAnsi="仿宋_GB2312" w:eastAsia="仿宋_GB2312" w:cs="仿宋_GB2312"/>
                <w:spacing w:val="14"/>
                <w:sz w:val="24"/>
                <w:szCs w:val="24"/>
              </w:rPr>
              <w:t>北京韩红爱心慈善基金会</w:t>
            </w:r>
          </w:p>
        </w:tc>
      </w:tr>
      <w:tr w14:paraId="7325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130D4E7F">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w:t>
            </w:r>
          </w:p>
        </w:tc>
        <w:tc>
          <w:tcPr>
            <w:tcW w:w="981" w:type="pct"/>
            <w:noWrap w:val="0"/>
            <w:vAlign w:val="center"/>
          </w:tcPr>
          <w:p w14:paraId="545B8FA4">
            <w:pPr>
              <w:jc w:val="center"/>
              <w:rPr>
                <w:rFonts w:hint="eastAsia" w:ascii="仿宋_GB2312" w:hAnsi="仿宋_GB2312" w:eastAsia="仿宋_GB2312" w:cs="仿宋_GB2312"/>
                <w:color w:val="auto"/>
                <w:sz w:val="24"/>
                <w:szCs w:val="24"/>
              </w:rPr>
            </w:pPr>
            <w:bookmarkStart w:id="19" w:name="_Hlk143186431"/>
            <w:r>
              <w:rPr>
                <w:rFonts w:hint="eastAsia" w:ascii="仿宋_GB2312" w:hAnsi="仿宋_GB2312" w:eastAsia="仿宋_GB2312" w:cs="仿宋_GB2312"/>
                <w:color w:val="auto"/>
                <w:sz w:val="24"/>
                <w:szCs w:val="24"/>
              </w:rPr>
              <w:t>2024年11月1日至2025</w:t>
            </w:r>
            <w:r>
              <w:rPr>
                <w:rFonts w:hint="eastAsia" w:ascii="仿宋_GB2312" w:hAnsi="仿宋_GB2312" w:eastAsia="仿宋_GB2312" w:cs="仿宋_GB2312"/>
                <w:color w:val="auto"/>
                <w:sz w:val="24"/>
                <w:szCs w:val="24"/>
                <w:lang w:eastAsia="zh-CN"/>
              </w:rPr>
              <w:t>年</w:t>
            </w:r>
            <w:r>
              <w:rPr>
                <w:rFonts w:hint="eastAsia" w:ascii="仿宋_GB2312" w:hAnsi="仿宋_GB2312" w:eastAsia="仿宋_GB2312" w:cs="仿宋_GB2312"/>
                <w:color w:val="auto"/>
                <w:sz w:val="24"/>
                <w:szCs w:val="24"/>
              </w:rPr>
              <w:t>10月31日</w:t>
            </w:r>
          </w:p>
          <w:bookmarkEnd w:id="19"/>
        </w:tc>
        <w:tc>
          <w:tcPr>
            <w:tcW w:w="2393" w:type="pct"/>
            <w:noWrap w:val="0"/>
            <w:vAlign w:val="center"/>
          </w:tcPr>
          <w:p w14:paraId="7E2ABBE9">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医务社工体系建设(北京市)项目社会工作服务一一北京市西城区广外医院</w:t>
            </w:r>
          </w:p>
        </w:tc>
        <w:tc>
          <w:tcPr>
            <w:tcW w:w="1202" w:type="pct"/>
            <w:noWrap w:val="0"/>
            <w:vAlign w:val="center"/>
          </w:tcPr>
          <w:p w14:paraId="0795EEC6">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北京韩红爱心慈善基金会</w:t>
            </w:r>
          </w:p>
        </w:tc>
      </w:tr>
      <w:bookmarkEnd w:id="18"/>
    </w:tbl>
    <w:p w14:paraId="4F234A6C">
      <w:pPr>
        <w:rPr>
          <w:rFonts w:ascii="黑体" w:hAnsi="黑体" w:eastAsia="黑体" w:cs="黑体"/>
          <w:b/>
          <w:bCs/>
        </w:rPr>
      </w:pPr>
    </w:p>
    <w:p w14:paraId="7AD6EC38">
      <w:pPr>
        <w:rPr>
          <w:rFonts w:ascii="黑体" w:hAnsi="黑体" w:eastAsia="黑体" w:cs="黑体"/>
          <w:b/>
          <w:bCs/>
        </w:rPr>
      </w:pPr>
    </w:p>
    <w:p w14:paraId="7A7CA61E">
      <w:pPr>
        <w:rPr>
          <w:rFonts w:ascii="黑体" w:hAnsi="黑体" w:eastAsia="黑体" w:cs="黑体"/>
          <w:b/>
          <w:bCs/>
        </w:rPr>
      </w:pPr>
    </w:p>
    <w:p w14:paraId="60101601">
      <w:pPr>
        <w:rPr>
          <w:rFonts w:ascii="黑体" w:hAnsi="黑体" w:eastAsia="黑体" w:cs="黑体"/>
          <w:b/>
          <w:bCs/>
        </w:rPr>
      </w:pPr>
    </w:p>
    <w:p w14:paraId="0749A122">
      <w:pPr>
        <w:rPr>
          <w:rFonts w:ascii="黑体" w:hAnsi="黑体" w:eastAsia="黑体" w:cs="黑体"/>
          <w:b/>
          <w:bCs/>
        </w:rPr>
      </w:pPr>
    </w:p>
    <w:p w14:paraId="29AEDA28">
      <w:pPr>
        <w:rPr>
          <w:rFonts w:ascii="黑体" w:hAnsi="黑体" w:eastAsia="黑体" w:cs="黑体"/>
          <w:b/>
          <w:bCs/>
        </w:rPr>
      </w:pPr>
    </w:p>
    <w:p w14:paraId="67916E13">
      <w:pPr>
        <w:rPr>
          <w:rFonts w:ascii="黑体" w:hAnsi="黑体" w:eastAsia="黑体" w:cs="黑体"/>
          <w:b/>
          <w:bCs/>
        </w:rPr>
      </w:pPr>
    </w:p>
    <w:p w14:paraId="57DCA5E4">
      <w:pPr>
        <w:rPr>
          <w:rFonts w:ascii="黑体" w:hAnsi="黑体" w:eastAsia="黑体" w:cs="黑体"/>
          <w:b/>
          <w:bCs/>
        </w:rPr>
      </w:pPr>
    </w:p>
    <w:p w14:paraId="4F22323D">
      <w:pPr>
        <w:rPr>
          <w:rFonts w:ascii="黑体" w:hAnsi="黑体" w:eastAsia="黑体" w:cs="黑体"/>
          <w:b/>
          <w:bCs/>
        </w:rPr>
      </w:pPr>
    </w:p>
    <w:p w14:paraId="5A64158A">
      <w:pPr>
        <w:rPr>
          <w:rFonts w:ascii="黑体" w:hAnsi="黑体" w:eastAsia="黑体" w:cs="黑体"/>
          <w:b/>
          <w:bCs/>
        </w:rPr>
      </w:pPr>
    </w:p>
    <w:p w14:paraId="380D4AED">
      <w:pPr>
        <w:rPr>
          <w:rFonts w:ascii="黑体" w:hAnsi="黑体" w:eastAsia="黑体" w:cs="黑体"/>
          <w:b/>
          <w:bCs/>
        </w:rPr>
      </w:pPr>
    </w:p>
    <w:p w14:paraId="5C495FF0">
      <w:pPr>
        <w:rPr>
          <w:rFonts w:ascii="黑体" w:hAnsi="黑体" w:eastAsia="黑体" w:cs="黑体"/>
          <w:b/>
          <w:bCs/>
        </w:rPr>
      </w:pPr>
    </w:p>
    <w:p w14:paraId="302A1BF9">
      <w:pPr>
        <w:rPr>
          <w:rFonts w:ascii="黑体" w:hAnsi="黑体" w:eastAsia="黑体" w:cs="黑体"/>
          <w:b/>
          <w:bCs/>
        </w:rPr>
      </w:pPr>
    </w:p>
    <w:p w14:paraId="4371A637">
      <w:pPr>
        <w:rPr>
          <w:rFonts w:ascii="黑体" w:hAnsi="黑体" w:eastAsia="黑体" w:cs="黑体"/>
          <w:b/>
          <w:bCs/>
        </w:rPr>
      </w:pPr>
    </w:p>
    <w:p w14:paraId="6994D34E">
      <w:pPr>
        <w:rPr>
          <w:rFonts w:ascii="黑体" w:hAnsi="黑体" w:eastAsia="黑体" w:cs="黑体"/>
          <w:b/>
          <w:bCs/>
        </w:rPr>
      </w:pPr>
    </w:p>
    <w:p w14:paraId="10BBD4BB">
      <w:pPr>
        <w:rPr>
          <w:rFonts w:ascii="黑体" w:hAnsi="黑体" w:eastAsia="黑体" w:cs="黑体"/>
          <w:b/>
          <w:bCs/>
        </w:rPr>
      </w:pPr>
    </w:p>
    <w:p w14:paraId="401E0BAD">
      <w:pPr>
        <w:rPr>
          <w:rFonts w:ascii="黑体" w:hAnsi="黑体" w:eastAsia="黑体" w:cs="黑体"/>
          <w:b/>
          <w:bCs/>
        </w:rPr>
      </w:pPr>
    </w:p>
    <w:p w14:paraId="187878EE">
      <w:pPr>
        <w:rPr>
          <w:rFonts w:ascii="黑体" w:hAnsi="黑体" w:eastAsia="黑体" w:cs="黑体"/>
          <w:b/>
          <w:bCs/>
        </w:rPr>
      </w:pPr>
    </w:p>
    <w:p w14:paraId="3C97245E">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sectPr>
          <w:headerReference r:id="rId3" w:type="default"/>
          <w:footerReference r:id="rId4" w:type="default"/>
          <w:pgSz w:w="11906" w:h="16838"/>
          <w:pgMar w:top="2098" w:right="1474" w:bottom="1984" w:left="1587" w:header="851" w:footer="1587" w:gutter="0"/>
          <w:pgNumType w:fmt="numberInDash" w:start="1"/>
          <w:cols w:space="720" w:num="1"/>
          <w:docGrid w:type="lines" w:linePitch="312" w:charSpace="0"/>
        </w:sectPr>
      </w:pPr>
    </w:p>
    <w:p w14:paraId="31E5786E">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sz w:val="44"/>
          <w:szCs w:val="44"/>
          <w:highlight w:val="none"/>
          <w:lang w:val="en-US" w:eastAsia="zh-CN"/>
        </w:rPr>
        <w:t>违法失信情况</w:t>
      </w:r>
    </w:p>
    <w:p w14:paraId="6917F106">
      <w:pPr>
        <w:jc w:val="center"/>
        <w:rPr>
          <w:rFonts w:hint="eastAsia" w:ascii="黑体" w:hAnsi="黑体" w:eastAsia="黑体" w:cs="黑体"/>
          <w:b/>
          <w:bCs/>
        </w:rPr>
      </w:pPr>
      <w:r>
        <w:drawing>
          <wp:inline distT="0" distB="0" distL="114300" distR="114300">
            <wp:extent cx="7685405" cy="4509770"/>
            <wp:effectExtent l="0" t="0" r="10795" b="50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7685405" cy="4509770"/>
                    </a:xfrm>
                    <a:prstGeom prst="rect">
                      <a:avLst/>
                    </a:prstGeom>
                    <a:noFill/>
                    <a:ln>
                      <a:noFill/>
                    </a:ln>
                  </pic:spPr>
                </pic:pic>
              </a:graphicData>
            </a:graphic>
          </wp:inline>
        </w:drawing>
      </w:r>
    </w:p>
    <w:p w14:paraId="6794E0DD">
      <w:pPr>
        <w:jc w:val="center"/>
        <w:rPr>
          <w:rFonts w:hint="eastAsia" w:ascii="黑体" w:hAnsi="黑体" w:eastAsia="黑体" w:cs="黑体"/>
          <w:b/>
          <w:bCs/>
        </w:rPr>
      </w:pPr>
      <w:r>
        <w:drawing>
          <wp:inline distT="0" distB="0" distL="114300" distR="114300">
            <wp:extent cx="8007350" cy="4493895"/>
            <wp:effectExtent l="0" t="0" r="12700" b="19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a:stretch>
                      <a:fillRect/>
                    </a:stretch>
                  </pic:blipFill>
                  <pic:spPr>
                    <a:xfrm>
                      <a:off x="0" y="0"/>
                      <a:ext cx="8007350" cy="4493895"/>
                    </a:xfrm>
                    <a:prstGeom prst="rect">
                      <a:avLst/>
                    </a:prstGeom>
                    <a:noFill/>
                    <a:ln>
                      <a:noFill/>
                    </a:ln>
                  </pic:spPr>
                </pic:pic>
              </a:graphicData>
            </a:graphic>
          </wp:inline>
        </w:drawing>
      </w:r>
    </w:p>
    <w:p w14:paraId="1D19B0B9">
      <w:pPr>
        <w:rPr>
          <w:rFonts w:hint="eastAsia"/>
        </w:rPr>
      </w:pPr>
    </w:p>
    <w:p w14:paraId="5E0A9E75">
      <w:pPr>
        <w:rPr>
          <w:rFonts w:hint="eastAsia"/>
        </w:rPr>
      </w:pPr>
    </w:p>
    <w:p w14:paraId="5933947E">
      <w:pPr>
        <w:jc w:val="center"/>
      </w:pPr>
      <w:r>
        <w:drawing>
          <wp:inline distT="0" distB="0" distL="114300" distR="114300">
            <wp:extent cx="7496810" cy="4618990"/>
            <wp:effectExtent l="0" t="0" r="8890" b="1016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a:stretch>
                      <a:fillRect/>
                    </a:stretch>
                  </pic:blipFill>
                  <pic:spPr>
                    <a:xfrm>
                      <a:off x="0" y="0"/>
                      <a:ext cx="7496810" cy="4618990"/>
                    </a:xfrm>
                    <a:prstGeom prst="rect">
                      <a:avLst/>
                    </a:prstGeom>
                    <a:noFill/>
                    <a:ln>
                      <a:noFill/>
                    </a:ln>
                  </pic:spPr>
                </pic:pic>
              </a:graphicData>
            </a:graphic>
          </wp:inline>
        </w:drawing>
      </w:r>
    </w:p>
    <w:p w14:paraId="5B73D575">
      <w:pPr>
        <w:jc w:val="center"/>
      </w:pPr>
      <w:r>
        <w:drawing>
          <wp:inline distT="0" distB="0" distL="114300" distR="114300">
            <wp:extent cx="7803515" cy="4830445"/>
            <wp:effectExtent l="0" t="0" r="6985" b="825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4"/>
                    <a:stretch>
                      <a:fillRect/>
                    </a:stretch>
                  </pic:blipFill>
                  <pic:spPr>
                    <a:xfrm>
                      <a:off x="0" y="0"/>
                      <a:ext cx="7803515" cy="4830445"/>
                    </a:xfrm>
                    <a:prstGeom prst="rect">
                      <a:avLst/>
                    </a:prstGeom>
                    <a:noFill/>
                    <a:ln>
                      <a:noFill/>
                    </a:ln>
                  </pic:spPr>
                </pic:pic>
              </a:graphicData>
            </a:graphic>
          </wp:inline>
        </w:drawing>
      </w:r>
    </w:p>
    <w:p w14:paraId="7B2FBB5C">
      <w:pPr>
        <w:jc w:val="center"/>
        <w:rPr>
          <w:rFonts w:hint="default" w:ascii="黑体" w:hAnsi="黑体" w:eastAsia="黑体" w:cs="黑体"/>
          <w:color w:val="auto"/>
          <w:sz w:val="32"/>
          <w:szCs w:val="32"/>
          <w:lang w:val="en-US" w:eastAsia="zh-CN"/>
        </w:rPr>
      </w:pPr>
      <w:r>
        <w:drawing>
          <wp:inline distT="0" distB="0" distL="114300" distR="114300">
            <wp:extent cx="7580630" cy="4867275"/>
            <wp:effectExtent l="0" t="0" r="1270" b="952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5"/>
                    <a:stretch>
                      <a:fillRect/>
                    </a:stretch>
                  </pic:blipFill>
                  <pic:spPr>
                    <a:xfrm>
                      <a:off x="0" y="0"/>
                      <a:ext cx="7580630" cy="4867275"/>
                    </a:xfrm>
                    <a:prstGeom prst="rect">
                      <a:avLst/>
                    </a:prstGeom>
                    <a:noFill/>
                    <a:ln>
                      <a:noFill/>
                    </a:ln>
                  </pic:spPr>
                </pic:pic>
              </a:graphicData>
            </a:graphic>
          </wp:inline>
        </w:drawing>
      </w:r>
    </w:p>
    <w:sectPr>
      <w:footerReference r:id="rId5" w:type="default"/>
      <w:pgSz w:w="16838" w:h="11906" w:orient="landscape"/>
      <w:pgMar w:top="1587" w:right="2098" w:bottom="1474" w:left="1984" w:header="851" w:footer="1587" w:gutter="0"/>
      <w:pgNumType w:fmt="numberInDash" w:start="3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0D3FD">
    <w:pPr>
      <w:pStyle w:val="1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22225</wp:posOffset>
              </wp:positionV>
              <wp:extent cx="516890" cy="23685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51689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A7D39C">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75pt;height:18.65pt;width:40.7pt;mso-position-horizontal:outside;mso-position-horizontal-relative:margin;z-index:251660288;mso-width-relative:page;mso-height-relative:page;" filled="f" stroked="f" coordsize="21600,21600" o:gfxdata="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VjTcg0wAAAAQBAAAPAAAAAAAAAAEAIAAAACIAAABkcnMvZG93bnJldi54&#10;bWxQSwECFAAUAAAACACHTuJA9CGDpDgCAABjBAAADgAAAAAAAAABACAAAAAiAQAAZHJzL2Uyb0Rv&#10;Yy54bWxQSwUGAAAAAAYABgBZAQAAzAUAAAAA&#10;">
              <v:fill on="f" focussize="0,0"/>
              <v:stroke on="f" weight="0.5pt"/>
              <v:imagedata o:title=""/>
              <o:lock v:ext="edit" aspectratio="f"/>
              <v:textbox inset="0mm,0mm,0mm,0mm">
                <w:txbxContent>
                  <w:p w14:paraId="40A7D39C">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70F9E">
                          <w:pPr>
                            <w:pStyle w:val="14"/>
                          </w:pPr>
                        </w:p>
                        <w:p w14:paraId="59B2907A">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0270F9E">
                    <w:pPr>
                      <w:pStyle w:val="14"/>
                    </w:pPr>
                  </w:p>
                  <w:p w14:paraId="59B2907A">
                    <w:pPr>
                      <w:pStyle w:val="1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9292C">
    <w:pPr>
      <w:pStyle w:val="14"/>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307975</wp:posOffset>
              </wp:positionV>
              <wp:extent cx="516890" cy="23685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51689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D4039">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4.25pt;height:18.65pt;width:40.7pt;mso-position-horizontal:outside;mso-position-horizontal-relative:margin;z-index:251662336;mso-width-relative:page;mso-height-relative:page;" filled="f" stroked="f" coordsize="21600,21600" o:gfxdata="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v1SxRdYAAAAHAQAADwAAAAAAAAABACAAAAAiAAAAZHJzL2Rvd25y&#10;ZXYueG1sUEsBAhQAFAAAAAgAh07iQMbpElI5AgAAYwQAAA4AAAAAAAAAAQAgAAAAJQEAAGRycy9l&#10;Mm9Eb2MueG1sUEsFBgAAAAAGAAYAWQEAANAFAAAAAA==&#10;">
              <v:fill on="f" focussize="0,0"/>
              <v:stroke on="f" weight="0.5pt"/>
              <v:imagedata o:title=""/>
              <o:lock v:ext="edit" aspectratio="f"/>
              <v:textbox inset="0mm,0mm,0mm,0mm">
                <w:txbxContent>
                  <w:p w14:paraId="584D4039">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57D8F">
                          <w:pPr>
                            <w:pStyle w:val="14"/>
                          </w:pPr>
                        </w:p>
                        <w:p w14:paraId="71F6BF21">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46E57D8F">
                    <w:pPr>
                      <w:pStyle w:val="14"/>
                    </w:pPr>
                  </w:p>
                  <w:p w14:paraId="71F6BF21">
                    <w:pPr>
                      <w:pStyle w:val="14"/>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8BD5A">
    <w:pPr>
      <w:pStyle w:val="15"/>
      <w:pBdr>
        <w:bottom w:val="none" w:color="auto" w:sz="0" w:space="0"/>
      </w:pBdr>
    </w:pPr>
  </w:p>
  <w:p w14:paraId="1077A4D4">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111"/>
    <w:rsid w:val="000545E2"/>
    <w:rsid w:val="000709C3"/>
    <w:rsid w:val="0007580E"/>
    <w:rsid w:val="000906AC"/>
    <w:rsid w:val="000B5092"/>
    <w:rsid w:val="000C7F4C"/>
    <w:rsid w:val="0011212D"/>
    <w:rsid w:val="00123C48"/>
    <w:rsid w:val="0015126E"/>
    <w:rsid w:val="002030C1"/>
    <w:rsid w:val="00237250"/>
    <w:rsid w:val="0024665D"/>
    <w:rsid w:val="002859DB"/>
    <w:rsid w:val="002B0886"/>
    <w:rsid w:val="00300FF5"/>
    <w:rsid w:val="00322251"/>
    <w:rsid w:val="00325FC2"/>
    <w:rsid w:val="003317D0"/>
    <w:rsid w:val="00341BFD"/>
    <w:rsid w:val="00345E1B"/>
    <w:rsid w:val="00352B35"/>
    <w:rsid w:val="00372CF5"/>
    <w:rsid w:val="003C2671"/>
    <w:rsid w:val="003E7638"/>
    <w:rsid w:val="004278EE"/>
    <w:rsid w:val="004410C6"/>
    <w:rsid w:val="00442D91"/>
    <w:rsid w:val="004B4FA2"/>
    <w:rsid w:val="004C3287"/>
    <w:rsid w:val="004C6032"/>
    <w:rsid w:val="004D1243"/>
    <w:rsid w:val="005718C7"/>
    <w:rsid w:val="00586CAE"/>
    <w:rsid w:val="005A183C"/>
    <w:rsid w:val="005B686A"/>
    <w:rsid w:val="005C3614"/>
    <w:rsid w:val="005F4CDE"/>
    <w:rsid w:val="005F721B"/>
    <w:rsid w:val="00625CA6"/>
    <w:rsid w:val="006374E7"/>
    <w:rsid w:val="00693D7C"/>
    <w:rsid w:val="006A1461"/>
    <w:rsid w:val="00747E08"/>
    <w:rsid w:val="007B071C"/>
    <w:rsid w:val="007B71F7"/>
    <w:rsid w:val="007C2075"/>
    <w:rsid w:val="007C5587"/>
    <w:rsid w:val="007D5435"/>
    <w:rsid w:val="008D2088"/>
    <w:rsid w:val="008E19E8"/>
    <w:rsid w:val="008F1B2C"/>
    <w:rsid w:val="0096016D"/>
    <w:rsid w:val="009734DA"/>
    <w:rsid w:val="009B393F"/>
    <w:rsid w:val="009D32A0"/>
    <w:rsid w:val="009E397C"/>
    <w:rsid w:val="00A16372"/>
    <w:rsid w:val="00A23321"/>
    <w:rsid w:val="00A37554"/>
    <w:rsid w:val="00A41F1B"/>
    <w:rsid w:val="00A61F59"/>
    <w:rsid w:val="00A67170"/>
    <w:rsid w:val="00AA40F3"/>
    <w:rsid w:val="00AE1A20"/>
    <w:rsid w:val="00AF3E80"/>
    <w:rsid w:val="00B05409"/>
    <w:rsid w:val="00B768B9"/>
    <w:rsid w:val="00B92C02"/>
    <w:rsid w:val="00BC3094"/>
    <w:rsid w:val="00C26AAC"/>
    <w:rsid w:val="00C27BB0"/>
    <w:rsid w:val="00C47CAB"/>
    <w:rsid w:val="00C502B3"/>
    <w:rsid w:val="00C553F4"/>
    <w:rsid w:val="00C93E5E"/>
    <w:rsid w:val="00CB2259"/>
    <w:rsid w:val="00CB2B19"/>
    <w:rsid w:val="00CC2BAE"/>
    <w:rsid w:val="00CC5F18"/>
    <w:rsid w:val="00D010E5"/>
    <w:rsid w:val="00D43315"/>
    <w:rsid w:val="00D65422"/>
    <w:rsid w:val="00DB32D4"/>
    <w:rsid w:val="00E43111"/>
    <w:rsid w:val="00E70FFD"/>
    <w:rsid w:val="00E7703A"/>
    <w:rsid w:val="00E80977"/>
    <w:rsid w:val="00E91A21"/>
    <w:rsid w:val="00EF2078"/>
    <w:rsid w:val="00F1033C"/>
    <w:rsid w:val="00F16ADC"/>
    <w:rsid w:val="00F209FB"/>
    <w:rsid w:val="00F47A08"/>
    <w:rsid w:val="00F51E8F"/>
    <w:rsid w:val="00F7304F"/>
    <w:rsid w:val="00F94A89"/>
    <w:rsid w:val="00FC5A68"/>
    <w:rsid w:val="00FE5889"/>
    <w:rsid w:val="046AC4D6"/>
    <w:rsid w:val="075F5845"/>
    <w:rsid w:val="0779BB40"/>
    <w:rsid w:val="07DF8C97"/>
    <w:rsid w:val="07F5E458"/>
    <w:rsid w:val="08A95B09"/>
    <w:rsid w:val="08EC73AD"/>
    <w:rsid w:val="0D816774"/>
    <w:rsid w:val="0FA84C2B"/>
    <w:rsid w:val="0FAFE04D"/>
    <w:rsid w:val="11FDFA20"/>
    <w:rsid w:val="1396A663"/>
    <w:rsid w:val="167527F1"/>
    <w:rsid w:val="173DFA73"/>
    <w:rsid w:val="1776E4DF"/>
    <w:rsid w:val="17EA56C0"/>
    <w:rsid w:val="17EF4A60"/>
    <w:rsid w:val="17FF9AF6"/>
    <w:rsid w:val="1B364CA9"/>
    <w:rsid w:val="1BDFC82C"/>
    <w:rsid w:val="1BEFC062"/>
    <w:rsid w:val="1CCF4962"/>
    <w:rsid w:val="1D99BE65"/>
    <w:rsid w:val="1DD87C7B"/>
    <w:rsid w:val="1DF4B2C5"/>
    <w:rsid w:val="1E5BB40F"/>
    <w:rsid w:val="1E76D46A"/>
    <w:rsid w:val="1E7B4A8D"/>
    <w:rsid w:val="1E7B6A6F"/>
    <w:rsid w:val="1ED69541"/>
    <w:rsid w:val="1EFB4FA9"/>
    <w:rsid w:val="1F3B404E"/>
    <w:rsid w:val="1FBBB7A7"/>
    <w:rsid w:val="1FBE0120"/>
    <w:rsid w:val="1FBE712D"/>
    <w:rsid w:val="1FF8B5E2"/>
    <w:rsid w:val="228FCEA1"/>
    <w:rsid w:val="232F0B85"/>
    <w:rsid w:val="23D8B0B9"/>
    <w:rsid w:val="23FEE1B9"/>
    <w:rsid w:val="23FF82A0"/>
    <w:rsid w:val="247EB923"/>
    <w:rsid w:val="25F26F57"/>
    <w:rsid w:val="26EF1C9E"/>
    <w:rsid w:val="26F761E7"/>
    <w:rsid w:val="277FD238"/>
    <w:rsid w:val="27AF3A63"/>
    <w:rsid w:val="27D8B542"/>
    <w:rsid w:val="27F986C8"/>
    <w:rsid w:val="27FFAE92"/>
    <w:rsid w:val="287DE58A"/>
    <w:rsid w:val="29B96C9F"/>
    <w:rsid w:val="2A9DC7A3"/>
    <w:rsid w:val="2AD2699C"/>
    <w:rsid w:val="2BCEAF35"/>
    <w:rsid w:val="2BF7371A"/>
    <w:rsid w:val="2C2ABCC5"/>
    <w:rsid w:val="2D1D91A9"/>
    <w:rsid w:val="2DBF3BDA"/>
    <w:rsid w:val="2DDFFE37"/>
    <w:rsid w:val="2DEF11C0"/>
    <w:rsid w:val="2DF17078"/>
    <w:rsid w:val="2DFA147A"/>
    <w:rsid w:val="2F176A42"/>
    <w:rsid w:val="2F7EE840"/>
    <w:rsid w:val="2F7F9469"/>
    <w:rsid w:val="2FCFA3AA"/>
    <w:rsid w:val="2FD725D7"/>
    <w:rsid w:val="2FDD62ED"/>
    <w:rsid w:val="2FE5C2D4"/>
    <w:rsid w:val="2FF70D8C"/>
    <w:rsid w:val="2FFF4A26"/>
    <w:rsid w:val="2FFF8E1E"/>
    <w:rsid w:val="30116F29"/>
    <w:rsid w:val="30E64257"/>
    <w:rsid w:val="30FA575B"/>
    <w:rsid w:val="333B473F"/>
    <w:rsid w:val="3373396C"/>
    <w:rsid w:val="337BA302"/>
    <w:rsid w:val="33EF56D4"/>
    <w:rsid w:val="34FA88A5"/>
    <w:rsid w:val="35FF6D86"/>
    <w:rsid w:val="363E25BA"/>
    <w:rsid w:val="36BB3E9A"/>
    <w:rsid w:val="36E44D4A"/>
    <w:rsid w:val="36F5C13E"/>
    <w:rsid w:val="3755B5A7"/>
    <w:rsid w:val="376FD65B"/>
    <w:rsid w:val="377DDC67"/>
    <w:rsid w:val="37BE33C5"/>
    <w:rsid w:val="37CFBDAB"/>
    <w:rsid w:val="37D5F831"/>
    <w:rsid w:val="37EECB1F"/>
    <w:rsid w:val="37F50558"/>
    <w:rsid w:val="37FBEFC5"/>
    <w:rsid w:val="37FDC8DB"/>
    <w:rsid w:val="37FFA749"/>
    <w:rsid w:val="39957DD2"/>
    <w:rsid w:val="39FA91DB"/>
    <w:rsid w:val="39FAF565"/>
    <w:rsid w:val="3AD8815E"/>
    <w:rsid w:val="3B7B830C"/>
    <w:rsid w:val="3BEDCAC5"/>
    <w:rsid w:val="3BEE21E7"/>
    <w:rsid w:val="3BF927DB"/>
    <w:rsid w:val="3BFA0305"/>
    <w:rsid w:val="3BFB7848"/>
    <w:rsid w:val="3BFC06A7"/>
    <w:rsid w:val="3BFEF1B7"/>
    <w:rsid w:val="3BFF2844"/>
    <w:rsid w:val="3C7F1125"/>
    <w:rsid w:val="3CE89A19"/>
    <w:rsid w:val="3D553168"/>
    <w:rsid w:val="3D7E89E9"/>
    <w:rsid w:val="3DB2E615"/>
    <w:rsid w:val="3DB74C24"/>
    <w:rsid w:val="3DBE2585"/>
    <w:rsid w:val="3DBF17E4"/>
    <w:rsid w:val="3DEF22D7"/>
    <w:rsid w:val="3DFB8CED"/>
    <w:rsid w:val="3DFD991C"/>
    <w:rsid w:val="3DFF9DF4"/>
    <w:rsid w:val="3E07829B"/>
    <w:rsid w:val="3E5B3E22"/>
    <w:rsid w:val="3E7DE451"/>
    <w:rsid w:val="3E7FD0AB"/>
    <w:rsid w:val="3ECFE140"/>
    <w:rsid w:val="3EF5BF4E"/>
    <w:rsid w:val="3EFEAC36"/>
    <w:rsid w:val="3EFFB7FA"/>
    <w:rsid w:val="3EFFCC20"/>
    <w:rsid w:val="3F1430FE"/>
    <w:rsid w:val="3F259B4B"/>
    <w:rsid w:val="3F386A2C"/>
    <w:rsid w:val="3F53B3BE"/>
    <w:rsid w:val="3F8CA0CC"/>
    <w:rsid w:val="3F951FF0"/>
    <w:rsid w:val="3F9B11A3"/>
    <w:rsid w:val="3FA36222"/>
    <w:rsid w:val="3FB3701F"/>
    <w:rsid w:val="3FBD3A9A"/>
    <w:rsid w:val="3FCFCE14"/>
    <w:rsid w:val="3FD503FD"/>
    <w:rsid w:val="3FD9B64E"/>
    <w:rsid w:val="3FF68521"/>
    <w:rsid w:val="3FF70451"/>
    <w:rsid w:val="3FF71211"/>
    <w:rsid w:val="3FF92665"/>
    <w:rsid w:val="3FFD8922"/>
    <w:rsid w:val="3FFF3608"/>
    <w:rsid w:val="3FFF8D61"/>
    <w:rsid w:val="3FFFA51D"/>
    <w:rsid w:val="3FFFAFE5"/>
    <w:rsid w:val="3FFFDEB4"/>
    <w:rsid w:val="47F7AC7D"/>
    <w:rsid w:val="47FFD9EF"/>
    <w:rsid w:val="4A77D690"/>
    <w:rsid w:val="4AEC7BCA"/>
    <w:rsid w:val="4BED9B0E"/>
    <w:rsid w:val="4C7D1E67"/>
    <w:rsid w:val="4CCD1D48"/>
    <w:rsid w:val="4CFECC8C"/>
    <w:rsid w:val="4DAE3BFE"/>
    <w:rsid w:val="4DCB7D1F"/>
    <w:rsid w:val="4DFCB9E7"/>
    <w:rsid w:val="4DFF9981"/>
    <w:rsid w:val="4EBF0BC3"/>
    <w:rsid w:val="4EFD5875"/>
    <w:rsid w:val="4F1E2DA6"/>
    <w:rsid w:val="4F7758F4"/>
    <w:rsid w:val="4F77687F"/>
    <w:rsid w:val="4F8E5844"/>
    <w:rsid w:val="4FB76935"/>
    <w:rsid w:val="4FDEAD37"/>
    <w:rsid w:val="4FE53C41"/>
    <w:rsid w:val="4FFE25D9"/>
    <w:rsid w:val="4FFF04F3"/>
    <w:rsid w:val="51FED7AB"/>
    <w:rsid w:val="51FFF3A0"/>
    <w:rsid w:val="536F86A9"/>
    <w:rsid w:val="537BCC2A"/>
    <w:rsid w:val="553F6CB0"/>
    <w:rsid w:val="559EDBFF"/>
    <w:rsid w:val="569D76CD"/>
    <w:rsid w:val="56FB6E11"/>
    <w:rsid w:val="56FBE5D7"/>
    <w:rsid w:val="575D2E5F"/>
    <w:rsid w:val="575E96BD"/>
    <w:rsid w:val="577CEFB0"/>
    <w:rsid w:val="57F98E1A"/>
    <w:rsid w:val="57FEC9E0"/>
    <w:rsid w:val="57FF9C4A"/>
    <w:rsid w:val="57FFFD98"/>
    <w:rsid w:val="581F9F37"/>
    <w:rsid w:val="58FFCB0F"/>
    <w:rsid w:val="594EB58E"/>
    <w:rsid w:val="59EB0FEE"/>
    <w:rsid w:val="59EFB0C7"/>
    <w:rsid w:val="5A1FC8B6"/>
    <w:rsid w:val="5A423C2D"/>
    <w:rsid w:val="5A4E296C"/>
    <w:rsid w:val="5AFC66C2"/>
    <w:rsid w:val="5B6BED01"/>
    <w:rsid w:val="5BE570F9"/>
    <w:rsid w:val="5BEE0990"/>
    <w:rsid w:val="5BF9285C"/>
    <w:rsid w:val="5BFD52CB"/>
    <w:rsid w:val="5C633B38"/>
    <w:rsid w:val="5CED1DAA"/>
    <w:rsid w:val="5D793B46"/>
    <w:rsid w:val="5D8ACE1E"/>
    <w:rsid w:val="5DDF6BF4"/>
    <w:rsid w:val="5DED96F2"/>
    <w:rsid w:val="5DFC3E36"/>
    <w:rsid w:val="5DFD3773"/>
    <w:rsid w:val="5E4FFCC3"/>
    <w:rsid w:val="5E79B033"/>
    <w:rsid w:val="5E7D7631"/>
    <w:rsid w:val="5E9FFA74"/>
    <w:rsid w:val="5EDED98E"/>
    <w:rsid w:val="5EECAEB8"/>
    <w:rsid w:val="5EF79CAE"/>
    <w:rsid w:val="5EFA7CCD"/>
    <w:rsid w:val="5EFD3EF4"/>
    <w:rsid w:val="5EFDC9D8"/>
    <w:rsid w:val="5F1FF52F"/>
    <w:rsid w:val="5F3476B8"/>
    <w:rsid w:val="5F366BFC"/>
    <w:rsid w:val="5F3F1CAA"/>
    <w:rsid w:val="5F4A0A6F"/>
    <w:rsid w:val="5F56A330"/>
    <w:rsid w:val="5F7B7568"/>
    <w:rsid w:val="5F7C2358"/>
    <w:rsid w:val="5F7F238B"/>
    <w:rsid w:val="5F7FAD61"/>
    <w:rsid w:val="5F7FDD3B"/>
    <w:rsid w:val="5F863584"/>
    <w:rsid w:val="5FA7E209"/>
    <w:rsid w:val="5FBD8C62"/>
    <w:rsid w:val="5FBFC2D8"/>
    <w:rsid w:val="5FC437E7"/>
    <w:rsid w:val="5FCFFDCE"/>
    <w:rsid w:val="5FD8BF36"/>
    <w:rsid w:val="5FDBD34A"/>
    <w:rsid w:val="5FDBF4DC"/>
    <w:rsid w:val="5FE126F0"/>
    <w:rsid w:val="5FEF9EFB"/>
    <w:rsid w:val="5FEFAF70"/>
    <w:rsid w:val="5FFCC0D4"/>
    <w:rsid w:val="5FFE815E"/>
    <w:rsid w:val="5FFEC241"/>
    <w:rsid w:val="5FFF004D"/>
    <w:rsid w:val="5FFF08BB"/>
    <w:rsid w:val="607F430B"/>
    <w:rsid w:val="61BD54C6"/>
    <w:rsid w:val="63990575"/>
    <w:rsid w:val="63DAF059"/>
    <w:rsid w:val="63EB5527"/>
    <w:rsid w:val="63F7CCC8"/>
    <w:rsid w:val="65EF85BF"/>
    <w:rsid w:val="6690A304"/>
    <w:rsid w:val="66D8569A"/>
    <w:rsid w:val="66FDB1AF"/>
    <w:rsid w:val="66FF566E"/>
    <w:rsid w:val="66FF659E"/>
    <w:rsid w:val="67C66E81"/>
    <w:rsid w:val="67C8B6ED"/>
    <w:rsid w:val="67F3E0B2"/>
    <w:rsid w:val="67FF3221"/>
    <w:rsid w:val="67FF8696"/>
    <w:rsid w:val="683D1374"/>
    <w:rsid w:val="689FA0BC"/>
    <w:rsid w:val="69B95682"/>
    <w:rsid w:val="69D7D498"/>
    <w:rsid w:val="69F96FFF"/>
    <w:rsid w:val="6A6E02DB"/>
    <w:rsid w:val="6A6FF31F"/>
    <w:rsid w:val="6ABA504F"/>
    <w:rsid w:val="6AD7BA1C"/>
    <w:rsid w:val="6AEED41C"/>
    <w:rsid w:val="6BB756EB"/>
    <w:rsid w:val="6BCDFBD1"/>
    <w:rsid w:val="6BCF899D"/>
    <w:rsid w:val="6BDA2F5F"/>
    <w:rsid w:val="6BFCA337"/>
    <w:rsid w:val="6BFD2933"/>
    <w:rsid w:val="6BFFA66B"/>
    <w:rsid w:val="6CBB414C"/>
    <w:rsid w:val="6CBF8B39"/>
    <w:rsid w:val="6CEF51C4"/>
    <w:rsid w:val="6CFF6AF1"/>
    <w:rsid w:val="6D73FA77"/>
    <w:rsid w:val="6D7B350F"/>
    <w:rsid w:val="6D7CA10A"/>
    <w:rsid w:val="6D7D5CE9"/>
    <w:rsid w:val="6DB39EE0"/>
    <w:rsid w:val="6DBF296C"/>
    <w:rsid w:val="6DDCCDA7"/>
    <w:rsid w:val="6DEF2F20"/>
    <w:rsid w:val="6DFAD3A6"/>
    <w:rsid w:val="6E7D2B5C"/>
    <w:rsid w:val="6E7F162C"/>
    <w:rsid w:val="6EBE1123"/>
    <w:rsid w:val="6EEF54E7"/>
    <w:rsid w:val="6EFB7778"/>
    <w:rsid w:val="6EFD0680"/>
    <w:rsid w:val="6EFF8C32"/>
    <w:rsid w:val="6F2D9B27"/>
    <w:rsid w:val="6F3E5E5F"/>
    <w:rsid w:val="6F6F1BC0"/>
    <w:rsid w:val="6F73B678"/>
    <w:rsid w:val="6F773BDA"/>
    <w:rsid w:val="6F7F40CA"/>
    <w:rsid w:val="6F9E85A0"/>
    <w:rsid w:val="6FB93F77"/>
    <w:rsid w:val="6FBBF988"/>
    <w:rsid w:val="6FD67F85"/>
    <w:rsid w:val="6FFD6F18"/>
    <w:rsid w:val="6FFDEBFA"/>
    <w:rsid w:val="6FFE60E2"/>
    <w:rsid w:val="6FFF0185"/>
    <w:rsid w:val="6FFF2954"/>
    <w:rsid w:val="71689D3F"/>
    <w:rsid w:val="717E13D9"/>
    <w:rsid w:val="71DF5562"/>
    <w:rsid w:val="71E39655"/>
    <w:rsid w:val="71FBD5CB"/>
    <w:rsid w:val="71FF0D23"/>
    <w:rsid w:val="71FFF88B"/>
    <w:rsid w:val="72390E31"/>
    <w:rsid w:val="723B0DCB"/>
    <w:rsid w:val="723F12C8"/>
    <w:rsid w:val="723FBA03"/>
    <w:rsid w:val="725E29BC"/>
    <w:rsid w:val="728F5AA6"/>
    <w:rsid w:val="72AD7BDE"/>
    <w:rsid w:val="72DF72EB"/>
    <w:rsid w:val="72FB4310"/>
    <w:rsid w:val="72FD37C3"/>
    <w:rsid w:val="72FF5150"/>
    <w:rsid w:val="735E5E5F"/>
    <w:rsid w:val="736BC4EF"/>
    <w:rsid w:val="737653FA"/>
    <w:rsid w:val="737B6273"/>
    <w:rsid w:val="737B7CED"/>
    <w:rsid w:val="73BA83C6"/>
    <w:rsid w:val="73CD7393"/>
    <w:rsid w:val="73D10D32"/>
    <w:rsid w:val="73E0632B"/>
    <w:rsid w:val="73E96523"/>
    <w:rsid w:val="73FD2188"/>
    <w:rsid w:val="73FFBB09"/>
    <w:rsid w:val="749F586F"/>
    <w:rsid w:val="757DB253"/>
    <w:rsid w:val="757DE146"/>
    <w:rsid w:val="75DCAAA2"/>
    <w:rsid w:val="75E662C1"/>
    <w:rsid w:val="75FA98BB"/>
    <w:rsid w:val="75FE7D4E"/>
    <w:rsid w:val="761F0AF9"/>
    <w:rsid w:val="767B40E0"/>
    <w:rsid w:val="767FB0AB"/>
    <w:rsid w:val="76D27F97"/>
    <w:rsid w:val="76F7479E"/>
    <w:rsid w:val="76FE7CB6"/>
    <w:rsid w:val="77260936"/>
    <w:rsid w:val="773BA8B9"/>
    <w:rsid w:val="77735D20"/>
    <w:rsid w:val="777E9FB9"/>
    <w:rsid w:val="777EE274"/>
    <w:rsid w:val="777F8712"/>
    <w:rsid w:val="7799C5F4"/>
    <w:rsid w:val="779FCA52"/>
    <w:rsid w:val="77B76F06"/>
    <w:rsid w:val="77BA0F22"/>
    <w:rsid w:val="77BC3161"/>
    <w:rsid w:val="77BF2B27"/>
    <w:rsid w:val="77BF3FBB"/>
    <w:rsid w:val="77EE133D"/>
    <w:rsid w:val="77EF1344"/>
    <w:rsid w:val="77F020AF"/>
    <w:rsid w:val="77F41A7E"/>
    <w:rsid w:val="77F5DF4B"/>
    <w:rsid w:val="77F752BF"/>
    <w:rsid w:val="77FD598C"/>
    <w:rsid w:val="77FDD4C6"/>
    <w:rsid w:val="77FF3083"/>
    <w:rsid w:val="77FFA890"/>
    <w:rsid w:val="77FFDF63"/>
    <w:rsid w:val="787D6DBE"/>
    <w:rsid w:val="78977AFC"/>
    <w:rsid w:val="79545F54"/>
    <w:rsid w:val="797E32E2"/>
    <w:rsid w:val="797EBF5F"/>
    <w:rsid w:val="79BA4C96"/>
    <w:rsid w:val="79BA9B12"/>
    <w:rsid w:val="79BB8C05"/>
    <w:rsid w:val="79EA458A"/>
    <w:rsid w:val="79F946E7"/>
    <w:rsid w:val="79FDC6E8"/>
    <w:rsid w:val="7ACB6C01"/>
    <w:rsid w:val="7ADF025D"/>
    <w:rsid w:val="7AE76234"/>
    <w:rsid w:val="7B2F4AB4"/>
    <w:rsid w:val="7B3BC562"/>
    <w:rsid w:val="7B3F2468"/>
    <w:rsid w:val="7B3F2D49"/>
    <w:rsid w:val="7B62AB13"/>
    <w:rsid w:val="7B6B91C2"/>
    <w:rsid w:val="7B7D7D1E"/>
    <w:rsid w:val="7BA4FF61"/>
    <w:rsid w:val="7BAFCE62"/>
    <w:rsid w:val="7BB9FD43"/>
    <w:rsid w:val="7BBBBBB3"/>
    <w:rsid w:val="7BBDBB1F"/>
    <w:rsid w:val="7BBF6D54"/>
    <w:rsid w:val="7BC78848"/>
    <w:rsid w:val="7BD75492"/>
    <w:rsid w:val="7BDF588E"/>
    <w:rsid w:val="7BE21F19"/>
    <w:rsid w:val="7BF6A19C"/>
    <w:rsid w:val="7BF759F5"/>
    <w:rsid w:val="7BFF44BE"/>
    <w:rsid w:val="7BFFA0E2"/>
    <w:rsid w:val="7BFFA718"/>
    <w:rsid w:val="7C3FAF99"/>
    <w:rsid w:val="7C694DBB"/>
    <w:rsid w:val="7C772473"/>
    <w:rsid w:val="7C96C7FB"/>
    <w:rsid w:val="7CAA9556"/>
    <w:rsid w:val="7CBE9733"/>
    <w:rsid w:val="7CDFAEB8"/>
    <w:rsid w:val="7CF71BF9"/>
    <w:rsid w:val="7D5BB14F"/>
    <w:rsid w:val="7D6FB608"/>
    <w:rsid w:val="7D7D989C"/>
    <w:rsid w:val="7D7F0A08"/>
    <w:rsid w:val="7D7FE67B"/>
    <w:rsid w:val="7D9F1FA1"/>
    <w:rsid w:val="7DAF9314"/>
    <w:rsid w:val="7DCE6303"/>
    <w:rsid w:val="7DDC329B"/>
    <w:rsid w:val="7DDE79C5"/>
    <w:rsid w:val="7DDF0458"/>
    <w:rsid w:val="7DE322EA"/>
    <w:rsid w:val="7DEDB0CF"/>
    <w:rsid w:val="7DEDCF1B"/>
    <w:rsid w:val="7DEFCDAC"/>
    <w:rsid w:val="7DFB7A6D"/>
    <w:rsid w:val="7DFBA448"/>
    <w:rsid w:val="7DFBA7C8"/>
    <w:rsid w:val="7DFC36B9"/>
    <w:rsid w:val="7DFDF8FC"/>
    <w:rsid w:val="7DFFE554"/>
    <w:rsid w:val="7E17341F"/>
    <w:rsid w:val="7E3BF8E4"/>
    <w:rsid w:val="7E3FA832"/>
    <w:rsid w:val="7EB08F3B"/>
    <w:rsid w:val="7EB430B9"/>
    <w:rsid w:val="7EB6AACD"/>
    <w:rsid w:val="7EB746C7"/>
    <w:rsid w:val="7EBB04DB"/>
    <w:rsid w:val="7EBF4856"/>
    <w:rsid w:val="7ECAD896"/>
    <w:rsid w:val="7ED739C8"/>
    <w:rsid w:val="7EDF9CC4"/>
    <w:rsid w:val="7EDFD060"/>
    <w:rsid w:val="7EE54629"/>
    <w:rsid w:val="7EEFD350"/>
    <w:rsid w:val="7EF291E0"/>
    <w:rsid w:val="7EF6A6C0"/>
    <w:rsid w:val="7EFD4C60"/>
    <w:rsid w:val="7EFDDDAF"/>
    <w:rsid w:val="7EFE6E32"/>
    <w:rsid w:val="7EFF22E5"/>
    <w:rsid w:val="7EFF2D25"/>
    <w:rsid w:val="7EFF593E"/>
    <w:rsid w:val="7F0766CF"/>
    <w:rsid w:val="7F1422AC"/>
    <w:rsid w:val="7F2F82BF"/>
    <w:rsid w:val="7F37714B"/>
    <w:rsid w:val="7F3D8C7E"/>
    <w:rsid w:val="7F4918BF"/>
    <w:rsid w:val="7F4F306C"/>
    <w:rsid w:val="7F6868F2"/>
    <w:rsid w:val="7F6A336F"/>
    <w:rsid w:val="7F75EAE3"/>
    <w:rsid w:val="7F7D58EC"/>
    <w:rsid w:val="7F7DB588"/>
    <w:rsid w:val="7F7DDE6F"/>
    <w:rsid w:val="7F8F848B"/>
    <w:rsid w:val="7F97DF62"/>
    <w:rsid w:val="7F9FB23F"/>
    <w:rsid w:val="7FA7E9B3"/>
    <w:rsid w:val="7FAE8A9E"/>
    <w:rsid w:val="7FAF9194"/>
    <w:rsid w:val="7FB79E32"/>
    <w:rsid w:val="7FBC28E4"/>
    <w:rsid w:val="7FBF2717"/>
    <w:rsid w:val="7FCBA0C2"/>
    <w:rsid w:val="7FCE451C"/>
    <w:rsid w:val="7FCE4909"/>
    <w:rsid w:val="7FCFDC63"/>
    <w:rsid w:val="7FDA2DC8"/>
    <w:rsid w:val="7FDC19F6"/>
    <w:rsid w:val="7FE70064"/>
    <w:rsid w:val="7FE7B9D4"/>
    <w:rsid w:val="7FEB01CE"/>
    <w:rsid w:val="7FEB8D2F"/>
    <w:rsid w:val="7FED4136"/>
    <w:rsid w:val="7FEDE841"/>
    <w:rsid w:val="7FEF2B82"/>
    <w:rsid w:val="7FEFB5DF"/>
    <w:rsid w:val="7FEFD90F"/>
    <w:rsid w:val="7FF30DFC"/>
    <w:rsid w:val="7FF362A4"/>
    <w:rsid w:val="7FF37A99"/>
    <w:rsid w:val="7FF39660"/>
    <w:rsid w:val="7FF53BB5"/>
    <w:rsid w:val="7FF54390"/>
    <w:rsid w:val="7FF748F0"/>
    <w:rsid w:val="7FF75455"/>
    <w:rsid w:val="7FF789B0"/>
    <w:rsid w:val="7FF7BE61"/>
    <w:rsid w:val="7FF7E048"/>
    <w:rsid w:val="7FF984F7"/>
    <w:rsid w:val="7FFBDCB2"/>
    <w:rsid w:val="7FFC1572"/>
    <w:rsid w:val="7FFD065F"/>
    <w:rsid w:val="7FFDB301"/>
    <w:rsid w:val="7FFE2CAE"/>
    <w:rsid w:val="7FFF173F"/>
    <w:rsid w:val="7FFF1FF7"/>
    <w:rsid w:val="7FFF2100"/>
    <w:rsid w:val="7FFF23A0"/>
    <w:rsid w:val="7FFF24EF"/>
    <w:rsid w:val="7FFF3EB4"/>
    <w:rsid w:val="7FFF4F0C"/>
    <w:rsid w:val="7FFF51F8"/>
    <w:rsid w:val="7FFF851D"/>
    <w:rsid w:val="7FFFCE85"/>
    <w:rsid w:val="7FFFF0E5"/>
    <w:rsid w:val="7FFFFDAA"/>
    <w:rsid w:val="8CBB7636"/>
    <w:rsid w:val="8EF2BE92"/>
    <w:rsid w:val="8F6DC43F"/>
    <w:rsid w:val="8FAB48D8"/>
    <w:rsid w:val="919D0C04"/>
    <w:rsid w:val="95FBB2B2"/>
    <w:rsid w:val="96337280"/>
    <w:rsid w:val="96FBBB5A"/>
    <w:rsid w:val="979760CB"/>
    <w:rsid w:val="979FD003"/>
    <w:rsid w:val="97F3763A"/>
    <w:rsid w:val="97FF7CDF"/>
    <w:rsid w:val="9A3FC318"/>
    <w:rsid w:val="9AFF3363"/>
    <w:rsid w:val="9B1F6656"/>
    <w:rsid w:val="9BCE42A2"/>
    <w:rsid w:val="9CBA689E"/>
    <w:rsid w:val="9CF76C8B"/>
    <w:rsid w:val="9D4B5CFF"/>
    <w:rsid w:val="9DBB7E14"/>
    <w:rsid w:val="9DBF8DA1"/>
    <w:rsid w:val="9DF97DB5"/>
    <w:rsid w:val="9EEC5017"/>
    <w:rsid w:val="9EFE83FF"/>
    <w:rsid w:val="9F3C1537"/>
    <w:rsid w:val="9F6B1DD0"/>
    <w:rsid w:val="9FCE74B0"/>
    <w:rsid w:val="9FDF2DA7"/>
    <w:rsid w:val="9FDF328F"/>
    <w:rsid w:val="9FE763D9"/>
    <w:rsid w:val="9FFF287D"/>
    <w:rsid w:val="A3D99434"/>
    <w:rsid w:val="A3DD1375"/>
    <w:rsid w:val="A4FF748B"/>
    <w:rsid w:val="A5173654"/>
    <w:rsid w:val="A7C7C192"/>
    <w:rsid w:val="A86BFC38"/>
    <w:rsid w:val="A9377910"/>
    <w:rsid w:val="AA743A3B"/>
    <w:rsid w:val="AA7F324C"/>
    <w:rsid w:val="AABDEA88"/>
    <w:rsid w:val="AAD3FBA5"/>
    <w:rsid w:val="AB3EB7F7"/>
    <w:rsid w:val="AB7FC260"/>
    <w:rsid w:val="AB9B8B54"/>
    <w:rsid w:val="ABFB4E98"/>
    <w:rsid w:val="ABFE3C7E"/>
    <w:rsid w:val="AD4551BC"/>
    <w:rsid w:val="AD7CFCC4"/>
    <w:rsid w:val="ADF91774"/>
    <w:rsid w:val="ADFAD854"/>
    <w:rsid w:val="AF7FB07A"/>
    <w:rsid w:val="AFCC64F8"/>
    <w:rsid w:val="AFD7CB5C"/>
    <w:rsid w:val="AFDDE119"/>
    <w:rsid w:val="AFDF1A8E"/>
    <w:rsid w:val="AFFE0C82"/>
    <w:rsid w:val="AFFE7693"/>
    <w:rsid w:val="AFFF3F65"/>
    <w:rsid w:val="AFFF48BF"/>
    <w:rsid w:val="B1B3D369"/>
    <w:rsid w:val="B3F4D024"/>
    <w:rsid w:val="B57E749D"/>
    <w:rsid w:val="B5DF2360"/>
    <w:rsid w:val="B5FF1EF7"/>
    <w:rsid w:val="B62F3A25"/>
    <w:rsid w:val="B6CB257E"/>
    <w:rsid w:val="B73826D8"/>
    <w:rsid w:val="B7741E00"/>
    <w:rsid w:val="B77F24DE"/>
    <w:rsid w:val="B79F6FEA"/>
    <w:rsid w:val="B7DFDDA3"/>
    <w:rsid w:val="B7E710F7"/>
    <w:rsid w:val="B7F1D273"/>
    <w:rsid w:val="B7F70F60"/>
    <w:rsid w:val="B7FCF9ED"/>
    <w:rsid w:val="B7FEE96A"/>
    <w:rsid w:val="B7FFCDC7"/>
    <w:rsid w:val="B89D1920"/>
    <w:rsid w:val="B8BB3E79"/>
    <w:rsid w:val="B8FB557B"/>
    <w:rsid w:val="B8FC2314"/>
    <w:rsid w:val="B99FAF1A"/>
    <w:rsid w:val="BA7B23C6"/>
    <w:rsid w:val="BAB978E5"/>
    <w:rsid w:val="BB2F2193"/>
    <w:rsid w:val="BB3D9264"/>
    <w:rsid w:val="BB678F44"/>
    <w:rsid w:val="BB9CA6C3"/>
    <w:rsid w:val="BB9D62C9"/>
    <w:rsid w:val="BBA6343C"/>
    <w:rsid w:val="BBD4AEA7"/>
    <w:rsid w:val="BBFBBBC8"/>
    <w:rsid w:val="BBFEE3C5"/>
    <w:rsid w:val="BCFF62F4"/>
    <w:rsid w:val="BD1FDCDE"/>
    <w:rsid w:val="BDF5A621"/>
    <w:rsid w:val="BDF706B2"/>
    <w:rsid w:val="BDFF0D65"/>
    <w:rsid w:val="BE77126B"/>
    <w:rsid w:val="BE9E752B"/>
    <w:rsid w:val="BEFDDE97"/>
    <w:rsid w:val="BF370128"/>
    <w:rsid w:val="BF773542"/>
    <w:rsid w:val="BF77965D"/>
    <w:rsid w:val="BF7D3B8C"/>
    <w:rsid w:val="BF7E5070"/>
    <w:rsid w:val="BF9EE20F"/>
    <w:rsid w:val="BFB646A7"/>
    <w:rsid w:val="BFB72F7C"/>
    <w:rsid w:val="BFBBC724"/>
    <w:rsid w:val="BFBD3CAF"/>
    <w:rsid w:val="BFBE23E8"/>
    <w:rsid w:val="BFBF517B"/>
    <w:rsid w:val="BFC9FD21"/>
    <w:rsid w:val="BFDF1306"/>
    <w:rsid w:val="BFDF6EBE"/>
    <w:rsid w:val="BFDFD35D"/>
    <w:rsid w:val="BFEBB20D"/>
    <w:rsid w:val="BFEE2864"/>
    <w:rsid w:val="BFEF5A96"/>
    <w:rsid w:val="BFEFF9D5"/>
    <w:rsid w:val="BFF3E440"/>
    <w:rsid w:val="BFF9F325"/>
    <w:rsid w:val="BFF9FF88"/>
    <w:rsid w:val="BFFBF5CF"/>
    <w:rsid w:val="BFFCEB75"/>
    <w:rsid w:val="BFFF0663"/>
    <w:rsid w:val="BFFF3DCB"/>
    <w:rsid w:val="C0AF70DA"/>
    <w:rsid w:val="C37F488B"/>
    <w:rsid w:val="C3EE27B4"/>
    <w:rsid w:val="C69CF9A7"/>
    <w:rsid w:val="C7B7EED6"/>
    <w:rsid w:val="C7DF9A14"/>
    <w:rsid w:val="C86CBB67"/>
    <w:rsid w:val="CABD8417"/>
    <w:rsid w:val="CBBFB7E1"/>
    <w:rsid w:val="CD96557E"/>
    <w:rsid w:val="CDCF4B64"/>
    <w:rsid w:val="CDD74A83"/>
    <w:rsid w:val="CDDBE182"/>
    <w:rsid w:val="CDFFAA6F"/>
    <w:rsid w:val="CEBBD29B"/>
    <w:rsid w:val="CEF379A1"/>
    <w:rsid w:val="CF65FAAD"/>
    <w:rsid w:val="CF77CD6B"/>
    <w:rsid w:val="CFDBBDC2"/>
    <w:rsid w:val="CFEF3743"/>
    <w:rsid w:val="CFFB221A"/>
    <w:rsid w:val="CFFF5508"/>
    <w:rsid w:val="D2FF74D9"/>
    <w:rsid w:val="D3DE66AD"/>
    <w:rsid w:val="D3DEC2BD"/>
    <w:rsid w:val="D3F6E7AC"/>
    <w:rsid w:val="D3F7BE1A"/>
    <w:rsid w:val="D3FDDF5B"/>
    <w:rsid w:val="D3FF4856"/>
    <w:rsid w:val="D40BAF0B"/>
    <w:rsid w:val="D51F01A2"/>
    <w:rsid w:val="D67FCE5A"/>
    <w:rsid w:val="D6AD4478"/>
    <w:rsid w:val="D6AFE8E2"/>
    <w:rsid w:val="D6D62063"/>
    <w:rsid w:val="D6ED6815"/>
    <w:rsid w:val="D6FFBBDC"/>
    <w:rsid w:val="D71F3E5E"/>
    <w:rsid w:val="D75BAB64"/>
    <w:rsid w:val="D79F56C8"/>
    <w:rsid w:val="D7D78CAF"/>
    <w:rsid w:val="D7DD75E9"/>
    <w:rsid w:val="D7ED9A77"/>
    <w:rsid w:val="D7FB674E"/>
    <w:rsid w:val="D7FBF399"/>
    <w:rsid w:val="D7FD340C"/>
    <w:rsid w:val="D7FFB52A"/>
    <w:rsid w:val="D7FFEE3F"/>
    <w:rsid w:val="D89FA842"/>
    <w:rsid w:val="D93FA74C"/>
    <w:rsid w:val="D9E9F56E"/>
    <w:rsid w:val="D9EF090A"/>
    <w:rsid w:val="DA5CC265"/>
    <w:rsid w:val="DAEFACC4"/>
    <w:rsid w:val="DB6F0765"/>
    <w:rsid w:val="DB7D478F"/>
    <w:rsid w:val="DB89D90D"/>
    <w:rsid w:val="DBD52BBA"/>
    <w:rsid w:val="DBD66BF2"/>
    <w:rsid w:val="DBD6BF2B"/>
    <w:rsid w:val="DBDF93E6"/>
    <w:rsid w:val="DBF78C0C"/>
    <w:rsid w:val="DBF7DEE8"/>
    <w:rsid w:val="DC661E98"/>
    <w:rsid w:val="DC6DE2B4"/>
    <w:rsid w:val="DC7FD41C"/>
    <w:rsid w:val="DCEE2DDB"/>
    <w:rsid w:val="DDA700C6"/>
    <w:rsid w:val="DDF6E3D9"/>
    <w:rsid w:val="DDF7B60D"/>
    <w:rsid w:val="DEB716E9"/>
    <w:rsid w:val="DEE60C7F"/>
    <w:rsid w:val="DEFF4859"/>
    <w:rsid w:val="DF1F615D"/>
    <w:rsid w:val="DF372E0A"/>
    <w:rsid w:val="DF573A46"/>
    <w:rsid w:val="DF5E3A77"/>
    <w:rsid w:val="DF78E1EA"/>
    <w:rsid w:val="DF9F466D"/>
    <w:rsid w:val="DFB3F31A"/>
    <w:rsid w:val="DFBCC8AB"/>
    <w:rsid w:val="DFBEF2AC"/>
    <w:rsid w:val="DFBFB314"/>
    <w:rsid w:val="DFBFE03C"/>
    <w:rsid w:val="DFC9A8CD"/>
    <w:rsid w:val="DFD534BA"/>
    <w:rsid w:val="DFDB7185"/>
    <w:rsid w:val="DFDEF44C"/>
    <w:rsid w:val="DFDFBBD5"/>
    <w:rsid w:val="DFDFE905"/>
    <w:rsid w:val="DFEF679F"/>
    <w:rsid w:val="DFEFD08D"/>
    <w:rsid w:val="DFEFEEF5"/>
    <w:rsid w:val="DFF0DCAF"/>
    <w:rsid w:val="DFF2F51A"/>
    <w:rsid w:val="DFF33B8D"/>
    <w:rsid w:val="DFF750A6"/>
    <w:rsid w:val="DFF75272"/>
    <w:rsid w:val="DFF9C74F"/>
    <w:rsid w:val="DFFDF6B2"/>
    <w:rsid w:val="DFFE8CD5"/>
    <w:rsid w:val="DFFF1740"/>
    <w:rsid w:val="DFFF1980"/>
    <w:rsid w:val="E17BDB30"/>
    <w:rsid w:val="E1D7F950"/>
    <w:rsid w:val="E1DBEFAC"/>
    <w:rsid w:val="E25F9E79"/>
    <w:rsid w:val="E2F72747"/>
    <w:rsid w:val="E2FDCD40"/>
    <w:rsid w:val="E3643CAE"/>
    <w:rsid w:val="E3BA47D4"/>
    <w:rsid w:val="E3CF88AE"/>
    <w:rsid w:val="E3ED500E"/>
    <w:rsid w:val="E57F9DE0"/>
    <w:rsid w:val="E59F6EA0"/>
    <w:rsid w:val="E5E67594"/>
    <w:rsid w:val="E5FF359A"/>
    <w:rsid w:val="E64BAC7E"/>
    <w:rsid w:val="E6D6A4DB"/>
    <w:rsid w:val="E6DF443B"/>
    <w:rsid w:val="E6FE0CAB"/>
    <w:rsid w:val="E73DE48C"/>
    <w:rsid w:val="E76EA1BB"/>
    <w:rsid w:val="E7776A73"/>
    <w:rsid w:val="E777BC2D"/>
    <w:rsid w:val="E7AEBFC7"/>
    <w:rsid w:val="E7BB4160"/>
    <w:rsid w:val="E7EC9B44"/>
    <w:rsid w:val="E7EFDED2"/>
    <w:rsid w:val="E7F60456"/>
    <w:rsid w:val="E7FDC052"/>
    <w:rsid w:val="E7FE167D"/>
    <w:rsid w:val="E83F5D27"/>
    <w:rsid w:val="E99DAA3B"/>
    <w:rsid w:val="E9DD50A1"/>
    <w:rsid w:val="E9F71EFB"/>
    <w:rsid w:val="E9F75FB3"/>
    <w:rsid w:val="E9FCAFB3"/>
    <w:rsid w:val="E9FF6011"/>
    <w:rsid w:val="E9FF6313"/>
    <w:rsid w:val="EA7E65A4"/>
    <w:rsid w:val="EAAA8599"/>
    <w:rsid w:val="EB3F3CCE"/>
    <w:rsid w:val="EB4EF97C"/>
    <w:rsid w:val="EB7A3DF7"/>
    <w:rsid w:val="EB7BBA5E"/>
    <w:rsid w:val="EB7F3E07"/>
    <w:rsid w:val="EB9F82D8"/>
    <w:rsid w:val="EBB5AE26"/>
    <w:rsid w:val="EBBFD66B"/>
    <w:rsid w:val="EBCA48DD"/>
    <w:rsid w:val="EBD74426"/>
    <w:rsid w:val="EBE29E55"/>
    <w:rsid w:val="EBF709C8"/>
    <w:rsid w:val="EC7FA236"/>
    <w:rsid w:val="ECBF3567"/>
    <w:rsid w:val="ED5731E5"/>
    <w:rsid w:val="ED6EC30A"/>
    <w:rsid w:val="EDFDBD33"/>
    <w:rsid w:val="EDFF5712"/>
    <w:rsid w:val="EE7B49A5"/>
    <w:rsid w:val="EE9F2BA1"/>
    <w:rsid w:val="EEB5BD50"/>
    <w:rsid w:val="EEE3E82B"/>
    <w:rsid w:val="EEFF2F47"/>
    <w:rsid w:val="EEFF941C"/>
    <w:rsid w:val="EEFFDC56"/>
    <w:rsid w:val="EF5D5735"/>
    <w:rsid w:val="EF6DF991"/>
    <w:rsid w:val="EF76CFEB"/>
    <w:rsid w:val="EF7F6B17"/>
    <w:rsid w:val="EF9CC815"/>
    <w:rsid w:val="EF9D0B84"/>
    <w:rsid w:val="EFCF5349"/>
    <w:rsid w:val="EFD7FCFF"/>
    <w:rsid w:val="EFDC5CC6"/>
    <w:rsid w:val="EFDF98CB"/>
    <w:rsid w:val="EFE7863B"/>
    <w:rsid w:val="EFE918E6"/>
    <w:rsid w:val="EFF71ADC"/>
    <w:rsid w:val="EFFB389E"/>
    <w:rsid w:val="EFFBF062"/>
    <w:rsid w:val="EFFDDC91"/>
    <w:rsid w:val="EFFF7C69"/>
    <w:rsid w:val="F03F5376"/>
    <w:rsid w:val="F1D6E21C"/>
    <w:rsid w:val="F2EFF066"/>
    <w:rsid w:val="F2FF8F82"/>
    <w:rsid w:val="F32C163C"/>
    <w:rsid w:val="F3593EE4"/>
    <w:rsid w:val="F35FE557"/>
    <w:rsid w:val="F37DE30B"/>
    <w:rsid w:val="F37E585F"/>
    <w:rsid w:val="F37F7F9C"/>
    <w:rsid w:val="F37F95D4"/>
    <w:rsid w:val="F3BDA14E"/>
    <w:rsid w:val="F3C529CC"/>
    <w:rsid w:val="F3D7AD01"/>
    <w:rsid w:val="F3EB3B19"/>
    <w:rsid w:val="F3EDF87F"/>
    <w:rsid w:val="F3FDAC63"/>
    <w:rsid w:val="F4D58AFF"/>
    <w:rsid w:val="F4EF1409"/>
    <w:rsid w:val="F55AC040"/>
    <w:rsid w:val="F55BF194"/>
    <w:rsid w:val="F5B6470D"/>
    <w:rsid w:val="F5DD41EC"/>
    <w:rsid w:val="F5E70050"/>
    <w:rsid w:val="F5EF3523"/>
    <w:rsid w:val="F5F2914E"/>
    <w:rsid w:val="F5FF68A9"/>
    <w:rsid w:val="F62FE1E2"/>
    <w:rsid w:val="F679698F"/>
    <w:rsid w:val="F69F16B9"/>
    <w:rsid w:val="F6A76D23"/>
    <w:rsid w:val="F6BD2A22"/>
    <w:rsid w:val="F6BD9F1D"/>
    <w:rsid w:val="F6DE4F64"/>
    <w:rsid w:val="F6DF77CA"/>
    <w:rsid w:val="F6F39594"/>
    <w:rsid w:val="F6F4B292"/>
    <w:rsid w:val="F6FB2C14"/>
    <w:rsid w:val="F6FFC613"/>
    <w:rsid w:val="F71DD95D"/>
    <w:rsid w:val="F73FBEA7"/>
    <w:rsid w:val="F7772889"/>
    <w:rsid w:val="F7ADBA89"/>
    <w:rsid w:val="F7B6C7F9"/>
    <w:rsid w:val="F7BD48C3"/>
    <w:rsid w:val="F7BFF90E"/>
    <w:rsid w:val="F7C93B9C"/>
    <w:rsid w:val="F7D31482"/>
    <w:rsid w:val="F7DF74BA"/>
    <w:rsid w:val="F7DF92BC"/>
    <w:rsid w:val="F7EEE68D"/>
    <w:rsid w:val="F7F214BF"/>
    <w:rsid w:val="F7F224D0"/>
    <w:rsid w:val="F7F67F95"/>
    <w:rsid w:val="F7F702CA"/>
    <w:rsid w:val="F7FDD622"/>
    <w:rsid w:val="F7FE28F7"/>
    <w:rsid w:val="F7FE8568"/>
    <w:rsid w:val="F7FF0C71"/>
    <w:rsid w:val="F87FAD6F"/>
    <w:rsid w:val="F8F11D6E"/>
    <w:rsid w:val="F8F5CA59"/>
    <w:rsid w:val="F95F9D11"/>
    <w:rsid w:val="F9774B0E"/>
    <w:rsid w:val="F9775EE1"/>
    <w:rsid w:val="F9A72A04"/>
    <w:rsid w:val="F9AD3048"/>
    <w:rsid w:val="F9B52D1E"/>
    <w:rsid w:val="F9EFAF28"/>
    <w:rsid w:val="F9F6136F"/>
    <w:rsid w:val="F9F9E57B"/>
    <w:rsid w:val="F9FF26DE"/>
    <w:rsid w:val="FA4F41D6"/>
    <w:rsid w:val="FA5F9E5D"/>
    <w:rsid w:val="FA7FF78E"/>
    <w:rsid w:val="FABF01E8"/>
    <w:rsid w:val="FABFB9FB"/>
    <w:rsid w:val="FADD92A6"/>
    <w:rsid w:val="FAE37FFC"/>
    <w:rsid w:val="FAF7A451"/>
    <w:rsid w:val="FAFA96E1"/>
    <w:rsid w:val="FAFBA62B"/>
    <w:rsid w:val="FAFFE23F"/>
    <w:rsid w:val="FB3D1A8A"/>
    <w:rsid w:val="FB3F7EB5"/>
    <w:rsid w:val="FB5D4643"/>
    <w:rsid w:val="FB5FC326"/>
    <w:rsid w:val="FB78A066"/>
    <w:rsid w:val="FB7EB088"/>
    <w:rsid w:val="FB7F0073"/>
    <w:rsid w:val="FBAA5A59"/>
    <w:rsid w:val="FBAE1646"/>
    <w:rsid w:val="FBAFD70A"/>
    <w:rsid w:val="FBBF8A0B"/>
    <w:rsid w:val="FBD75E61"/>
    <w:rsid w:val="FBDB3A88"/>
    <w:rsid w:val="FBDEAA0F"/>
    <w:rsid w:val="FBDF1304"/>
    <w:rsid w:val="FBDFAD3E"/>
    <w:rsid w:val="FBEE89FF"/>
    <w:rsid w:val="FBF7FEBD"/>
    <w:rsid w:val="FBFA3AA6"/>
    <w:rsid w:val="FBFB0D67"/>
    <w:rsid w:val="FBFF6960"/>
    <w:rsid w:val="FBFF82D2"/>
    <w:rsid w:val="FC3BFAB1"/>
    <w:rsid w:val="FCDE60AF"/>
    <w:rsid w:val="FCDEE732"/>
    <w:rsid w:val="FCEF910F"/>
    <w:rsid w:val="FCF7C9A7"/>
    <w:rsid w:val="FCFB8DC2"/>
    <w:rsid w:val="FCFEBDE4"/>
    <w:rsid w:val="FCFF550B"/>
    <w:rsid w:val="FD393BF8"/>
    <w:rsid w:val="FD7E6713"/>
    <w:rsid w:val="FD99FCE8"/>
    <w:rsid w:val="FD9B3D3B"/>
    <w:rsid w:val="FDAFE600"/>
    <w:rsid w:val="FDBFCC8A"/>
    <w:rsid w:val="FDCFC047"/>
    <w:rsid w:val="FDDD2850"/>
    <w:rsid w:val="FDE31FC9"/>
    <w:rsid w:val="FDE3925A"/>
    <w:rsid w:val="FDE7DB6E"/>
    <w:rsid w:val="FDE85B32"/>
    <w:rsid w:val="FDF3815C"/>
    <w:rsid w:val="FDF76AC0"/>
    <w:rsid w:val="FDF7825D"/>
    <w:rsid w:val="FDFB8949"/>
    <w:rsid w:val="FDFBC081"/>
    <w:rsid w:val="FDFF5039"/>
    <w:rsid w:val="FE3768B9"/>
    <w:rsid w:val="FE5B6317"/>
    <w:rsid w:val="FE734873"/>
    <w:rsid w:val="FE7F63CF"/>
    <w:rsid w:val="FE970F12"/>
    <w:rsid w:val="FEB226F5"/>
    <w:rsid w:val="FEC32FCA"/>
    <w:rsid w:val="FEC57C7F"/>
    <w:rsid w:val="FEC88885"/>
    <w:rsid w:val="FED76DB7"/>
    <w:rsid w:val="FEE5878C"/>
    <w:rsid w:val="FEEDF12F"/>
    <w:rsid w:val="FEF53230"/>
    <w:rsid w:val="FEF737F4"/>
    <w:rsid w:val="FEF7ED36"/>
    <w:rsid w:val="FEF9DC84"/>
    <w:rsid w:val="FEFA18C1"/>
    <w:rsid w:val="FEFE9971"/>
    <w:rsid w:val="FEFF5038"/>
    <w:rsid w:val="FEFF8F79"/>
    <w:rsid w:val="FEFFAB8E"/>
    <w:rsid w:val="FEFFB409"/>
    <w:rsid w:val="FF1F8301"/>
    <w:rsid w:val="FF2B21AC"/>
    <w:rsid w:val="FF3DDCC4"/>
    <w:rsid w:val="FF477E31"/>
    <w:rsid w:val="FF4D7938"/>
    <w:rsid w:val="FF798674"/>
    <w:rsid w:val="FF7AC69C"/>
    <w:rsid w:val="FF7BDAD5"/>
    <w:rsid w:val="FF7D16DD"/>
    <w:rsid w:val="FF7F6AA9"/>
    <w:rsid w:val="FF7F7693"/>
    <w:rsid w:val="FF7FE003"/>
    <w:rsid w:val="FF9F6DCE"/>
    <w:rsid w:val="FFA7C681"/>
    <w:rsid w:val="FFAF2B55"/>
    <w:rsid w:val="FFAF62EA"/>
    <w:rsid w:val="FFAF9DA0"/>
    <w:rsid w:val="FFB76EF6"/>
    <w:rsid w:val="FFBA3662"/>
    <w:rsid w:val="FFBB0CB0"/>
    <w:rsid w:val="FFBB2264"/>
    <w:rsid w:val="FFBD08D5"/>
    <w:rsid w:val="FFBDB396"/>
    <w:rsid w:val="FFBE9E5E"/>
    <w:rsid w:val="FFBEE63B"/>
    <w:rsid w:val="FFBFE3B6"/>
    <w:rsid w:val="FFCE0946"/>
    <w:rsid w:val="FFD0E28A"/>
    <w:rsid w:val="FFD71089"/>
    <w:rsid w:val="FFD7E1D9"/>
    <w:rsid w:val="FFD9F929"/>
    <w:rsid w:val="FFDA1502"/>
    <w:rsid w:val="FFDD9B1C"/>
    <w:rsid w:val="FFDDDA3A"/>
    <w:rsid w:val="FFDED7B9"/>
    <w:rsid w:val="FFDF74EB"/>
    <w:rsid w:val="FFDF7E76"/>
    <w:rsid w:val="FFDF9AAC"/>
    <w:rsid w:val="FFE2DD0E"/>
    <w:rsid w:val="FFE378EE"/>
    <w:rsid w:val="FFE68824"/>
    <w:rsid w:val="FFE7A35D"/>
    <w:rsid w:val="FFE81E8E"/>
    <w:rsid w:val="FFE88D67"/>
    <w:rsid w:val="FFEB70B3"/>
    <w:rsid w:val="FFECF445"/>
    <w:rsid w:val="FFED406A"/>
    <w:rsid w:val="FFEF9105"/>
    <w:rsid w:val="FFF06A3B"/>
    <w:rsid w:val="FFF328D6"/>
    <w:rsid w:val="FFF34A70"/>
    <w:rsid w:val="FFF5C26A"/>
    <w:rsid w:val="FFF7CD4B"/>
    <w:rsid w:val="FFF84911"/>
    <w:rsid w:val="FFFA88F0"/>
    <w:rsid w:val="FFFB5B06"/>
    <w:rsid w:val="FFFB89A8"/>
    <w:rsid w:val="FFFBC4BF"/>
    <w:rsid w:val="FFFC4FDF"/>
    <w:rsid w:val="FFFD40C6"/>
    <w:rsid w:val="FFFDDBC3"/>
    <w:rsid w:val="FFFDEC06"/>
    <w:rsid w:val="FFFE683A"/>
    <w:rsid w:val="FFFF43D2"/>
    <w:rsid w:val="FFFFB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9"/>
    <w:qFormat/>
    <w:uiPriority w:val="0"/>
    <w:rPr>
      <w:rFonts w:ascii="Times New Roman" w:hAnsi="Times New Roman" w:eastAsia="仿宋_GB2312" w:cs="Times New Roman"/>
      <w:sz w:val="32"/>
      <w:szCs w:val="20"/>
    </w:rPr>
  </w:style>
  <w:style w:type="paragraph" w:styleId="6">
    <w:name w:val="Normal Indent"/>
    <w:basedOn w:val="1"/>
    <w:qFormat/>
    <w:uiPriority w:val="0"/>
    <w:pPr>
      <w:autoSpaceDE w:val="0"/>
      <w:autoSpaceDN w:val="0"/>
      <w:adjustRightInd w:val="0"/>
      <w:ind w:firstLine="420"/>
      <w:jc w:val="left"/>
    </w:pPr>
    <w:rPr>
      <w:rFonts w:ascii="宋体"/>
      <w:sz w:val="24"/>
    </w:rPr>
  </w:style>
  <w:style w:type="paragraph" w:styleId="8">
    <w:name w:val="annotation text"/>
    <w:basedOn w:val="1"/>
    <w:qFormat/>
    <w:uiPriority w:val="0"/>
    <w:pPr>
      <w:jc w:val="left"/>
    </w:pPr>
  </w:style>
  <w:style w:type="paragraph" w:styleId="9">
    <w:name w:val="Body Text Indent"/>
    <w:basedOn w:val="1"/>
    <w:unhideWhenUsed/>
    <w:qFormat/>
    <w:uiPriority w:val="99"/>
    <w:pPr>
      <w:spacing w:after="120"/>
      <w:ind w:left="420" w:leftChars="200"/>
    </w:pPr>
  </w:style>
  <w:style w:type="paragraph" w:styleId="10">
    <w:name w:val="toc 3"/>
    <w:basedOn w:val="1"/>
    <w:next w:val="1"/>
    <w:qFormat/>
    <w:uiPriority w:val="0"/>
    <w:pPr>
      <w:ind w:left="420"/>
    </w:pPr>
    <w:rPr>
      <w:rFonts w:ascii="等线" w:hAnsi="等线" w:eastAsia="等线"/>
      <w:b/>
      <w:sz w:val="30"/>
      <w:szCs w:val="30"/>
    </w:rPr>
  </w:style>
  <w:style w:type="paragraph" w:styleId="11">
    <w:name w:val="Plain Text"/>
    <w:basedOn w:val="1"/>
    <w:qFormat/>
    <w:uiPriority w:val="0"/>
    <w:rPr>
      <w:rFonts w:ascii="宋体" w:hAnsi="Courier New"/>
    </w:rPr>
  </w:style>
  <w:style w:type="paragraph" w:styleId="12">
    <w:name w:val="Body Text Indent 2"/>
    <w:basedOn w:val="1"/>
    <w:link w:val="30"/>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13">
    <w:name w:val="Balloon Text"/>
    <w:basedOn w:val="1"/>
    <w:link w:val="31"/>
    <w:semiHidden/>
    <w:unhideWhenUsed/>
    <w:qFormat/>
    <w:uiPriority w:val="99"/>
    <w:rPr>
      <w:sz w:val="18"/>
      <w:szCs w:val="18"/>
    </w:rPr>
  </w:style>
  <w:style w:type="paragraph" w:styleId="14">
    <w:name w:val="footer"/>
    <w:basedOn w:val="1"/>
    <w:link w:val="28"/>
    <w:unhideWhenUsed/>
    <w:qFormat/>
    <w:uiPriority w:val="99"/>
    <w:pPr>
      <w:tabs>
        <w:tab w:val="center" w:pos="4153"/>
        <w:tab w:val="right" w:pos="8306"/>
      </w:tabs>
      <w:snapToGrid w:val="0"/>
      <w:jc w:val="left"/>
    </w:pPr>
    <w:rPr>
      <w:sz w:val="18"/>
      <w:szCs w:val="18"/>
    </w:rPr>
  </w:style>
  <w:style w:type="paragraph" w:styleId="15">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8">
    <w:name w:val="Normal (Web)"/>
    <w:basedOn w:val="1"/>
    <w:semiHidden/>
    <w:unhideWhenUsed/>
    <w:qFormat/>
    <w:uiPriority w:val="99"/>
    <w:pPr>
      <w:spacing w:beforeAutospacing="1" w:afterAutospacing="1"/>
      <w:jc w:val="left"/>
    </w:pPr>
    <w:rPr>
      <w:rFonts w:cs="Times New Roman"/>
      <w:kern w:val="0"/>
      <w:sz w:val="24"/>
    </w:rPr>
  </w:style>
  <w:style w:type="paragraph" w:styleId="19">
    <w:name w:val="Title"/>
    <w:basedOn w:val="1"/>
    <w:next w:val="1"/>
    <w:qFormat/>
    <w:uiPriority w:val="0"/>
    <w:pPr>
      <w:jc w:val="center"/>
      <w:outlineLvl w:val="0"/>
    </w:pPr>
    <w:rPr>
      <w:b/>
      <w:sz w:val="32"/>
      <w:szCs w:val="20"/>
    </w:rPr>
  </w:style>
  <w:style w:type="paragraph" w:styleId="20">
    <w:name w:val="Body Text First Indent"/>
    <w:basedOn w:val="2"/>
    <w:qFormat/>
    <w:uiPriority w:val="0"/>
    <w:pPr>
      <w:tabs>
        <w:tab w:val="left" w:pos="567"/>
      </w:tabs>
      <w:spacing w:before="0" w:after="120" w:line="240" w:lineRule="auto"/>
      <w:ind w:firstLine="420" w:firstLineChars="100"/>
    </w:pPr>
    <w:rPr>
      <w:rFonts w:ascii="Times New Roman" w:hAnsi="Times New Roman"/>
      <w:sz w:val="21"/>
    </w:rPr>
  </w:style>
  <w:style w:type="paragraph" w:styleId="21">
    <w:name w:val="Body Text First Indent 2"/>
    <w:basedOn w:val="9"/>
    <w:unhideWhenUsed/>
    <w:qFormat/>
    <w:uiPriority w:val="99"/>
    <w:pPr>
      <w:spacing w:after="0" w:line="520" w:lineRule="atLeast"/>
      <w:ind w:left="0" w:leftChars="0" w:firstLine="420"/>
    </w:pPr>
    <w:rPr>
      <w:rFonts w:ascii="仿宋_GB2312" w:eastAsia="仿宋_GB2312"/>
      <w:sz w:val="36"/>
      <w:szCs w:val="20"/>
    </w:rPr>
  </w:style>
  <w:style w:type="table" w:styleId="23">
    <w:name w:val="Table Grid"/>
    <w:basedOn w:val="2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5">
    <w:name w:val="Strong"/>
    <w:basedOn w:val="24"/>
    <w:qFormat/>
    <w:uiPriority w:val="22"/>
    <w:rPr>
      <w:b/>
    </w:rPr>
  </w:style>
  <w:style w:type="character" w:styleId="26">
    <w:name w:val="page number"/>
    <w:basedOn w:val="24"/>
    <w:qFormat/>
    <w:uiPriority w:val="0"/>
  </w:style>
  <w:style w:type="character" w:customStyle="1" w:styleId="27">
    <w:name w:val="页眉 Char"/>
    <w:basedOn w:val="24"/>
    <w:link w:val="15"/>
    <w:qFormat/>
    <w:uiPriority w:val="99"/>
    <w:rPr>
      <w:sz w:val="18"/>
      <w:szCs w:val="18"/>
    </w:rPr>
  </w:style>
  <w:style w:type="character" w:customStyle="1" w:styleId="28">
    <w:name w:val="页脚 Char"/>
    <w:basedOn w:val="24"/>
    <w:link w:val="14"/>
    <w:qFormat/>
    <w:uiPriority w:val="99"/>
    <w:rPr>
      <w:sz w:val="18"/>
      <w:szCs w:val="18"/>
    </w:rPr>
  </w:style>
  <w:style w:type="character" w:customStyle="1" w:styleId="29">
    <w:name w:val="正文文本 Char"/>
    <w:basedOn w:val="24"/>
    <w:link w:val="2"/>
    <w:qFormat/>
    <w:uiPriority w:val="0"/>
    <w:rPr>
      <w:rFonts w:ascii="Times New Roman" w:hAnsi="Times New Roman" w:eastAsia="仿宋_GB2312" w:cs="Times New Roman"/>
      <w:sz w:val="32"/>
      <w:szCs w:val="20"/>
    </w:rPr>
  </w:style>
  <w:style w:type="character" w:customStyle="1" w:styleId="30">
    <w:name w:val="正文文本缩进 2 Char"/>
    <w:basedOn w:val="24"/>
    <w:link w:val="12"/>
    <w:qFormat/>
    <w:uiPriority w:val="0"/>
    <w:rPr>
      <w:rFonts w:ascii="仿宋_GB2312" w:hAnsi="宋体" w:eastAsia="仿宋_GB2312" w:cs="Times New Roman"/>
      <w:sz w:val="32"/>
      <w:szCs w:val="24"/>
    </w:rPr>
  </w:style>
  <w:style w:type="character" w:customStyle="1" w:styleId="31">
    <w:name w:val="批注框文本 Char"/>
    <w:basedOn w:val="24"/>
    <w:link w:val="13"/>
    <w:semiHidden/>
    <w:qFormat/>
    <w:uiPriority w:val="99"/>
    <w:rPr>
      <w:rFonts w:asciiTheme="minorHAnsi" w:hAnsiTheme="minorHAnsi" w:eastAsiaTheme="minorEastAsia" w:cstheme="minorBidi"/>
      <w:kern w:val="2"/>
      <w:sz w:val="18"/>
      <w:szCs w:val="18"/>
    </w:rPr>
  </w:style>
  <w:style w:type="paragraph" w:styleId="32">
    <w:name w:val="List Paragraph"/>
    <w:basedOn w:val="1"/>
    <w:qFormat/>
    <w:uiPriority w:val="34"/>
    <w:pPr>
      <w:ind w:firstLine="420" w:firstLineChars="200"/>
    </w:pPr>
  </w:style>
  <w:style w:type="character" w:customStyle="1" w:styleId="33">
    <w:name w:val="font01"/>
    <w:basedOn w:val="24"/>
    <w:qFormat/>
    <w:uiPriority w:val="0"/>
    <w:rPr>
      <w:rFonts w:hint="eastAsia" w:ascii="宋体" w:hAnsi="宋体" w:eastAsia="宋体" w:cs="宋体"/>
      <w:b/>
      <w:bCs/>
      <w:color w:val="000000"/>
      <w:sz w:val="22"/>
      <w:szCs w:val="22"/>
      <w:u w:val="none"/>
    </w:rPr>
  </w:style>
  <w:style w:type="character" w:customStyle="1" w:styleId="34">
    <w:name w:val="font21"/>
    <w:basedOn w:val="24"/>
    <w:qFormat/>
    <w:uiPriority w:val="0"/>
    <w:rPr>
      <w:rFonts w:hint="eastAsia" w:ascii="宋体" w:hAnsi="宋体" w:eastAsia="宋体" w:cs="宋体"/>
      <w:color w:val="000000"/>
      <w:sz w:val="22"/>
      <w:szCs w:val="22"/>
      <w:u w:val="none"/>
    </w:rPr>
  </w:style>
  <w:style w:type="paragraph" w:customStyle="1" w:styleId="35">
    <w:name w:val="my正文"/>
    <w:basedOn w:val="1"/>
    <w:qFormat/>
    <w:uiPriority w:val="0"/>
    <w:pPr>
      <w:spacing w:line="360" w:lineRule="auto"/>
      <w:ind w:firstLine="480" w:firstLineChars="200"/>
    </w:pPr>
    <w:rPr>
      <w:sz w:val="24"/>
    </w:rPr>
  </w:style>
  <w:style w:type="paragraph" w:customStyle="1" w:styleId="36">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36</Pages>
  <Words>11503</Words>
  <Characters>12112</Characters>
  <Lines>8</Lines>
  <Paragraphs>2</Paragraphs>
  <TotalTime>5</TotalTime>
  <ScaleCrop>false</ScaleCrop>
  <LinksUpToDate>false</LinksUpToDate>
  <CharactersWithSpaces>12437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2022-06-01T02:37:00Z</dcterms:created>
  <dc:creator>葫芦</dc:creator>
  <cp:lastModifiedBy>user</cp:lastModifiedBy>
  <cp:lastPrinted>2026-10-23T01:56:00Z</cp:lastPrinted>
  <dcterms:modified xsi:type="dcterms:W3CDTF">2026-10-22T10:37:24Z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655849CDA2394582AE1FDC6144CFC545_13</vt:lpwstr>
  </property>
  <property fmtid="{D5CDD505-2E9C-101B-9397-08002B2CF9AE}" pid="4" name="commondata">
    <vt:lpwstr>eyJoZGlkIjoiOWZmMWI5NzcyMzkxYmQwZjg1YWQ3ZmVkMjI5OTY4ZDkifQ==</vt:lpwstr>
  </property>
  <property fmtid="{D5CDD505-2E9C-101B-9397-08002B2CF9AE}" pid="5" name="KSOTemplateDocerSaveRecord">
    <vt:lpwstr>eyJoZGlkIjoiMGRjMjdmYmY4YWIxMGMwM2VlY2JiZjFlMTc4YjE3OGMiLCJ1c2VySWQiOiIyMDQ2NjM5OTEifQ==</vt:lpwstr>
  </property>
</Properties>
</file>