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58F110">
      <w:pPr>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方正小标宋_GBK" w:hAnsi="方正小标宋_GBK" w:eastAsia="方正小标宋_GBK" w:cs="方正小标宋_GBK"/>
          <w:color w:val="auto"/>
          <w:sz w:val="52"/>
          <w:szCs w:val="52"/>
          <w:highlight w:val="none"/>
        </w:rPr>
      </w:pPr>
    </w:p>
    <w:p w14:paraId="2E993204">
      <w:pPr>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方正小标宋_GBK" w:hAnsi="方正小标宋_GBK" w:eastAsia="方正小标宋_GBK" w:cs="方正小标宋_GBK"/>
          <w:color w:val="auto"/>
          <w:sz w:val="52"/>
          <w:szCs w:val="52"/>
          <w:highlight w:val="none"/>
        </w:rPr>
      </w:pPr>
    </w:p>
    <w:p w14:paraId="1E8C403D">
      <w:pPr>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方正小标宋_GBK" w:hAnsi="方正小标宋_GBK" w:eastAsia="方正小标宋_GBK" w:cs="方正小标宋_GBK"/>
          <w:color w:val="auto"/>
          <w:sz w:val="52"/>
          <w:szCs w:val="52"/>
          <w:highlight w:val="none"/>
        </w:rPr>
      </w:pPr>
    </w:p>
    <w:p w14:paraId="258AF905">
      <w:pPr>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方正小标宋_GBK" w:hAnsi="方正小标宋_GBK" w:eastAsia="方正小标宋_GBK" w:cs="方正小标宋_GBK"/>
          <w:color w:val="auto"/>
          <w:sz w:val="52"/>
          <w:szCs w:val="52"/>
          <w:highlight w:val="none"/>
        </w:rPr>
      </w:pPr>
    </w:p>
    <w:p w14:paraId="1A7991D1">
      <w:pPr>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方正小标宋_GBK" w:hAnsi="方正小标宋_GBK" w:eastAsia="方正小标宋_GBK" w:cs="方正小标宋_GBK"/>
          <w:b/>
          <w:bCs/>
          <w:color w:val="auto"/>
          <w:sz w:val="48"/>
          <w:szCs w:val="48"/>
          <w:highlight w:val="none"/>
        </w:rPr>
      </w:pPr>
      <w:r>
        <w:rPr>
          <w:rFonts w:hint="eastAsia" w:ascii="方正小标宋_GBK" w:hAnsi="方正小标宋_GBK" w:eastAsia="方正小标宋_GBK" w:cs="方正小标宋_GBK"/>
          <w:b/>
          <w:bCs/>
          <w:color w:val="auto"/>
          <w:sz w:val="48"/>
          <w:szCs w:val="48"/>
          <w:highlight w:val="none"/>
          <w:lang w:val="en-US" w:eastAsia="zh-CN"/>
        </w:rPr>
        <w:t>北京市</w:t>
      </w:r>
      <w:r>
        <w:rPr>
          <w:rFonts w:hint="eastAsia" w:ascii="方正小标宋_GBK" w:hAnsi="方正小标宋_GBK" w:eastAsia="方正小标宋_GBK" w:cs="方正小标宋_GBK"/>
          <w:b/>
          <w:bCs/>
          <w:color w:val="auto"/>
          <w:sz w:val="48"/>
          <w:szCs w:val="48"/>
          <w:highlight w:val="none"/>
        </w:rPr>
        <w:t>电力零售市场购售电合同</w:t>
      </w:r>
    </w:p>
    <w:p w14:paraId="5C1545F6">
      <w:pPr>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方正小标宋_GBK" w:hAnsi="方正小标宋_GBK" w:eastAsia="方正小标宋_GBK" w:cs="方正小标宋_GBK"/>
          <w:color w:val="auto"/>
          <w:sz w:val="44"/>
          <w:szCs w:val="44"/>
          <w:highlight w:val="none"/>
        </w:rPr>
      </w:pPr>
    </w:p>
    <w:p w14:paraId="45650A0C">
      <w:pPr>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rPr>
        <w:t>（202</w:t>
      </w:r>
      <w:r>
        <w:rPr>
          <w:rFonts w:hint="eastAsia" w:ascii="方正小标宋_GBK" w:hAnsi="方正小标宋_GBK" w:eastAsia="方正小标宋_GBK" w:cs="方正小标宋_GBK"/>
          <w:color w:val="auto"/>
          <w:sz w:val="36"/>
          <w:szCs w:val="36"/>
          <w:highlight w:val="none"/>
          <w:lang w:val="en-US" w:eastAsia="zh-CN"/>
        </w:rPr>
        <w:t>6</w:t>
      </w:r>
      <w:r>
        <w:rPr>
          <w:rFonts w:hint="eastAsia" w:ascii="方正小标宋_GBK" w:hAnsi="方正小标宋_GBK" w:eastAsia="方正小标宋_GBK" w:cs="方正小标宋_GBK"/>
          <w:color w:val="auto"/>
          <w:sz w:val="36"/>
          <w:szCs w:val="36"/>
          <w:highlight w:val="none"/>
        </w:rPr>
        <w:t>年示范文本）</w:t>
      </w:r>
    </w:p>
    <w:p w14:paraId="5A195F25">
      <w:pPr>
        <w:pStyle w:val="5"/>
        <w:jc w:val="center"/>
        <w:rPr>
          <w:rFonts w:hint="eastAsia" w:eastAsia="方正小标宋_GBK"/>
          <w:color w:val="auto"/>
          <w:highlight w:val="none"/>
          <w:lang w:val="en-US" w:eastAsia="zh-CN"/>
        </w:rPr>
      </w:pPr>
    </w:p>
    <w:p w14:paraId="226AAF6A">
      <w:pPr>
        <w:rPr>
          <w:rFonts w:hint="eastAsia"/>
          <w:color w:val="auto"/>
          <w:highlight w:val="none"/>
          <w:lang w:val="en-US" w:eastAsia="zh-CN"/>
        </w:rPr>
      </w:pPr>
    </w:p>
    <w:p w14:paraId="7D9A3435">
      <w:pPr>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方正小标宋_GBK" w:hAnsi="方正小标宋_GBK" w:eastAsia="方正小标宋_GBK" w:cs="方正小标宋_GBK"/>
          <w:color w:val="auto"/>
          <w:sz w:val="44"/>
          <w:szCs w:val="44"/>
          <w:highlight w:val="none"/>
        </w:rPr>
      </w:pPr>
    </w:p>
    <w:p w14:paraId="2BD38A85">
      <w:pPr>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方正小标宋_GBK" w:hAnsi="方正小标宋_GBK" w:eastAsia="方正小标宋_GBK" w:cs="方正小标宋_GBK"/>
          <w:color w:val="auto"/>
          <w:sz w:val="44"/>
          <w:szCs w:val="44"/>
          <w:highlight w:val="none"/>
        </w:rPr>
      </w:pPr>
    </w:p>
    <w:p w14:paraId="09B740F2">
      <w:pPr>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方正小标宋_GBK" w:hAnsi="方正小标宋_GBK" w:eastAsia="方正小标宋_GBK" w:cs="方正小标宋_GBK"/>
          <w:color w:val="auto"/>
          <w:sz w:val="44"/>
          <w:szCs w:val="44"/>
          <w:highlight w:val="none"/>
        </w:rPr>
      </w:pPr>
    </w:p>
    <w:p w14:paraId="32D0A083">
      <w:pPr>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方正小标宋_GBK" w:hAnsi="方正小标宋_GBK" w:eastAsia="方正小标宋_GBK" w:cs="方正小标宋_GBK"/>
          <w:color w:val="auto"/>
          <w:sz w:val="44"/>
          <w:szCs w:val="44"/>
          <w:highlight w:val="none"/>
        </w:rPr>
      </w:pPr>
    </w:p>
    <w:p w14:paraId="51814F68">
      <w:pPr>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方正小标宋_GBK" w:hAnsi="方正小标宋_GBK" w:eastAsia="方正小标宋_GBK" w:cs="方正小标宋_GBK"/>
          <w:color w:val="auto"/>
          <w:sz w:val="44"/>
          <w:szCs w:val="44"/>
          <w:highlight w:val="none"/>
        </w:rPr>
      </w:pPr>
    </w:p>
    <w:p w14:paraId="7553C42A">
      <w:pPr>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方正小标宋_GBK" w:hAnsi="方正小标宋_GBK" w:eastAsia="方正小标宋_GBK" w:cs="方正小标宋_GBK"/>
          <w:color w:val="auto"/>
          <w:sz w:val="44"/>
          <w:szCs w:val="44"/>
          <w:highlight w:val="none"/>
        </w:rPr>
      </w:pPr>
    </w:p>
    <w:p w14:paraId="4DF72F59">
      <w:pPr>
        <w:keepNext w:val="0"/>
        <w:keepLines w:val="0"/>
        <w:pageBreakBefore w:val="0"/>
        <w:widowControl w:val="0"/>
        <w:kinsoku/>
        <w:wordWrap/>
        <w:overflowPunct/>
        <w:topLinePunct w:val="0"/>
        <w:autoSpaceDE/>
        <w:autoSpaceDN/>
        <w:bidi w:val="0"/>
        <w:adjustRightInd/>
        <w:snapToGrid/>
        <w:spacing w:line="580" w:lineRule="exact"/>
        <w:ind w:right="0"/>
        <w:jc w:val="left"/>
        <w:textAlignment w:val="auto"/>
        <w:rPr>
          <w:rFonts w:hint="default"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甲方（零售用户）：</w:t>
      </w:r>
      <w:r>
        <w:rPr>
          <w:rFonts w:hint="eastAsia" w:ascii="黑体" w:hAnsi="黑体" w:eastAsia="黑体" w:cs="黑体"/>
          <w:b/>
          <w:bCs/>
          <w:color w:val="0000FF"/>
          <w:sz w:val="32"/>
          <w:szCs w:val="32"/>
          <w:highlight w:val="none"/>
          <w:lang w:val="en-US" w:eastAsia="zh-CN"/>
        </w:rPr>
        <w:t>北京市昌平区南口社区卫生服务中心</w:t>
      </w:r>
    </w:p>
    <w:p w14:paraId="293D0D1A">
      <w:pPr>
        <w:keepNext w:val="0"/>
        <w:keepLines w:val="0"/>
        <w:pageBreakBefore w:val="0"/>
        <w:widowControl w:val="0"/>
        <w:kinsoku/>
        <w:wordWrap/>
        <w:overflowPunct/>
        <w:topLinePunct w:val="0"/>
        <w:autoSpaceDE/>
        <w:autoSpaceDN/>
        <w:bidi w:val="0"/>
        <w:adjustRightInd/>
        <w:snapToGrid/>
        <w:spacing w:line="580" w:lineRule="exact"/>
        <w:ind w:right="0"/>
        <w:jc w:val="left"/>
        <w:textAlignment w:val="auto"/>
        <w:rPr>
          <w:rFonts w:hint="eastAsia" w:ascii="黑体" w:hAnsi="黑体" w:eastAsia="黑体" w:cs="黑体"/>
          <w:b/>
          <w:bCs/>
          <w:color w:val="auto"/>
          <w:sz w:val="32"/>
          <w:szCs w:val="32"/>
          <w:highlight w:val="none"/>
          <w:lang w:val="en-US" w:eastAsia="zh-CN"/>
        </w:rPr>
      </w:pPr>
    </w:p>
    <w:p w14:paraId="25F32184">
      <w:pPr>
        <w:keepNext w:val="0"/>
        <w:keepLines w:val="0"/>
        <w:pageBreakBefore w:val="0"/>
        <w:widowControl w:val="0"/>
        <w:kinsoku/>
        <w:wordWrap/>
        <w:overflowPunct/>
        <w:topLinePunct w:val="0"/>
        <w:autoSpaceDE/>
        <w:autoSpaceDN/>
        <w:bidi w:val="0"/>
        <w:adjustRightInd/>
        <w:snapToGrid/>
        <w:spacing w:line="580" w:lineRule="exact"/>
        <w:ind w:right="0"/>
        <w:jc w:val="left"/>
        <w:textAlignment w:val="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乙方（售电公司）：北京京能新能源有限公司</w:t>
      </w:r>
    </w:p>
    <w:p w14:paraId="2F50F575">
      <w:pPr>
        <w:keepNext w:val="0"/>
        <w:keepLines w:val="0"/>
        <w:pageBreakBefore w:val="0"/>
        <w:widowControl w:val="0"/>
        <w:kinsoku/>
        <w:wordWrap/>
        <w:overflowPunct/>
        <w:topLinePunct w:val="0"/>
        <w:autoSpaceDE/>
        <w:autoSpaceDN/>
        <w:bidi w:val="0"/>
        <w:adjustRightInd/>
        <w:snapToGrid/>
        <w:spacing w:line="580" w:lineRule="exact"/>
        <w:ind w:right="0"/>
        <w:jc w:val="left"/>
        <w:textAlignment w:val="auto"/>
        <w:rPr>
          <w:rFonts w:hint="eastAsia" w:ascii="黑体" w:hAnsi="黑体" w:eastAsia="黑体" w:cs="黑体"/>
          <w:b/>
          <w:bCs/>
          <w:color w:val="auto"/>
          <w:sz w:val="32"/>
          <w:szCs w:val="32"/>
          <w:highlight w:val="none"/>
          <w:lang w:val="en-US" w:eastAsia="zh-CN"/>
        </w:rPr>
      </w:pPr>
    </w:p>
    <w:p w14:paraId="7359D33A">
      <w:pPr>
        <w:keepNext w:val="0"/>
        <w:keepLines w:val="0"/>
        <w:pageBreakBefore w:val="0"/>
        <w:widowControl w:val="0"/>
        <w:kinsoku/>
        <w:wordWrap/>
        <w:overflowPunct/>
        <w:topLinePunct w:val="0"/>
        <w:autoSpaceDE/>
        <w:autoSpaceDN/>
        <w:bidi w:val="0"/>
        <w:adjustRightInd/>
        <w:snapToGrid/>
        <w:spacing w:line="580" w:lineRule="exact"/>
        <w:ind w:right="0"/>
        <w:jc w:val="left"/>
        <w:textAlignment w:val="auto"/>
        <w:rPr>
          <w:rFonts w:hint="eastAsia" w:ascii="黑体" w:hAnsi="黑体" w:eastAsia="黑体" w:cs="黑体"/>
          <w:b/>
          <w:bCs/>
          <w:color w:val="auto"/>
          <w:sz w:val="32"/>
          <w:szCs w:val="32"/>
          <w:highlight w:val="none"/>
          <w:lang w:val="en-US" w:eastAsia="zh-CN"/>
        </w:rPr>
      </w:pPr>
    </w:p>
    <w:p w14:paraId="686F0742">
      <w:pPr>
        <w:keepNext w:val="0"/>
        <w:keepLines w:val="0"/>
        <w:pageBreakBefore w:val="0"/>
        <w:widowControl w:val="0"/>
        <w:kinsoku/>
        <w:wordWrap/>
        <w:overflowPunct/>
        <w:topLinePunct w:val="0"/>
        <w:autoSpaceDE/>
        <w:autoSpaceDN/>
        <w:bidi w:val="0"/>
        <w:adjustRightInd/>
        <w:snapToGrid/>
        <w:spacing w:line="580" w:lineRule="exact"/>
        <w:ind w:right="0"/>
        <w:jc w:val="left"/>
        <w:textAlignment w:val="auto"/>
        <w:rPr>
          <w:rFonts w:hint="eastAsia" w:ascii="黑体" w:hAnsi="黑体" w:eastAsia="黑体" w:cs="黑体"/>
          <w:b/>
          <w:bCs/>
          <w:color w:val="auto"/>
          <w:sz w:val="32"/>
          <w:szCs w:val="32"/>
          <w:highlight w:val="none"/>
          <w:lang w:val="en-US" w:eastAsia="zh-CN"/>
        </w:rPr>
      </w:pPr>
    </w:p>
    <w:p w14:paraId="4AECC7E6">
      <w:pPr>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黑体" w:hAnsi="黑体" w:eastAsia="黑体" w:cs="黑体"/>
          <w:b/>
          <w:bCs/>
          <w:color w:val="auto"/>
          <w:sz w:val="32"/>
          <w:szCs w:val="32"/>
          <w:highlight w:val="none"/>
          <w:u w:val="none"/>
          <w:lang w:val="en-US" w:eastAsia="zh-CN"/>
        </w:rPr>
      </w:pPr>
      <w:r>
        <w:rPr>
          <w:rFonts w:hint="eastAsia" w:ascii="黑体" w:hAnsi="黑体" w:eastAsia="黑体" w:cs="黑体"/>
          <w:b/>
          <w:bCs/>
          <w:color w:val="auto"/>
          <w:sz w:val="32"/>
          <w:szCs w:val="32"/>
          <w:highlight w:val="none"/>
          <w:u w:val="single"/>
          <w:lang w:val="en-US" w:eastAsia="zh-CN"/>
        </w:rPr>
        <w:t xml:space="preserve">      </w:t>
      </w:r>
      <w:r>
        <w:rPr>
          <w:rFonts w:hint="eastAsia" w:ascii="黑体" w:hAnsi="黑体" w:eastAsia="黑体" w:cs="黑体"/>
          <w:b/>
          <w:bCs/>
          <w:color w:val="auto"/>
          <w:sz w:val="32"/>
          <w:szCs w:val="32"/>
          <w:highlight w:val="none"/>
          <w:u w:val="none"/>
          <w:lang w:val="en-US" w:eastAsia="zh-CN"/>
        </w:rPr>
        <w:t>年</w:t>
      </w:r>
      <w:r>
        <w:rPr>
          <w:rFonts w:hint="eastAsia" w:ascii="黑体" w:hAnsi="黑体" w:eastAsia="黑体" w:cs="黑体"/>
          <w:b/>
          <w:bCs/>
          <w:color w:val="auto"/>
          <w:sz w:val="32"/>
          <w:szCs w:val="32"/>
          <w:highlight w:val="none"/>
          <w:u w:val="single"/>
          <w:lang w:val="en-US" w:eastAsia="zh-CN"/>
        </w:rPr>
        <w:t xml:space="preserve">      </w:t>
      </w:r>
      <w:r>
        <w:rPr>
          <w:rFonts w:hint="eastAsia" w:ascii="黑体" w:hAnsi="黑体" w:eastAsia="黑体" w:cs="黑体"/>
          <w:b/>
          <w:bCs/>
          <w:color w:val="auto"/>
          <w:sz w:val="32"/>
          <w:szCs w:val="32"/>
          <w:highlight w:val="none"/>
          <w:u w:val="none"/>
          <w:lang w:val="en-US" w:eastAsia="zh-CN"/>
        </w:rPr>
        <w:t>月</w:t>
      </w:r>
      <w:r>
        <w:rPr>
          <w:rFonts w:hint="eastAsia" w:ascii="黑体" w:hAnsi="黑体" w:eastAsia="黑体" w:cs="黑体"/>
          <w:b/>
          <w:bCs/>
          <w:color w:val="auto"/>
          <w:sz w:val="32"/>
          <w:szCs w:val="32"/>
          <w:highlight w:val="none"/>
          <w:u w:val="single"/>
          <w:lang w:val="en-US" w:eastAsia="zh-CN"/>
        </w:rPr>
        <w:t xml:space="preserve">      </w:t>
      </w:r>
      <w:r>
        <w:rPr>
          <w:rFonts w:hint="eastAsia" w:ascii="黑体" w:hAnsi="黑体" w:eastAsia="黑体" w:cs="黑体"/>
          <w:b/>
          <w:bCs/>
          <w:color w:val="auto"/>
          <w:sz w:val="32"/>
          <w:szCs w:val="32"/>
          <w:highlight w:val="none"/>
          <w:u w:val="none"/>
          <w:lang w:val="en-US" w:eastAsia="zh-CN"/>
        </w:rPr>
        <w:t>日</w:t>
      </w:r>
    </w:p>
    <w:p w14:paraId="4F57620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
          <w:bCs/>
          <w:color w:val="auto"/>
          <w:sz w:val="32"/>
          <w:szCs w:val="32"/>
          <w:highlight w:val="none"/>
          <w:u w:val="none"/>
          <w:lang w:val="en-US"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495C339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
          <w:bCs/>
          <w:color w:val="auto"/>
          <w:sz w:val="32"/>
          <w:szCs w:val="32"/>
          <w:highlight w:val="none"/>
          <w:u w:val="none"/>
          <w:lang w:val="en-US" w:eastAsia="zh-CN"/>
        </w:rPr>
      </w:pPr>
      <w:r>
        <w:rPr>
          <w:rFonts w:hint="eastAsia" w:ascii="黑体" w:hAnsi="黑体" w:eastAsia="黑体" w:cs="黑体"/>
          <w:b/>
          <w:bCs/>
          <w:color w:val="auto"/>
          <w:sz w:val="32"/>
          <w:szCs w:val="32"/>
          <w:highlight w:val="none"/>
          <w:u w:val="none"/>
          <w:lang w:val="en-US" w:eastAsia="zh-CN"/>
        </w:rPr>
        <w:t>合同范本使用说明</w:t>
      </w:r>
    </w:p>
    <w:p w14:paraId="0D55DA8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bCs/>
          <w:color w:val="auto"/>
          <w:sz w:val="28"/>
          <w:szCs w:val="28"/>
          <w:highlight w:val="none"/>
          <w:u w:val="none"/>
          <w:lang w:val="en-US" w:eastAsia="zh-CN"/>
        </w:rPr>
      </w:pPr>
    </w:p>
    <w:p w14:paraId="5F2CCC9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一、本合同范本适用于售电公司与零售用户在北京市电力市场开展的电力零售交易及结算，范本明确了双方的权利义务、零售套餐、结算模式以及合同变更解除等条款。</w:t>
      </w:r>
    </w:p>
    <w:p w14:paraId="6DE20DA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二、本合同范本为北京市电力零售市场标准化合同文本，合同双方不得直接对合同文本进行改动。</w:t>
      </w:r>
    </w:p>
    <w:p w14:paraId="13F01EE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三、本合同范本仅支持合同双方约定的电力零售交易结算。若涉及其他需资金结算的增值服务或约定，由合同双方另行签订合同，并自主结算。若双方签订的其他合同与本合同不一致所造成的双方损失或争议，由双方通过协商或司法途径解决。</w:t>
      </w:r>
    </w:p>
    <w:p w14:paraId="36606C3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四、对于上述使用说明的内容，合同双方均已认真阅读、完全理解并同意，合同双方协商一致使用本合同范本，即视为知悉并同意上述使用说明的全部内容。</w:t>
      </w:r>
    </w:p>
    <w:p w14:paraId="373C3DA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default" w:ascii="仿宋_GB2312" w:hAnsi="仿宋_GB2312" w:eastAsia="仿宋_GB2312" w:cs="仿宋_GB2312"/>
          <w:b w:val="0"/>
          <w:bCs w:val="0"/>
          <w:color w:val="auto"/>
          <w:sz w:val="28"/>
          <w:szCs w:val="28"/>
          <w:highlight w:val="none"/>
          <w:u w:val="none"/>
          <w:lang w:val="en-US" w:eastAsia="zh-CN"/>
        </w:rPr>
        <w:sectPr>
          <w:footerReference r:id="rId4" w:type="default"/>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b w:val="0"/>
          <w:bCs w:val="0"/>
          <w:color w:val="auto"/>
          <w:sz w:val="28"/>
          <w:szCs w:val="28"/>
          <w:highlight w:val="none"/>
          <w:u w:val="none"/>
          <w:lang w:val="en-US" w:eastAsia="zh-CN"/>
        </w:rPr>
        <w:t>五、本合同范本由合同双方填写之处，合同双方应根据实际情况填写。如合同双方约定无需填写的，则应注明“无”，若需填写处为空白且合同范本未规定的，则按照“无”处理。</w:t>
      </w:r>
    </w:p>
    <w:p w14:paraId="48CC15F0">
      <w:pPr>
        <w:pStyle w:val="5"/>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本合同由下列双方签署：</w:t>
      </w:r>
    </w:p>
    <w:p w14:paraId="719F6360">
      <w:pPr>
        <w:pStyle w:val="5"/>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default"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甲方（零售用户）：北京市昌平区南口社区卫生服务中心</w:t>
      </w:r>
    </w:p>
    <w:p w14:paraId="0EB39A79">
      <w:pPr>
        <w:pStyle w:val="5"/>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乙方（售电公司）：北京京能新能源有限公司</w:t>
      </w:r>
    </w:p>
    <w:p w14:paraId="384BAB51">
      <w:pPr>
        <w:pStyle w:val="5"/>
        <w:keepNext w:val="0"/>
        <w:keepLines w:val="0"/>
        <w:pageBreakBefore w:val="0"/>
        <w:widowControl w:val="0"/>
        <w:kinsoku/>
        <w:wordWrap/>
        <w:overflowPunct/>
        <w:topLinePunct w:val="0"/>
        <w:autoSpaceDE/>
        <w:autoSpaceDN/>
        <w:bidi w:val="0"/>
        <w:adjustRightInd/>
        <w:snapToGrid/>
        <w:spacing w:after="0" w:line="460" w:lineRule="exact"/>
        <w:ind w:firstLine="562" w:firstLineChars="200"/>
        <w:textAlignment w:val="auto"/>
        <w:rPr>
          <w:rFonts w:hint="eastAsia" w:ascii="仿宋_GB2312" w:hAnsi="仿宋_GB2312" w:eastAsia="仿宋_GB2312" w:cs="仿宋_GB2312"/>
          <w:b/>
          <w:bCs/>
          <w:color w:val="auto"/>
          <w:sz w:val="28"/>
          <w:szCs w:val="28"/>
          <w:highlight w:val="none"/>
          <w:u w:val="none"/>
          <w:lang w:val="en-US" w:eastAsia="zh-CN"/>
        </w:rPr>
      </w:pPr>
      <w:r>
        <w:rPr>
          <w:rFonts w:hint="eastAsia" w:ascii="仿宋_GB2312" w:hAnsi="仿宋_GB2312" w:eastAsia="仿宋_GB2312" w:cs="仿宋_GB2312"/>
          <w:b/>
          <w:bCs/>
          <w:color w:val="auto"/>
          <w:sz w:val="28"/>
          <w:szCs w:val="28"/>
          <w:highlight w:val="none"/>
          <w:u w:val="none"/>
          <w:lang w:val="en-US" w:eastAsia="zh-CN"/>
        </w:rPr>
        <w:t>甲、乙双方在此向对方陈述如下：</w:t>
      </w:r>
    </w:p>
    <w:p w14:paraId="5071B7E7">
      <w:pPr>
        <w:pStyle w:val="5"/>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一、本方为一家依法设立并合法存续的企业（单位），具有法人资格/经法人单位授权，且在首都电力交易中心完成注册，具备电力市场交易资格，有权签署并有能力履行本合同。</w:t>
      </w:r>
    </w:p>
    <w:p w14:paraId="2760D5F4">
      <w:pPr>
        <w:pStyle w:val="5"/>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二、本方已充分理解有关的电力交易规则，完全清楚电力市场可能存在的风险，认同成交结果，同意按照本合同约定执行，并自愿承担可能存在的后果。</w:t>
      </w:r>
    </w:p>
    <w:p w14:paraId="66CF9822">
      <w:pPr>
        <w:pStyle w:val="5"/>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三、本方为签署本合同所需的内部授权程序均已完成，签署本合同的是本方法定代表人或授权代理人。本合同生效后即对合同双方具有法律约束力。</w:t>
      </w:r>
    </w:p>
    <w:p w14:paraId="60965BBF">
      <w:pPr>
        <w:pStyle w:val="5"/>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现甲乙双方本着平等、自愿、诚信的原则，就电力零售交易达成以下约定：</w:t>
      </w:r>
    </w:p>
    <w:p w14:paraId="2FE0FFE4">
      <w:pPr>
        <w:rPr>
          <w:rFonts w:hint="eastAsia"/>
          <w:color w:val="auto"/>
          <w:highlight w:val="none"/>
          <w:lang w:val="en-US" w:eastAsia="zh-CN"/>
        </w:rPr>
      </w:pPr>
    </w:p>
    <w:p w14:paraId="1D1112BF">
      <w:pPr>
        <w:keepNext w:val="0"/>
        <w:keepLines w:val="0"/>
        <w:pageBreakBefore w:val="0"/>
        <w:widowControl w:val="0"/>
        <w:numPr>
          <w:ilvl w:val="0"/>
          <w:numId w:val="1"/>
        </w:numPr>
        <w:kinsoku/>
        <w:wordWrap/>
        <w:overflowPunct/>
        <w:topLinePunct w:val="0"/>
        <w:autoSpaceDE/>
        <w:autoSpaceDN/>
        <w:bidi w:val="0"/>
        <w:adjustRightInd/>
        <w:snapToGrid/>
        <w:spacing w:line="460" w:lineRule="exact"/>
        <w:jc w:val="center"/>
        <w:textAlignment w:val="auto"/>
        <w:rPr>
          <w:rFonts w:hint="eastAsia" w:ascii="黑体" w:hAnsi="黑体" w:eastAsia="黑体" w:cs="黑体"/>
          <w:b/>
          <w:bCs/>
          <w:color w:val="auto"/>
          <w:sz w:val="32"/>
          <w:szCs w:val="32"/>
          <w:highlight w:val="none"/>
          <w:u w:val="none"/>
          <w:lang w:val="en-US" w:eastAsia="zh-CN"/>
        </w:rPr>
      </w:pPr>
      <w:r>
        <w:rPr>
          <w:rFonts w:hint="eastAsia" w:ascii="黑体" w:hAnsi="黑体" w:eastAsia="黑体" w:cs="黑体"/>
          <w:b/>
          <w:bCs/>
          <w:color w:val="auto"/>
          <w:sz w:val="32"/>
          <w:szCs w:val="32"/>
          <w:highlight w:val="none"/>
          <w:u w:val="none"/>
          <w:lang w:val="en-US" w:eastAsia="zh-CN"/>
        </w:rPr>
        <w:t>风险提示</w:t>
      </w:r>
    </w:p>
    <w:p w14:paraId="48A8F32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b/>
          <w:bCs/>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1.1本合同约定的电能量价格</w:t>
      </w:r>
      <w:r>
        <w:rPr>
          <w:rFonts w:hint="eastAsia" w:ascii="仿宋_GB2312" w:hAnsi="仿宋_GB2312" w:eastAsia="仿宋_GB2312" w:cs="仿宋_GB2312"/>
          <w:b/>
          <w:bCs/>
          <w:color w:val="auto"/>
          <w:sz w:val="28"/>
          <w:szCs w:val="28"/>
          <w:highlight w:val="none"/>
          <w:u w:val="none"/>
          <w:lang w:val="en-US" w:eastAsia="zh-CN"/>
        </w:rPr>
        <w:t>并非用户最终到户电价</w:t>
      </w:r>
      <w:r>
        <w:rPr>
          <w:rFonts w:hint="eastAsia" w:ascii="仿宋_GB2312" w:hAnsi="仿宋_GB2312" w:eastAsia="仿宋_GB2312" w:cs="仿宋_GB2312"/>
          <w:b w:val="0"/>
          <w:bCs w:val="0"/>
          <w:color w:val="auto"/>
          <w:sz w:val="28"/>
          <w:szCs w:val="28"/>
          <w:highlight w:val="none"/>
          <w:u w:val="none"/>
          <w:lang w:val="en-US" w:eastAsia="zh-CN"/>
        </w:rPr>
        <w:t>（详见合同文本4.4条）。本合同约定的电能量价格不含煤电容量电价，煤电容量电价纳入系统运行费用每月由工商业用户分摊。甲乙双方已充分知悉煤电容量电价相关政策（详见附件一），</w:t>
      </w:r>
      <w:r>
        <w:rPr>
          <w:rFonts w:hint="eastAsia" w:ascii="仿宋_GB2312" w:hAnsi="仿宋_GB2312" w:eastAsia="仿宋_GB2312" w:cs="仿宋_GB2312"/>
          <w:b/>
          <w:bCs/>
          <w:color w:val="auto"/>
          <w:sz w:val="28"/>
          <w:szCs w:val="28"/>
          <w:highlight w:val="none"/>
          <w:u w:val="none"/>
          <w:lang w:val="en-US" w:eastAsia="zh-CN"/>
        </w:rPr>
        <w:t>2026年煤电容量电价水平较2025年上调，甲乙双方协商一致确认，乙方须将批发市场电能量价格随之下降的空间足额传导至甲方，乙方不得利用信息不对称误导甲方、赚取不当利润，推高甲方用电成本；甲方应重点关注煤电容量电价政策对到户电价的影响，在签订合同前根据市场行情综合评估叠加煤电容量电价等各类费用后的购电成本。</w:t>
      </w:r>
    </w:p>
    <w:p w14:paraId="4B44510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1.2本合同双方若与发电企业签订多年PPA购电协议，双方须综合考虑甲方绿电实际需求量，综合衔接多年PPA、年度、月度及月内绿电交易电量占比及价格，统筹约定本合同中所涉及的绿电交易零售价格。</w:t>
      </w:r>
    </w:p>
    <w:p w14:paraId="49052A6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1.3</w:t>
      </w:r>
      <w:r>
        <w:rPr>
          <w:rFonts w:hint="eastAsia" w:ascii="仿宋_GB2312" w:hAnsi="仿宋_GB2312" w:eastAsia="仿宋_GB2312" w:cs="仿宋_GB2312"/>
          <w:b/>
          <w:bCs/>
          <w:color w:val="auto"/>
          <w:sz w:val="28"/>
          <w:szCs w:val="28"/>
          <w:highlight w:val="none"/>
          <w:u w:val="none"/>
          <w:lang w:val="en-US" w:eastAsia="zh-CN"/>
        </w:rPr>
        <w:t>甲方应参照交易平台披露的批发市场价格参数，合理选择零售结算模式及价格。</w:t>
      </w:r>
      <w:r>
        <w:rPr>
          <w:rFonts w:hint="eastAsia" w:ascii="仿宋_GB2312" w:hAnsi="仿宋_GB2312" w:eastAsia="仿宋_GB2312" w:cs="仿宋_GB2312"/>
          <w:b w:val="0"/>
          <w:bCs w:val="0"/>
          <w:color w:val="auto"/>
          <w:sz w:val="28"/>
          <w:szCs w:val="28"/>
          <w:highlight w:val="none"/>
          <w:u w:val="none"/>
          <w:lang w:val="en-US" w:eastAsia="zh-CN"/>
        </w:rPr>
        <w:t>对于偏差电量结算，甲方应合理选择“售电公司全担”或“零售用户共担”方式。当选择“零售用户共担”时，乙方须协助甲方合理确定合同电量，不得误导甲方偏离实际需求签署过高或过低的合同电量，赚取不当利润。绿色电力零售合同封顶总价、售电公司收益分享均是有效防范零售价格风险的措施，甲方应认真理解、合理应用。</w:t>
      </w:r>
    </w:p>
    <w:p w14:paraId="0B9C47E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b/>
          <w:bCs/>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1.4</w:t>
      </w:r>
      <w:r>
        <w:rPr>
          <w:rFonts w:hint="eastAsia" w:ascii="仿宋_GB2312" w:hAnsi="仿宋_GB2312" w:eastAsia="仿宋_GB2312" w:cs="仿宋_GB2312"/>
          <w:b/>
          <w:bCs/>
          <w:color w:val="auto"/>
          <w:sz w:val="28"/>
          <w:szCs w:val="28"/>
          <w:highlight w:val="none"/>
          <w:u w:val="none"/>
          <w:lang w:val="en-US" w:eastAsia="zh-CN"/>
        </w:rPr>
        <w:t>按照国家有关要求，严禁在收取电费中加收其他费用。</w:t>
      </w:r>
      <w:r>
        <w:rPr>
          <w:rFonts w:hint="eastAsia" w:ascii="仿宋_GB2312" w:hAnsi="仿宋_GB2312" w:eastAsia="仿宋_GB2312" w:cs="仿宋_GB2312"/>
          <w:b w:val="0"/>
          <w:bCs w:val="0"/>
          <w:color w:val="auto"/>
          <w:sz w:val="28"/>
          <w:szCs w:val="28"/>
          <w:highlight w:val="none"/>
          <w:u w:val="none"/>
          <w:lang w:val="en-US" w:eastAsia="zh-CN"/>
        </w:rPr>
        <w:t>物业公共部位、共用设施和配套设施的运行维护费用等，应通过物业费、租金或公共收益解决，严禁以电费为基数加收服务类费用。</w:t>
      </w:r>
      <w:r>
        <w:rPr>
          <w:rFonts w:hint="eastAsia" w:ascii="仿宋_GB2312" w:hAnsi="仿宋_GB2312" w:eastAsia="仿宋_GB2312" w:cs="仿宋_GB2312"/>
          <w:b/>
          <w:bCs/>
          <w:color w:val="auto"/>
          <w:sz w:val="28"/>
          <w:szCs w:val="28"/>
          <w:highlight w:val="none"/>
          <w:u w:val="none"/>
          <w:lang w:val="en-US" w:eastAsia="zh-CN"/>
        </w:rPr>
        <w:t>甲乙双方应按照公平自愿原则签订本合同，不得通过签订明显有失市场公平的结算参数损害相关方利益。</w:t>
      </w:r>
    </w:p>
    <w:p w14:paraId="72F28DD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1.5合同期内如遇国家电价政策调整影响零售交易时，售电公司和零售用户应通过签订补充协议或在合同中增加约束条款等形式落实国家要求。</w:t>
      </w:r>
    </w:p>
    <w:p w14:paraId="034F496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b/>
          <w:bCs/>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1.6</w:t>
      </w:r>
      <w:r>
        <w:rPr>
          <w:rFonts w:hint="eastAsia" w:ascii="仿宋_GB2312" w:hAnsi="仿宋_GB2312" w:eastAsia="仿宋_GB2312" w:cs="仿宋_GB2312"/>
          <w:b/>
          <w:bCs/>
          <w:color w:val="auto"/>
          <w:sz w:val="28"/>
          <w:szCs w:val="28"/>
          <w:highlight w:val="none"/>
          <w:u w:val="none"/>
          <w:lang w:val="en-US" w:eastAsia="zh-CN"/>
        </w:rPr>
        <w:t>交易中心依据交易平台中的结算参数进行结算，请各经营主体妥善保管各自交易平台账号、密码、数字证书、人脸识别、电子签章等信息，切勿泄露、配合、提供给其他方和相对方使用，并自愿承担未妥善保管及使用导致的一切风险及后果。</w:t>
      </w:r>
    </w:p>
    <w:p w14:paraId="51FCFDB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default"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1.7本合同签订价格均为含税价格。</w:t>
      </w:r>
    </w:p>
    <w:p w14:paraId="7E5A2C0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1.8对于上述风险提示，合同双方均已认真阅读、完全理解并同意，合同签署即视为知悉并同意上述风险提示的全部内容。</w:t>
      </w:r>
    </w:p>
    <w:p w14:paraId="29C75522">
      <w:pPr>
        <w:pStyle w:val="5"/>
        <w:rPr>
          <w:rFonts w:hint="eastAsia"/>
          <w:color w:val="auto"/>
          <w:highlight w:val="none"/>
          <w:lang w:val="en-US" w:eastAsia="zh-CN"/>
        </w:rPr>
      </w:pPr>
    </w:p>
    <w:p w14:paraId="14FAB0B0">
      <w:pPr>
        <w:keepNext w:val="0"/>
        <w:keepLines w:val="0"/>
        <w:pageBreakBefore w:val="0"/>
        <w:widowControl w:val="0"/>
        <w:numPr>
          <w:ilvl w:val="0"/>
          <w:numId w:val="1"/>
        </w:numPr>
        <w:kinsoku/>
        <w:wordWrap/>
        <w:overflowPunct/>
        <w:topLinePunct w:val="0"/>
        <w:autoSpaceDE/>
        <w:autoSpaceDN/>
        <w:bidi w:val="0"/>
        <w:adjustRightInd/>
        <w:snapToGrid/>
        <w:spacing w:line="460" w:lineRule="exact"/>
        <w:jc w:val="center"/>
        <w:textAlignment w:val="auto"/>
        <w:rPr>
          <w:rFonts w:hint="eastAsia" w:ascii="黑体" w:hAnsi="黑体" w:eastAsia="黑体" w:cs="黑体"/>
          <w:b/>
          <w:bCs/>
          <w:color w:val="auto"/>
          <w:sz w:val="32"/>
          <w:szCs w:val="32"/>
          <w:highlight w:val="none"/>
          <w:u w:val="none"/>
          <w:lang w:val="en-US" w:eastAsia="zh-CN"/>
        </w:rPr>
      </w:pPr>
      <w:r>
        <w:rPr>
          <w:rFonts w:hint="eastAsia" w:ascii="黑体" w:hAnsi="黑体" w:eastAsia="黑体" w:cs="黑体"/>
          <w:b/>
          <w:bCs/>
          <w:color w:val="auto"/>
          <w:sz w:val="32"/>
          <w:szCs w:val="32"/>
          <w:highlight w:val="none"/>
          <w:u w:val="none"/>
          <w:lang w:val="en-US" w:eastAsia="zh-CN"/>
        </w:rPr>
        <w:t>权利和义务</w:t>
      </w:r>
    </w:p>
    <w:p w14:paraId="435F8E3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楷体_GB2312" w:hAnsi="楷体_GB2312" w:eastAsia="楷体_GB2312" w:cs="楷体_GB2312"/>
          <w:b/>
          <w:bCs/>
          <w:color w:val="auto"/>
          <w:sz w:val="28"/>
          <w:szCs w:val="28"/>
          <w:highlight w:val="none"/>
          <w:u w:val="none"/>
          <w:lang w:val="en-US" w:eastAsia="zh-CN"/>
        </w:rPr>
      </w:pPr>
      <w:r>
        <w:rPr>
          <w:rFonts w:hint="eastAsia" w:ascii="楷体_GB2312" w:hAnsi="楷体_GB2312" w:eastAsia="楷体_GB2312" w:cs="楷体_GB2312"/>
          <w:b/>
          <w:bCs/>
          <w:color w:val="auto"/>
          <w:sz w:val="28"/>
          <w:szCs w:val="28"/>
          <w:highlight w:val="none"/>
          <w:u w:val="none"/>
          <w:lang w:val="en-US" w:eastAsia="zh-CN"/>
        </w:rPr>
        <w:t>2.1甲方的权利</w:t>
      </w:r>
    </w:p>
    <w:p w14:paraId="22C6399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2.1.1按照国家法律、法规等获取电网企业提供的有关接入和用电服务。</w:t>
      </w:r>
    </w:p>
    <w:p w14:paraId="5753D1A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2.1.2获得乙方履行本合同义务相关的信息、资料及查阅电能量计量数据。</w:t>
      </w:r>
    </w:p>
    <w:p w14:paraId="42DF93F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楷体_GB2312" w:hAnsi="楷体_GB2312" w:eastAsia="楷体_GB2312" w:cs="楷体_GB2312"/>
          <w:b/>
          <w:bCs/>
          <w:color w:val="auto"/>
          <w:sz w:val="28"/>
          <w:szCs w:val="28"/>
          <w:highlight w:val="none"/>
          <w:u w:val="none"/>
          <w:lang w:val="en-US" w:eastAsia="zh-CN"/>
        </w:rPr>
      </w:pPr>
      <w:r>
        <w:rPr>
          <w:rFonts w:hint="eastAsia" w:ascii="楷体_GB2312" w:hAnsi="楷体_GB2312" w:eastAsia="楷体_GB2312" w:cs="楷体_GB2312"/>
          <w:b/>
          <w:bCs/>
          <w:color w:val="auto"/>
          <w:sz w:val="28"/>
          <w:szCs w:val="28"/>
          <w:highlight w:val="none"/>
          <w:u w:val="none"/>
          <w:lang w:val="en-US" w:eastAsia="zh-CN"/>
        </w:rPr>
        <w:t>2.2甲方的义务</w:t>
      </w:r>
    </w:p>
    <w:p w14:paraId="098892E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2.2.1按规定披露和提供信息，向乙方如实提供本合同履约周期的历史用电数据和计量数据等用电信息，以及用电计量点的增减及变更、办理增减容和更名过户等用电业务信息，向乙方提供与履行本合同相关的其他信息。</w:t>
      </w:r>
    </w:p>
    <w:p w14:paraId="3D81852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2.2.2按规定按时缴纳电费，包括：电能量电费、输配电费、政府基金附加费等相关费用。</w:t>
      </w:r>
    </w:p>
    <w:p w14:paraId="0722741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2.2.3在本合同的交易周期内仅与一家售电公司签订电力零售市场购售电合同，已签订的多年PPA协议中关联的售电公司，须与本合同的乙方一致。如需在交易周期内更换售电公司，须同步调整PPA协议和电力零售市场购售电合同，保持两者中的售电公司一致。</w:t>
      </w:r>
    </w:p>
    <w:p w14:paraId="53AB91E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default"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2.2.4当甲方退市或更换售电公司时，如已签订的合同未履行完毕，须与乙方协商解除《北京市电力零售市场购售电合同》等，并完成电量及费用清算。</w:t>
      </w:r>
    </w:p>
    <w:p w14:paraId="1B1059B0">
      <w:pPr>
        <w:numPr>
          <w:ilvl w:val="0"/>
          <w:numId w:val="0"/>
        </w:numPr>
        <w:spacing w:line="460" w:lineRule="exact"/>
        <w:ind w:firstLine="562" w:firstLineChars="200"/>
        <w:rPr>
          <w:rFonts w:hint="eastAsia" w:ascii="楷体_GB2312" w:hAnsi="楷体_GB2312" w:eastAsia="楷体_GB2312" w:cs="楷体_GB2312"/>
          <w:b/>
          <w:bCs/>
          <w:color w:val="auto"/>
          <w:sz w:val="28"/>
          <w:szCs w:val="28"/>
          <w:highlight w:val="none"/>
          <w:u w:val="none"/>
          <w:lang w:val="en-US" w:eastAsia="zh-CN"/>
        </w:rPr>
      </w:pPr>
      <w:r>
        <w:rPr>
          <w:rFonts w:hint="eastAsia" w:ascii="楷体_GB2312" w:hAnsi="楷体_GB2312" w:eastAsia="楷体_GB2312" w:cs="楷体_GB2312"/>
          <w:b/>
          <w:bCs/>
          <w:color w:val="auto"/>
          <w:sz w:val="28"/>
          <w:szCs w:val="28"/>
          <w:highlight w:val="none"/>
          <w:u w:val="none"/>
          <w:lang w:val="en-US" w:eastAsia="zh-CN"/>
        </w:rPr>
        <w:t>2.3乙方的权利</w:t>
      </w:r>
    </w:p>
    <w:p w14:paraId="7A034BD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获得甲方履行本合同义务相关的信息、资料及查阅计量电量数据。</w:t>
      </w:r>
    </w:p>
    <w:p w14:paraId="653A7A3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楷体_GB2312" w:hAnsi="楷体_GB2312" w:eastAsia="楷体_GB2312" w:cs="楷体_GB2312"/>
          <w:b/>
          <w:bCs/>
          <w:color w:val="auto"/>
          <w:sz w:val="28"/>
          <w:szCs w:val="28"/>
          <w:highlight w:val="none"/>
          <w:u w:val="none"/>
          <w:lang w:val="en-US" w:eastAsia="zh-CN"/>
        </w:rPr>
      </w:pPr>
      <w:r>
        <w:rPr>
          <w:rFonts w:hint="eastAsia" w:ascii="楷体_GB2312" w:hAnsi="楷体_GB2312" w:eastAsia="楷体_GB2312" w:cs="楷体_GB2312"/>
          <w:b/>
          <w:bCs/>
          <w:color w:val="auto"/>
          <w:sz w:val="28"/>
          <w:szCs w:val="28"/>
          <w:highlight w:val="none"/>
          <w:u w:val="none"/>
          <w:lang w:val="en-US" w:eastAsia="zh-CN"/>
        </w:rPr>
        <w:t>2.4乙方的义务</w:t>
      </w:r>
    </w:p>
    <w:p w14:paraId="48940D3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2.4.1按照国家有关法律、规定和技术规范，为甲方提供电力交易销售服务，参与批发市场交易并按规定结算。</w:t>
      </w:r>
    </w:p>
    <w:p w14:paraId="7768B81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2.4.2按规定披露和提供信息，向甲方及时准确宣传解释相关电力市场结算规则、流程等要求，向甲方提供真实准确的有关电力零售套餐交易的相关信息及资料，协助甲方及时签订零售合同、固化零售结算模式，不得提供虚假的或误导性的信息。</w:t>
      </w:r>
    </w:p>
    <w:p w14:paraId="414B3B1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2.4.3当甲方退市或更换售电公司时，以及当乙方因无力提供售电服务或按国家规定的程序强制退出市场时，须处理已签订但未履行或未履行完毕的合同，并完成电量及费用清算。</w:t>
      </w:r>
    </w:p>
    <w:p w14:paraId="79D813E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2.4.4在本合同交易周期内，甲乙双方协商一致解除本合同的，乙方应配合更换PPA协议中的售电公司。</w:t>
      </w:r>
    </w:p>
    <w:p w14:paraId="7F07832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2.4.5按照国家规定，作为可再生能源电力的消纳责任主体，承担可再生能源电力的消纳责任。</w:t>
      </w:r>
    </w:p>
    <w:p w14:paraId="5D3153A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default" w:ascii="楷体_GB2312" w:hAnsi="楷体_GB2312" w:eastAsia="楷体_GB2312" w:cs="楷体_GB2312"/>
          <w:b/>
          <w:bCs/>
          <w:color w:val="auto"/>
          <w:sz w:val="28"/>
          <w:szCs w:val="28"/>
          <w:highlight w:val="none"/>
          <w:u w:val="none"/>
          <w:lang w:val="en-US" w:eastAsia="zh-CN"/>
        </w:rPr>
      </w:pPr>
      <w:r>
        <w:rPr>
          <w:rFonts w:hint="eastAsia" w:ascii="楷体_GB2312" w:hAnsi="楷体_GB2312" w:eastAsia="楷体_GB2312" w:cs="楷体_GB2312"/>
          <w:b/>
          <w:bCs/>
          <w:color w:val="auto"/>
          <w:sz w:val="28"/>
          <w:szCs w:val="28"/>
          <w:highlight w:val="none"/>
          <w:u w:val="none"/>
          <w:lang w:val="en-US" w:eastAsia="zh-CN"/>
        </w:rPr>
        <w:t>2.5其他</w:t>
      </w:r>
    </w:p>
    <w:p w14:paraId="1B76271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2.5.1合同双方权利义务其他未尽事宜，按照国家有关规则要求执行。</w:t>
      </w:r>
    </w:p>
    <w:p w14:paraId="3BEA411A">
      <w:pPr>
        <w:rPr>
          <w:rFonts w:hint="default"/>
          <w:color w:val="auto"/>
          <w:highlight w:val="none"/>
          <w:lang w:val="en-US" w:eastAsia="zh-CN"/>
        </w:rPr>
      </w:pPr>
      <w:r>
        <w:rPr>
          <w:rFonts w:hint="default"/>
          <w:color w:val="auto"/>
          <w:highlight w:val="none"/>
          <w:lang w:val="en-US" w:eastAsia="zh-CN"/>
        </w:rPr>
        <w:br w:type="page"/>
      </w:r>
    </w:p>
    <w:p w14:paraId="33D9D2AE">
      <w:pPr>
        <w:keepNext w:val="0"/>
        <w:keepLines w:val="0"/>
        <w:pageBreakBefore w:val="0"/>
        <w:widowControl w:val="0"/>
        <w:numPr>
          <w:ilvl w:val="0"/>
          <w:numId w:val="1"/>
        </w:numPr>
        <w:kinsoku/>
        <w:wordWrap/>
        <w:overflowPunct/>
        <w:topLinePunct w:val="0"/>
        <w:autoSpaceDE/>
        <w:autoSpaceDN/>
        <w:bidi w:val="0"/>
        <w:adjustRightInd/>
        <w:snapToGrid/>
        <w:spacing w:line="460" w:lineRule="exact"/>
        <w:jc w:val="center"/>
        <w:textAlignment w:val="auto"/>
        <w:rPr>
          <w:rFonts w:hint="eastAsia" w:ascii="黑体" w:hAnsi="黑体" w:eastAsia="黑体" w:cs="黑体"/>
          <w:b/>
          <w:bCs/>
          <w:color w:val="auto"/>
          <w:sz w:val="32"/>
          <w:szCs w:val="32"/>
          <w:highlight w:val="none"/>
          <w:u w:val="none"/>
          <w:lang w:val="en-US" w:eastAsia="zh-CN"/>
        </w:rPr>
      </w:pPr>
      <w:r>
        <w:rPr>
          <w:rFonts w:hint="eastAsia" w:ascii="黑体" w:hAnsi="黑体" w:eastAsia="黑体" w:cs="黑体"/>
          <w:b/>
          <w:bCs/>
          <w:color w:val="auto"/>
          <w:sz w:val="32"/>
          <w:szCs w:val="32"/>
          <w:highlight w:val="none"/>
          <w:u w:val="none"/>
          <w:lang w:val="en-US" w:eastAsia="zh-CN"/>
        </w:rPr>
        <w:t>零售套餐交易信息</w:t>
      </w:r>
    </w:p>
    <w:p w14:paraId="56B4E45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default"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甲乙双方最小交易周期为月，通过签订零售套餐，对零售交易的合同电量电价（包括常规电力和绿色电力）、偏差电量电价、超额收益分享进行约定。甲乙双方交易周期及电量、电价等参数约定详见本合同附件二。常规电力套餐和绿色电力套餐须选定为同类型套餐。</w:t>
      </w:r>
    </w:p>
    <w:p w14:paraId="75FEC7F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textAlignment w:val="auto"/>
        <w:rPr>
          <w:rFonts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lang w:val="en-US" w:eastAsia="zh-CN"/>
        </w:rPr>
        <w:t>3.1</w:t>
      </w:r>
      <w:r>
        <w:rPr>
          <w:rFonts w:hint="eastAsia" w:ascii="黑体" w:hAnsi="黑体" w:eastAsia="黑体" w:cs="黑体"/>
          <w:b/>
          <w:bCs/>
          <w:color w:val="auto"/>
          <w:sz w:val="28"/>
          <w:szCs w:val="28"/>
          <w:highlight w:val="none"/>
        </w:rPr>
        <w:t>常规电力合同电量电价</w:t>
      </w:r>
    </w:p>
    <w:p w14:paraId="03E57D7A">
      <w:pPr>
        <w:keepNext w:val="0"/>
        <w:keepLines w:val="0"/>
        <w:pageBreakBefore w:val="0"/>
        <w:widowControl w:val="0"/>
        <w:kinsoku/>
        <w:wordWrap/>
        <w:overflowPunct/>
        <w:topLinePunct w:val="0"/>
        <w:autoSpaceDE/>
        <w:autoSpaceDN/>
        <w:bidi w:val="0"/>
        <w:adjustRightInd/>
        <w:snapToGrid/>
        <w:spacing w:line="460" w:lineRule="exact"/>
        <w:ind w:left="0" w:firstLine="562" w:firstLineChars="200"/>
        <w:textAlignment w:val="auto"/>
        <w:rPr>
          <w:rFonts w:hint="default" w:ascii="楷体_GB2312" w:hAnsi="楷体_GB2312" w:eastAsia="楷体_GB2312" w:cs="楷体_GB2312"/>
          <w:b/>
          <w:bCs/>
          <w:color w:val="auto"/>
          <w:sz w:val="28"/>
          <w:szCs w:val="28"/>
          <w:highlight w:val="none"/>
          <w:lang w:val="en-US" w:eastAsia="zh-CN"/>
        </w:rPr>
      </w:pPr>
      <w:r>
        <w:rPr>
          <w:rFonts w:hint="eastAsia" w:ascii="楷体_GB2312" w:hAnsi="楷体_GB2312" w:eastAsia="楷体_GB2312" w:cs="楷体_GB2312"/>
          <w:b/>
          <w:bCs/>
          <w:color w:val="auto"/>
          <w:sz w:val="28"/>
          <w:szCs w:val="28"/>
          <w:highlight w:val="none"/>
          <w:lang w:val="en-US" w:eastAsia="zh-CN"/>
        </w:rPr>
        <w:t>3.1.1常规电力电能量价格</w:t>
      </w:r>
    </w:p>
    <w:p w14:paraId="583CDF3C">
      <w:pPr>
        <w:keepNext w:val="0"/>
        <w:keepLines w:val="0"/>
        <w:pageBreakBefore w:val="0"/>
        <w:widowControl w:val="0"/>
        <w:kinsoku/>
        <w:wordWrap/>
        <w:overflowPunct/>
        <w:topLinePunct w:val="0"/>
        <w:autoSpaceDE/>
        <w:autoSpaceDN/>
        <w:bidi w:val="0"/>
        <w:adjustRightInd/>
        <w:snapToGrid/>
        <w:spacing w:line="460" w:lineRule="exact"/>
        <w:ind w:left="0" w:firstLine="562"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A</w:t>
      </w:r>
      <w:r>
        <w:rPr>
          <w:rFonts w:hint="eastAsia" w:ascii="仿宋_GB2312" w:hAnsi="仿宋_GB2312" w:eastAsia="仿宋_GB2312" w:cs="仿宋_GB2312"/>
          <w:b/>
          <w:bCs/>
          <w:color w:val="auto"/>
          <w:sz w:val="28"/>
          <w:szCs w:val="28"/>
          <w:highlight w:val="none"/>
        </w:rPr>
        <w:t>固定价格套餐</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color w:val="auto"/>
          <w:sz w:val="28"/>
          <w:szCs w:val="28"/>
          <w:highlight w:val="none"/>
        </w:rPr>
        <w:t>双方约定</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常规电力电量</w:t>
      </w:r>
      <w:r>
        <w:rPr>
          <w:rFonts w:hint="eastAsia" w:ascii="仿宋_GB2312" w:hAnsi="仿宋_GB2312" w:eastAsia="仿宋_GB2312" w:cs="仿宋_GB2312"/>
          <w:color w:val="auto"/>
          <w:sz w:val="28"/>
          <w:szCs w:val="28"/>
          <w:highlight w:val="none"/>
        </w:rPr>
        <w:t>Q</w:t>
      </w:r>
      <w:r>
        <w:rPr>
          <w:rFonts w:hint="eastAsia" w:ascii="仿宋_GB2312" w:hAnsi="仿宋_GB2312" w:eastAsia="仿宋_GB2312" w:cs="仿宋_GB2312"/>
          <w:color w:val="auto"/>
          <w:sz w:val="28"/>
          <w:szCs w:val="28"/>
          <w:highlight w:val="none"/>
          <w:vertAlign w:val="subscript"/>
        </w:rPr>
        <w:t>常</w:t>
      </w:r>
      <w:r>
        <w:rPr>
          <w:rFonts w:hint="eastAsia" w:ascii="仿宋_GB2312" w:hAnsi="仿宋_GB2312" w:eastAsia="仿宋_GB2312" w:cs="仿宋_GB2312"/>
          <w:color w:val="auto"/>
          <w:sz w:val="28"/>
          <w:szCs w:val="28"/>
          <w:highlight w:val="none"/>
        </w:rPr>
        <w:t>按照固定价格P</w:t>
      </w:r>
      <w:r>
        <w:rPr>
          <w:rFonts w:hint="eastAsia" w:ascii="仿宋_GB2312" w:hAnsi="仿宋_GB2312" w:eastAsia="仿宋_GB2312" w:cs="仿宋_GB2312"/>
          <w:color w:val="auto"/>
          <w:sz w:val="28"/>
          <w:szCs w:val="28"/>
          <w:highlight w:val="none"/>
          <w:vertAlign w:val="subscript"/>
        </w:rPr>
        <w:t>常固</w:t>
      </w:r>
      <w:r>
        <w:rPr>
          <w:rFonts w:hint="eastAsia" w:ascii="仿宋_GB2312" w:hAnsi="仿宋_GB2312" w:eastAsia="仿宋_GB2312" w:cs="仿宋_GB2312"/>
          <w:color w:val="auto"/>
          <w:sz w:val="28"/>
          <w:szCs w:val="28"/>
          <w:highlight w:val="none"/>
        </w:rPr>
        <w:t>结算,该价格不随市场价格变化。</w:t>
      </w:r>
    </w:p>
    <w:p w14:paraId="63F3B74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楷体_GB2312" w:hAnsi="楷体_GB2312" w:eastAsia="楷体_GB2312" w:cs="楷体_GB2312"/>
          <w:b/>
          <w:bCs/>
          <w:color w:val="auto"/>
          <w:sz w:val="28"/>
          <w:szCs w:val="28"/>
          <w:highlight w:val="none"/>
        </w:rPr>
      </w:pPr>
      <w:r>
        <w:rPr>
          <w:rFonts w:hint="eastAsia" w:ascii="楷体_GB2312" w:hAnsi="楷体_GB2312" w:eastAsia="楷体_GB2312" w:cs="楷体_GB2312"/>
          <w:b/>
          <w:bCs/>
          <w:color w:val="auto"/>
          <w:sz w:val="28"/>
          <w:szCs w:val="28"/>
          <w:highlight w:val="none"/>
        </w:rPr>
        <w:t>P</w:t>
      </w:r>
      <w:r>
        <w:rPr>
          <w:rFonts w:hint="eastAsia" w:ascii="楷体_GB2312" w:hAnsi="楷体_GB2312" w:eastAsia="楷体_GB2312" w:cs="楷体_GB2312"/>
          <w:b/>
          <w:bCs/>
          <w:color w:val="auto"/>
          <w:sz w:val="28"/>
          <w:szCs w:val="28"/>
          <w:highlight w:val="none"/>
          <w:vertAlign w:val="subscript"/>
        </w:rPr>
        <w:t>常</w:t>
      </w:r>
      <w:r>
        <w:rPr>
          <w:rFonts w:hint="eastAsia" w:ascii="楷体_GB2312" w:hAnsi="楷体_GB2312" w:eastAsia="楷体_GB2312" w:cs="楷体_GB2312"/>
          <w:b/>
          <w:bCs/>
          <w:color w:val="auto"/>
          <w:sz w:val="28"/>
          <w:szCs w:val="28"/>
          <w:highlight w:val="none"/>
        </w:rPr>
        <w:t>＝P</w:t>
      </w:r>
      <w:r>
        <w:rPr>
          <w:rFonts w:hint="eastAsia" w:ascii="楷体_GB2312" w:hAnsi="楷体_GB2312" w:eastAsia="楷体_GB2312" w:cs="楷体_GB2312"/>
          <w:b/>
          <w:bCs/>
          <w:color w:val="auto"/>
          <w:sz w:val="28"/>
          <w:szCs w:val="28"/>
          <w:highlight w:val="none"/>
          <w:vertAlign w:val="subscript"/>
        </w:rPr>
        <w:t>常固</w:t>
      </w:r>
    </w:p>
    <w:p w14:paraId="12B9AE5E">
      <w:pPr>
        <w:keepNext w:val="0"/>
        <w:keepLines w:val="0"/>
        <w:pageBreakBefore w:val="0"/>
        <w:widowControl w:val="0"/>
        <w:kinsoku/>
        <w:wordWrap/>
        <w:overflowPunct/>
        <w:topLinePunct w:val="0"/>
        <w:autoSpaceDE/>
        <w:autoSpaceDN/>
        <w:bidi w:val="0"/>
        <w:adjustRightInd/>
        <w:snapToGrid/>
        <w:spacing w:line="460" w:lineRule="exact"/>
        <w:ind w:left="0" w:firstLine="562" w:firstLineChars="200"/>
        <w:textAlignment w:val="auto"/>
        <w:rPr>
          <w:rFonts w:hint="eastAsia" w:hAnsi="Cambria Math" w:eastAsia="仿宋_GB2312" w:cs="仿宋_GB2312"/>
          <w:i w:val="0"/>
          <w:iCs w:val="0"/>
          <w:color w:val="auto"/>
          <w:sz w:val="32"/>
          <w:szCs w:val="32"/>
          <w:highlight w:val="none"/>
          <w:lang w:val="en-US" w:eastAsia="zh-CN"/>
        </w:rPr>
      </w:pPr>
      <w:r>
        <w:rPr>
          <w:rFonts w:hint="eastAsia" w:ascii="仿宋_GB2312" w:hAnsi="仿宋_GB2312" w:eastAsia="仿宋_GB2312" w:cs="仿宋_GB2312"/>
          <w:b/>
          <w:bCs/>
          <w:color w:val="auto"/>
          <w:sz w:val="28"/>
          <w:szCs w:val="28"/>
          <w:highlight w:val="none"/>
          <w:lang w:val="en-US" w:eastAsia="zh-CN"/>
        </w:rPr>
        <w:t>B</w:t>
      </w:r>
      <w:r>
        <w:rPr>
          <w:rFonts w:hint="eastAsia" w:ascii="仿宋_GB2312" w:hAnsi="仿宋_GB2312" w:eastAsia="仿宋_GB2312" w:cs="仿宋_GB2312"/>
          <w:b/>
          <w:bCs/>
          <w:color w:val="auto"/>
          <w:sz w:val="28"/>
          <w:szCs w:val="28"/>
          <w:highlight w:val="none"/>
        </w:rPr>
        <w:t>联动价格套餐</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color w:val="auto"/>
          <w:sz w:val="28"/>
          <w:szCs w:val="28"/>
          <w:highlight w:val="none"/>
        </w:rPr>
        <w:t>双方约定</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常规电力电量</w:t>
      </w:r>
      <w:r>
        <w:rPr>
          <w:rFonts w:hint="eastAsia" w:ascii="仿宋_GB2312" w:hAnsi="仿宋_GB2312" w:eastAsia="仿宋_GB2312" w:cs="仿宋_GB2312"/>
          <w:color w:val="auto"/>
          <w:sz w:val="28"/>
          <w:szCs w:val="28"/>
          <w:highlight w:val="none"/>
        </w:rPr>
        <w:t>Q</w:t>
      </w:r>
      <w:r>
        <w:rPr>
          <w:rFonts w:hint="eastAsia" w:ascii="仿宋_GB2312" w:hAnsi="仿宋_GB2312" w:eastAsia="仿宋_GB2312" w:cs="仿宋_GB2312"/>
          <w:color w:val="auto"/>
          <w:sz w:val="28"/>
          <w:szCs w:val="28"/>
          <w:highlight w:val="none"/>
          <w:vertAlign w:val="subscript"/>
        </w:rPr>
        <w:t>常</w:t>
      </w:r>
      <w:r>
        <w:rPr>
          <w:rFonts w:hint="eastAsia" w:ascii="仿宋_GB2312" w:hAnsi="仿宋_GB2312" w:eastAsia="仿宋_GB2312" w:cs="仿宋_GB2312"/>
          <w:color w:val="auto"/>
          <w:sz w:val="28"/>
          <w:szCs w:val="28"/>
          <w:highlight w:val="none"/>
        </w:rPr>
        <w:t>按照常规电力</w:t>
      </w:r>
      <w:r>
        <w:rPr>
          <w:rFonts w:hint="eastAsia" w:ascii="仿宋_GB2312" w:hAnsi="仿宋_GB2312" w:eastAsia="仿宋_GB2312" w:cs="仿宋_GB2312"/>
          <w:color w:val="auto"/>
          <w:sz w:val="28"/>
          <w:szCs w:val="28"/>
          <w:highlight w:val="none"/>
          <w:lang w:val="en-US" w:eastAsia="zh-CN"/>
        </w:rPr>
        <w:t>基准价格</w:t>
      </w:r>
      <w:r>
        <w:rPr>
          <w:rFonts w:hint="eastAsia" w:ascii="仿宋_GB2312" w:hAnsi="仿宋_GB2312" w:eastAsia="仿宋_GB2312" w:cs="仿宋_GB2312"/>
          <w:color w:val="auto"/>
          <w:sz w:val="28"/>
          <w:szCs w:val="28"/>
          <w:highlight w:val="none"/>
        </w:rPr>
        <w:t>P</w:t>
      </w:r>
      <w:r>
        <w:rPr>
          <w:rFonts w:hint="eastAsia" w:ascii="仿宋_GB2312" w:hAnsi="仿宋_GB2312" w:eastAsia="仿宋_GB2312" w:cs="仿宋_GB2312"/>
          <w:color w:val="auto"/>
          <w:sz w:val="28"/>
          <w:szCs w:val="28"/>
          <w:highlight w:val="none"/>
          <w:vertAlign w:val="subscript"/>
        </w:rPr>
        <w:t>常</w:t>
      </w:r>
      <w:r>
        <w:rPr>
          <w:rFonts w:hint="eastAsia" w:ascii="仿宋_GB2312" w:hAnsi="仿宋_GB2312" w:eastAsia="仿宋_GB2312" w:cs="仿宋_GB2312"/>
          <w:color w:val="auto"/>
          <w:sz w:val="28"/>
          <w:szCs w:val="28"/>
          <w:highlight w:val="none"/>
          <w:vertAlign w:val="subscript"/>
          <w:lang w:val="en-US" w:eastAsia="zh-CN"/>
        </w:rPr>
        <w:t>基</w:t>
      </w:r>
      <w:r>
        <w:rPr>
          <w:rFonts w:hint="eastAsia" w:ascii="仿宋_GB2312" w:hAnsi="仿宋_GB2312" w:eastAsia="仿宋_GB2312" w:cs="仿宋_GB2312"/>
          <w:color w:val="auto"/>
          <w:sz w:val="28"/>
          <w:szCs w:val="28"/>
          <w:highlight w:val="none"/>
        </w:rPr>
        <w:t>叠加浮动价格</w:t>
      </w:r>
      <w:r>
        <w:rPr>
          <w:rFonts w:hint="eastAsia" w:ascii="仿宋" w:hAnsi="仿宋" w:eastAsia="仿宋" w:cs="仿宋"/>
          <w:color w:val="auto"/>
          <w:sz w:val="28"/>
          <w:szCs w:val="28"/>
          <w:highlight w:val="none"/>
        </w:rPr>
        <w:t>P</w:t>
      </w:r>
      <w:r>
        <w:rPr>
          <w:rFonts w:hint="eastAsia" w:ascii="仿宋" w:hAnsi="仿宋" w:eastAsia="仿宋" w:cs="仿宋"/>
          <w:color w:val="auto"/>
          <w:sz w:val="28"/>
          <w:szCs w:val="28"/>
          <w:highlight w:val="none"/>
          <w:vertAlign w:val="subscript"/>
        </w:rPr>
        <w:t>常浮</w:t>
      </w:r>
      <w:r>
        <w:rPr>
          <w:rFonts w:hint="eastAsia" w:ascii="仿宋_GB2312" w:hAnsi="仿宋_GB2312" w:eastAsia="仿宋_GB2312" w:cs="仿宋_GB2312"/>
          <w:color w:val="auto"/>
          <w:sz w:val="28"/>
          <w:szCs w:val="28"/>
          <w:highlight w:val="none"/>
        </w:rPr>
        <w:t>结算。常规电力</w:t>
      </w:r>
      <w:r>
        <w:rPr>
          <w:rFonts w:hint="eastAsia" w:ascii="仿宋_GB2312" w:hAnsi="仿宋_GB2312" w:eastAsia="仿宋_GB2312" w:cs="仿宋_GB2312"/>
          <w:color w:val="auto"/>
          <w:sz w:val="28"/>
          <w:szCs w:val="28"/>
          <w:highlight w:val="none"/>
          <w:lang w:val="en-US" w:eastAsia="zh-CN"/>
        </w:rPr>
        <w:t>基准价格</w:t>
      </w:r>
      <w:r>
        <w:rPr>
          <w:rFonts w:hint="eastAsia" w:ascii="仿宋_GB2312" w:hAnsi="仿宋_GB2312" w:eastAsia="仿宋_GB2312" w:cs="仿宋_GB2312"/>
          <w:color w:val="auto"/>
          <w:sz w:val="28"/>
          <w:szCs w:val="28"/>
          <w:highlight w:val="none"/>
        </w:rPr>
        <w:t>P</w:t>
      </w:r>
      <w:r>
        <w:rPr>
          <w:rFonts w:hint="eastAsia" w:ascii="仿宋_GB2312" w:hAnsi="仿宋_GB2312" w:eastAsia="仿宋_GB2312" w:cs="仿宋_GB2312"/>
          <w:color w:val="auto"/>
          <w:sz w:val="28"/>
          <w:szCs w:val="28"/>
          <w:highlight w:val="none"/>
          <w:vertAlign w:val="subscript"/>
        </w:rPr>
        <w:t>常</w:t>
      </w:r>
      <w:r>
        <w:rPr>
          <w:rFonts w:hint="eastAsia" w:ascii="仿宋_GB2312" w:hAnsi="仿宋_GB2312" w:eastAsia="仿宋_GB2312" w:cs="仿宋_GB2312"/>
          <w:color w:val="auto"/>
          <w:sz w:val="28"/>
          <w:szCs w:val="28"/>
          <w:highlight w:val="none"/>
          <w:vertAlign w:val="subscript"/>
          <w:lang w:val="en-US" w:eastAsia="zh-CN"/>
        </w:rPr>
        <w:t>基</w:t>
      </w:r>
      <w:r>
        <w:rPr>
          <w:rFonts w:hint="eastAsia" w:ascii="仿宋_GB2312" w:hAnsi="仿宋_GB2312" w:eastAsia="仿宋_GB2312" w:cs="仿宋_GB2312"/>
          <w:color w:val="auto"/>
          <w:sz w:val="28"/>
          <w:szCs w:val="28"/>
          <w:highlight w:val="none"/>
          <w:lang w:val="en-US" w:eastAsia="zh-CN"/>
        </w:rPr>
        <w:t>可以选择常规电力</w:t>
      </w:r>
      <w:r>
        <w:rPr>
          <w:rFonts w:hint="eastAsia" w:ascii="仿宋_GB2312" w:hAnsi="仿宋_GB2312" w:eastAsia="仿宋_GB2312" w:cs="仿宋_GB2312"/>
          <w:color w:val="auto"/>
          <w:sz w:val="28"/>
          <w:szCs w:val="28"/>
          <w:highlight w:val="none"/>
        </w:rPr>
        <w:t>批发市场合同均价P</w:t>
      </w:r>
      <w:r>
        <w:rPr>
          <w:rFonts w:hint="eastAsia" w:ascii="仿宋_GB2312" w:hAnsi="仿宋_GB2312" w:eastAsia="仿宋_GB2312" w:cs="仿宋_GB2312"/>
          <w:color w:val="auto"/>
          <w:sz w:val="28"/>
          <w:szCs w:val="28"/>
          <w:highlight w:val="none"/>
          <w:vertAlign w:val="subscript"/>
        </w:rPr>
        <w:t>常批</w:t>
      </w:r>
      <w:r>
        <w:rPr>
          <w:rFonts w:hint="eastAsia" w:ascii="仿宋_GB2312" w:hAnsi="仿宋_GB2312" w:eastAsia="仿宋_GB2312" w:cs="仿宋_GB2312"/>
          <w:color w:val="auto"/>
          <w:sz w:val="28"/>
          <w:szCs w:val="28"/>
          <w:highlight w:val="none"/>
          <w:lang w:val="en-US" w:eastAsia="zh-CN"/>
        </w:rPr>
        <w:t>作为联动基准</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也可以选择签约售电公司的常规电力批发合同均价</w:t>
      </w:r>
      <w:r>
        <w:rPr>
          <w:rFonts w:hint="eastAsia" w:ascii="仿宋_GB2312" w:hAnsi="仿宋_GB2312" w:eastAsia="仿宋_GB2312" w:cs="仿宋_GB2312"/>
          <w:color w:val="auto"/>
          <w:sz w:val="28"/>
          <w:szCs w:val="28"/>
          <w:highlight w:val="none"/>
        </w:rPr>
        <w:t>P</w:t>
      </w:r>
      <w:r>
        <w:rPr>
          <w:rFonts w:hint="eastAsia" w:ascii="仿宋_GB2312" w:hAnsi="仿宋_GB2312" w:eastAsia="仿宋_GB2312" w:cs="仿宋_GB2312"/>
          <w:color w:val="auto"/>
          <w:sz w:val="28"/>
          <w:szCs w:val="28"/>
          <w:highlight w:val="none"/>
          <w:vertAlign w:val="subscript"/>
        </w:rPr>
        <w:t>常</w:t>
      </w:r>
      <w:r>
        <w:rPr>
          <w:rFonts w:hint="eastAsia" w:ascii="仿宋_GB2312" w:hAnsi="仿宋_GB2312" w:eastAsia="仿宋_GB2312" w:cs="仿宋_GB2312"/>
          <w:color w:val="auto"/>
          <w:sz w:val="28"/>
          <w:szCs w:val="28"/>
          <w:highlight w:val="none"/>
          <w:vertAlign w:val="subscript"/>
          <w:lang w:val="en-US" w:eastAsia="zh-CN"/>
        </w:rPr>
        <w:t>售</w:t>
      </w:r>
      <w:r>
        <w:rPr>
          <w:rFonts w:hint="eastAsia" w:ascii="仿宋_GB2312" w:hAnsi="仿宋_GB2312" w:eastAsia="仿宋_GB2312" w:cs="仿宋_GB2312"/>
          <w:color w:val="auto"/>
          <w:sz w:val="28"/>
          <w:szCs w:val="28"/>
          <w:highlight w:val="none"/>
          <w:lang w:val="en-US" w:eastAsia="zh-CN"/>
        </w:rPr>
        <w:t>作为联动基准。</w:t>
      </w:r>
      <w:r>
        <w:rPr>
          <w:rFonts w:hint="eastAsia" w:ascii="仿宋" w:hAnsi="仿宋" w:eastAsia="仿宋" w:cs="仿宋"/>
          <w:color w:val="auto"/>
          <w:sz w:val="28"/>
          <w:szCs w:val="28"/>
          <w:highlight w:val="none"/>
        </w:rPr>
        <w:t>P</w:t>
      </w:r>
      <w:r>
        <w:rPr>
          <w:rFonts w:hint="eastAsia" w:ascii="仿宋" w:hAnsi="仿宋" w:eastAsia="仿宋" w:cs="仿宋"/>
          <w:color w:val="auto"/>
          <w:sz w:val="28"/>
          <w:szCs w:val="28"/>
          <w:highlight w:val="none"/>
          <w:vertAlign w:val="subscript"/>
        </w:rPr>
        <w:t>常浮</w:t>
      </w:r>
      <w:r>
        <w:rPr>
          <w:rFonts w:hint="eastAsia" w:ascii="仿宋" w:hAnsi="仿宋" w:eastAsia="仿宋" w:cs="仿宋"/>
          <w:color w:val="auto"/>
          <w:sz w:val="28"/>
          <w:szCs w:val="28"/>
          <w:highlight w:val="none"/>
        </w:rPr>
        <w:t>可以为正值、零、负值。</w:t>
      </w:r>
      <w:r>
        <w:rPr>
          <w:rFonts w:hint="eastAsia" w:ascii="仿宋" w:hAnsi="仿宋" w:eastAsia="仿宋" w:cs="仿宋"/>
          <w:color w:val="auto"/>
          <w:sz w:val="28"/>
          <w:szCs w:val="28"/>
          <w:highlight w:val="none"/>
          <w:lang w:val="en-US" w:eastAsia="zh-CN"/>
        </w:rPr>
        <w:t>当签约售电公司未签订常规电力批发合同时，</w:t>
      </w:r>
      <w:r>
        <w:rPr>
          <w:rFonts w:hint="eastAsia" w:ascii="仿宋_GB2312" w:hAnsi="仿宋_GB2312" w:eastAsia="仿宋_GB2312" w:cs="仿宋_GB2312"/>
          <w:color w:val="auto"/>
          <w:sz w:val="28"/>
          <w:szCs w:val="28"/>
          <w:highlight w:val="none"/>
        </w:rPr>
        <w:t>P</w:t>
      </w:r>
      <w:r>
        <w:rPr>
          <w:rFonts w:hint="eastAsia" w:ascii="仿宋_GB2312" w:hAnsi="仿宋_GB2312" w:eastAsia="仿宋_GB2312" w:cs="仿宋_GB2312"/>
          <w:color w:val="auto"/>
          <w:sz w:val="28"/>
          <w:szCs w:val="28"/>
          <w:highlight w:val="none"/>
          <w:vertAlign w:val="subscript"/>
          <w:lang w:val="en-US" w:eastAsia="zh-CN"/>
        </w:rPr>
        <w:t>常基</w:t>
      </w:r>
      <w:r>
        <w:rPr>
          <w:rFonts w:hint="eastAsia" w:ascii="仿宋_GB2312" w:hAnsi="仿宋_GB2312" w:eastAsia="仿宋_GB2312" w:cs="仿宋_GB2312"/>
          <w:color w:val="auto"/>
          <w:sz w:val="28"/>
          <w:szCs w:val="28"/>
          <w:highlight w:val="none"/>
          <w:lang w:val="en-US" w:eastAsia="zh-CN"/>
        </w:rPr>
        <w:t>默认取值为</w:t>
      </w:r>
      <w:r>
        <w:rPr>
          <w:rFonts w:hint="eastAsia" w:ascii="仿宋_GB2312" w:hAnsi="仿宋_GB2312" w:eastAsia="仿宋_GB2312" w:cs="仿宋_GB2312"/>
          <w:color w:val="auto"/>
          <w:sz w:val="28"/>
          <w:szCs w:val="28"/>
          <w:highlight w:val="none"/>
        </w:rPr>
        <w:t>P</w:t>
      </w:r>
      <w:r>
        <w:rPr>
          <w:rFonts w:hint="eastAsia" w:ascii="仿宋_GB2312" w:hAnsi="仿宋_GB2312" w:eastAsia="仿宋_GB2312" w:cs="仿宋_GB2312"/>
          <w:color w:val="auto"/>
          <w:sz w:val="28"/>
          <w:szCs w:val="28"/>
          <w:highlight w:val="none"/>
          <w:vertAlign w:val="subscript"/>
          <w:lang w:val="en-US" w:eastAsia="zh-CN"/>
        </w:rPr>
        <w:t>常</w:t>
      </w:r>
      <w:r>
        <w:rPr>
          <w:rFonts w:hint="eastAsia" w:ascii="仿宋_GB2312" w:hAnsi="仿宋_GB2312" w:eastAsia="仿宋_GB2312" w:cs="仿宋_GB2312"/>
          <w:color w:val="auto"/>
          <w:sz w:val="28"/>
          <w:szCs w:val="28"/>
          <w:highlight w:val="none"/>
          <w:vertAlign w:val="subscript"/>
        </w:rPr>
        <w:t>批</w:t>
      </w:r>
      <w:r>
        <w:rPr>
          <w:rFonts w:hint="eastAsia" w:hAnsi="Cambria Math" w:eastAsia="仿宋_GB2312" w:cs="仿宋_GB2312"/>
          <w:i w:val="0"/>
          <w:iCs w:val="0"/>
          <w:color w:val="auto"/>
          <w:sz w:val="32"/>
          <w:szCs w:val="32"/>
          <w:highlight w:val="none"/>
          <w:lang w:val="en-US" w:eastAsia="zh-CN"/>
        </w:rPr>
        <w:t>。</w:t>
      </w:r>
    </w:p>
    <w:p w14:paraId="37EE48A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楷体_GB2312" w:hAnsi="楷体_GB2312" w:eastAsia="楷体_GB2312" w:cs="楷体_GB2312"/>
          <w:b/>
          <w:bCs/>
          <w:color w:val="auto"/>
          <w:sz w:val="28"/>
          <w:szCs w:val="28"/>
          <w:highlight w:val="none"/>
        </w:rPr>
      </w:pPr>
      <w:r>
        <w:rPr>
          <w:rFonts w:hint="eastAsia" w:ascii="楷体_GB2312" w:hAnsi="楷体_GB2312" w:eastAsia="楷体_GB2312" w:cs="楷体_GB2312"/>
          <w:b/>
          <w:bCs/>
          <w:color w:val="auto"/>
          <w:sz w:val="28"/>
          <w:szCs w:val="28"/>
          <w:highlight w:val="none"/>
        </w:rPr>
        <w:t>P</w:t>
      </w:r>
      <w:r>
        <w:rPr>
          <w:rFonts w:hint="eastAsia" w:ascii="楷体_GB2312" w:hAnsi="楷体_GB2312" w:eastAsia="楷体_GB2312" w:cs="楷体_GB2312"/>
          <w:b/>
          <w:bCs/>
          <w:color w:val="auto"/>
          <w:sz w:val="28"/>
          <w:szCs w:val="28"/>
          <w:highlight w:val="none"/>
          <w:vertAlign w:val="subscript"/>
        </w:rPr>
        <w:t>常</w:t>
      </w:r>
      <w:r>
        <w:rPr>
          <w:rFonts w:hint="eastAsia" w:ascii="楷体_GB2312" w:hAnsi="楷体_GB2312" w:eastAsia="楷体_GB2312" w:cs="楷体_GB2312"/>
          <w:b/>
          <w:bCs/>
          <w:color w:val="auto"/>
          <w:sz w:val="28"/>
          <w:szCs w:val="28"/>
          <w:highlight w:val="none"/>
        </w:rPr>
        <w:t>＝P</w:t>
      </w:r>
      <w:r>
        <w:rPr>
          <w:rFonts w:hint="eastAsia" w:ascii="楷体_GB2312" w:hAnsi="楷体_GB2312" w:eastAsia="楷体_GB2312" w:cs="楷体_GB2312"/>
          <w:b/>
          <w:bCs/>
          <w:color w:val="auto"/>
          <w:sz w:val="28"/>
          <w:szCs w:val="28"/>
          <w:highlight w:val="none"/>
          <w:vertAlign w:val="subscript"/>
        </w:rPr>
        <w:t>常</w:t>
      </w:r>
      <w:r>
        <w:rPr>
          <w:rFonts w:hint="eastAsia" w:ascii="楷体_GB2312" w:hAnsi="楷体_GB2312" w:eastAsia="楷体_GB2312" w:cs="楷体_GB2312"/>
          <w:b/>
          <w:bCs/>
          <w:color w:val="auto"/>
          <w:sz w:val="28"/>
          <w:szCs w:val="28"/>
          <w:highlight w:val="none"/>
          <w:vertAlign w:val="subscript"/>
          <w:lang w:val="en-US" w:eastAsia="zh-CN"/>
        </w:rPr>
        <w:t>基</w:t>
      </w:r>
      <w:r>
        <w:rPr>
          <w:rFonts w:hint="eastAsia" w:ascii="楷体_GB2312" w:hAnsi="楷体_GB2312" w:eastAsia="楷体_GB2312" w:cs="楷体_GB2312"/>
          <w:b/>
          <w:bCs/>
          <w:color w:val="auto"/>
          <w:sz w:val="28"/>
          <w:szCs w:val="28"/>
          <w:highlight w:val="none"/>
        </w:rPr>
        <w:t>＋P</w:t>
      </w:r>
      <w:r>
        <w:rPr>
          <w:rFonts w:hint="eastAsia" w:ascii="楷体_GB2312" w:hAnsi="楷体_GB2312" w:eastAsia="楷体_GB2312" w:cs="楷体_GB2312"/>
          <w:b/>
          <w:bCs/>
          <w:color w:val="auto"/>
          <w:sz w:val="28"/>
          <w:szCs w:val="28"/>
          <w:highlight w:val="none"/>
          <w:vertAlign w:val="subscript"/>
        </w:rPr>
        <w:t>常浮</w:t>
      </w:r>
    </w:p>
    <w:p w14:paraId="7D554B69">
      <w:pPr>
        <w:keepNext w:val="0"/>
        <w:keepLines w:val="0"/>
        <w:pageBreakBefore w:val="0"/>
        <w:widowControl w:val="0"/>
        <w:kinsoku/>
        <w:wordWrap/>
        <w:overflowPunct/>
        <w:topLinePunct w:val="0"/>
        <w:autoSpaceDE/>
        <w:autoSpaceDN/>
        <w:bidi w:val="0"/>
        <w:adjustRightInd/>
        <w:snapToGrid/>
        <w:spacing w:line="460" w:lineRule="exact"/>
        <w:ind w:left="0" w:firstLine="562"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C</w:t>
      </w:r>
      <w:r>
        <w:rPr>
          <w:rFonts w:hint="eastAsia" w:ascii="仿宋_GB2312" w:hAnsi="仿宋_GB2312" w:eastAsia="仿宋_GB2312" w:cs="仿宋_GB2312"/>
          <w:b/>
          <w:bCs/>
          <w:color w:val="auto"/>
          <w:sz w:val="28"/>
          <w:szCs w:val="28"/>
          <w:highlight w:val="none"/>
        </w:rPr>
        <w:t>比例分成套餐</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color w:val="auto"/>
          <w:sz w:val="28"/>
          <w:szCs w:val="28"/>
          <w:highlight w:val="none"/>
        </w:rPr>
        <w:t>双方约定</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常规电力电量</w:t>
      </w:r>
      <w:r>
        <w:rPr>
          <w:rFonts w:hint="eastAsia" w:ascii="仿宋_GB2312" w:hAnsi="仿宋_GB2312" w:eastAsia="仿宋_GB2312" w:cs="仿宋_GB2312"/>
          <w:color w:val="auto"/>
          <w:sz w:val="28"/>
          <w:szCs w:val="28"/>
          <w:highlight w:val="none"/>
        </w:rPr>
        <w:t>Q</w:t>
      </w:r>
      <w:r>
        <w:rPr>
          <w:rFonts w:hint="eastAsia" w:ascii="仿宋_GB2312" w:hAnsi="仿宋_GB2312" w:eastAsia="仿宋_GB2312" w:cs="仿宋_GB2312"/>
          <w:color w:val="auto"/>
          <w:sz w:val="28"/>
          <w:szCs w:val="28"/>
          <w:highlight w:val="none"/>
          <w:vertAlign w:val="subscript"/>
        </w:rPr>
        <w:t>常</w:t>
      </w:r>
      <w:r>
        <w:rPr>
          <w:rFonts w:hint="eastAsia" w:ascii="仿宋_GB2312" w:hAnsi="仿宋_GB2312" w:eastAsia="仿宋_GB2312" w:cs="仿宋_GB2312"/>
          <w:color w:val="auto"/>
          <w:sz w:val="28"/>
          <w:szCs w:val="28"/>
          <w:highlight w:val="none"/>
        </w:rPr>
        <w:t>在约定固定价格P</w:t>
      </w:r>
      <w:r>
        <w:rPr>
          <w:rFonts w:hint="eastAsia" w:ascii="仿宋_GB2312" w:hAnsi="仿宋_GB2312" w:eastAsia="仿宋_GB2312" w:cs="仿宋_GB2312"/>
          <w:color w:val="auto"/>
          <w:sz w:val="28"/>
          <w:szCs w:val="28"/>
          <w:highlight w:val="none"/>
          <w:vertAlign w:val="subscript"/>
        </w:rPr>
        <w:t>常固</w:t>
      </w:r>
      <w:r>
        <w:rPr>
          <w:rFonts w:hint="eastAsia" w:ascii="仿宋_GB2312" w:hAnsi="仿宋_GB2312" w:eastAsia="仿宋_GB2312" w:cs="仿宋_GB2312"/>
          <w:color w:val="auto"/>
          <w:sz w:val="28"/>
          <w:szCs w:val="28"/>
          <w:highlight w:val="none"/>
        </w:rPr>
        <w:t>的基础上，将固定价格P</w:t>
      </w:r>
      <w:r>
        <w:rPr>
          <w:rFonts w:hint="eastAsia" w:ascii="仿宋_GB2312" w:hAnsi="仿宋_GB2312" w:eastAsia="仿宋_GB2312" w:cs="仿宋_GB2312"/>
          <w:color w:val="auto"/>
          <w:sz w:val="28"/>
          <w:szCs w:val="28"/>
          <w:highlight w:val="none"/>
          <w:vertAlign w:val="subscript"/>
        </w:rPr>
        <w:t>常固</w:t>
      </w:r>
      <w:r>
        <w:rPr>
          <w:rFonts w:hint="eastAsia" w:ascii="仿宋_GB2312" w:hAnsi="仿宋_GB2312" w:eastAsia="仿宋_GB2312" w:cs="仿宋_GB2312"/>
          <w:color w:val="auto"/>
          <w:sz w:val="28"/>
          <w:szCs w:val="28"/>
          <w:highlight w:val="none"/>
        </w:rPr>
        <w:t>与常规电力批发市场合同均价P</w:t>
      </w:r>
      <w:r>
        <w:rPr>
          <w:rFonts w:hint="eastAsia" w:ascii="仿宋_GB2312" w:hAnsi="仿宋_GB2312" w:eastAsia="仿宋_GB2312" w:cs="仿宋_GB2312"/>
          <w:color w:val="auto"/>
          <w:sz w:val="28"/>
          <w:szCs w:val="28"/>
          <w:highlight w:val="none"/>
          <w:vertAlign w:val="subscript"/>
        </w:rPr>
        <w:t>常批</w:t>
      </w:r>
      <w:r>
        <w:rPr>
          <w:rFonts w:hint="eastAsia" w:ascii="仿宋_GB2312" w:hAnsi="仿宋_GB2312" w:eastAsia="仿宋_GB2312" w:cs="仿宋_GB2312"/>
          <w:color w:val="auto"/>
          <w:sz w:val="28"/>
          <w:szCs w:val="28"/>
          <w:highlight w:val="none"/>
        </w:rPr>
        <w:t>之间的差值，按照约定的分成比例K</w:t>
      </w:r>
      <w:r>
        <w:rPr>
          <w:rFonts w:hint="eastAsia" w:ascii="仿宋_GB2312" w:hAnsi="仿宋_GB2312" w:eastAsia="仿宋_GB2312" w:cs="仿宋_GB2312"/>
          <w:color w:val="auto"/>
          <w:sz w:val="28"/>
          <w:szCs w:val="28"/>
          <w:highlight w:val="none"/>
          <w:vertAlign w:val="subscript"/>
        </w:rPr>
        <w:t>常</w:t>
      </w:r>
      <w:r>
        <w:rPr>
          <w:rFonts w:hint="eastAsia" w:ascii="仿宋_GB2312" w:hAnsi="仿宋_GB2312" w:eastAsia="仿宋_GB2312" w:cs="仿宋_GB2312"/>
          <w:color w:val="auto"/>
          <w:sz w:val="28"/>
          <w:szCs w:val="28"/>
          <w:highlight w:val="none"/>
        </w:rPr>
        <w:t>传导至零售用户。当上述差值为正时，比例K</w:t>
      </w:r>
      <w:r>
        <w:rPr>
          <w:rFonts w:hint="eastAsia" w:ascii="仿宋_GB2312" w:hAnsi="仿宋_GB2312" w:eastAsia="仿宋_GB2312" w:cs="仿宋_GB2312"/>
          <w:color w:val="auto"/>
          <w:sz w:val="28"/>
          <w:szCs w:val="28"/>
          <w:highlight w:val="none"/>
          <w:vertAlign w:val="subscript"/>
        </w:rPr>
        <w:t>常</w:t>
      </w:r>
      <w:r>
        <w:rPr>
          <w:rFonts w:hint="eastAsia" w:ascii="仿宋_GB2312" w:hAnsi="仿宋_GB2312" w:eastAsia="仿宋_GB2312" w:cs="仿宋_GB2312"/>
          <w:color w:val="auto"/>
          <w:sz w:val="28"/>
          <w:szCs w:val="28"/>
          <w:highlight w:val="none"/>
          <w:vertAlign w:val="subscript"/>
          <w:lang w:val="en-US" w:eastAsia="zh-CN"/>
        </w:rPr>
        <w:t>享</w:t>
      </w:r>
      <w:r>
        <w:rPr>
          <w:rFonts w:hint="eastAsia" w:ascii="仿宋_GB2312" w:hAnsi="仿宋_GB2312" w:eastAsia="仿宋_GB2312" w:cs="仿宋_GB2312"/>
          <w:color w:val="auto"/>
          <w:sz w:val="28"/>
          <w:szCs w:val="28"/>
          <w:highlight w:val="none"/>
        </w:rPr>
        <w:t>部分由零售用户分享；差值为负时，比例K</w:t>
      </w:r>
      <w:r>
        <w:rPr>
          <w:rFonts w:hint="eastAsia" w:ascii="仿宋_GB2312" w:hAnsi="仿宋_GB2312" w:eastAsia="仿宋_GB2312" w:cs="仿宋_GB2312"/>
          <w:color w:val="auto"/>
          <w:sz w:val="28"/>
          <w:szCs w:val="28"/>
          <w:highlight w:val="none"/>
          <w:vertAlign w:val="subscript"/>
        </w:rPr>
        <w:t>常</w:t>
      </w:r>
      <w:r>
        <w:rPr>
          <w:rFonts w:hint="eastAsia" w:ascii="仿宋_GB2312" w:hAnsi="仿宋_GB2312" w:eastAsia="仿宋_GB2312" w:cs="仿宋_GB2312"/>
          <w:color w:val="auto"/>
          <w:sz w:val="28"/>
          <w:szCs w:val="28"/>
          <w:highlight w:val="none"/>
          <w:vertAlign w:val="subscript"/>
          <w:lang w:val="en-US" w:eastAsia="zh-CN"/>
        </w:rPr>
        <w:t>担</w:t>
      </w:r>
      <w:r>
        <w:rPr>
          <w:rFonts w:hint="eastAsia" w:ascii="仿宋_GB2312" w:hAnsi="仿宋_GB2312" w:eastAsia="仿宋_GB2312" w:cs="仿宋_GB2312"/>
          <w:color w:val="auto"/>
          <w:sz w:val="28"/>
          <w:szCs w:val="28"/>
          <w:highlight w:val="none"/>
        </w:rPr>
        <w:t>部分由零售用户</w:t>
      </w:r>
      <w:r>
        <w:rPr>
          <w:rFonts w:hint="eastAsia" w:ascii="仿宋_GB2312" w:hAnsi="仿宋_GB2312" w:eastAsia="仿宋_GB2312" w:cs="仿宋_GB2312"/>
          <w:color w:val="auto"/>
          <w:sz w:val="28"/>
          <w:szCs w:val="28"/>
          <w:highlight w:val="none"/>
          <w:lang w:val="en-US" w:eastAsia="zh-CN"/>
        </w:rPr>
        <w:t>承担</w:t>
      </w:r>
      <w:r>
        <w:rPr>
          <w:rFonts w:hint="eastAsia" w:ascii="仿宋_GB2312" w:hAnsi="仿宋_GB2312" w:eastAsia="仿宋_GB2312" w:cs="仿宋_GB2312"/>
          <w:color w:val="auto"/>
          <w:sz w:val="28"/>
          <w:szCs w:val="28"/>
          <w:highlight w:val="none"/>
        </w:rPr>
        <w:t>。K</w:t>
      </w:r>
      <w:r>
        <w:rPr>
          <w:rFonts w:hint="eastAsia" w:ascii="仿宋_GB2312" w:hAnsi="仿宋_GB2312" w:eastAsia="仿宋_GB2312" w:cs="仿宋_GB2312"/>
          <w:color w:val="auto"/>
          <w:sz w:val="28"/>
          <w:szCs w:val="28"/>
          <w:highlight w:val="none"/>
          <w:vertAlign w:val="subscript"/>
        </w:rPr>
        <w:t>常</w:t>
      </w:r>
      <w:r>
        <w:rPr>
          <w:rFonts w:hint="eastAsia" w:ascii="仿宋_GB2312" w:hAnsi="仿宋_GB2312" w:eastAsia="仿宋_GB2312" w:cs="仿宋_GB2312"/>
          <w:color w:val="auto"/>
          <w:sz w:val="28"/>
          <w:szCs w:val="28"/>
          <w:highlight w:val="none"/>
          <w:lang w:val="en-US" w:eastAsia="zh-CN"/>
        </w:rPr>
        <w:t>(包括</w:t>
      </w:r>
      <w:r>
        <w:rPr>
          <w:rFonts w:hint="eastAsia" w:ascii="仿宋_GB2312" w:hAnsi="仿宋_GB2312" w:eastAsia="仿宋_GB2312" w:cs="仿宋_GB2312"/>
          <w:color w:val="auto"/>
          <w:sz w:val="28"/>
          <w:szCs w:val="28"/>
          <w:highlight w:val="none"/>
        </w:rPr>
        <w:t>K</w:t>
      </w:r>
      <w:r>
        <w:rPr>
          <w:rFonts w:hint="eastAsia" w:ascii="仿宋_GB2312" w:hAnsi="仿宋_GB2312" w:eastAsia="仿宋_GB2312" w:cs="仿宋_GB2312"/>
          <w:color w:val="auto"/>
          <w:sz w:val="28"/>
          <w:szCs w:val="28"/>
          <w:highlight w:val="none"/>
          <w:vertAlign w:val="subscript"/>
        </w:rPr>
        <w:t>常</w:t>
      </w:r>
      <w:r>
        <w:rPr>
          <w:rFonts w:hint="eastAsia" w:ascii="仿宋_GB2312" w:hAnsi="仿宋_GB2312" w:eastAsia="仿宋_GB2312" w:cs="仿宋_GB2312"/>
          <w:color w:val="auto"/>
          <w:sz w:val="28"/>
          <w:szCs w:val="28"/>
          <w:highlight w:val="none"/>
          <w:vertAlign w:val="subscript"/>
          <w:lang w:val="en-US" w:eastAsia="zh-CN"/>
        </w:rPr>
        <w:t>享</w:t>
      </w:r>
      <w:r>
        <w:rPr>
          <w:rFonts w:hint="eastAsia" w:ascii="仿宋_GB2312" w:hAnsi="仿宋_GB2312" w:eastAsia="仿宋_GB2312" w:cs="仿宋_GB2312"/>
          <w:color w:val="auto"/>
          <w:sz w:val="28"/>
          <w:szCs w:val="28"/>
          <w:highlight w:val="none"/>
        </w:rPr>
        <w:t>、K</w:t>
      </w:r>
      <w:r>
        <w:rPr>
          <w:rFonts w:hint="eastAsia" w:ascii="仿宋_GB2312" w:hAnsi="仿宋_GB2312" w:eastAsia="仿宋_GB2312" w:cs="仿宋_GB2312"/>
          <w:color w:val="auto"/>
          <w:sz w:val="28"/>
          <w:szCs w:val="28"/>
          <w:highlight w:val="none"/>
          <w:vertAlign w:val="subscript"/>
        </w:rPr>
        <w:t>常</w:t>
      </w:r>
      <w:r>
        <w:rPr>
          <w:rFonts w:hint="eastAsia" w:ascii="仿宋_GB2312" w:hAnsi="仿宋_GB2312" w:eastAsia="仿宋_GB2312" w:cs="仿宋_GB2312"/>
          <w:color w:val="auto"/>
          <w:sz w:val="28"/>
          <w:szCs w:val="28"/>
          <w:highlight w:val="none"/>
          <w:vertAlign w:val="subscript"/>
          <w:lang w:val="en-US" w:eastAsia="zh-CN"/>
        </w:rPr>
        <w:t>担</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取值范围为0至</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w:t>
      </w:r>
    </w:p>
    <w:p w14:paraId="4DC6FEB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楷体_GB2312" w:hAnsi="楷体_GB2312" w:eastAsia="楷体_GB2312" w:cs="楷体_GB2312"/>
          <w:b/>
          <w:bCs/>
          <w:color w:val="auto"/>
          <w:sz w:val="28"/>
          <w:szCs w:val="28"/>
          <w:highlight w:val="none"/>
          <w:vertAlign w:val="subscript"/>
        </w:rPr>
      </w:pPr>
      <w:r>
        <w:rPr>
          <w:rFonts w:hint="eastAsia" w:ascii="楷体_GB2312" w:hAnsi="楷体_GB2312" w:eastAsia="楷体_GB2312" w:cs="楷体_GB2312"/>
          <w:b/>
          <w:bCs/>
          <w:color w:val="auto"/>
          <w:sz w:val="28"/>
          <w:szCs w:val="28"/>
          <w:highlight w:val="none"/>
        </w:rPr>
        <w:t>P</w:t>
      </w:r>
      <w:r>
        <w:rPr>
          <w:rFonts w:hint="eastAsia" w:ascii="楷体_GB2312" w:hAnsi="楷体_GB2312" w:eastAsia="楷体_GB2312" w:cs="楷体_GB2312"/>
          <w:b/>
          <w:bCs/>
          <w:color w:val="auto"/>
          <w:sz w:val="28"/>
          <w:szCs w:val="28"/>
          <w:highlight w:val="none"/>
          <w:vertAlign w:val="subscript"/>
        </w:rPr>
        <w:t>常</w:t>
      </w:r>
      <w:r>
        <w:rPr>
          <w:rFonts w:hint="eastAsia" w:ascii="楷体_GB2312" w:hAnsi="楷体_GB2312" w:eastAsia="楷体_GB2312" w:cs="楷体_GB2312"/>
          <w:b/>
          <w:bCs/>
          <w:color w:val="auto"/>
          <w:sz w:val="28"/>
          <w:szCs w:val="28"/>
          <w:highlight w:val="none"/>
        </w:rPr>
        <w:t>＝P</w:t>
      </w:r>
      <w:r>
        <w:rPr>
          <w:rFonts w:hint="eastAsia" w:ascii="楷体_GB2312" w:hAnsi="楷体_GB2312" w:eastAsia="楷体_GB2312" w:cs="楷体_GB2312"/>
          <w:b/>
          <w:bCs/>
          <w:color w:val="auto"/>
          <w:sz w:val="28"/>
          <w:szCs w:val="28"/>
          <w:highlight w:val="none"/>
          <w:vertAlign w:val="subscript"/>
        </w:rPr>
        <w:t>常固</w:t>
      </w:r>
      <w:r>
        <w:rPr>
          <w:rFonts w:hint="eastAsia" w:ascii="楷体_GB2312" w:hAnsi="楷体_GB2312" w:eastAsia="楷体_GB2312" w:cs="楷体_GB2312"/>
          <w:b/>
          <w:bCs/>
          <w:color w:val="auto"/>
          <w:sz w:val="28"/>
          <w:szCs w:val="28"/>
          <w:highlight w:val="none"/>
        </w:rPr>
        <w:t>－（P</w:t>
      </w:r>
      <w:r>
        <w:rPr>
          <w:rFonts w:hint="eastAsia" w:ascii="楷体_GB2312" w:hAnsi="楷体_GB2312" w:eastAsia="楷体_GB2312" w:cs="楷体_GB2312"/>
          <w:b/>
          <w:bCs/>
          <w:color w:val="auto"/>
          <w:sz w:val="28"/>
          <w:szCs w:val="28"/>
          <w:highlight w:val="none"/>
          <w:vertAlign w:val="subscript"/>
        </w:rPr>
        <w:t>常固</w:t>
      </w:r>
      <w:r>
        <w:rPr>
          <w:rFonts w:hint="eastAsia" w:ascii="楷体_GB2312" w:hAnsi="楷体_GB2312" w:eastAsia="楷体_GB2312" w:cs="楷体_GB2312"/>
          <w:b/>
          <w:bCs/>
          <w:color w:val="auto"/>
          <w:sz w:val="28"/>
          <w:szCs w:val="28"/>
          <w:highlight w:val="none"/>
        </w:rPr>
        <w:t>－P</w:t>
      </w:r>
      <w:r>
        <w:rPr>
          <w:rFonts w:hint="eastAsia" w:ascii="楷体_GB2312" w:hAnsi="楷体_GB2312" w:eastAsia="楷体_GB2312" w:cs="楷体_GB2312"/>
          <w:b/>
          <w:bCs/>
          <w:color w:val="auto"/>
          <w:sz w:val="28"/>
          <w:szCs w:val="28"/>
          <w:highlight w:val="none"/>
          <w:vertAlign w:val="subscript"/>
        </w:rPr>
        <w:t>常批</w:t>
      </w:r>
      <w:r>
        <w:rPr>
          <w:rFonts w:hint="eastAsia" w:ascii="楷体_GB2312" w:hAnsi="楷体_GB2312" w:eastAsia="楷体_GB2312" w:cs="楷体_GB2312"/>
          <w:b/>
          <w:bCs/>
          <w:color w:val="auto"/>
          <w:sz w:val="28"/>
          <w:szCs w:val="28"/>
          <w:highlight w:val="none"/>
        </w:rPr>
        <w:t>）×K</w:t>
      </w:r>
      <w:r>
        <w:rPr>
          <w:rFonts w:hint="eastAsia" w:ascii="楷体_GB2312" w:hAnsi="楷体_GB2312" w:eastAsia="楷体_GB2312" w:cs="楷体_GB2312"/>
          <w:b/>
          <w:bCs/>
          <w:color w:val="auto"/>
          <w:sz w:val="28"/>
          <w:szCs w:val="28"/>
          <w:highlight w:val="none"/>
          <w:vertAlign w:val="subscript"/>
        </w:rPr>
        <w:t>常</w:t>
      </w:r>
    </w:p>
    <w:p w14:paraId="4FD0F753">
      <w:pPr>
        <w:keepNext w:val="0"/>
        <w:keepLines w:val="0"/>
        <w:pageBreakBefore w:val="0"/>
        <w:widowControl w:val="0"/>
        <w:numPr>
          <w:ilvl w:val="-1"/>
          <w:numId w:val="0"/>
        </w:numPr>
        <w:suppressLineNumbers w:val="0"/>
        <w:kinsoku/>
        <w:wordWrap/>
        <w:overflowPunct/>
        <w:topLinePunct w:val="0"/>
        <w:autoSpaceDE/>
        <w:autoSpaceDN/>
        <w:bidi w:val="0"/>
        <w:adjustRightInd/>
        <w:snapToGrid/>
        <w:spacing w:line="460" w:lineRule="exact"/>
        <w:ind w:left="0" w:firstLine="562" w:firstLineChars="200"/>
        <w:jc w:val="left"/>
        <w:textAlignment w:val="auto"/>
        <w:outlineLvl w:val="9"/>
        <w:rPr>
          <w:rFonts w:hint="eastAsia" w:ascii="楷体_GB2312" w:hAnsi="楷体_GB2312" w:eastAsia="楷体_GB2312" w:cs="楷体_GB2312"/>
          <w:b/>
          <w:bCs/>
          <w:i w:val="0"/>
          <w:iCs w:val="0"/>
          <w:color w:val="auto"/>
          <w:sz w:val="28"/>
          <w:szCs w:val="28"/>
          <w:highlight w:val="none"/>
          <w:u w:val="none"/>
          <w:lang w:val="en-US" w:eastAsia="zh-CN"/>
        </w:rPr>
      </w:pPr>
      <w:r>
        <w:rPr>
          <w:rFonts w:hint="eastAsia" w:ascii="楷体_GB2312" w:hAnsi="楷体_GB2312" w:eastAsia="楷体_GB2312" w:cs="楷体_GB2312"/>
          <w:b/>
          <w:bCs/>
          <w:color w:val="auto"/>
          <w:sz w:val="28"/>
          <w:szCs w:val="28"/>
          <w:highlight w:val="none"/>
          <w:lang w:val="en-US" w:eastAsia="zh-CN"/>
        </w:rPr>
        <w:t>3.1.2</w:t>
      </w:r>
      <w:r>
        <w:rPr>
          <w:rFonts w:hint="eastAsia" w:ascii="楷体_GB2312" w:hAnsi="楷体_GB2312" w:eastAsia="楷体_GB2312" w:cs="楷体_GB2312"/>
          <w:b/>
          <w:bCs/>
          <w:i w:val="0"/>
          <w:iCs w:val="0"/>
          <w:color w:val="auto"/>
          <w:sz w:val="28"/>
          <w:szCs w:val="28"/>
          <w:highlight w:val="none"/>
          <w:u w:val="none"/>
          <w:lang w:val="en-US" w:eastAsia="zh-CN"/>
        </w:rPr>
        <w:t>常规电力电量</w:t>
      </w:r>
    </w:p>
    <w:p w14:paraId="7FE8F394">
      <w:pPr>
        <w:pStyle w:val="5"/>
        <w:spacing w:after="0" w:line="460" w:lineRule="exact"/>
        <w:ind w:firstLine="560" w:firstLineChars="200"/>
        <w:rPr>
          <w:rFonts w:hint="eastAsia" w:hAnsi="Cambria Math" w:eastAsia="仿宋_GB2312" w:cs="仿宋_GB2312"/>
          <w:i w:val="0"/>
          <w:iCs w:val="0"/>
          <w:color w:val="auto"/>
          <w:sz w:val="28"/>
          <w:szCs w:val="28"/>
          <w:highlight w:val="none"/>
          <w:lang w:val="en-US" w:eastAsia="zh-CN"/>
        </w:rPr>
      </w:pPr>
      <w:r>
        <w:rPr>
          <w:rFonts w:hint="eastAsia" w:ascii="仿宋_GB2312" w:hAnsi="仿宋_GB2312" w:eastAsia="仿宋_GB2312" w:cs="仿宋_GB2312"/>
          <w:color w:val="auto"/>
          <w:sz w:val="28"/>
          <w:szCs w:val="28"/>
          <w:highlight w:val="none"/>
          <w:u w:val="none"/>
          <w:lang w:val="en-US" w:eastAsia="zh-CN"/>
        </w:rPr>
        <w:t>常规电力电量</w:t>
      </w:r>
      <w:r>
        <w:rPr>
          <w:rFonts w:hint="eastAsia" w:ascii="仿宋_GB2312" w:hAnsi="仿宋_GB2312" w:eastAsia="仿宋_GB2312" w:cs="仿宋_GB2312"/>
          <w:color w:val="auto"/>
          <w:sz w:val="28"/>
          <w:szCs w:val="28"/>
          <w:highlight w:val="none"/>
        </w:rPr>
        <w:t>Q</w:t>
      </w:r>
      <w:r>
        <w:rPr>
          <w:rFonts w:hint="eastAsia" w:ascii="仿宋_GB2312" w:hAnsi="仿宋_GB2312" w:eastAsia="仿宋_GB2312" w:cs="仿宋_GB2312"/>
          <w:color w:val="auto"/>
          <w:sz w:val="28"/>
          <w:szCs w:val="28"/>
          <w:highlight w:val="none"/>
          <w:vertAlign w:val="subscript"/>
        </w:rPr>
        <w:t>常</w:t>
      </w:r>
      <w:r>
        <w:rPr>
          <w:rFonts w:hint="eastAsia" w:hAnsi="Cambria Math" w:eastAsia="仿宋_GB2312" w:cs="仿宋_GB2312"/>
          <w:i w:val="0"/>
          <w:iCs w:val="0"/>
          <w:color w:val="auto"/>
          <w:sz w:val="28"/>
          <w:szCs w:val="28"/>
          <w:highlight w:val="none"/>
          <w:lang w:val="en-US" w:eastAsia="zh-CN"/>
        </w:rPr>
        <w:t>为双方</w:t>
      </w:r>
      <w:r>
        <w:rPr>
          <w:rFonts w:hint="eastAsia" w:ascii="仿宋_GB2312" w:hAnsi="仿宋_GB2312" w:eastAsia="仿宋_GB2312" w:cs="仿宋_GB2312"/>
          <w:color w:val="auto"/>
          <w:sz w:val="28"/>
          <w:szCs w:val="28"/>
          <w:highlight w:val="none"/>
          <w:u w:val="none"/>
          <w:lang w:val="en-US" w:eastAsia="zh-CN"/>
        </w:rPr>
        <w:t>约定的合同电量</w:t>
      </w:r>
      <w:r>
        <w:rPr>
          <w:rFonts w:hint="eastAsia" w:ascii="仿宋_GB2312" w:hAnsi="仿宋_GB2312" w:eastAsia="仿宋_GB2312" w:cs="仿宋_GB2312"/>
          <w:color w:val="auto"/>
          <w:sz w:val="28"/>
          <w:szCs w:val="28"/>
          <w:highlight w:val="none"/>
        </w:rPr>
        <w:t>Q</w:t>
      </w:r>
      <w:r>
        <w:rPr>
          <w:rFonts w:hint="eastAsia" w:ascii="仿宋_GB2312" w:hAnsi="仿宋_GB2312" w:eastAsia="仿宋_GB2312" w:cs="仿宋_GB2312"/>
          <w:color w:val="auto"/>
          <w:sz w:val="28"/>
          <w:szCs w:val="28"/>
          <w:highlight w:val="none"/>
          <w:vertAlign w:val="subscript"/>
          <w:lang w:val="en-US" w:eastAsia="zh-CN"/>
        </w:rPr>
        <w:t>合</w:t>
      </w:r>
      <w:r>
        <w:rPr>
          <w:rFonts w:hint="eastAsia" w:hAnsi="Cambria Math" w:eastAsia="仿宋_GB2312" w:cs="仿宋_GB2312"/>
          <w:i w:val="0"/>
          <w:iCs w:val="0"/>
          <w:color w:val="auto"/>
          <w:sz w:val="28"/>
          <w:szCs w:val="28"/>
          <w:highlight w:val="none"/>
          <w:lang w:val="en-US" w:eastAsia="zh-CN"/>
        </w:rPr>
        <w:t>与</w:t>
      </w:r>
      <w:r>
        <w:rPr>
          <w:rFonts w:hint="eastAsia" w:ascii="仿宋_GB2312" w:hAnsi="仿宋_GB2312" w:eastAsia="仿宋_GB2312" w:cs="仿宋_GB2312"/>
          <w:color w:val="auto"/>
          <w:sz w:val="28"/>
          <w:szCs w:val="28"/>
          <w:highlight w:val="none"/>
          <w:u w:val="none"/>
          <w:lang w:val="en-US" w:eastAsia="zh-CN"/>
        </w:rPr>
        <w:t>绿色电力电量</w:t>
      </w:r>
      <w:r>
        <w:rPr>
          <w:rFonts w:hint="eastAsia" w:ascii="仿宋_GB2312" w:hAnsi="仿宋_GB2312" w:eastAsia="仿宋_GB2312" w:cs="仿宋_GB2312"/>
          <w:color w:val="auto"/>
          <w:sz w:val="28"/>
          <w:szCs w:val="28"/>
          <w:highlight w:val="none"/>
        </w:rPr>
        <w:t>Q</w:t>
      </w:r>
      <w:r>
        <w:rPr>
          <w:rFonts w:hint="eastAsia" w:ascii="仿宋_GB2312" w:hAnsi="仿宋_GB2312" w:eastAsia="仿宋_GB2312" w:cs="仿宋_GB2312"/>
          <w:color w:val="auto"/>
          <w:sz w:val="28"/>
          <w:szCs w:val="28"/>
          <w:highlight w:val="none"/>
          <w:vertAlign w:val="subscript"/>
          <w:lang w:val="en-US" w:eastAsia="zh-CN"/>
        </w:rPr>
        <w:t>绿</w:t>
      </w:r>
      <w:r>
        <w:rPr>
          <w:rFonts w:hint="eastAsia" w:hAnsi="Cambria Math" w:eastAsia="仿宋_GB2312" w:cs="仿宋_GB2312"/>
          <w:i w:val="0"/>
          <w:iCs w:val="0"/>
          <w:color w:val="auto"/>
          <w:sz w:val="28"/>
          <w:szCs w:val="28"/>
          <w:highlight w:val="none"/>
          <w:lang w:val="en-US" w:eastAsia="zh-CN"/>
        </w:rPr>
        <w:t>之差，若未开展绿色电力交易，</w:t>
      </w:r>
      <w:r>
        <w:rPr>
          <w:rFonts w:hint="eastAsia" w:ascii="仿宋_GB2312" w:hAnsi="仿宋_GB2312" w:eastAsia="仿宋_GB2312" w:cs="仿宋_GB2312"/>
          <w:color w:val="auto"/>
          <w:sz w:val="28"/>
          <w:szCs w:val="28"/>
          <w:highlight w:val="none"/>
        </w:rPr>
        <w:t>Q</w:t>
      </w:r>
      <w:r>
        <w:rPr>
          <w:rFonts w:hint="eastAsia" w:ascii="仿宋_GB2312" w:hAnsi="仿宋_GB2312" w:eastAsia="仿宋_GB2312" w:cs="仿宋_GB2312"/>
          <w:color w:val="auto"/>
          <w:sz w:val="28"/>
          <w:szCs w:val="28"/>
          <w:highlight w:val="none"/>
          <w:vertAlign w:val="subscript"/>
          <w:lang w:val="en-US" w:eastAsia="zh-CN"/>
        </w:rPr>
        <w:t>绿</w:t>
      </w:r>
      <w:r>
        <w:rPr>
          <w:rFonts w:hint="eastAsia" w:hAnsi="Cambria Math" w:eastAsia="仿宋_GB2312" w:cs="仿宋_GB2312"/>
          <w:i w:val="0"/>
          <w:iCs w:val="0"/>
          <w:color w:val="auto"/>
          <w:sz w:val="28"/>
          <w:szCs w:val="28"/>
          <w:highlight w:val="none"/>
          <w:lang w:val="en-US" w:eastAsia="zh-CN"/>
        </w:rPr>
        <w:t>为</w:t>
      </w:r>
      <w:r>
        <w:rPr>
          <w:rFonts w:hint="eastAsia" w:ascii="仿宋_GB2312" w:hAnsi="仿宋_GB2312" w:eastAsia="仿宋_GB2312" w:cs="仿宋_GB2312"/>
          <w:i w:val="0"/>
          <w:iCs w:val="0"/>
          <w:color w:val="auto"/>
          <w:sz w:val="28"/>
          <w:szCs w:val="28"/>
          <w:highlight w:val="none"/>
          <w:lang w:val="en-US" w:eastAsia="zh-CN"/>
        </w:rPr>
        <w:t>0</w:t>
      </w:r>
      <w:r>
        <w:rPr>
          <w:rFonts w:hint="eastAsia" w:hAnsi="Cambria Math" w:eastAsia="仿宋_GB2312" w:cs="仿宋_GB2312"/>
          <w:i w:val="0"/>
          <w:iCs w:val="0"/>
          <w:color w:val="auto"/>
          <w:sz w:val="28"/>
          <w:szCs w:val="28"/>
          <w:highlight w:val="none"/>
          <w:lang w:val="en-US" w:eastAsia="zh-CN"/>
        </w:rPr>
        <w:t>。</w:t>
      </w:r>
    </w:p>
    <w:p w14:paraId="51F55E18">
      <w:pPr>
        <w:spacing w:line="460" w:lineRule="exact"/>
        <w:jc w:val="center"/>
        <w:rPr>
          <w:rFonts w:hint="default" w:hAnsiTheme="minorHAnsi" w:eastAsiaTheme="minorEastAsia" w:cstheme="minorBidi"/>
          <w:b/>
          <w:bCs/>
          <w:i w:val="0"/>
          <w:iCs w:val="0"/>
          <w:color w:val="auto"/>
          <w:sz w:val="21"/>
          <w:szCs w:val="24"/>
          <w:highlight w:val="none"/>
          <w:lang w:val="en-US" w:eastAsia="zh-CN"/>
        </w:rPr>
      </w:pPr>
      <w:r>
        <w:rPr>
          <w:rFonts w:hint="eastAsia" w:ascii="仿宋_GB2312" w:hAnsi="仿宋_GB2312" w:eastAsia="仿宋_GB2312" w:cs="仿宋_GB2312"/>
          <w:b/>
          <w:bCs/>
          <w:color w:val="auto"/>
          <w:sz w:val="28"/>
          <w:szCs w:val="28"/>
          <w:highlight w:val="none"/>
        </w:rPr>
        <w:t>Q</w:t>
      </w:r>
      <w:r>
        <w:rPr>
          <w:rFonts w:hint="eastAsia" w:ascii="仿宋_GB2312" w:hAnsi="仿宋_GB2312" w:eastAsia="仿宋_GB2312" w:cs="仿宋_GB2312"/>
          <w:b/>
          <w:bCs/>
          <w:color w:val="auto"/>
          <w:sz w:val="28"/>
          <w:szCs w:val="28"/>
          <w:highlight w:val="none"/>
          <w:vertAlign w:val="subscript"/>
        </w:rPr>
        <w:t>常</w:t>
      </w:r>
      <w:r>
        <w:rPr>
          <w:rFonts w:hint="eastAsia" w:ascii="楷体_GB2312" w:hAnsi="楷体_GB2312" w:eastAsia="楷体_GB2312" w:cs="楷体_GB2312"/>
          <w:b/>
          <w:bCs/>
          <w:color w:val="auto"/>
          <w:sz w:val="28"/>
          <w:szCs w:val="28"/>
          <w:highlight w:val="none"/>
        </w:rPr>
        <w:t>＝</w:t>
      </w:r>
      <w:r>
        <w:rPr>
          <w:rFonts w:hint="eastAsia" w:ascii="仿宋_GB2312" w:hAnsi="仿宋_GB2312" w:eastAsia="仿宋_GB2312" w:cs="仿宋_GB2312"/>
          <w:b/>
          <w:bCs/>
          <w:color w:val="auto"/>
          <w:sz w:val="28"/>
          <w:szCs w:val="28"/>
          <w:highlight w:val="none"/>
        </w:rPr>
        <w:t>Q</w:t>
      </w:r>
      <w:r>
        <w:rPr>
          <w:rFonts w:hint="eastAsia" w:ascii="仿宋_GB2312" w:hAnsi="仿宋_GB2312" w:eastAsia="仿宋_GB2312" w:cs="仿宋_GB2312"/>
          <w:b/>
          <w:bCs/>
          <w:color w:val="auto"/>
          <w:sz w:val="28"/>
          <w:szCs w:val="28"/>
          <w:highlight w:val="none"/>
          <w:vertAlign w:val="subscript"/>
          <w:lang w:val="en-US" w:eastAsia="zh-CN"/>
        </w:rPr>
        <w:t>合</w:t>
      </w:r>
      <w:r>
        <w:rPr>
          <w:rFonts w:hint="eastAsia" w:ascii="楷体_GB2312" w:hAnsi="楷体_GB2312" w:eastAsia="楷体_GB2312" w:cs="楷体_GB2312"/>
          <w:b/>
          <w:bCs/>
          <w:color w:val="auto"/>
          <w:sz w:val="28"/>
          <w:szCs w:val="28"/>
          <w:highlight w:val="none"/>
        </w:rPr>
        <w:t>－</w:t>
      </w:r>
      <w:r>
        <w:rPr>
          <w:rFonts w:hint="eastAsia" w:ascii="仿宋_GB2312" w:hAnsi="仿宋_GB2312" w:eastAsia="仿宋_GB2312" w:cs="仿宋_GB2312"/>
          <w:b/>
          <w:bCs/>
          <w:color w:val="auto"/>
          <w:sz w:val="28"/>
          <w:szCs w:val="28"/>
          <w:highlight w:val="none"/>
        </w:rPr>
        <w:t>Q</w:t>
      </w:r>
      <w:r>
        <w:rPr>
          <w:rFonts w:hint="eastAsia" w:ascii="仿宋_GB2312" w:hAnsi="仿宋_GB2312" w:eastAsia="仿宋_GB2312" w:cs="仿宋_GB2312"/>
          <w:b/>
          <w:bCs/>
          <w:color w:val="auto"/>
          <w:sz w:val="28"/>
          <w:szCs w:val="28"/>
          <w:highlight w:val="none"/>
          <w:vertAlign w:val="subscript"/>
          <w:lang w:val="en-US" w:eastAsia="zh-CN"/>
        </w:rPr>
        <w:t>绿</w:t>
      </w:r>
    </w:p>
    <w:p w14:paraId="2B751968">
      <w:pPr>
        <w:keepNext w:val="0"/>
        <w:keepLines w:val="0"/>
        <w:pageBreakBefore w:val="0"/>
        <w:widowControl w:val="0"/>
        <w:kinsoku/>
        <w:wordWrap/>
        <w:overflowPunct/>
        <w:topLinePunct w:val="0"/>
        <w:autoSpaceDE/>
        <w:autoSpaceDN/>
        <w:bidi w:val="0"/>
        <w:adjustRightInd/>
        <w:snapToGrid/>
        <w:spacing w:line="460" w:lineRule="exact"/>
        <w:ind w:left="0" w:firstLine="562" w:firstLineChars="200"/>
        <w:textAlignment w:val="auto"/>
        <w:rPr>
          <w:rFonts w:hint="eastAsia" w:ascii="楷体_GB2312" w:hAnsi="楷体_GB2312" w:eastAsia="楷体_GB2312" w:cs="楷体_GB2312"/>
          <w:b/>
          <w:bCs/>
          <w:color w:val="auto"/>
          <w:sz w:val="28"/>
          <w:szCs w:val="28"/>
          <w:highlight w:val="none"/>
        </w:rPr>
      </w:pPr>
      <w:r>
        <w:rPr>
          <w:rFonts w:hint="eastAsia" w:ascii="楷体_GB2312" w:hAnsi="楷体_GB2312" w:eastAsia="楷体_GB2312" w:cs="楷体_GB2312"/>
          <w:b/>
          <w:bCs/>
          <w:color w:val="auto"/>
          <w:sz w:val="28"/>
          <w:szCs w:val="28"/>
          <w:highlight w:val="none"/>
          <w:lang w:val="en-US" w:eastAsia="zh-CN"/>
        </w:rPr>
        <w:t>3.1.3</w:t>
      </w:r>
      <w:r>
        <w:rPr>
          <w:rFonts w:hint="eastAsia" w:ascii="楷体_GB2312" w:hAnsi="楷体_GB2312" w:eastAsia="楷体_GB2312" w:cs="楷体_GB2312"/>
          <w:b/>
          <w:bCs/>
          <w:color w:val="auto"/>
          <w:sz w:val="28"/>
          <w:szCs w:val="28"/>
          <w:highlight w:val="none"/>
        </w:rPr>
        <w:t>价格参数</w:t>
      </w:r>
    </w:p>
    <w:p w14:paraId="4BF3C223">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P</w:t>
      </w:r>
      <w:r>
        <w:rPr>
          <w:rFonts w:hint="eastAsia" w:ascii="仿宋_GB2312" w:hAnsi="仿宋_GB2312" w:eastAsia="仿宋_GB2312" w:cs="仿宋_GB2312"/>
          <w:color w:val="auto"/>
          <w:sz w:val="28"/>
          <w:szCs w:val="28"/>
          <w:highlight w:val="none"/>
          <w:vertAlign w:val="subscript"/>
        </w:rPr>
        <w:t>常批</w:t>
      </w:r>
      <w:r>
        <w:rPr>
          <w:rFonts w:hint="eastAsia" w:ascii="仿宋_GB2312" w:hAnsi="仿宋_GB2312" w:eastAsia="仿宋_GB2312" w:cs="仿宋_GB2312"/>
          <w:color w:val="auto"/>
          <w:sz w:val="28"/>
          <w:szCs w:val="28"/>
          <w:highlight w:val="none"/>
        </w:rPr>
        <w:t>为履约月</w:t>
      </w:r>
      <w:r>
        <w:rPr>
          <w:rFonts w:hint="eastAsia" w:ascii="仿宋_GB2312" w:hAnsi="仿宋_GB2312" w:eastAsia="仿宋_GB2312" w:cs="仿宋_GB2312"/>
          <w:color w:val="auto"/>
          <w:sz w:val="28"/>
          <w:szCs w:val="28"/>
          <w:highlight w:val="none"/>
          <w:lang w:val="en-US" w:eastAsia="zh-CN"/>
        </w:rPr>
        <w:t>北京市</w:t>
      </w:r>
      <w:r>
        <w:rPr>
          <w:rFonts w:hint="eastAsia" w:ascii="仿宋_GB2312" w:hAnsi="仿宋_GB2312" w:eastAsia="仿宋_GB2312" w:cs="仿宋_GB2312"/>
          <w:color w:val="auto"/>
          <w:sz w:val="28"/>
          <w:szCs w:val="28"/>
          <w:highlight w:val="none"/>
        </w:rPr>
        <w:t>全市场常规电力中长期交易</w:t>
      </w:r>
      <w:r>
        <w:rPr>
          <w:rFonts w:hint="eastAsia" w:ascii="仿宋_GB2312" w:hAnsi="仿宋_GB2312" w:eastAsia="仿宋_GB2312" w:cs="仿宋_GB2312"/>
          <w:color w:val="auto"/>
          <w:sz w:val="28"/>
          <w:szCs w:val="28"/>
          <w:highlight w:val="none"/>
          <w:lang w:val="en-US" w:eastAsia="zh-CN"/>
        </w:rPr>
        <w:t>批发合同</w:t>
      </w:r>
      <w:r>
        <w:rPr>
          <w:rFonts w:hint="eastAsia" w:ascii="仿宋_GB2312" w:hAnsi="仿宋_GB2312" w:eastAsia="仿宋_GB2312" w:cs="仿宋_GB2312"/>
          <w:color w:val="auto"/>
          <w:sz w:val="28"/>
          <w:szCs w:val="28"/>
          <w:highlight w:val="none"/>
        </w:rPr>
        <w:t>的</w:t>
      </w:r>
      <w:r>
        <w:rPr>
          <w:rFonts w:hint="eastAsia" w:ascii="仿宋_GB2312" w:hAnsi="仿宋_GB2312" w:eastAsia="仿宋_GB2312" w:cs="仿宋_GB2312"/>
          <w:color w:val="auto"/>
          <w:sz w:val="28"/>
          <w:szCs w:val="28"/>
          <w:highlight w:val="none"/>
          <w:lang w:val="en-US" w:eastAsia="zh-CN"/>
        </w:rPr>
        <w:t>电能量</w:t>
      </w:r>
      <w:r>
        <w:rPr>
          <w:rFonts w:hint="eastAsia" w:ascii="仿宋_GB2312" w:hAnsi="仿宋_GB2312" w:eastAsia="仿宋_GB2312" w:cs="仿宋_GB2312"/>
          <w:color w:val="auto"/>
          <w:sz w:val="28"/>
          <w:szCs w:val="28"/>
          <w:highlight w:val="none"/>
        </w:rPr>
        <w:t>加权平均价</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P</w:t>
      </w:r>
      <w:r>
        <w:rPr>
          <w:rFonts w:hint="eastAsia" w:ascii="仿宋_GB2312" w:hAnsi="仿宋_GB2312" w:eastAsia="仿宋_GB2312" w:cs="仿宋_GB2312"/>
          <w:color w:val="auto"/>
          <w:sz w:val="28"/>
          <w:szCs w:val="28"/>
          <w:highlight w:val="none"/>
          <w:vertAlign w:val="subscript"/>
          <w:lang w:val="en-US" w:eastAsia="zh-CN"/>
        </w:rPr>
        <w:t>常售</w:t>
      </w:r>
      <w:r>
        <w:rPr>
          <w:rFonts w:hint="eastAsia" w:ascii="仿宋_GB2312" w:hAnsi="仿宋_GB2312" w:eastAsia="仿宋_GB2312" w:cs="仿宋_GB2312"/>
          <w:color w:val="auto"/>
          <w:sz w:val="28"/>
          <w:szCs w:val="28"/>
          <w:highlight w:val="none"/>
        </w:rPr>
        <w:t>为履约月</w:t>
      </w:r>
      <w:r>
        <w:rPr>
          <w:rFonts w:hint="eastAsia" w:ascii="仿宋_GB2312" w:hAnsi="仿宋_GB2312" w:eastAsia="仿宋_GB2312" w:cs="仿宋_GB2312"/>
          <w:color w:val="auto"/>
          <w:sz w:val="28"/>
          <w:szCs w:val="28"/>
          <w:highlight w:val="none"/>
          <w:lang w:val="en-US" w:eastAsia="zh-CN"/>
        </w:rPr>
        <w:t>签约售电公司的常规</w:t>
      </w:r>
      <w:r>
        <w:rPr>
          <w:rFonts w:hint="eastAsia" w:ascii="仿宋_GB2312" w:hAnsi="仿宋_GB2312" w:eastAsia="仿宋_GB2312" w:cs="仿宋_GB2312"/>
          <w:color w:val="auto"/>
          <w:sz w:val="28"/>
          <w:szCs w:val="28"/>
          <w:highlight w:val="none"/>
        </w:rPr>
        <w:t>电力中长期交易</w:t>
      </w:r>
      <w:r>
        <w:rPr>
          <w:rFonts w:hint="eastAsia" w:ascii="仿宋_GB2312" w:hAnsi="仿宋_GB2312" w:eastAsia="仿宋_GB2312" w:cs="仿宋_GB2312"/>
          <w:color w:val="auto"/>
          <w:sz w:val="28"/>
          <w:szCs w:val="28"/>
          <w:highlight w:val="none"/>
          <w:lang w:val="en-US" w:eastAsia="zh-CN"/>
        </w:rPr>
        <w:t>批发合同的</w:t>
      </w:r>
      <w:r>
        <w:rPr>
          <w:rFonts w:hint="eastAsia" w:ascii="仿宋_GB2312" w:hAnsi="仿宋_GB2312" w:eastAsia="仿宋_GB2312" w:cs="仿宋_GB2312"/>
          <w:color w:val="auto"/>
          <w:sz w:val="28"/>
          <w:szCs w:val="28"/>
          <w:highlight w:val="none"/>
        </w:rPr>
        <w:t>电能量加权平均价</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P</w:t>
      </w:r>
      <w:r>
        <w:rPr>
          <w:rFonts w:hint="eastAsia" w:ascii="仿宋_GB2312" w:hAnsi="仿宋_GB2312" w:eastAsia="仿宋_GB2312" w:cs="仿宋_GB2312"/>
          <w:color w:val="auto"/>
          <w:sz w:val="28"/>
          <w:szCs w:val="28"/>
          <w:highlight w:val="none"/>
          <w:vertAlign w:val="subscript"/>
          <w:lang w:val="en-US" w:eastAsia="zh-CN"/>
        </w:rPr>
        <w:t>常</w:t>
      </w:r>
      <w:r>
        <w:rPr>
          <w:rFonts w:hint="eastAsia" w:ascii="仿宋_GB2312" w:hAnsi="仿宋_GB2312" w:eastAsia="仿宋_GB2312" w:cs="仿宋_GB2312"/>
          <w:color w:val="auto"/>
          <w:sz w:val="28"/>
          <w:szCs w:val="28"/>
          <w:highlight w:val="none"/>
          <w:vertAlign w:val="subscript"/>
        </w:rPr>
        <w:t>批</w:t>
      </w:r>
      <w:r>
        <w:rPr>
          <w:rFonts w:hint="eastAsia" w:ascii="仿宋_GB2312" w:hAnsi="仿宋_GB2312" w:eastAsia="仿宋_GB2312" w:cs="仿宋_GB2312"/>
          <w:color w:val="auto"/>
          <w:sz w:val="28"/>
          <w:szCs w:val="28"/>
          <w:highlight w:val="none"/>
        </w:rPr>
        <w:t>、P</w:t>
      </w:r>
      <w:r>
        <w:rPr>
          <w:rFonts w:hint="eastAsia" w:ascii="仿宋_GB2312" w:hAnsi="仿宋_GB2312" w:eastAsia="仿宋_GB2312" w:cs="仿宋_GB2312"/>
          <w:color w:val="auto"/>
          <w:sz w:val="28"/>
          <w:szCs w:val="28"/>
          <w:highlight w:val="none"/>
          <w:vertAlign w:val="subscript"/>
          <w:lang w:val="en-US" w:eastAsia="zh-CN"/>
        </w:rPr>
        <w:t>常售</w:t>
      </w:r>
      <w:r>
        <w:rPr>
          <w:rFonts w:hint="eastAsia" w:ascii="仿宋_GB2312" w:hAnsi="仿宋_GB2312" w:eastAsia="仿宋_GB2312" w:cs="仿宋_GB2312"/>
          <w:color w:val="auto"/>
          <w:sz w:val="28"/>
          <w:szCs w:val="28"/>
          <w:highlight w:val="none"/>
          <w:lang w:val="en-US" w:eastAsia="zh-CN"/>
        </w:rPr>
        <w:t>价格构成中</w:t>
      </w:r>
      <w:r>
        <w:rPr>
          <w:rFonts w:hint="eastAsia" w:ascii="仿宋_GB2312" w:hAnsi="仿宋_GB2312" w:eastAsia="仿宋_GB2312" w:cs="仿宋_GB2312"/>
          <w:color w:val="auto"/>
          <w:sz w:val="28"/>
          <w:szCs w:val="28"/>
          <w:highlight w:val="none"/>
        </w:rPr>
        <w:t>包括年度交易分月合同、月度合同、月内合同</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用户侧合同电量转让交易合同。</w:t>
      </w:r>
      <w:r>
        <w:rPr>
          <w:rFonts w:hint="eastAsia" w:ascii="仿宋_GB2312" w:hAnsi="仿宋_GB2312" w:eastAsia="仿宋_GB2312" w:cs="仿宋_GB2312"/>
          <w:color w:val="auto"/>
          <w:sz w:val="28"/>
          <w:szCs w:val="28"/>
          <w:highlight w:val="none"/>
        </w:rPr>
        <w:t>P</w:t>
      </w:r>
      <w:r>
        <w:rPr>
          <w:rFonts w:hint="eastAsia" w:ascii="仿宋_GB2312" w:hAnsi="仿宋_GB2312" w:eastAsia="仿宋_GB2312" w:cs="仿宋_GB2312"/>
          <w:color w:val="auto"/>
          <w:sz w:val="28"/>
          <w:szCs w:val="28"/>
          <w:highlight w:val="none"/>
          <w:vertAlign w:val="subscript"/>
        </w:rPr>
        <w:t>常批</w:t>
      </w:r>
      <w:r>
        <w:rPr>
          <w:rFonts w:hint="eastAsia" w:ascii="仿宋_GB2312" w:hAnsi="仿宋_GB2312" w:eastAsia="仿宋_GB2312" w:cs="仿宋_GB2312"/>
          <w:color w:val="auto"/>
          <w:sz w:val="28"/>
          <w:szCs w:val="28"/>
          <w:highlight w:val="none"/>
          <w:lang w:val="en-US" w:eastAsia="zh-CN"/>
        </w:rPr>
        <w:t>由交易中心在履约月最后一日前在交易平台发布。</w:t>
      </w:r>
    </w:p>
    <w:p w14:paraId="49A9556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630" w:leftChars="0"/>
        <w:textAlignment w:val="auto"/>
        <w:rPr>
          <w:rFonts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lang w:val="en-US" w:eastAsia="zh-CN"/>
        </w:rPr>
        <w:t>3.2</w:t>
      </w:r>
      <w:r>
        <w:rPr>
          <w:rFonts w:hint="eastAsia" w:ascii="黑体" w:hAnsi="黑体" w:eastAsia="黑体" w:cs="黑体"/>
          <w:b/>
          <w:bCs/>
          <w:color w:val="auto"/>
          <w:sz w:val="28"/>
          <w:szCs w:val="28"/>
          <w:highlight w:val="none"/>
        </w:rPr>
        <w:t>绿色电力合同电量电价</w:t>
      </w:r>
    </w:p>
    <w:p w14:paraId="65D72CB5">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售电公司与零售用户</w:t>
      </w:r>
      <w:r>
        <w:rPr>
          <w:rFonts w:hint="eastAsia" w:ascii="仿宋_GB2312" w:hAnsi="仿宋_GB2312" w:eastAsia="仿宋_GB2312" w:cs="仿宋_GB2312"/>
          <w:color w:val="auto"/>
          <w:sz w:val="28"/>
          <w:szCs w:val="28"/>
          <w:highlight w:val="none"/>
          <w:lang w:val="en-US" w:eastAsia="zh-CN"/>
        </w:rPr>
        <w:t>须</w:t>
      </w:r>
      <w:r>
        <w:rPr>
          <w:rFonts w:hint="eastAsia" w:ascii="仿宋_GB2312" w:hAnsi="仿宋_GB2312" w:eastAsia="仿宋_GB2312" w:cs="仿宋_GB2312"/>
          <w:color w:val="auto"/>
          <w:sz w:val="28"/>
          <w:szCs w:val="28"/>
          <w:highlight w:val="none"/>
        </w:rPr>
        <w:t>分别明确绿色电力电能量价格和环境价值。</w:t>
      </w:r>
    </w:p>
    <w:p w14:paraId="2C6A2FE9">
      <w:pPr>
        <w:keepNext w:val="0"/>
        <w:keepLines w:val="0"/>
        <w:pageBreakBefore w:val="0"/>
        <w:widowControl w:val="0"/>
        <w:kinsoku/>
        <w:wordWrap/>
        <w:overflowPunct/>
        <w:topLinePunct w:val="0"/>
        <w:autoSpaceDE/>
        <w:autoSpaceDN/>
        <w:bidi w:val="0"/>
        <w:adjustRightInd/>
        <w:snapToGrid/>
        <w:spacing w:line="460" w:lineRule="exact"/>
        <w:ind w:left="0" w:firstLine="562" w:firstLineChars="200"/>
        <w:textAlignment w:val="auto"/>
        <w:rPr>
          <w:rFonts w:hint="eastAsia" w:ascii="楷体_GB2312" w:hAnsi="楷体_GB2312" w:eastAsia="楷体_GB2312" w:cs="楷体_GB2312"/>
          <w:b/>
          <w:bCs/>
          <w:color w:val="auto"/>
          <w:sz w:val="28"/>
          <w:szCs w:val="28"/>
          <w:highlight w:val="none"/>
        </w:rPr>
      </w:pPr>
      <w:r>
        <w:rPr>
          <w:rFonts w:hint="eastAsia" w:ascii="楷体_GB2312" w:hAnsi="楷体_GB2312" w:eastAsia="楷体_GB2312" w:cs="楷体_GB2312"/>
          <w:b/>
          <w:bCs/>
          <w:color w:val="auto"/>
          <w:sz w:val="28"/>
          <w:szCs w:val="28"/>
          <w:highlight w:val="none"/>
          <w:lang w:val="en-US" w:eastAsia="zh-CN"/>
        </w:rPr>
        <w:t>3.2.1绿色电力</w:t>
      </w:r>
      <w:r>
        <w:rPr>
          <w:rFonts w:hint="eastAsia" w:ascii="楷体_GB2312" w:hAnsi="楷体_GB2312" w:eastAsia="楷体_GB2312" w:cs="楷体_GB2312"/>
          <w:b/>
          <w:bCs/>
          <w:color w:val="auto"/>
          <w:sz w:val="28"/>
          <w:szCs w:val="28"/>
          <w:highlight w:val="none"/>
        </w:rPr>
        <w:t>电能量价格</w:t>
      </w:r>
    </w:p>
    <w:p w14:paraId="7F41D1D3">
      <w:pPr>
        <w:keepNext w:val="0"/>
        <w:keepLines w:val="0"/>
        <w:pageBreakBefore w:val="0"/>
        <w:widowControl w:val="0"/>
        <w:kinsoku/>
        <w:wordWrap/>
        <w:overflowPunct/>
        <w:topLinePunct w:val="0"/>
        <w:autoSpaceDE/>
        <w:autoSpaceDN/>
        <w:bidi w:val="0"/>
        <w:adjustRightInd/>
        <w:snapToGrid/>
        <w:spacing w:line="460" w:lineRule="exact"/>
        <w:ind w:left="0" w:firstLine="562"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A</w:t>
      </w:r>
      <w:r>
        <w:rPr>
          <w:rFonts w:hint="eastAsia" w:ascii="仿宋_GB2312" w:hAnsi="仿宋_GB2312" w:eastAsia="仿宋_GB2312" w:cs="仿宋_GB2312"/>
          <w:b/>
          <w:bCs/>
          <w:color w:val="auto"/>
          <w:sz w:val="28"/>
          <w:szCs w:val="28"/>
          <w:highlight w:val="none"/>
        </w:rPr>
        <w:t>固定价格套餐</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color w:val="auto"/>
          <w:sz w:val="28"/>
          <w:szCs w:val="28"/>
          <w:highlight w:val="none"/>
        </w:rPr>
        <w:t>双方约定</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绿色电力</w:t>
      </w:r>
      <w:r>
        <w:rPr>
          <w:rFonts w:hint="eastAsia" w:ascii="仿宋_GB2312" w:hAnsi="仿宋_GB2312" w:eastAsia="仿宋_GB2312" w:cs="仿宋_GB2312"/>
          <w:color w:val="auto"/>
          <w:sz w:val="28"/>
          <w:szCs w:val="28"/>
          <w:highlight w:val="none"/>
        </w:rPr>
        <w:t>电量Q</w:t>
      </w:r>
      <w:r>
        <w:rPr>
          <w:rFonts w:hint="eastAsia" w:ascii="仿宋_GB2312" w:hAnsi="仿宋_GB2312" w:eastAsia="仿宋_GB2312" w:cs="仿宋_GB2312"/>
          <w:color w:val="auto"/>
          <w:sz w:val="28"/>
          <w:szCs w:val="28"/>
          <w:highlight w:val="none"/>
          <w:vertAlign w:val="subscript"/>
        </w:rPr>
        <w:t>绿</w:t>
      </w:r>
      <w:r>
        <w:rPr>
          <w:rFonts w:hint="eastAsia" w:ascii="仿宋_GB2312" w:hAnsi="仿宋_GB2312" w:eastAsia="仿宋_GB2312" w:cs="仿宋_GB2312"/>
          <w:color w:val="auto"/>
          <w:sz w:val="28"/>
          <w:szCs w:val="28"/>
          <w:highlight w:val="none"/>
        </w:rPr>
        <w:t>按照固定价格P</w:t>
      </w:r>
      <w:r>
        <w:rPr>
          <w:rFonts w:hint="eastAsia" w:ascii="仿宋_GB2312" w:hAnsi="仿宋_GB2312" w:eastAsia="仿宋_GB2312" w:cs="仿宋_GB2312"/>
          <w:color w:val="auto"/>
          <w:sz w:val="28"/>
          <w:szCs w:val="28"/>
          <w:highlight w:val="none"/>
          <w:vertAlign w:val="subscript"/>
        </w:rPr>
        <w:t>绿固</w:t>
      </w:r>
      <w:r>
        <w:rPr>
          <w:rFonts w:hint="eastAsia" w:ascii="仿宋_GB2312" w:hAnsi="仿宋_GB2312" w:eastAsia="仿宋_GB2312" w:cs="仿宋_GB2312"/>
          <w:color w:val="auto"/>
          <w:sz w:val="28"/>
          <w:szCs w:val="28"/>
          <w:highlight w:val="none"/>
        </w:rPr>
        <w:t>结算,该价格不随市场价格变化。</w:t>
      </w:r>
    </w:p>
    <w:p w14:paraId="5F4DCEA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楷体_GB2312" w:hAnsi="楷体_GB2312" w:eastAsia="楷体_GB2312" w:cs="楷体_GB2312"/>
          <w:b/>
          <w:bCs/>
          <w:color w:val="auto"/>
          <w:sz w:val="28"/>
          <w:szCs w:val="28"/>
          <w:highlight w:val="none"/>
        </w:rPr>
      </w:pPr>
      <w:r>
        <w:rPr>
          <w:rFonts w:hint="eastAsia" w:ascii="楷体_GB2312" w:hAnsi="楷体_GB2312" w:eastAsia="楷体_GB2312" w:cs="楷体_GB2312"/>
          <w:b/>
          <w:bCs/>
          <w:color w:val="auto"/>
          <w:sz w:val="28"/>
          <w:szCs w:val="28"/>
          <w:highlight w:val="none"/>
        </w:rPr>
        <w:t>P</w:t>
      </w:r>
      <w:r>
        <w:rPr>
          <w:rFonts w:hint="eastAsia" w:ascii="楷体_GB2312" w:hAnsi="楷体_GB2312" w:eastAsia="楷体_GB2312" w:cs="楷体_GB2312"/>
          <w:b/>
          <w:bCs/>
          <w:color w:val="auto"/>
          <w:sz w:val="28"/>
          <w:szCs w:val="28"/>
          <w:highlight w:val="none"/>
          <w:vertAlign w:val="subscript"/>
        </w:rPr>
        <w:t>绿</w:t>
      </w:r>
      <w:r>
        <w:rPr>
          <w:rFonts w:hint="eastAsia" w:ascii="楷体_GB2312" w:hAnsi="楷体_GB2312" w:eastAsia="楷体_GB2312" w:cs="楷体_GB2312"/>
          <w:b/>
          <w:bCs/>
          <w:color w:val="auto"/>
          <w:sz w:val="28"/>
          <w:szCs w:val="28"/>
          <w:highlight w:val="none"/>
        </w:rPr>
        <w:t>＝P</w:t>
      </w:r>
      <w:r>
        <w:rPr>
          <w:rFonts w:hint="eastAsia" w:ascii="楷体_GB2312" w:hAnsi="楷体_GB2312" w:eastAsia="楷体_GB2312" w:cs="楷体_GB2312"/>
          <w:b/>
          <w:bCs/>
          <w:color w:val="auto"/>
          <w:sz w:val="28"/>
          <w:szCs w:val="28"/>
          <w:highlight w:val="none"/>
          <w:vertAlign w:val="subscript"/>
        </w:rPr>
        <w:t>绿固</w:t>
      </w:r>
    </w:p>
    <w:p w14:paraId="21272DBD">
      <w:pPr>
        <w:keepNext w:val="0"/>
        <w:keepLines w:val="0"/>
        <w:pageBreakBefore w:val="0"/>
        <w:widowControl w:val="0"/>
        <w:kinsoku/>
        <w:wordWrap/>
        <w:overflowPunct/>
        <w:topLinePunct w:val="0"/>
        <w:autoSpaceDE/>
        <w:autoSpaceDN/>
        <w:bidi w:val="0"/>
        <w:adjustRightInd/>
        <w:snapToGrid/>
        <w:spacing w:line="460" w:lineRule="exact"/>
        <w:ind w:left="0" w:firstLine="562" w:firstLineChars="200"/>
        <w:textAlignment w:val="auto"/>
        <w:rPr>
          <w:rFonts w:hint="eastAsia" w:ascii="仿宋" w:hAnsi="仿宋" w:eastAsia="仿宋" w:cs="仿宋"/>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B</w:t>
      </w:r>
      <w:r>
        <w:rPr>
          <w:rFonts w:hint="eastAsia" w:ascii="仿宋_GB2312" w:hAnsi="仿宋_GB2312" w:eastAsia="仿宋_GB2312" w:cs="仿宋_GB2312"/>
          <w:b/>
          <w:bCs/>
          <w:color w:val="auto"/>
          <w:sz w:val="28"/>
          <w:szCs w:val="28"/>
          <w:highlight w:val="none"/>
        </w:rPr>
        <w:t>联动价格套餐</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color w:val="auto"/>
          <w:sz w:val="28"/>
          <w:szCs w:val="28"/>
          <w:highlight w:val="none"/>
        </w:rPr>
        <w:t>双方约定</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绿色电力</w:t>
      </w:r>
      <w:r>
        <w:rPr>
          <w:rFonts w:hint="eastAsia" w:ascii="仿宋_GB2312" w:hAnsi="仿宋_GB2312" w:eastAsia="仿宋_GB2312" w:cs="仿宋_GB2312"/>
          <w:color w:val="auto"/>
          <w:sz w:val="28"/>
          <w:szCs w:val="28"/>
          <w:highlight w:val="none"/>
        </w:rPr>
        <w:t>电量Q</w:t>
      </w:r>
      <w:r>
        <w:rPr>
          <w:rFonts w:hint="eastAsia" w:ascii="仿宋_GB2312" w:hAnsi="仿宋_GB2312" w:eastAsia="仿宋_GB2312" w:cs="仿宋_GB2312"/>
          <w:color w:val="auto"/>
          <w:sz w:val="28"/>
          <w:szCs w:val="28"/>
          <w:highlight w:val="none"/>
          <w:vertAlign w:val="subscript"/>
        </w:rPr>
        <w:t>绿</w:t>
      </w:r>
      <w:r>
        <w:rPr>
          <w:rFonts w:hint="eastAsia" w:ascii="仿宋_GB2312" w:hAnsi="仿宋_GB2312" w:eastAsia="仿宋_GB2312" w:cs="仿宋_GB2312"/>
          <w:color w:val="auto"/>
          <w:sz w:val="28"/>
          <w:szCs w:val="28"/>
          <w:highlight w:val="none"/>
        </w:rPr>
        <w:t>按照</w:t>
      </w:r>
      <w:r>
        <w:rPr>
          <w:rFonts w:hint="eastAsia" w:ascii="仿宋_GB2312" w:hAnsi="仿宋_GB2312" w:eastAsia="仿宋_GB2312" w:cs="仿宋_GB2312"/>
          <w:color w:val="auto"/>
          <w:sz w:val="28"/>
          <w:szCs w:val="28"/>
          <w:highlight w:val="none"/>
          <w:lang w:val="en-US" w:eastAsia="zh-CN"/>
        </w:rPr>
        <w:t>绿色</w:t>
      </w:r>
      <w:r>
        <w:rPr>
          <w:rFonts w:hint="eastAsia" w:ascii="仿宋_GB2312" w:hAnsi="仿宋_GB2312" w:eastAsia="仿宋_GB2312" w:cs="仿宋_GB2312"/>
          <w:color w:val="auto"/>
          <w:sz w:val="28"/>
          <w:szCs w:val="28"/>
          <w:highlight w:val="none"/>
        </w:rPr>
        <w:t>电力</w:t>
      </w:r>
      <w:r>
        <w:rPr>
          <w:rFonts w:hint="eastAsia" w:ascii="仿宋_GB2312" w:hAnsi="仿宋_GB2312" w:eastAsia="仿宋_GB2312" w:cs="仿宋_GB2312"/>
          <w:color w:val="auto"/>
          <w:sz w:val="28"/>
          <w:szCs w:val="28"/>
          <w:highlight w:val="none"/>
          <w:lang w:val="en-US" w:eastAsia="zh-CN"/>
        </w:rPr>
        <w:t>基准价格</w:t>
      </w:r>
      <w:r>
        <w:rPr>
          <w:rFonts w:hint="eastAsia" w:ascii="仿宋_GB2312" w:hAnsi="仿宋_GB2312" w:eastAsia="仿宋_GB2312" w:cs="仿宋_GB2312"/>
          <w:color w:val="auto"/>
          <w:sz w:val="28"/>
          <w:szCs w:val="28"/>
          <w:highlight w:val="none"/>
        </w:rPr>
        <w:t>P</w:t>
      </w:r>
      <w:r>
        <w:rPr>
          <w:rFonts w:hint="eastAsia" w:ascii="仿宋_GB2312" w:hAnsi="仿宋_GB2312" w:eastAsia="仿宋_GB2312" w:cs="仿宋_GB2312"/>
          <w:color w:val="auto"/>
          <w:sz w:val="28"/>
          <w:szCs w:val="28"/>
          <w:highlight w:val="none"/>
          <w:vertAlign w:val="subscript"/>
          <w:lang w:val="en-US" w:eastAsia="zh-CN"/>
        </w:rPr>
        <w:t>绿基</w:t>
      </w:r>
      <w:r>
        <w:rPr>
          <w:rFonts w:hint="eastAsia" w:ascii="仿宋_GB2312" w:hAnsi="仿宋_GB2312" w:eastAsia="仿宋_GB2312" w:cs="仿宋_GB2312"/>
          <w:color w:val="auto"/>
          <w:sz w:val="28"/>
          <w:szCs w:val="28"/>
          <w:highlight w:val="none"/>
        </w:rPr>
        <w:t>叠加浮动价格</w:t>
      </w:r>
      <w:r>
        <w:rPr>
          <w:rFonts w:hint="eastAsia" w:ascii="仿宋" w:hAnsi="仿宋" w:eastAsia="仿宋" w:cs="仿宋"/>
          <w:color w:val="auto"/>
          <w:sz w:val="28"/>
          <w:szCs w:val="28"/>
          <w:highlight w:val="none"/>
        </w:rPr>
        <w:t>P</w:t>
      </w:r>
      <w:r>
        <w:rPr>
          <w:rFonts w:hint="eastAsia" w:ascii="仿宋" w:hAnsi="仿宋" w:eastAsia="仿宋" w:cs="仿宋"/>
          <w:color w:val="auto"/>
          <w:sz w:val="28"/>
          <w:szCs w:val="28"/>
          <w:highlight w:val="none"/>
          <w:vertAlign w:val="subscript"/>
          <w:lang w:val="en-US" w:eastAsia="zh-CN"/>
        </w:rPr>
        <w:t>绿</w:t>
      </w:r>
      <w:r>
        <w:rPr>
          <w:rFonts w:hint="eastAsia" w:ascii="仿宋" w:hAnsi="仿宋" w:eastAsia="仿宋" w:cs="仿宋"/>
          <w:color w:val="auto"/>
          <w:sz w:val="28"/>
          <w:szCs w:val="28"/>
          <w:highlight w:val="none"/>
          <w:vertAlign w:val="subscript"/>
        </w:rPr>
        <w:t>浮</w:t>
      </w:r>
      <w:r>
        <w:rPr>
          <w:rFonts w:hint="eastAsia" w:ascii="仿宋_GB2312" w:hAnsi="仿宋_GB2312" w:eastAsia="仿宋_GB2312" w:cs="仿宋_GB2312"/>
          <w:color w:val="auto"/>
          <w:sz w:val="28"/>
          <w:szCs w:val="28"/>
          <w:highlight w:val="none"/>
        </w:rPr>
        <w:t>结算。</w:t>
      </w:r>
      <w:r>
        <w:rPr>
          <w:rFonts w:hint="eastAsia" w:ascii="仿宋_GB2312" w:hAnsi="仿宋_GB2312" w:eastAsia="仿宋_GB2312" w:cs="仿宋_GB2312"/>
          <w:color w:val="auto"/>
          <w:sz w:val="28"/>
          <w:szCs w:val="28"/>
          <w:highlight w:val="none"/>
          <w:lang w:val="en-US" w:eastAsia="zh-CN"/>
        </w:rPr>
        <w:t>绿色</w:t>
      </w:r>
      <w:r>
        <w:rPr>
          <w:rFonts w:hint="eastAsia" w:ascii="仿宋_GB2312" w:hAnsi="仿宋_GB2312" w:eastAsia="仿宋_GB2312" w:cs="仿宋_GB2312"/>
          <w:color w:val="auto"/>
          <w:sz w:val="28"/>
          <w:szCs w:val="28"/>
          <w:highlight w:val="none"/>
        </w:rPr>
        <w:t>电力</w:t>
      </w:r>
      <w:r>
        <w:rPr>
          <w:rFonts w:hint="eastAsia" w:ascii="仿宋_GB2312" w:hAnsi="仿宋_GB2312" w:eastAsia="仿宋_GB2312" w:cs="仿宋_GB2312"/>
          <w:color w:val="auto"/>
          <w:sz w:val="28"/>
          <w:szCs w:val="28"/>
          <w:highlight w:val="none"/>
          <w:lang w:val="en-US" w:eastAsia="zh-CN"/>
        </w:rPr>
        <w:t>基准价格</w:t>
      </w:r>
      <w:r>
        <w:rPr>
          <w:rFonts w:hint="eastAsia" w:ascii="仿宋_GB2312" w:hAnsi="仿宋_GB2312" w:eastAsia="仿宋_GB2312" w:cs="仿宋_GB2312"/>
          <w:color w:val="auto"/>
          <w:sz w:val="28"/>
          <w:szCs w:val="28"/>
          <w:highlight w:val="none"/>
        </w:rPr>
        <w:t>P</w:t>
      </w:r>
      <w:r>
        <w:rPr>
          <w:rFonts w:hint="eastAsia" w:ascii="仿宋_GB2312" w:hAnsi="仿宋_GB2312" w:eastAsia="仿宋_GB2312" w:cs="仿宋_GB2312"/>
          <w:color w:val="auto"/>
          <w:sz w:val="28"/>
          <w:szCs w:val="28"/>
          <w:highlight w:val="none"/>
          <w:vertAlign w:val="subscript"/>
          <w:lang w:val="en-US" w:eastAsia="zh-CN"/>
        </w:rPr>
        <w:t>绿基</w:t>
      </w:r>
      <w:r>
        <w:rPr>
          <w:rFonts w:hint="eastAsia" w:ascii="仿宋_GB2312" w:hAnsi="仿宋_GB2312" w:eastAsia="仿宋_GB2312" w:cs="仿宋_GB2312"/>
          <w:color w:val="auto"/>
          <w:sz w:val="28"/>
          <w:szCs w:val="28"/>
          <w:highlight w:val="none"/>
          <w:lang w:val="en-US" w:eastAsia="zh-CN"/>
        </w:rPr>
        <w:t>可以选择绿色电力</w:t>
      </w:r>
      <w:r>
        <w:rPr>
          <w:rFonts w:hint="eastAsia" w:ascii="仿宋_GB2312" w:hAnsi="仿宋_GB2312" w:eastAsia="仿宋_GB2312" w:cs="仿宋_GB2312"/>
          <w:color w:val="auto"/>
          <w:sz w:val="28"/>
          <w:szCs w:val="28"/>
          <w:highlight w:val="none"/>
        </w:rPr>
        <w:t>批发市场合同均价P</w:t>
      </w:r>
      <w:r>
        <w:rPr>
          <w:rFonts w:hint="eastAsia" w:ascii="仿宋_GB2312" w:hAnsi="仿宋_GB2312" w:eastAsia="仿宋_GB2312" w:cs="仿宋_GB2312"/>
          <w:color w:val="auto"/>
          <w:sz w:val="28"/>
          <w:szCs w:val="28"/>
          <w:highlight w:val="none"/>
          <w:vertAlign w:val="subscript"/>
          <w:lang w:val="en-US" w:eastAsia="zh-CN"/>
        </w:rPr>
        <w:t>绿</w:t>
      </w:r>
      <w:r>
        <w:rPr>
          <w:rFonts w:hint="eastAsia" w:ascii="仿宋_GB2312" w:hAnsi="仿宋_GB2312" w:eastAsia="仿宋_GB2312" w:cs="仿宋_GB2312"/>
          <w:color w:val="auto"/>
          <w:sz w:val="28"/>
          <w:szCs w:val="28"/>
          <w:highlight w:val="none"/>
          <w:vertAlign w:val="subscript"/>
        </w:rPr>
        <w:t>批</w:t>
      </w:r>
      <w:r>
        <w:rPr>
          <w:rFonts w:hint="eastAsia" w:ascii="仿宋_GB2312" w:hAnsi="仿宋_GB2312" w:eastAsia="仿宋_GB2312" w:cs="仿宋_GB2312"/>
          <w:color w:val="auto"/>
          <w:sz w:val="28"/>
          <w:szCs w:val="28"/>
          <w:highlight w:val="none"/>
          <w:lang w:val="en-US" w:eastAsia="zh-CN"/>
        </w:rPr>
        <w:t>作为联动基准，也可以选择签约售电公司的绿色电力批发合同均价</w:t>
      </w:r>
      <w:r>
        <w:rPr>
          <w:rFonts w:hint="eastAsia" w:ascii="仿宋_GB2312" w:hAnsi="仿宋_GB2312" w:eastAsia="仿宋_GB2312" w:cs="仿宋_GB2312"/>
          <w:color w:val="auto"/>
          <w:sz w:val="28"/>
          <w:szCs w:val="28"/>
          <w:highlight w:val="none"/>
        </w:rPr>
        <w:t>P</w:t>
      </w:r>
      <w:r>
        <w:rPr>
          <w:rFonts w:hint="eastAsia" w:ascii="仿宋_GB2312" w:hAnsi="仿宋_GB2312" w:eastAsia="仿宋_GB2312" w:cs="仿宋_GB2312"/>
          <w:color w:val="auto"/>
          <w:sz w:val="28"/>
          <w:szCs w:val="28"/>
          <w:highlight w:val="none"/>
          <w:vertAlign w:val="subscript"/>
          <w:lang w:val="en-US" w:eastAsia="zh-CN"/>
        </w:rPr>
        <w:t>绿售</w:t>
      </w:r>
      <w:r>
        <w:rPr>
          <w:rFonts w:hint="eastAsia" w:ascii="仿宋_GB2312" w:hAnsi="仿宋_GB2312" w:eastAsia="仿宋_GB2312" w:cs="仿宋_GB2312"/>
          <w:color w:val="auto"/>
          <w:sz w:val="28"/>
          <w:szCs w:val="28"/>
          <w:highlight w:val="none"/>
          <w:lang w:val="en-US" w:eastAsia="zh-CN"/>
        </w:rPr>
        <w:t>作为联动基准。</w:t>
      </w:r>
      <w:r>
        <w:rPr>
          <w:rFonts w:hint="eastAsia" w:ascii="仿宋" w:hAnsi="仿宋" w:eastAsia="仿宋" w:cs="仿宋"/>
          <w:color w:val="auto"/>
          <w:sz w:val="28"/>
          <w:szCs w:val="28"/>
          <w:highlight w:val="none"/>
        </w:rPr>
        <w:t>P</w:t>
      </w:r>
      <w:r>
        <w:rPr>
          <w:rFonts w:hint="eastAsia" w:ascii="仿宋" w:hAnsi="仿宋" w:eastAsia="仿宋" w:cs="仿宋"/>
          <w:color w:val="auto"/>
          <w:sz w:val="28"/>
          <w:szCs w:val="28"/>
          <w:highlight w:val="none"/>
          <w:vertAlign w:val="subscript"/>
        </w:rPr>
        <w:t>绿浮</w:t>
      </w:r>
      <w:r>
        <w:rPr>
          <w:rFonts w:hint="eastAsia" w:ascii="仿宋" w:hAnsi="仿宋" w:eastAsia="仿宋" w:cs="仿宋"/>
          <w:color w:val="auto"/>
          <w:sz w:val="28"/>
          <w:szCs w:val="28"/>
          <w:highlight w:val="none"/>
        </w:rPr>
        <w:t>可以为正值、零、负值。</w:t>
      </w:r>
      <w:r>
        <w:rPr>
          <w:rFonts w:hint="eastAsia" w:ascii="仿宋" w:hAnsi="仿宋" w:eastAsia="仿宋" w:cs="仿宋"/>
          <w:color w:val="auto"/>
          <w:sz w:val="28"/>
          <w:szCs w:val="28"/>
          <w:highlight w:val="none"/>
          <w:lang w:val="en-US" w:eastAsia="zh-CN"/>
        </w:rPr>
        <w:t>当签约售电公司未签订绿色电力批发合同时，</w:t>
      </w:r>
      <w:r>
        <w:rPr>
          <w:rFonts w:hint="eastAsia" w:ascii="仿宋_GB2312" w:hAnsi="仿宋_GB2312" w:eastAsia="仿宋_GB2312" w:cs="仿宋_GB2312"/>
          <w:color w:val="auto"/>
          <w:sz w:val="28"/>
          <w:szCs w:val="28"/>
          <w:highlight w:val="none"/>
        </w:rPr>
        <w:t>P</w:t>
      </w:r>
      <w:r>
        <w:rPr>
          <w:rFonts w:hint="eastAsia" w:ascii="仿宋_GB2312" w:hAnsi="仿宋_GB2312" w:eastAsia="仿宋_GB2312" w:cs="仿宋_GB2312"/>
          <w:color w:val="auto"/>
          <w:sz w:val="28"/>
          <w:szCs w:val="28"/>
          <w:highlight w:val="none"/>
          <w:vertAlign w:val="subscript"/>
          <w:lang w:val="en-US" w:eastAsia="zh-CN"/>
        </w:rPr>
        <w:t>绿基</w:t>
      </w:r>
      <w:r>
        <w:rPr>
          <w:rFonts w:hint="eastAsia" w:ascii="仿宋_GB2312" w:hAnsi="仿宋_GB2312" w:eastAsia="仿宋_GB2312" w:cs="仿宋_GB2312"/>
          <w:color w:val="auto"/>
          <w:sz w:val="28"/>
          <w:szCs w:val="28"/>
          <w:highlight w:val="none"/>
          <w:lang w:val="en-US" w:eastAsia="zh-CN"/>
        </w:rPr>
        <w:t>默认取值为</w:t>
      </w:r>
      <w:r>
        <w:rPr>
          <w:rFonts w:hint="eastAsia" w:ascii="仿宋_GB2312" w:hAnsi="仿宋_GB2312" w:eastAsia="仿宋_GB2312" w:cs="仿宋_GB2312"/>
          <w:color w:val="auto"/>
          <w:sz w:val="28"/>
          <w:szCs w:val="28"/>
          <w:highlight w:val="none"/>
        </w:rPr>
        <w:t>P</w:t>
      </w:r>
      <w:r>
        <w:rPr>
          <w:rFonts w:hint="eastAsia" w:ascii="仿宋_GB2312" w:hAnsi="仿宋_GB2312" w:eastAsia="仿宋_GB2312" w:cs="仿宋_GB2312"/>
          <w:color w:val="auto"/>
          <w:sz w:val="28"/>
          <w:szCs w:val="28"/>
          <w:highlight w:val="none"/>
          <w:vertAlign w:val="subscript"/>
          <w:lang w:val="en-US" w:eastAsia="zh-CN"/>
        </w:rPr>
        <w:t>绿</w:t>
      </w:r>
      <w:r>
        <w:rPr>
          <w:rFonts w:hint="eastAsia" w:ascii="仿宋_GB2312" w:hAnsi="仿宋_GB2312" w:eastAsia="仿宋_GB2312" w:cs="仿宋_GB2312"/>
          <w:color w:val="auto"/>
          <w:sz w:val="28"/>
          <w:szCs w:val="28"/>
          <w:highlight w:val="none"/>
          <w:vertAlign w:val="subscript"/>
        </w:rPr>
        <w:t>批</w:t>
      </w:r>
      <w:r>
        <w:rPr>
          <w:rFonts w:hint="eastAsia" w:hAnsi="Cambria Math" w:eastAsia="仿宋_GB2312" w:cs="仿宋_GB2312"/>
          <w:i w:val="0"/>
          <w:iCs w:val="0"/>
          <w:color w:val="auto"/>
          <w:sz w:val="32"/>
          <w:szCs w:val="32"/>
          <w:highlight w:val="none"/>
          <w:lang w:val="en-US" w:eastAsia="zh-CN"/>
        </w:rPr>
        <w:t>。</w:t>
      </w:r>
    </w:p>
    <w:p w14:paraId="48331BD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楷体_GB2312" w:hAnsi="楷体_GB2312" w:eastAsia="楷体_GB2312" w:cs="楷体_GB2312"/>
          <w:b/>
          <w:bCs/>
          <w:color w:val="auto"/>
          <w:sz w:val="28"/>
          <w:szCs w:val="28"/>
          <w:highlight w:val="none"/>
        </w:rPr>
      </w:pPr>
      <w:r>
        <w:rPr>
          <w:rFonts w:hint="eastAsia" w:ascii="楷体_GB2312" w:hAnsi="楷体_GB2312" w:eastAsia="楷体_GB2312" w:cs="楷体_GB2312"/>
          <w:b/>
          <w:bCs/>
          <w:color w:val="auto"/>
          <w:sz w:val="28"/>
          <w:szCs w:val="28"/>
          <w:highlight w:val="none"/>
        </w:rPr>
        <w:t>P</w:t>
      </w:r>
      <w:r>
        <w:rPr>
          <w:rFonts w:hint="eastAsia" w:ascii="楷体_GB2312" w:hAnsi="楷体_GB2312" w:eastAsia="楷体_GB2312" w:cs="楷体_GB2312"/>
          <w:b/>
          <w:bCs/>
          <w:color w:val="auto"/>
          <w:sz w:val="28"/>
          <w:szCs w:val="28"/>
          <w:highlight w:val="none"/>
          <w:vertAlign w:val="subscript"/>
        </w:rPr>
        <w:t>绿</w:t>
      </w:r>
      <w:r>
        <w:rPr>
          <w:rFonts w:hint="eastAsia" w:ascii="楷体_GB2312" w:hAnsi="楷体_GB2312" w:eastAsia="楷体_GB2312" w:cs="楷体_GB2312"/>
          <w:b/>
          <w:bCs/>
          <w:color w:val="auto"/>
          <w:sz w:val="28"/>
          <w:szCs w:val="28"/>
          <w:highlight w:val="none"/>
        </w:rPr>
        <w:t>＝P</w:t>
      </w:r>
      <w:r>
        <w:rPr>
          <w:rFonts w:hint="eastAsia" w:ascii="楷体_GB2312" w:hAnsi="楷体_GB2312" w:eastAsia="楷体_GB2312" w:cs="楷体_GB2312"/>
          <w:b/>
          <w:bCs/>
          <w:color w:val="auto"/>
          <w:sz w:val="28"/>
          <w:szCs w:val="28"/>
          <w:highlight w:val="none"/>
          <w:vertAlign w:val="subscript"/>
        </w:rPr>
        <w:t>绿</w:t>
      </w:r>
      <w:r>
        <w:rPr>
          <w:rFonts w:hint="eastAsia" w:ascii="楷体_GB2312" w:hAnsi="楷体_GB2312" w:eastAsia="楷体_GB2312" w:cs="楷体_GB2312"/>
          <w:b/>
          <w:bCs/>
          <w:color w:val="auto"/>
          <w:sz w:val="28"/>
          <w:szCs w:val="28"/>
          <w:highlight w:val="none"/>
          <w:vertAlign w:val="subscript"/>
          <w:lang w:val="en-US" w:eastAsia="zh-CN"/>
        </w:rPr>
        <w:t>基</w:t>
      </w:r>
      <w:r>
        <w:rPr>
          <w:rFonts w:hint="eastAsia" w:ascii="楷体_GB2312" w:hAnsi="楷体_GB2312" w:eastAsia="楷体_GB2312" w:cs="楷体_GB2312"/>
          <w:b/>
          <w:bCs/>
          <w:color w:val="auto"/>
          <w:sz w:val="28"/>
          <w:szCs w:val="28"/>
          <w:highlight w:val="none"/>
        </w:rPr>
        <w:t>＋P</w:t>
      </w:r>
      <w:r>
        <w:rPr>
          <w:rFonts w:hint="eastAsia" w:ascii="楷体_GB2312" w:hAnsi="楷体_GB2312" w:eastAsia="楷体_GB2312" w:cs="楷体_GB2312"/>
          <w:b/>
          <w:bCs/>
          <w:color w:val="auto"/>
          <w:sz w:val="28"/>
          <w:szCs w:val="28"/>
          <w:highlight w:val="none"/>
          <w:vertAlign w:val="subscript"/>
        </w:rPr>
        <w:t>绿浮</w:t>
      </w:r>
    </w:p>
    <w:p w14:paraId="55901AC4">
      <w:pPr>
        <w:keepNext w:val="0"/>
        <w:keepLines w:val="0"/>
        <w:pageBreakBefore w:val="0"/>
        <w:widowControl w:val="0"/>
        <w:kinsoku/>
        <w:wordWrap/>
        <w:overflowPunct/>
        <w:topLinePunct w:val="0"/>
        <w:autoSpaceDE/>
        <w:autoSpaceDN/>
        <w:bidi w:val="0"/>
        <w:adjustRightInd/>
        <w:snapToGrid/>
        <w:spacing w:line="460" w:lineRule="exact"/>
        <w:ind w:left="0" w:firstLine="562"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C</w:t>
      </w:r>
      <w:r>
        <w:rPr>
          <w:rFonts w:hint="eastAsia" w:ascii="仿宋_GB2312" w:hAnsi="仿宋_GB2312" w:eastAsia="仿宋_GB2312" w:cs="仿宋_GB2312"/>
          <w:b/>
          <w:bCs/>
          <w:color w:val="auto"/>
          <w:sz w:val="28"/>
          <w:szCs w:val="28"/>
          <w:highlight w:val="none"/>
        </w:rPr>
        <w:t>比例分成套餐</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color w:val="auto"/>
          <w:sz w:val="28"/>
          <w:szCs w:val="28"/>
          <w:highlight w:val="none"/>
        </w:rPr>
        <w:t>双方约定</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绿色电力</w:t>
      </w:r>
      <w:r>
        <w:rPr>
          <w:rFonts w:hint="eastAsia" w:ascii="仿宋_GB2312" w:hAnsi="仿宋_GB2312" w:eastAsia="仿宋_GB2312" w:cs="仿宋_GB2312"/>
          <w:color w:val="auto"/>
          <w:sz w:val="28"/>
          <w:szCs w:val="28"/>
          <w:highlight w:val="none"/>
        </w:rPr>
        <w:t>电量Q</w:t>
      </w:r>
      <w:r>
        <w:rPr>
          <w:rFonts w:hint="eastAsia" w:ascii="仿宋_GB2312" w:hAnsi="仿宋_GB2312" w:eastAsia="仿宋_GB2312" w:cs="仿宋_GB2312"/>
          <w:color w:val="auto"/>
          <w:sz w:val="28"/>
          <w:szCs w:val="28"/>
          <w:highlight w:val="none"/>
          <w:vertAlign w:val="subscript"/>
        </w:rPr>
        <w:t>绿</w:t>
      </w:r>
      <w:r>
        <w:rPr>
          <w:rFonts w:hint="eastAsia" w:ascii="仿宋_GB2312" w:hAnsi="仿宋_GB2312" w:eastAsia="仿宋_GB2312" w:cs="仿宋_GB2312"/>
          <w:color w:val="auto"/>
          <w:sz w:val="28"/>
          <w:szCs w:val="28"/>
          <w:highlight w:val="none"/>
        </w:rPr>
        <w:t>在约定固定价格P</w:t>
      </w:r>
      <w:r>
        <w:rPr>
          <w:rFonts w:hint="eastAsia" w:ascii="仿宋_GB2312" w:hAnsi="仿宋_GB2312" w:eastAsia="仿宋_GB2312" w:cs="仿宋_GB2312"/>
          <w:color w:val="auto"/>
          <w:sz w:val="28"/>
          <w:szCs w:val="28"/>
          <w:highlight w:val="none"/>
          <w:vertAlign w:val="subscript"/>
        </w:rPr>
        <w:t>绿固</w:t>
      </w:r>
      <w:r>
        <w:rPr>
          <w:rFonts w:hint="eastAsia" w:ascii="仿宋_GB2312" w:hAnsi="仿宋_GB2312" w:eastAsia="仿宋_GB2312" w:cs="仿宋_GB2312"/>
          <w:color w:val="auto"/>
          <w:sz w:val="28"/>
          <w:szCs w:val="28"/>
          <w:highlight w:val="none"/>
        </w:rPr>
        <w:t>的基础上，将固定价格P</w:t>
      </w:r>
      <w:r>
        <w:rPr>
          <w:rFonts w:hint="eastAsia" w:ascii="仿宋_GB2312" w:hAnsi="仿宋_GB2312" w:eastAsia="仿宋_GB2312" w:cs="仿宋_GB2312"/>
          <w:color w:val="auto"/>
          <w:sz w:val="28"/>
          <w:szCs w:val="28"/>
          <w:highlight w:val="none"/>
          <w:vertAlign w:val="subscript"/>
        </w:rPr>
        <w:t>绿固</w:t>
      </w:r>
      <w:r>
        <w:rPr>
          <w:rFonts w:hint="eastAsia" w:ascii="仿宋_GB2312" w:hAnsi="仿宋_GB2312" w:eastAsia="仿宋_GB2312" w:cs="仿宋_GB2312"/>
          <w:color w:val="auto"/>
          <w:sz w:val="28"/>
          <w:szCs w:val="28"/>
          <w:highlight w:val="none"/>
        </w:rPr>
        <w:t>与绿色电力批发市场合同均价P</w:t>
      </w:r>
      <w:r>
        <w:rPr>
          <w:rFonts w:hint="eastAsia" w:ascii="仿宋_GB2312" w:hAnsi="仿宋_GB2312" w:eastAsia="仿宋_GB2312" w:cs="仿宋_GB2312"/>
          <w:color w:val="auto"/>
          <w:sz w:val="28"/>
          <w:szCs w:val="28"/>
          <w:highlight w:val="none"/>
          <w:vertAlign w:val="subscript"/>
        </w:rPr>
        <w:t>绿批</w:t>
      </w:r>
      <w:r>
        <w:rPr>
          <w:rFonts w:hint="eastAsia" w:ascii="仿宋_GB2312" w:hAnsi="仿宋_GB2312" w:eastAsia="仿宋_GB2312" w:cs="仿宋_GB2312"/>
          <w:color w:val="auto"/>
          <w:sz w:val="28"/>
          <w:szCs w:val="28"/>
          <w:highlight w:val="none"/>
        </w:rPr>
        <w:t>之间的差值，按照约定的分成比例K</w:t>
      </w:r>
      <w:r>
        <w:rPr>
          <w:rFonts w:hint="eastAsia" w:ascii="仿宋_GB2312" w:hAnsi="仿宋_GB2312" w:eastAsia="仿宋_GB2312" w:cs="仿宋_GB2312"/>
          <w:color w:val="auto"/>
          <w:sz w:val="28"/>
          <w:szCs w:val="28"/>
          <w:highlight w:val="none"/>
          <w:vertAlign w:val="subscript"/>
        </w:rPr>
        <w:t>绿</w:t>
      </w:r>
      <w:r>
        <w:rPr>
          <w:rFonts w:hint="eastAsia" w:ascii="仿宋_GB2312" w:hAnsi="仿宋_GB2312" w:eastAsia="仿宋_GB2312" w:cs="仿宋_GB2312"/>
          <w:color w:val="auto"/>
          <w:sz w:val="28"/>
          <w:szCs w:val="28"/>
          <w:highlight w:val="none"/>
        </w:rPr>
        <w:t>传导至零售用户。当上述差值为正时，比例K</w:t>
      </w:r>
      <w:r>
        <w:rPr>
          <w:rFonts w:hint="eastAsia" w:ascii="仿宋_GB2312" w:hAnsi="仿宋_GB2312" w:eastAsia="仿宋_GB2312" w:cs="仿宋_GB2312"/>
          <w:color w:val="auto"/>
          <w:sz w:val="28"/>
          <w:szCs w:val="28"/>
          <w:highlight w:val="none"/>
          <w:vertAlign w:val="subscript"/>
        </w:rPr>
        <w:t>绿</w:t>
      </w:r>
      <w:r>
        <w:rPr>
          <w:rFonts w:hint="eastAsia" w:ascii="仿宋_GB2312" w:hAnsi="仿宋_GB2312" w:eastAsia="仿宋_GB2312" w:cs="仿宋_GB2312"/>
          <w:color w:val="auto"/>
          <w:sz w:val="28"/>
          <w:szCs w:val="28"/>
          <w:highlight w:val="none"/>
          <w:vertAlign w:val="subscript"/>
          <w:lang w:val="en-US" w:eastAsia="zh-CN"/>
        </w:rPr>
        <w:t>享</w:t>
      </w:r>
      <w:r>
        <w:rPr>
          <w:rFonts w:hint="eastAsia" w:ascii="仿宋_GB2312" w:hAnsi="仿宋_GB2312" w:eastAsia="仿宋_GB2312" w:cs="仿宋_GB2312"/>
          <w:color w:val="auto"/>
          <w:sz w:val="28"/>
          <w:szCs w:val="28"/>
          <w:highlight w:val="none"/>
        </w:rPr>
        <w:t>部分由零售用户分享，差值为负时，比例K</w:t>
      </w:r>
      <w:r>
        <w:rPr>
          <w:rFonts w:hint="eastAsia" w:ascii="仿宋_GB2312" w:hAnsi="仿宋_GB2312" w:eastAsia="仿宋_GB2312" w:cs="仿宋_GB2312"/>
          <w:color w:val="auto"/>
          <w:sz w:val="28"/>
          <w:szCs w:val="28"/>
          <w:highlight w:val="none"/>
          <w:vertAlign w:val="subscript"/>
        </w:rPr>
        <w:t>绿</w:t>
      </w:r>
      <w:r>
        <w:rPr>
          <w:rFonts w:hint="eastAsia" w:ascii="仿宋_GB2312" w:hAnsi="仿宋_GB2312" w:eastAsia="仿宋_GB2312" w:cs="仿宋_GB2312"/>
          <w:color w:val="auto"/>
          <w:sz w:val="28"/>
          <w:szCs w:val="28"/>
          <w:highlight w:val="none"/>
          <w:vertAlign w:val="subscript"/>
          <w:lang w:val="en-US" w:eastAsia="zh-CN"/>
        </w:rPr>
        <w:t>担</w:t>
      </w:r>
      <w:r>
        <w:rPr>
          <w:rFonts w:hint="eastAsia" w:ascii="仿宋_GB2312" w:hAnsi="仿宋_GB2312" w:eastAsia="仿宋_GB2312" w:cs="仿宋_GB2312"/>
          <w:color w:val="auto"/>
          <w:sz w:val="28"/>
          <w:szCs w:val="28"/>
          <w:highlight w:val="none"/>
          <w:lang w:val="en-US" w:eastAsia="zh-CN"/>
        </w:rPr>
        <w:t>部分</w:t>
      </w:r>
      <w:r>
        <w:rPr>
          <w:rFonts w:hint="eastAsia" w:ascii="仿宋_GB2312" w:hAnsi="仿宋_GB2312" w:eastAsia="仿宋_GB2312" w:cs="仿宋_GB2312"/>
          <w:color w:val="auto"/>
          <w:sz w:val="28"/>
          <w:szCs w:val="28"/>
          <w:highlight w:val="none"/>
        </w:rPr>
        <w:t>由零售用户承担，K</w:t>
      </w:r>
      <w:r>
        <w:rPr>
          <w:rFonts w:hint="eastAsia" w:ascii="仿宋_GB2312" w:hAnsi="仿宋_GB2312" w:eastAsia="仿宋_GB2312" w:cs="仿宋_GB2312"/>
          <w:color w:val="auto"/>
          <w:sz w:val="28"/>
          <w:szCs w:val="28"/>
          <w:highlight w:val="none"/>
          <w:vertAlign w:val="subscript"/>
        </w:rPr>
        <w:t>绿</w:t>
      </w:r>
      <w:r>
        <w:rPr>
          <w:rFonts w:hint="eastAsia" w:ascii="仿宋_GB2312" w:hAnsi="仿宋_GB2312" w:eastAsia="仿宋_GB2312" w:cs="仿宋_GB2312"/>
          <w:color w:val="auto"/>
          <w:sz w:val="28"/>
          <w:szCs w:val="28"/>
          <w:highlight w:val="none"/>
          <w:lang w:val="en-US" w:eastAsia="zh-CN"/>
        </w:rPr>
        <w:t>(包括</w:t>
      </w:r>
      <w:r>
        <w:rPr>
          <w:rFonts w:hint="eastAsia" w:ascii="仿宋_GB2312" w:hAnsi="仿宋_GB2312" w:eastAsia="仿宋_GB2312" w:cs="仿宋_GB2312"/>
          <w:color w:val="auto"/>
          <w:sz w:val="28"/>
          <w:szCs w:val="28"/>
          <w:highlight w:val="none"/>
        </w:rPr>
        <w:t>K</w:t>
      </w:r>
      <w:r>
        <w:rPr>
          <w:rFonts w:hint="eastAsia" w:ascii="仿宋_GB2312" w:hAnsi="仿宋_GB2312" w:eastAsia="仿宋_GB2312" w:cs="仿宋_GB2312"/>
          <w:color w:val="auto"/>
          <w:sz w:val="28"/>
          <w:szCs w:val="28"/>
          <w:highlight w:val="none"/>
          <w:vertAlign w:val="subscript"/>
          <w:lang w:val="en-US" w:eastAsia="zh-CN"/>
        </w:rPr>
        <w:t>绿享</w:t>
      </w:r>
      <w:r>
        <w:rPr>
          <w:rFonts w:hint="eastAsia" w:ascii="仿宋_GB2312" w:hAnsi="仿宋_GB2312" w:eastAsia="仿宋_GB2312" w:cs="仿宋_GB2312"/>
          <w:color w:val="auto"/>
          <w:sz w:val="28"/>
          <w:szCs w:val="28"/>
          <w:highlight w:val="none"/>
        </w:rPr>
        <w:t>、K</w:t>
      </w:r>
      <w:r>
        <w:rPr>
          <w:rFonts w:hint="eastAsia" w:ascii="仿宋_GB2312" w:hAnsi="仿宋_GB2312" w:eastAsia="仿宋_GB2312" w:cs="仿宋_GB2312"/>
          <w:color w:val="auto"/>
          <w:sz w:val="28"/>
          <w:szCs w:val="28"/>
          <w:highlight w:val="none"/>
          <w:vertAlign w:val="subscript"/>
          <w:lang w:val="en-US" w:eastAsia="zh-CN"/>
        </w:rPr>
        <w:t>绿担</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取值范围为0至1。</w:t>
      </w:r>
    </w:p>
    <w:p w14:paraId="43909FC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楷体_GB2312" w:hAnsi="楷体_GB2312" w:eastAsia="楷体_GB2312" w:cs="楷体_GB2312"/>
          <w:b/>
          <w:bCs/>
          <w:color w:val="auto"/>
          <w:sz w:val="28"/>
          <w:szCs w:val="28"/>
          <w:highlight w:val="none"/>
          <w:vertAlign w:val="subscript"/>
        </w:rPr>
      </w:pPr>
      <w:r>
        <w:rPr>
          <w:rFonts w:hint="eastAsia" w:ascii="楷体_GB2312" w:hAnsi="楷体_GB2312" w:eastAsia="楷体_GB2312" w:cs="楷体_GB2312"/>
          <w:b/>
          <w:bCs/>
          <w:color w:val="auto"/>
          <w:sz w:val="28"/>
          <w:szCs w:val="28"/>
          <w:highlight w:val="none"/>
        </w:rPr>
        <w:t>P</w:t>
      </w:r>
      <w:r>
        <w:rPr>
          <w:rFonts w:hint="eastAsia" w:ascii="楷体_GB2312" w:hAnsi="楷体_GB2312" w:eastAsia="楷体_GB2312" w:cs="楷体_GB2312"/>
          <w:b/>
          <w:bCs/>
          <w:color w:val="auto"/>
          <w:sz w:val="28"/>
          <w:szCs w:val="28"/>
          <w:highlight w:val="none"/>
          <w:vertAlign w:val="subscript"/>
        </w:rPr>
        <w:t>绿</w:t>
      </w:r>
      <w:r>
        <w:rPr>
          <w:rFonts w:hint="eastAsia" w:ascii="楷体_GB2312" w:hAnsi="楷体_GB2312" w:eastAsia="楷体_GB2312" w:cs="楷体_GB2312"/>
          <w:b/>
          <w:bCs/>
          <w:color w:val="auto"/>
          <w:sz w:val="28"/>
          <w:szCs w:val="28"/>
          <w:highlight w:val="none"/>
        </w:rPr>
        <w:t>＝P</w:t>
      </w:r>
      <w:r>
        <w:rPr>
          <w:rFonts w:hint="eastAsia" w:ascii="楷体_GB2312" w:hAnsi="楷体_GB2312" w:eastAsia="楷体_GB2312" w:cs="楷体_GB2312"/>
          <w:b/>
          <w:bCs/>
          <w:color w:val="auto"/>
          <w:sz w:val="28"/>
          <w:szCs w:val="28"/>
          <w:highlight w:val="none"/>
          <w:vertAlign w:val="subscript"/>
        </w:rPr>
        <w:t>绿固</w:t>
      </w:r>
      <w:r>
        <w:rPr>
          <w:rFonts w:hint="eastAsia" w:ascii="楷体_GB2312" w:hAnsi="楷体_GB2312" w:eastAsia="楷体_GB2312" w:cs="楷体_GB2312"/>
          <w:b/>
          <w:bCs/>
          <w:color w:val="auto"/>
          <w:sz w:val="28"/>
          <w:szCs w:val="28"/>
          <w:highlight w:val="none"/>
        </w:rPr>
        <w:t>－（P</w:t>
      </w:r>
      <w:r>
        <w:rPr>
          <w:rFonts w:hint="eastAsia" w:ascii="楷体_GB2312" w:hAnsi="楷体_GB2312" w:eastAsia="楷体_GB2312" w:cs="楷体_GB2312"/>
          <w:b/>
          <w:bCs/>
          <w:color w:val="auto"/>
          <w:sz w:val="28"/>
          <w:szCs w:val="28"/>
          <w:highlight w:val="none"/>
          <w:vertAlign w:val="subscript"/>
        </w:rPr>
        <w:t>绿固</w:t>
      </w:r>
      <w:r>
        <w:rPr>
          <w:rFonts w:hint="eastAsia" w:ascii="楷体_GB2312" w:hAnsi="楷体_GB2312" w:eastAsia="楷体_GB2312" w:cs="楷体_GB2312"/>
          <w:b/>
          <w:bCs/>
          <w:color w:val="auto"/>
          <w:sz w:val="28"/>
          <w:szCs w:val="28"/>
          <w:highlight w:val="none"/>
        </w:rPr>
        <w:t>－P</w:t>
      </w:r>
      <w:r>
        <w:rPr>
          <w:rFonts w:hint="eastAsia" w:ascii="楷体_GB2312" w:hAnsi="楷体_GB2312" w:eastAsia="楷体_GB2312" w:cs="楷体_GB2312"/>
          <w:b/>
          <w:bCs/>
          <w:color w:val="auto"/>
          <w:sz w:val="28"/>
          <w:szCs w:val="28"/>
          <w:highlight w:val="none"/>
          <w:vertAlign w:val="subscript"/>
        </w:rPr>
        <w:t>绿批</w:t>
      </w:r>
      <w:r>
        <w:rPr>
          <w:rFonts w:hint="eastAsia" w:ascii="楷体_GB2312" w:hAnsi="楷体_GB2312" w:eastAsia="楷体_GB2312" w:cs="楷体_GB2312"/>
          <w:b/>
          <w:bCs/>
          <w:color w:val="auto"/>
          <w:sz w:val="28"/>
          <w:szCs w:val="28"/>
          <w:highlight w:val="none"/>
        </w:rPr>
        <w:t>）×K</w:t>
      </w:r>
      <w:r>
        <w:rPr>
          <w:rFonts w:hint="eastAsia" w:ascii="楷体_GB2312" w:hAnsi="楷体_GB2312" w:eastAsia="楷体_GB2312" w:cs="楷体_GB2312"/>
          <w:b/>
          <w:bCs/>
          <w:color w:val="auto"/>
          <w:sz w:val="28"/>
          <w:szCs w:val="28"/>
          <w:highlight w:val="none"/>
          <w:vertAlign w:val="subscript"/>
        </w:rPr>
        <w:t>绿</w:t>
      </w:r>
    </w:p>
    <w:p w14:paraId="7C5B15CB">
      <w:pPr>
        <w:keepNext w:val="0"/>
        <w:keepLines w:val="0"/>
        <w:pageBreakBefore w:val="0"/>
        <w:widowControl w:val="0"/>
        <w:numPr>
          <w:ilvl w:val="-1"/>
          <w:numId w:val="0"/>
        </w:numPr>
        <w:suppressLineNumbers w:val="0"/>
        <w:kinsoku/>
        <w:wordWrap/>
        <w:overflowPunct/>
        <w:topLinePunct w:val="0"/>
        <w:autoSpaceDE/>
        <w:autoSpaceDN/>
        <w:bidi w:val="0"/>
        <w:adjustRightInd/>
        <w:snapToGrid/>
        <w:spacing w:line="460" w:lineRule="exact"/>
        <w:ind w:left="0" w:firstLine="562" w:firstLineChars="200"/>
        <w:jc w:val="left"/>
        <w:textAlignment w:val="auto"/>
        <w:outlineLvl w:val="9"/>
        <w:rPr>
          <w:rFonts w:hint="eastAsia" w:ascii="楷体_GB2312" w:hAnsi="楷体_GB2312" w:eastAsia="楷体_GB2312" w:cs="楷体_GB2312"/>
          <w:b/>
          <w:bCs/>
          <w:i w:val="0"/>
          <w:iCs w:val="0"/>
          <w:color w:val="auto"/>
          <w:sz w:val="28"/>
          <w:szCs w:val="28"/>
          <w:highlight w:val="none"/>
          <w:u w:val="none"/>
          <w:lang w:val="en-US" w:eastAsia="zh-CN"/>
        </w:rPr>
      </w:pPr>
      <w:r>
        <w:rPr>
          <w:rFonts w:hint="eastAsia" w:ascii="楷体_GB2312" w:hAnsi="楷体_GB2312" w:eastAsia="楷体_GB2312" w:cs="楷体_GB2312"/>
          <w:b/>
          <w:bCs/>
          <w:color w:val="auto"/>
          <w:sz w:val="28"/>
          <w:szCs w:val="28"/>
          <w:highlight w:val="none"/>
          <w:lang w:val="en-US" w:eastAsia="zh-CN"/>
        </w:rPr>
        <w:t>3.2.2</w:t>
      </w:r>
      <w:r>
        <w:rPr>
          <w:rFonts w:hint="eastAsia" w:ascii="楷体_GB2312" w:hAnsi="楷体_GB2312" w:eastAsia="楷体_GB2312" w:cs="楷体_GB2312"/>
          <w:b/>
          <w:bCs/>
          <w:i w:val="0"/>
          <w:iCs w:val="0"/>
          <w:color w:val="auto"/>
          <w:sz w:val="28"/>
          <w:szCs w:val="28"/>
          <w:highlight w:val="none"/>
          <w:u w:val="none"/>
          <w:lang w:val="en-US" w:eastAsia="zh-CN"/>
        </w:rPr>
        <w:t>绿色电力电量</w:t>
      </w:r>
    </w:p>
    <w:p w14:paraId="4AA1EF6F">
      <w:pPr>
        <w:spacing w:after="0" w:line="4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u w:val="none"/>
          <w:lang w:val="en-US" w:eastAsia="zh-CN"/>
        </w:rPr>
        <w:t>绿色电力电量</w:t>
      </w:r>
      <w:r>
        <w:rPr>
          <w:rFonts w:hint="eastAsia" w:ascii="仿宋_GB2312" w:hAnsi="仿宋_GB2312" w:eastAsia="仿宋_GB2312" w:cs="仿宋_GB2312"/>
          <w:color w:val="auto"/>
          <w:sz w:val="28"/>
          <w:szCs w:val="28"/>
          <w:highlight w:val="none"/>
        </w:rPr>
        <w:t>Q</w:t>
      </w:r>
      <w:r>
        <w:rPr>
          <w:rFonts w:hint="eastAsia" w:ascii="仿宋_GB2312" w:hAnsi="仿宋_GB2312" w:eastAsia="仿宋_GB2312" w:cs="仿宋_GB2312"/>
          <w:color w:val="auto"/>
          <w:sz w:val="28"/>
          <w:szCs w:val="28"/>
          <w:highlight w:val="none"/>
          <w:vertAlign w:val="subscript"/>
        </w:rPr>
        <w:t>绿</w:t>
      </w:r>
      <w:r>
        <w:rPr>
          <w:rFonts w:hint="eastAsia" w:ascii="仿宋_GB2312" w:hAnsi="仿宋_GB2312" w:eastAsia="仿宋_GB2312" w:cs="仿宋_GB2312"/>
          <w:i w:val="0"/>
          <w:iCs w:val="0"/>
          <w:color w:val="auto"/>
          <w:sz w:val="28"/>
          <w:szCs w:val="28"/>
          <w:highlight w:val="none"/>
          <w:lang w:val="en-US" w:eastAsia="zh-CN"/>
        </w:rPr>
        <w:t>为</w:t>
      </w:r>
      <w:r>
        <w:rPr>
          <w:rFonts w:hint="eastAsia" w:ascii="仿宋_GB2312" w:hAnsi="仿宋_GB2312" w:eastAsia="仿宋_GB2312" w:cs="仿宋_GB2312"/>
          <w:color w:val="auto"/>
          <w:sz w:val="28"/>
          <w:szCs w:val="28"/>
          <w:highlight w:val="none"/>
        </w:rPr>
        <w:t>Q</w:t>
      </w:r>
      <w:r>
        <w:rPr>
          <w:rFonts w:hint="eastAsia" w:ascii="仿宋_GB2312" w:hAnsi="仿宋_GB2312" w:eastAsia="仿宋_GB2312" w:cs="仿宋_GB2312"/>
          <w:color w:val="auto"/>
          <w:sz w:val="28"/>
          <w:szCs w:val="28"/>
          <w:highlight w:val="none"/>
          <w:vertAlign w:val="subscript"/>
        </w:rPr>
        <w:t>绿</w:t>
      </w:r>
      <w:r>
        <w:rPr>
          <w:rFonts w:hint="eastAsia" w:ascii="仿宋_GB2312" w:hAnsi="仿宋_GB2312" w:eastAsia="仿宋_GB2312" w:cs="仿宋_GB2312"/>
          <w:color w:val="auto"/>
          <w:sz w:val="28"/>
          <w:szCs w:val="28"/>
          <w:highlight w:val="none"/>
          <w:vertAlign w:val="subscript"/>
          <w:lang w:val="en-US" w:eastAsia="zh-CN"/>
        </w:rPr>
        <w:t>需</w:t>
      </w:r>
      <w:r>
        <w:rPr>
          <w:rFonts w:hint="eastAsia" w:ascii="仿宋_GB2312" w:hAnsi="仿宋_GB2312" w:eastAsia="仿宋_GB2312" w:cs="仿宋_GB2312"/>
          <w:i w:val="0"/>
          <w:iCs w:val="0"/>
          <w:color w:val="auto"/>
          <w:sz w:val="28"/>
          <w:szCs w:val="28"/>
          <w:highlight w:val="none"/>
          <w:lang w:val="en-US" w:eastAsia="zh-CN"/>
        </w:rPr>
        <w:t>与</w:t>
      </w:r>
      <w:r>
        <w:rPr>
          <w:rFonts w:hint="eastAsia" w:ascii="仿宋_GB2312" w:hAnsi="仿宋_GB2312" w:eastAsia="仿宋_GB2312" w:cs="仿宋_GB2312"/>
          <w:color w:val="auto"/>
          <w:sz w:val="28"/>
          <w:szCs w:val="28"/>
          <w:highlight w:val="none"/>
        </w:rPr>
        <w:t>Q</w:t>
      </w:r>
      <w:r>
        <w:rPr>
          <w:rFonts w:hint="eastAsia" w:ascii="仿宋_GB2312" w:hAnsi="仿宋_GB2312" w:eastAsia="仿宋_GB2312" w:cs="仿宋_GB2312"/>
          <w:color w:val="auto"/>
          <w:sz w:val="28"/>
          <w:szCs w:val="28"/>
          <w:highlight w:val="none"/>
          <w:vertAlign w:val="subscript"/>
        </w:rPr>
        <w:t>绿</w:t>
      </w:r>
      <w:r>
        <w:rPr>
          <w:rFonts w:hint="eastAsia" w:ascii="仿宋_GB2312" w:hAnsi="仿宋_GB2312" w:eastAsia="仿宋_GB2312" w:cs="仿宋_GB2312"/>
          <w:color w:val="auto"/>
          <w:sz w:val="28"/>
          <w:szCs w:val="28"/>
          <w:highlight w:val="none"/>
          <w:vertAlign w:val="subscript"/>
          <w:lang w:val="en-US" w:eastAsia="zh-CN"/>
        </w:rPr>
        <w:t>分</w:t>
      </w:r>
      <w:r>
        <w:rPr>
          <w:rFonts w:hint="eastAsia" w:ascii="仿宋_GB2312" w:hAnsi="仿宋_GB2312" w:eastAsia="仿宋_GB2312" w:cs="仿宋_GB2312"/>
          <w:i w:val="0"/>
          <w:iCs w:val="0"/>
          <w:color w:val="auto"/>
          <w:sz w:val="28"/>
          <w:szCs w:val="28"/>
          <w:highlight w:val="none"/>
          <w:lang w:val="en-US" w:eastAsia="zh-CN"/>
        </w:rPr>
        <w:t>中的较小值，</w:t>
      </w:r>
      <w:r>
        <w:rPr>
          <w:rFonts w:hint="eastAsia" w:ascii="仿宋_GB2312" w:hAnsi="仿宋_GB2312" w:eastAsia="仿宋_GB2312" w:cs="仿宋_GB2312"/>
          <w:color w:val="auto"/>
          <w:sz w:val="28"/>
          <w:szCs w:val="28"/>
          <w:highlight w:val="none"/>
        </w:rPr>
        <w:t>Q</w:t>
      </w:r>
      <w:r>
        <w:rPr>
          <w:rFonts w:hint="eastAsia" w:ascii="仿宋_GB2312" w:hAnsi="仿宋_GB2312" w:eastAsia="仿宋_GB2312" w:cs="仿宋_GB2312"/>
          <w:color w:val="auto"/>
          <w:sz w:val="28"/>
          <w:szCs w:val="28"/>
          <w:highlight w:val="none"/>
          <w:vertAlign w:val="subscript"/>
        </w:rPr>
        <w:t>绿</w:t>
      </w:r>
      <w:r>
        <w:rPr>
          <w:rFonts w:hint="eastAsia" w:ascii="仿宋_GB2312" w:hAnsi="仿宋_GB2312" w:eastAsia="仿宋_GB2312" w:cs="仿宋_GB2312"/>
          <w:color w:val="auto"/>
          <w:sz w:val="28"/>
          <w:szCs w:val="28"/>
          <w:highlight w:val="none"/>
          <w:vertAlign w:val="subscript"/>
          <w:lang w:val="en-US" w:eastAsia="zh-CN"/>
        </w:rPr>
        <w:t>需</w:t>
      </w:r>
      <w:r>
        <w:rPr>
          <w:rFonts w:hint="eastAsia" w:ascii="仿宋_GB2312" w:hAnsi="仿宋_GB2312" w:eastAsia="仿宋_GB2312" w:cs="仿宋_GB2312"/>
          <w:i w:val="0"/>
          <w:iCs w:val="0"/>
          <w:color w:val="auto"/>
          <w:sz w:val="28"/>
          <w:szCs w:val="28"/>
          <w:highlight w:val="none"/>
          <w:lang w:val="en-US" w:eastAsia="zh-CN"/>
        </w:rPr>
        <w:t>为双方约定的绿色电力需求电量，</w:t>
      </w:r>
      <w:r>
        <w:rPr>
          <w:rFonts w:hint="eastAsia" w:ascii="仿宋_GB2312" w:hAnsi="仿宋_GB2312" w:eastAsia="仿宋_GB2312" w:cs="仿宋_GB2312"/>
          <w:color w:val="auto"/>
          <w:sz w:val="28"/>
          <w:szCs w:val="28"/>
          <w:highlight w:val="none"/>
        </w:rPr>
        <w:t>Q</w:t>
      </w:r>
      <w:r>
        <w:rPr>
          <w:rFonts w:hint="eastAsia" w:ascii="仿宋_GB2312" w:hAnsi="仿宋_GB2312" w:eastAsia="仿宋_GB2312" w:cs="仿宋_GB2312"/>
          <w:color w:val="auto"/>
          <w:sz w:val="28"/>
          <w:szCs w:val="28"/>
          <w:highlight w:val="none"/>
          <w:vertAlign w:val="subscript"/>
        </w:rPr>
        <w:t>绿</w:t>
      </w:r>
      <w:r>
        <w:rPr>
          <w:rFonts w:hint="eastAsia" w:ascii="仿宋_GB2312" w:hAnsi="仿宋_GB2312" w:eastAsia="仿宋_GB2312" w:cs="仿宋_GB2312"/>
          <w:color w:val="auto"/>
          <w:sz w:val="28"/>
          <w:szCs w:val="28"/>
          <w:highlight w:val="none"/>
          <w:vertAlign w:val="subscript"/>
          <w:lang w:val="en-US" w:eastAsia="zh-CN"/>
        </w:rPr>
        <w:t>分</w:t>
      </w:r>
      <w:r>
        <w:rPr>
          <w:rFonts w:hint="eastAsia" w:ascii="仿宋_GB2312" w:hAnsi="仿宋_GB2312" w:eastAsia="仿宋_GB2312" w:cs="仿宋_GB2312"/>
          <w:color w:val="auto"/>
          <w:sz w:val="28"/>
          <w:szCs w:val="28"/>
          <w:highlight w:val="none"/>
          <w:lang w:val="en-US" w:eastAsia="zh-CN"/>
        </w:rPr>
        <w:t>为售电公司向零售用户关联的绿色电力分配电量。</w:t>
      </w:r>
    </w:p>
    <w:p w14:paraId="422D39C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仿宋_GB2312"/>
          <w:b/>
          <w:bCs/>
          <w:color w:val="auto"/>
          <w:highlight w:val="none"/>
          <w:lang w:val="en-US" w:eastAsia="zh-CN"/>
        </w:rPr>
      </w:pPr>
      <w:r>
        <w:rPr>
          <w:rFonts w:hint="eastAsia" w:ascii="仿宋_GB2312" w:hAnsi="仿宋_GB2312" w:eastAsia="仿宋_GB2312" w:cs="仿宋_GB2312"/>
          <w:b/>
          <w:bCs/>
          <w:color w:val="auto"/>
          <w:sz w:val="28"/>
          <w:szCs w:val="28"/>
          <w:highlight w:val="none"/>
        </w:rPr>
        <w:t>Q</w:t>
      </w:r>
      <w:r>
        <w:rPr>
          <w:rFonts w:hint="eastAsia" w:ascii="仿宋_GB2312" w:hAnsi="仿宋_GB2312" w:eastAsia="仿宋_GB2312" w:cs="仿宋_GB2312"/>
          <w:b/>
          <w:bCs/>
          <w:color w:val="auto"/>
          <w:sz w:val="28"/>
          <w:szCs w:val="28"/>
          <w:highlight w:val="none"/>
          <w:vertAlign w:val="subscript"/>
        </w:rPr>
        <w:t>绿</w:t>
      </w:r>
      <w:r>
        <w:rPr>
          <w:rFonts w:hint="eastAsia" w:ascii="楷体_GB2312" w:hAnsi="楷体_GB2312" w:eastAsia="楷体_GB2312" w:cs="楷体_GB2312"/>
          <w:b/>
          <w:bCs/>
          <w:color w:val="auto"/>
          <w:sz w:val="28"/>
          <w:szCs w:val="28"/>
          <w:highlight w:val="none"/>
        </w:rPr>
        <w:t>＝</w:t>
      </w:r>
      <w:r>
        <w:rPr>
          <w:rFonts w:hint="eastAsia" w:ascii="楷体_GB2312" w:hAnsi="楷体_GB2312" w:eastAsia="楷体_GB2312" w:cs="楷体_GB2312"/>
          <w:b/>
          <w:bCs/>
          <w:color w:val="auto"/>
          <w:sz w:val="28"/>
          <w:szCs w:val="28"/>
          <w:highlight w:val="none"/>
          <w:lang w:val="en-US" w:eastAsia="zh-CN"/>
        </w:rPr>
        <w:t>min（</w:t>
      </w:r>
      <w:r>
        <w:rPr>
          <w:rFonts w:hint="eastAsia" w:ascii="仿宋_GB2312" w:hAnsi="仿宋_GB2312" w:eastAsia="仿宋_GB2312" w:cs="仿宋_GB2312"/>
          <w:b/>
          <w:bCs/>
          <w:color w:val="auto"/>
          <w:sz w:val="28"/>
          <w:szCs w:val="28"/>
          <w:highlight w:val="none"/>
        </w:rPr>
        <w:t>Q</w:t>
      </w:r>
      <w:r>
        <w:rPr>
          <w:rFonts w:hint="eastAsia" w:ascii="仿宋_GB2312" w:hAnsi="仿宋_GB2312" w:eastAsia="仿宋_GB2312" w:cs="仿宋_GB2312"/>
          <w:b/>
          <w:bCs/>
          <w:color w:val="auto"/>
          <w:sz w:val="28"/>
          <w:szCs w:val="28"/>
          <w:highlight w:val="none"/>
          <w:vertAlign w:val="subscript"/>
        </w:rPr>
        <w:t>绿</w:t>
      </w:r>
      <w:r>
        <w:rPr>
          <w:rFonts w:hint="eastAsia" w:ascii="仿宋_GB2312" w:hAnsi="仿宋_GB2312" w:eastAsia="仿宋_GB2312" w:cs="仿宋_GB2312"/>
          <w:b/>
          <w:bCs/>
          <w:color w:val="auto"/>
          <w:sz w:val="28"/>
          <w:szCs w:val="28"/>
          <w:highlight w:val="none"/>
          <w:vertAlign w:val="subscript"/>
          <w:lang w:val="en-US" w:eastAsia="zh-CN"/>
        </w:rPr>
        <w:t>需</w:t>
      </w:r>
      <w:r>
        <w:rPr>
          <w:rFonts w:hint="eastAsia" w:ascii="仿宋_GB2312" w:hAnsi="仿宋_GB2312" w:eastAsia="仿宋_GB2312" w:cs="仿宋_GB2312"/>
          <w:b/>
          <w:bCs/>
          <w:i w:val="0"/>
          <w:iCs w:val="0"/>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Q</w:t>
      </w:r>
      <w:r>
        <w:rPr>
          <w:rFonts w:hint="eastAsia" w:ascii="仿宋_GB2312" w:hAnsi="仿宋_GB2312" w:eastAsia="仿宋_GB2312" w:cs="仿宋_GB2312"/>
          <w:b/>
          <w:bCs/>
          <w:color w:val="auto"/>
          <w:sz w:val="28"/>
          <w:szCs w:val="28"/>
          <w:highlight w:val="none"/>
          <w:vertAlign w:val="subscript"/>
        </w:rPr>
        <w:t>绿</w:t>
      </w:r>
      <w:r>
        <w:rPr>
          <w:rFonts w:hint="eastAsia" w:ascii="仿宋_GB2312" w:hAnsi="仿宋_GB2312" w:eastAsia="仿宋_GB2312" w:cs="仿宋_GB2312"/>
          <w:b/>
          <w:bCs/>
          <w:color w:val="auto"/>
          <w:sz w:val="28"/>
          <w:szCs w:val="28"/>
          <w:highlight w:val="none"/>
          <w:vertAlign w:val="subscript"/>
          <w:lang w:val="en-US" w:eastAsia="zh-CN"/>
        </w:rPr>
        <w:t>分</w:t>
      </w:r>
      <w:r>
        <w:rPr>
          <w:rFonts w:hint="eastAsia" w:ascii="楷体_GB2312" w:hAnsi="楷体_GB2312" w:eastAsia="楷体_GB2312" w:cs="楷体_GB2312"/>
          <w:b/>
          <w:bCs/>
          <w:color w:val="auto"/>
          <w:sz w:val="28"/>
          <w:szCs w:val="28"/>
          <w:highlight w:val="none"/>
        </w:rPr>
        <w:t>）</w:t>
      </w:r>
    </w:p>
    <w:p w14:paraId="269083F4">
      <w:pPr>
        <w:keepNext w:val="0"/>
        <w:keepLines w:val="0"/>
        <w:pageBreakBefore w:val="0"/>
        <w:widowControl w:val="0"/>
        <w:kinsoku/>
        <w:wordWrap/>
        <w:overflowPunct/>
        <w:topLinePunct w:val="0"/>
        <w:autoSpaceDE/>
        <w:autoSpaceDN/>
        <w:bidi w:val="0"/>
        <w:adjustRightInd/>
        <w:snapToGrid/>
        <w:spacing w:line="460" w:lineRule="exact"/>
        <w:ind w:left="0" w:firstLine="562" w:firstLineChars="200"/>
        <w:textAlignment w:val="auto"/>
        <w:rPr>
          <w:rFonts w:hint="default" w:ascii="楷体_GB2312" w:hAnsi="楷体_GB2312" w:eastAsia="楷体_GB2312" w:cs="楷体_GB2312"/>
          <w:b/>
          <w:bCs/>
          <w:color w:val="auto"/>
          <w:sz w:val="28"/>
          <w:szCs w:val="28"/>
          <w:highlight w:val="none"/>
          <w:lang w:val="en-US" w:eastAsia="zh-CN"/>
        </w:rPr>
      </w:pPr>
      <w:r>
        <w:rPr>
          <w:rFonts w:hint="eastAsia" w:ascii="楷体_GB2312" w:hAnsi="楷体_GB2312" w:eastAsia="楷体_GB2312" w:cs="楷体_GB2312"/>
          <w:b/>
          <w:bCs/>
          <w:color w:val="auto"/>
          <w:sz w:val="28"/>
          <w:szCs w:val="28"/>
          <w:highlight w:val="none"/>
          <w:lang w:val="en-US" w:eastAsia="zh-CN"/>
        </w:rPr>
        <w:t>3.2.3绿色电力</w:t>
      </w:r>
      <w:r>
        <w:rPr>
          <w:rFonts w:hint="eastAsia" w:ascii="楷体_GB2312" w:hAnsi="楷体_GB2312" w:eastAsia="楷体_GB2312" w:cs="楷体_GB2312"/>
          <w:b/>
          <w:bCs/>
          <w:color w:val="auto"/>
          <w:sz w:val="28"/>
          <w:szCs w:val="28"/>
          <w:highlight w:val="none"/>
        </w:rPr>
        <w:t>环境价值</w:t>
      </w:r>
    </w:p>
    <w:p w14:paraId="3C92C81C">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textAlignment w:val="auto"/>
        <w:rPr>
          <w:rFonts w:ascii="Times New Roman" w:hAnsi="Times New Roman" w:eastAsia="仿宋_GB2312" w:cs="Times New Roman"/>
          <w:color w:val="auto"/>
          <w:sz w:val="28"/>
          <w:szCs w:val="28"/>
          <w:highlight w:val="none"/>
        </w:rPr>
      </w:pPr>
      <w:r>
        <w:rPr>
          <w:rFonts w:hint="eastAsia" w:ascii="仿宋_GB2312" w:hAnsi="仿宋_GB2312" w:eastAsia="仿宋_GB2312" w:cs="仿宋_GB2312"/>
          <w:color w:val="auto"/>
          <w:sz w:val="28"/>
          <w:szCs w:val="28"/>
          <w:highlight w:val="none"/>
        </w:rPr>
        <w:t>绿色电力零售交易中环境价值</w:t>
      </w:r>
      <w:r>
        <w:rPr>
          <w:rFonts w:ascii="仿宋_GB2312" w:hAnsi="仿宋_GB2312" w:eastAsia="仿宋_GB2312" w:cs="仿宋_GB2312"/>
          <w:b w:val="0"/>
          <w:bCs w:val="0"/>
          <w:color w:val="auto"/>
          <w:sz w:val="28"/>
          <w:szCs w:val="28"/>
          <w:highlight w:val="none"/>
        </w:rPr>
        <w:t>P</w:t>
      </w:r>
      <w:r>
        <w:rPr>
          <w:rFonts w:hint="eastAsia" w:ascii="仿宋_GB2312" w:hAnsi="仿宋_GB2312" w:eastAsia="仿宋_GB2312" w:cs="仿宋_GB2312"/>
          <w:b w:val="0"/>
          <w:bCs w:val="0"/>
          <w:color w:val="auto"/>
          <w:sz w:val="28"/>
          <w:szCs w:val="28"/>
          <w:highlight w:val="none"/>
          <w:vertAlign w:val="subscript"/>
        </w:rPr>
        <w:t>绿环</w:t>
      </w:r>
      <w:r>
        <w:rPr>
          <w:rFonts w:hint="eastAsia" w:ascii="仿宋_GB2312" w:hAnsi="仿宋_GB2312" w:eastAsia="仿宋_GB2312" w:cs="仿宋_GB2312"/>
          <w:color w:val="auto"/>
          <w:sz w:val="28"/>
          <w:szCs w:val="28"/>
          <w:highlight w:val="none"/>
        </w:rPr>
        <w:t>按该零售用户对应绿</w:t>
      </w:r>
      <w:r>
        <w:rPr>
          <w:rFonts w:hint="eastAsia" w:ascii="仿宋_GB2312" w:hAnsi="仿宋_GB2312" w:eastAsia="仿宋_GB2312" w:cs="仿宋_GB2312"/>
          <w:color w:val="auto"/>
          <w:sz w:val="28"/>
          <w:szCs w:val="28"/>
          <w:highlight w:val="none"/>
          <w:lang w:val="en-US" w:eastAsia="zh-CN"/>
        </w:rPr>
        <w:t>色电力</w:t>
      </w:r>
      <w:r>
        <w:rPr>
          <w:rFonts w:hint="eastAsia" w:ascii="仿宋_GB2312" w:hAnsi="仿宋_GB2312" w:eastAsia="仿宋_GB2312" w:cs="仿宋_GB2312"/>
          <w:color w:val="auto"/>
          <w:sz w:val="28"/>
          <w:szCs w:val="28"/>
          <w:highlight w:val="none"/>
        </w:rPr>
        <w:t>批发合同的环境价值传导形成。绿</w:t>
      </w:r>
      <w:r>
        <w:rPr>
          <w:rFonts w:hint="eastAsia" w:ascii="仿宋_GB2312" w:hAnsi="仿宋_GB2312" w:eastAsia="仿宋_GB2312" w:cs="仿宋_GB2312"/>
          <w:color w:val="auto"/>
          <w:sz w:val="28"/>
          <w:szCs w:val="28"/>
          <w:highlight w:val="none"/>
          <w:lang w:val="en-US" w:eastAsia="zh-CN"/>
        </w:rPr>
        <w:t>色电力</w:t>
      </w:r>
      <w:r>
        <w:rPr>
          <w:rFonts w:hint="eastAsia" w:ascii="仿宋_GB2312" w:hAnsi="仿宋_GB2312" w:eastAsia="仿宋_GB2312" w:cs="仿宋_GB2312"/>
          <w:color w:val="auto"/>
          <w:sz w:val="28"/>
          <w:szCs w:val="28"/>
          <w:highlight w:val="none"/>
        </w:rPr>
        <w:t>批发合同与零售合同对应关系由售电公司提交，形成零售用户</w:t>
      </w:r>
      <w:r>
        <w:rPr>
          <w:rFonts w:hint="eastAsia" w:ascii="Times New Roman" w:hAnsi="Times New Roman" w:eastAsia="仿宋_GB2312" w:cs="仿宋_GB2312"/>
          <w:color w:val="auto"/>
          <w:sz w:val="28"/>
          <w:szCs w:val="28"/>
          <w:highlight w:val="none"/>
        </w:rPr>
        <w:t>绿</w:t>
      </w:r>
      <w:r>
        <w:rPr>
          <w:rFonts w:hint="eastAsia" w:ascii="Times New Roman" w:hAnsi="Times New Roman" w:eastAsia="仿宋_GB2312" w:cs="仿宋_GB2312"/>
          <w:color w:val="auto"/>
          <w:sz w:val="28"/>
          <w:szCs w:val="28"/>
          <w:highlight w:val="none"/>
          <w:lang w:val="en-US" w:eastAsia="zh-CN"/>
        </w:rPr>
        <w:t>色电力</w:t>
      </w:r>
      <w:r>
        <w:rPr>
          <w:rFonts w:hint="eastAsia" w:ascii="Times New Roman" w:hAnsi="Times New Roman" w:eastAsia="仿宋_GB2312" w:cs="仿宋_GB2312"/>
          <w:color w:val="auto"/>
          <w:sz w:val="28"/>
          <w:szCs w:val="28"/>
          <w:highlight w:val="none"/>
        </w:rPr>
        <w:t>分配电量</w:t>
      </w:r>
      <w:r>
        <w:rPr>
          <w:rFonts w:hint="eastAsia" w:ascii="仿宋_GB2312" w:hAnsi="仿宋_GB2312" w:eastAsia="仿宋_GB2312" w:cs="仿宋_GB2312"/>
          <w:color w:val="auto"/>
          <w:sz w:val="28"/>
          <w:szCs w:val="28"/>
          <w:highlight w:val="none"/>
        </w:rPr>
        <w:t>。零售用户的环境价值结算电量取发</w:t>
      </w:r>
      <w:r>
        <w:rPr>
          <w:rFonts w:hint="eastAsia" w:ascii="Times New Roman" w:hAnsi="Times New Roman" w:eastAsia="仿宋_GB2312" w:cs="仿宋_GB2312"/>
          <w:color w:val="auto"/>
          <w:sz w:val="28"/>
          <w:szCs w:val="28"/>
          <w:highlight w:val="none"/>
        </w:rPr>
        <w:t>电企业</w:t>
      </w:r>
      <w:r>
        <w:rPr>
          <w:rFonts w:hint="eastAsia" w:eastAsia="仿宋_GB2312" w:cs="仿宋_GB2312"/>
          <w:color w:val="auto"/>
          <w:sz w:val="28"/>
          <w:szCs w:val="28"/>
          <w:highlight w:val="none"/>
        </w:rPr>
        <w:t>对应</w:t>
      </w:r>
      <w:r>
        <w:rPr>
          <w:rFonts w:hint="eastAsia" w:ascii="Times New Roman" w:hAnsi="Times New Roman" w:eastAsia="仿宋_GB2312" w:cs="仿宋_GB2312"/>
          <w:color w:val="auto"/>
          <w:sz w:val="28"/>
          <w:szCs w:val="28"/>
          <w:highlight w:val="none"/>
        </w:rPr>
        <w:t>上网电量</w:t>
      </w:r>
      <w:r>
        <w:rPr>
          <w:rFonts w:hint="eastAsia" w:ascii="Times New Roman" w:hAnsi="Times New Roman" w:eastAsia="仿宋_GB2312" w:cs="仿宋_GB2312"/>
          <w:color w:val="auto"/>
          <w:sz w:val="28"/>
          <w:szCs w:val="28"/>
          <w:highlight w:val="none"/>
          <w:lang w:eastAsia="zh-CN"/>
        </w:rPr>
        <w:t>（</w:t>
      </w:r>
      <w:r>
        <w:rPr>
          <w:rFonts w:hint="eastAsia" w:ascii="Times New Roman" w:hAnsi="Times New Roman" w:eastAsia="仿宋_GB2312" w:cs="仿宋_GB2312"/>
          <w:color w:val="auto"/>
          <w:sz w:val="28"/>
          <w:szCs w:val="28"/>
          <w:highlight w:val="none"/>
          <w:lang w:val="en-US" w:eastAsia="zh-CN"/>
        </w:rPr>
        <w:t>机制外</w:t>
      </w:r>
      <w:r>
        <w:rPr>
          <w:rFonts w:hint="eastAsia" w:ascii="Times New Roman" w:hAnsi="Times New Roman" w:eastAsia="仿宋_GB2312" w:cs="仿宋_GB2312"/>
          <w:color w:val="auto"/>
          <w:sz w:val="28"/>
          <w:szCs w:val="28"/>
          <w:highlight w:val="none"/>
          <w:lang w:eastAsia="zh-CN"/>
        </w:rPr>
        <w:t>）</w:t>
      </w:r>
      <w:r>
        <w:rPr>
          <w:rFonts w:hint="eastAsia" w:ascii="Times New Roman" w:hAnsi="Times New Roman" w:eastAsia="仿宋_GB2312" w:cs="仿宋_GB2312"/>
          <w:color w:val="auto"/>
          <w:sz w:val="28"/>
          <w:szCs w:val="28"/>
          <w:highlight w:val="none"/>
        </w:rPr>
        <w:t>、零售用户实际用电量</w:t>
      </w:r>
      <w:r>
        <w:rPr>
          <w:rFonts w:hint="eastAsia" w:ascii="Times New Roman" w:hAnsi="Times New Roman" w:eastAsia="仿宋_GB2312" w:cs="仿宋_GB2312"/>
          <w:color w:val="auto"/>
          <w:sz w:val="28"/>
          <w:szCs w:val="28"/>
          <w:highlight w:val="none"/>
          <w:lang w:eastAsia="zh-CN"/>
        </w:rPr>
        <w:t>、</w:t>
      </w:r>
      <w:r>
        <w:rPr>
          <w:rFonts w:hint="eastAsia" w:ascii="Times New Roman" w:hAnsi="Times New Roman" w:eastAsia="仿宋_GB2312" w:cs="仿宋_GB2312"/>
          <w:color w:val="auto"/>
          <w:sz w:val="28"/>
          <w:szCs w:val="28"/>
          <w:highlight w:val="none"/>
          <w:lang w:val="en-US" w:eastAsia="zh-CN"/>
        </w:rPr>
        <w:t>售电公司实际向</w:t>
      </w:r>
      <w:r>
        <w:rPr>
          <w:rFonts w:hint="eastAsia" w:ascii="Times New Roman" w:hAnsi="Times New Roman" w:eastAsia="仿宋_GB2312" w:cs="仿宋_GB2312"/>
          <w:color w:val="auto"/>
          <w:sz w:val="28"/>
          <w:szCs w:val="28"/>
          <w:highlight w:val="none"/>
        </w:rPr>
        <w:t>零售用户</w:t>
      </w:r>
      <w:r>
        <w:rPr>
          <w:rFonts w:hint="eastAsia" w:ascii="Times New Roman" w:hAnsi="Times New Roman" w:eastAsia="仿宋_GB2312" w:cs="仿宋_GB2312"/>
          <w:color w:val="auto"/>
          <w:sz w:val="28"/>
          <w:szCs w:val="28"/>
          <w:highlight w:val="none"/>
          <w:lang w:val="en-US" w:eastAsia="zh-CN"/>
        </w:rPr>
        <w:t>关联的</w:t>
      </w:r>
      <w:r>
        <w:rPr>
          <w:rFonts w:hint="eastAsia" w:ascii="Times New Roman" w:hAnsi="Times New Roman" w:eastAsia="仿宋_GB2312" w:cs="仿宋_GB2312"/>
          <w:color w:val="auto"/>
          <w:sz w:val="28"/>
          <w:szCs w:val="28"/>
          <w:highlight w:val="none"/>
        </w:rPr>
        <w:t>绿</w:t>
      </w:r>
      <w:r>
        <w:rPr>
          <w:rFonts w:hint="eastAsia" w:ascii="Times New Roman" w:hAnsi="Times New Roman" w:eastAsia="仿宋_GB2312" w:cs="仿宋_GB2312"/>
          <w:color w:val="auto"/>
          <w:sz w:val="28"/>
          <w:szCs w:val="28"/>
          <w:highlight w:val="none"/>
          <w:lang w:val="en-US" w:eastAsia="zh-CN"/>
        </w:rPr>
        <w:t>色电力</w:t>
      </w:r>
      <w:r>
        <w:rPr>
          <w:rFonts w:hint="eastAsia" w:ascii="Times New Roman" w:hAnsi="Times New Roman" w:eastAsia="仿宋_GB2312" w:cs="仿宋_GB2312"/>
          <w:color w:val="auto"/>
          <w:sz w:val="28"/>
          <w:szCs w:val="28"/>
          <w:highlight w:val="none"/>
        </w:rPr>
        <w:t>分配电量</w:t>
      </w:r>
      <w:r>
        <w:rPr>
          <w:rFonts w:hint="eastAsia" w:ascii="Times New Roman" w:hAnsi="Times New Roman" w:eastAsia="仿宋_GB2312" w:cs="仿宋_GB2312"/>
          <w:color w:val="auto"/>
          <w:sz w:val="28"/>
          <w:szCs w:val="28"/>
          <w:highlight w:val="none"/>
          <w:lang w:val="en-US" w:eastAsia="zh-CN"/>
        </w:rPr>
        <w:t>三者</w:t>
      </w:r>
      <w:r>
        <w:rPr>
          <w:rFonts w:hint="eastAsia" w:ascii="Times New Roman" w:hAnsi="Times New Roman" w:eastAsia="仿宋_GB2312" w:cs="仿宋_GB2312"/>
          <w:color w:val="auto"/>
          <w:sz w:val="28"/>
          <w:szCs w:val="28"/>
          <w:highlight w:val="none"/>
        </w:rPr>
        <w:t>的最小值。</w:t>
      </w:r>
    </w:p>
    <w:p w14:paraId="43E83108">
      <w:pPr>
        <w:keepNext w:val="0"/>
        <w:keepLines w:val="0"/>
        <w:pageBreakBefore w:val="0"/>
        <w:widowControl w:val="0"/>
        <w:kinsoku/>
        <w:wordWrap/>
        <w:overflowPunct/>
        <w:topLinePunct w:val="0"/>
        <w:autoSpaceDE/>
        <w:autoSpaceDN/>
        <w:bidi w:val="0"/>
        <w:adjustRightInd/>
        <w:snapToGrid/>
        <w:spacing w:line="460" w:lineRule="exact"/>
        <w:ind w:left="0" w:firstLine="562" w:firstLineChars="200"/>
        <w:textAlignment w:val="auto"/>
        <w:rPr>
          <w:rFonts w:hint="default" w:ascii="楷体_GB2312" w:hAnsi="楷体_GB2312" w:eastAsia="楷体_GB2312" w:cs="楷体_GB2312"/>
          <w:b/>
          <w:bCs/>
          <w:color w:val="auto"/>
          <w:sz w:val="28"/>
          <w:szCs w:val="28"/>
          <w:highlight w:val="none"/>
          <w:lang w:val="en-US" w:eastAsia="zh-CN"/>
        </w:rPr>
      </w:pPr>
      <w:r>
        <w:rPr>
          <w:rFonts w:hint="eastAsia" w:ascii="楷体_GB2312" w:hAnsi="楷体_GB2312" w:eastAsia="楷体_GB2312" w:cs="楷体_GB2312"/>
          <w:b/>
          <w:bCs/>
          <w:color w:val="auto"/>
          <w:sz w:val="28"/>
          <w:szCs w:val="28"/>
          <w:highlight w:val="none"/>
          <w:lang w:val="en-US" w:eastAsia="zh-CN"/>
        </w:rPr>
        <w:t>3.2.4绿色电力封顶总价</w:t>
      </w:r>
    </w:p>
    <w:p w14:paraId="50D4B118">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color w:val="auto"/>
          <w:sz w:val="28"/>
          <w:szCs w:val="28"/>
          <w:highlight w:val="none"/>
        </w:rPr>
      </w:pPr>
      <w:r>
        <w:rPr>
          <w:rFonts w:hint="eastAsia" w:ascii="仿宋_GB2312" w:hAnsi="仿宋_GB2312" w:eastAsia="仿宋_GB2312" w:cs="仿宋_GB2312"/>
          <w:color w:val="auto"/>
          <w:sz w:val="28"/>
          <w:szCs w:val="28"/>
          <w:highlight w:val="none"/>
          <w:lang w:val="en-US" w:eastAsia="zh-CN"/>
        </w:rPr>
        <w:t>双方须</w:t>
      </w:r>
      <w:r>
        <w:rPr>
          <w:rFonts w:hint="eastAsia" w:ascii="仿宋_GB2312" w:hAnsi="仿宋_GB2312" w:eastAsia="仿宋_GB2312" w:cs="仿宋_GB2312"/>
          <w:color w:val="auto"/>
          <w:sz w:val="28"/>
          <w:szCs w:val="28"/>
          <w:highlight w:val="none"/>
        </w:rPr>
        <w:t>约定绿色电力零售合同</w:t>
      </w:r>
      <w:r>
        <w:rPr>
          <w:rFonts w:hint="eastAsia" w:ascii="仿宋_GB2312" w:hAnsi="仿宋_GB2312" w:eastAsia="仿宋_GB2312" w:cs="仿宋_GB2312"/>
          <w:color w:val="auto"/>
          <w:sz w:val="28"/>
          <w:szCs w:val="28"/>
          <w:highlight w:val="none"/>
          <w:lang w:val="en-US" w:eastAsia="zh-CN"/>
        </w:rPr>
        <w:t>封顶</w:t>
      </w:r>
      <w:r>
        <w:rPr>
          <w:rFonts w:hint="eastAsia" w:ascii="仿宋_GB2312" w:hAnsi="仿宋_GB2312" w:eastAsia="仿宋_GB2312" w:cs="仿宋_GB2312"/>
          <w:color w:val="auto"/>
          <w:sz w:val="28"/>
          <w:szCs w:val="28"/>
          <w:highlight w:val="none"/>
        </w:rPr>
        <w:t>总价</w:t>
      </w:r>
      <w:r>
        <w:rPr>
          <w:rFonts w:ascii="仿宋_GB2312" w:hAnsi="仿宋_GB2312" w:eastAsia="仿宋_GB2312" w:cs="仿宋_GB2312"/>
          <w:b w:val="0"/>
          <w:bCs w:val="0"/>
          <w:color w:val="auto"/>
          <w:sz w:val="28"/>
          <w:szCs w:val="28"/>
          <w:highlight w:val="none"/>
        </w:rPr>
        <w:t>P</w:t>
      </w:r>
      <w:r>
        <w:rPr>
          <w:rFonts w:hint="eastAsia" w:ascii="仿宋_GB2312" w:hAnsi="仿宋_GB2312" w:eastAsia="仿宋_GB2312" w:cs="仿宋_GB2312"/>
          <w:b w:val="0"/>
          <w:bCs w:val="0"/>
          <w:color w:val="auto"/>
          <w:sz w:val="28"/>
          <w:szCs w:val="28"/>
          <w:highlight w:val="none"/>
          <w:vertAlign w:val="subscript"/>
        </w:rPr>
        <w:t>绿</w:t>
      </w:r>
      <w:r>
        <w:rPr>
          <w:rFonts w:hint="eastAsia" w:ascii="仿宋_GB2312" w:hAnsi="仿宋_GB2312" w:eastAsia="仿宋_GB2312" w:cs="仿宋_GB2312"/>
          <w:b w:val="0"/>
          <w:bCs w:val="0"/>
          <w:color w:val="auto"/>
          <w:sz w:val="28"/>
          <w:szCs w:val="28"/>
          <w:highlight w:val="none"/>
          <w:vertAlign w:val="subscript"/>
          <w:lang w:val="en-US" w:eastAsia="zh-CN"/>
        </w:rPr>
        <w:t>封</w:t>
      </w:r>
      <w:r>
        <w:rPr>
          <w:rFonts w:hint="eastAsia" w:ascii="仿宋_GB2312" w:hAnsi="仿宋_GB2312" w:eastAsia="仿宋_GB2312" w:cs="仿宋_GB2312"/>
          <w:b w:val="0"/>
          <w:bCs w:val="0"/>
          <w:color w:val="auto"/>
          <w:sz w:val="28"/>
          <w:szCs w:val="28"/>
          <w:highlight w:val="none"/>
          <w:vertAlign w:val="subscript"/>
        </w:rPr>
        <w:t>总</w:t>
      </w:r>
      <w:r>
        <w:rPr>
          <w:rFonts w:hint="eastAsia" w:ascii="仿宋_GB2312" w:hAnsi="仿宋_GB2312" w:eastAsia="仿宋_GB2312" w:cs="仿宋_GB2312"/>
          <w:color w:val="auto"/>
          <w:sz w:val="28"/>
          <w:szCs w:val="28"/>
          <w:highlight w:val="none"/>
        </w:rPr>
        <w:t>（即电能量价格与环境价值之和的上限），当零售用户按照绿</w:t>
      </w:r>
      <w:r>
        <w:rPr>
          <w:rFonts w:hint="eastAsia" w:ascii="仿宋_GB2312" w:hAnsi="仿宋_GB2312" w:eastAsia="仿宋_GB2312" w:cs="仿宋_GB2312"/>
          <w:color w:val="auto"/>
          <w:sz w:val="28"/>
          <w:szCs w:val="28"/>
          <w:highlight w:val="none"/>
          <w:lang w:val="en-US" w:eastAsia="zh-CN"/>
        </w:rPr>
        <w:t>色电力</w:t>
      </w:r>
      <w:r>
        <w:rPr>
          <w:rFonts w:hint="eastAsia" w:ascii="仿宋_GB2312" w:hAnsi="仿宋_GB2312" w:eastAsia="仿宋_GB2312" w:cs="仿宋_GB2312"/>
          <w:color w:val="auto"/>
          <w:sz w:val="28"/>
          <w:szCs w:val="28"/>
          <w:highlight w:val="none"/>
        </w:rPr>
        <w:t>套餐计算的电能量价格与环境价值之和超过</w:t>
      </w:r>
      <w:r>
        <w:rPr>
          <w:rFonts w:ascii="仿宋_GB2312" w:hAnsi="仿宋_GB2312" w:eastAsia="仿宋_GB2312" w:cs="仿宋_GB2312"/>
          <w:b w:val="0"/>
          <w:bCs w:val="0"/>
          <w:color w:val="auto"/>
          <w:sz w:val="28"/>
          <w:szCs w:val="28"/>
          <w:highlight w:val="none"/>
        </w:rPr>
        <w:t>P</w:t>
      </w:r>
      <w:r>
        <w:rPr>
          <w:rFonts w:hint="eastAsia" w:ascii="仿宋_GB2312" w:hAnsi="仿宋_GB2312" w:eastAsia="仿宋_GB2312" w:cs="仿宋_GB2312"/>
          <w:b w:val="0"/>
          <w:bCs w:val="0"/>
          <w:color w:val="auto"/>
          <w:sz w:val="28"/>
          <w:szCs w:val="28"/>
          <w:highlight w:val="none"/>
          <w:vertAlign w:val="subscript"/>
        </w:rPr>
        <w:t>绿</w:t>
      </w:r>
      <w:r>
        <w:rPr>
          <w:rFonts w:hint="eastAsia" w:ascii="仿宋_GB2312" w:hAnsi="仿宋_GB2312" w:eastAsia="仿宋_GB2312" w:cs="仿宋_GB2312"/>
          <w:b w:val="0"/>
          <w:bCs w:val="0"/>
          <w:color w:val="auto"/>
          <w:sz w:val="28"/>
          <w:szCs w:val="28"/>
          <w:highlight w:val="none"/>
          <w:vertAlign w:val="subscript"/>
          <w:lang w:val="en-US" w:eastAsia="zh-CN"/>
        </w:rPr>
        <w:t>封</w:t>
      </w:r>
      <w:r>
        <w:rPr>
          <w:rFonts w:hint="eastAsia" w:ascii="仿宋_GB2312" w:hAnsi="仿宋_GB2312" w:eastAsia="仿宋_GB2312" w:cs="仿宋_GB2312"/>
          <w:b w:val="0"/>
          <w:bCs w:val="0"/>
          <w:color w:val="auto"/>
          <w:sz w:val="28"/>
          <w:szCs w:val="28"/>
          <w:highlight w:val="none"/>
          <w:vertAlign w:val="subscript"/>
        </w:rPr>
        <w:t>总</w:t>
      </w:r>
      <w:r>
        <w:rPr>
          <w:rFonts w:hint="eastAsia" w:ascii="仿宋_GB2312" w:hAnsi="仿宋_GB2312" w:eastAsia="仿宋_GB2312" w:cs="仿宋_GB2312"/>
          <w:color w:val="auto"/>
          <w:sz w:val="28"/>
          <w:szCs w:val="28"/>
          <w:highlight w:val="none"/>
        </w:rPr>
        <w:t>时，零售用户</w:t>
      </w:r>
      <w:r>
        <w:rPr>
          <w:rFonts w:hint="eastAsia" w:ascii="仿宋_GB2312" w:hAnsi="仿宋_GB2312" w:eastAsia="仿宋_GB2312" w:cs="仿宋_GB2312"/>
          <w:color w:val="auto"/>
          <w:sz w:val="28"/>
          <w:szCs w:val="28"/>
          <w:highlight w:val="none"/>
          <w:lang w:val="en-US" w:eastAsia="zh-CN"/>
        </w:rPr>
        <w:t>按照绿色电力套餐计算</w:t>
      </w:r>
      <w:r>
        <w:rPr>
          <w:rFonts w:hint="eastAsia" w:ascii="仿宋_GB2312" w:hAnsi="仿宋_GB2312" w:eastAsia="仿宋_GB2312" w:cs="仿宋_GB2312"/>
          <w:color w:val="auto"/>
          <w:sz w:val="28"/>
          <w:szCs w:val="28"/>
          <w:highlight w:val="none"/>
        </w:rPr>
        <w:t>的电能量价格</w:t>
      </w:r>
      <w:r>
        <w:rPr>
          <w:rFonts w:hint="eastAsia" w:ascii="仿宋_GB2312" w:hAnsi="仿宋_GB2312" w:eastAsia="仿宋_GB2312" w:cs="仿宋_GB2312"/>
          <w:color w:val="auto"/>
          <w:sz w:val="28"/>
          <w:szCs w:val="28"/>
          <w:highlight w:val="none"/>
          <w:lang w:val="en-US" w:eastAsia="zh-CN"/>
        </w:rPr>
        <w:t>取值</w:t>
      </w:r>
      <w:r>
        <w:rPr>
          <w:rFonts w:hint="eastAsia" w:ascii="仿宋_GB2312" w:hAnsi="仿宋_GB2312" w:eastAsia="仿宋_GB2312" w:cs="仿宋_GB2312"/>
          <w:color w:val="auto"/>
          <w:sz w:val="28"/>
          <w:szCs w:val="28"/>
          <w:highlight w:val="none"/>
        </w:rPr>
        <w:t>为</w:t>
      </w:r>
      <w:r>
        <w:rPr>
          <w:rFonts w:ascii="仿宋_GB2312" w:hAnsi="仿宋_GB2312" w:eastAsia="仿宋_GB2312" w:cs="仿宋_GB2312"/>
          <w:b w:val="0"/>
          <w:bCs w:val="0"/>
          <w:color w:val="auto"/>
          <w:sz w:val="28"/>
          <w:szCs w:val="28"/>
          <w:highlight w:val="none"/>
        </w:rPr>
        <w:t>P</w:t>
      </w:r>
      <w:r>
        <w:rPr>
          <w:rFonts w:hint="eastAsia" w:ascii="仿宋_GB2312" w:hAnsi="仿宋_GB2312" w:eastAsia="仿宋_GB2312" w:cs="仿宋_GB2312"/>
          <w:b w:val="0"/>
          <w:bCs w:val="0"/>
          <w:color w:val="auto"/>
          <w:sz w:val="28"/>
          <w:szCs w:val="28"/>
          <w:highlight w:val="none"/>
          <w:vertAlign w:val="subscript"/>
        </w:rPr>
        <w:t>绿</w:t>
      </w:r>
      <w:r>
        <w:rPr>
          <w:rFonts w:hint="eastAsia" w:ascii="仿宋_GB2312" w:hAnsi="仿宋_GB2312" w:eastAsia="仿宋_GB2312" w:cs="仿宋_GB2312"/>
          <w:b w:val="0"/>
          <w:bCs w:val="0"/>
          <w:color w:val="auto"/>
          <w:sz w:val="28"/>
          <w:szCs w:val="28"/>
          <w:highlight w:val="none"/>
          <w:vertAlign w:val="subscript"/>
          <w:lang w:val="en-US" w:eastAsia="zh-CN"/>
        </w:rPr>
        <w:t>封</w:t>
      </w:r>
      <w:r>
        <w:rPr>
          <w:rFonts w:hint="eastAsia" w:ascii="仿宋_GB2312" w:hAnsi="仿宋_GB2312" w:eastAsia="仿宋_GB2312" w:cs="仿宋_GB2312"/>
          <w:b w:val="0"/>
          <w:bCs w:val="0"/>
          <w:color w:val="auto"/>
          <w:sz w:val="28"/>
          <w:szCs w:val="28"/>
          <w:highlight w:val="none"/>
          <w:vertAlign w:val="subscript"/>
        </w:rPr>
        <w:t>总</w:t>
      </w:r>
      <w:r>
        <w:rPr>
          <w:rFonts w:hint="eastAsia" w:ascii="仿宋_GB2312" w:hAnsi="仿宋_GB2312" w:eastAsia="仿宋_GB2312" w:cs="仿宋_GB2312"/>
          <w:color w:val="auto"/>
          <w:sz w:val="28"/>
          <w:szCs w:val="28"/>
          <w:highlight w:val="none"/>
        </w:rPr>
        <w:t>减去环境价值</w:t>
      </w:r>
      <w:r>
        <w:rPr>
          <w:rFonts w:ascii="仿宋_GB2312" w:hAnsi="仿宋_GB2312" w:eastAsia="仿宋_GB2312" w:cs="仿宋_GB2312"/>
          <w:b w:val="0"/>
          <w:bCs w:val="0"/>
          <w:color w:val="auto"/>
          <w:sz w:val="28"/>
          <w:szCs w:val="28"/>
          <w:highlight w:val="none"/>
        </w:rPr>
        <w:t>P</w:t>
      </w:r>
      <w:r>
        <w:rPr>
          <w:rFonts w:hint="eastAsia" w:ascii="仿宋_GB2312" w:hAnsi="仿宋_GB2312" w:eastAsia="仿宋_GB2312" w:cs="仿宋_GB2312"/>
          <w:b w:val="0"/>
          <w:bCs w:val="0"/>
          <w:color w:val="auto"/>
          <w:sz w:val="28"/>
          <w:szCs w:val="28"/>
          <w:highlight w:val="none"/>
          <w:vertAlign w:val="subscript"/>
        </w:rPr>
        <w:t>绿环</w:t>
      </w:r>
      <w:r>
        <w:rPr>
          <w:rFonts w:hint="eastAsia" w:ascii="仿宋_GB2312" w:hAnsi="仿宋_GB2312" w:eastAsia="仿宋_GB2312" w:cs="仿宋_GB2312"/>
          <w:color w:val="auto"/>
          <w:sz w:val="28"/>
          <w:szCs w:val="28"/>
          <w:highlight w:val="none"/>
        </w:rPr>
        <w:t>。绿色电力零售合同</w:t>
      </w:r>
      <w:r>
        <w:rPr>
          <w:rFonts w:hint="eastAsia" w:ascii="仿宋_GB2312" w:hAnsi="仿宋_GB2312" w:eastAsia="仿宋_GB2312" w:cs="仿宋_GB2312"/>
          <w:color w:val="auto"/>
          <w:sz w:val="28"/>
          <w:szCs w:val="28"/>
          <w:highlight w:val="none"/>
          <w:lang w:val="en-US" w:eastAsia="zh-CN"/>
        </w:rPr>
        <w:t>封顶</w:t>
      </w:r>
      <w:r>
        <w:rPr>
          <w:rFonts w:hint="eastAsia" w:ascii="仿宋_GB2312" w:hAnsi="仿宋_GB2312" w:eastAsia="仿宋_GB2312" w:cs="仿宋_GB2312"/>
          <w:color w:val="auto"/>
          <w:sz w:val="28"/>
          <w:szCs w:val="28"/>
          <w:highlight w:val="none"/>
        </w:rPr>
        <w:t>总价</w:t>
      </w:r>
      <w:r>
        <w:rPr>
          <w:rFonts w:ascii="仿宋_GB2312" w:hAnsi="仿宋_GB2312" w:eastAsia="仿宋_GB2312" w:cs="仿宋_GB2312"/>
          <w:b w:val="0"/>
          <w:bCs w:val="0"/>
          <w:color w:val="auto"/>
          <w:sz w:val="28"/>
          <w:szCs w:val="28"/>
          <w:highlight w:val="none"/>
        </w:rPr>
        <w:t>P</w:t>
      </w:r>
      <w:r>
        <w:rPr>
          <w:rFonts w:hint="eastAsia" w:ascii="仿宋_GB2312" w:hAnsi="仿宋_GB2312" w:eastAsia="仿宋_GB2312" w:cs="仿宋_GB2312"/>
          <w:b w:val="0"/>
          <w:bCs w:val="0"/>
          <w:color w:val="auto"/>
          <w:sz w:val="28"/>
          <w:szCs w:val="28"/>
          <w:highlight w:val="none"/>
          <w:vertAlign w:val="subscript"/>
        </w:rPr>
        <w:t>绿</w:t>
      </w:r>
      <w:r>
        <w:rPr>
          <w:rFonts w:hint="eastAsia" w:ascii="仿宋_GB2312" w:hAnsi="仿宋_GB2312" w:eastAsia="仿宋_GB2312" w:cs="仿宋_GB2312"/>
          <w:b w:val="0"/>
          <w:bCs w:val="0"/>
          <w:color w:val="auto"/>
          <w:sz w:val="28"/>
          <w:szCs w:val="28"/>
          <w:highlight w:val="none"/>
          <w:vertAlign w:val="subscript"/>
          <w:lang w:val="en-US" w:eastAsia="zh-CN"/>
        </w:rPr>
        <w:t>封</w:t>
      </w:r>
      <w:r>
        <w:rPr>
          <w:rFonts w:hint="eastAsia" w:ascii="仿宋_GB2312" w:hAnsi="仿宋_GB2312" w:eastAsia="仿宋_GB2312" w:cs="仿宋_GB2312"/>
          <w:b w:val="0"/>
          <w:bCs w:val="0"/>
          <w:color w:val="auto"/>
          <w:sz w:val="28"/>
          <w:szCs w:val="28"/>
          <w:highlight w:val="none"/>
          <w:vertAlign w:val="subscript"/>
        </w:rPr>
        <w:t>总</w:t>
      </w:r>
      <w:r>
        <w:rPr>
          <w:rFonts w:hint="eastAsia" w:ascii="仿宋_GB2312" w:hAnsi="仿宋_GB2312" w:eastAsia="仿宋_GB2312" w:cs="仿宋_GB2312"/>
          <w:color w:val="auto"/>
          <w:sz w:val="28"/>
          <w:szCs w:val="28"/>
          <w:highlight w:val="none"/>
        </w:rPr>
        <w:t>须大于等于绿色电力电能量价格P</w:t>
      </w:r>
      <w:r>
        <w:rPr>
          <w:rFonts w:hint="eastAsia" w:ascii="仿宋_GB2312" w:hAnsi="仿宋_GB2312" w:eastAsia="仿宋_GB2312" w:cs="仿宋_GB2312"/>
          <w:color w:val="auto"/>
          <w:sz w:val="28"/>
          <w:szCs w:val="28"/>
          <w:highlight w:val="none"/>
          <w:vertAlign w:val="subscript"/>
        </w:rPr>
        <w:t>绿</w:t>
      </w:r>
      <w:r>
        <w:rPr>
          <w:rFonts w:hint="eastAsia" w:ascii="仿宋_GB2312" w:hAnsi="仿宋_GB2312" w:eastAsia="仿宋_GB2312" w:cs="仿宋_GB2312"/>
          <w:color w:val="auto"/>
          <w:sz w:val="28"/>
          <w:szCs w:val="28"/>
          <w:highlight w:val="none"/>
        </w:rPr>
        <w:t>。</w:t>
      </w:r>
    </w:p>
    <w:p w14:paraId="047D6D61">
      <w:pPr>
        <w:keepNext w:val="0"/>
        <w:keepLines w:val="0"/>
        <w:pageBreakBefore w:val="0"/>
        <w:widowControl w:val="0"/>
        <w:kinsoku/>
        <w:wordWrap/>
        <w:overflowPunct/>
        <w:topLinePunct w:val="0"/>
        <w:autoSpaceDE/>
        <w:autoSpaceDN/>
        <w:bidi w:val="0"/>
        <w:adjustRightInd/>
        <w:snapToGrid/>
        <w:spacing w:line="460" w:lineRule="exact"/>
        <w:ind w:left="0" w:firstLine="562" w:firstLineChars="200"/>
        <w:textAlignment w:val="auto"/>
        <w:rPr>
          <w:rFonts w:hint="eastAsia" w:ascii="楷体_GB2312" w:hAnsi="楷体_GB2312" w:eastAsia="楷体_GB2312" w:cs="楷体_GB2312"/>
          <w:b/>
          <w:bCs/>
          <w:color w:val="auto"/>
          <w:sz w:val="28"/>
          <w:szCs w:val="28"/>
          <w:highlight w:val="none"/>
        </w:rPr>
      </w:pPr>
      <w:r>
        <w:rPr>
          <w:rFonts w:hint="eastAsia" w:ascii="楷体_GB2312" w:hAnsi="楷体_GB2312" w:eastAsia="楷体_GB2312" w:cs="楷体_GB2312"/>
          <w:b/>
          <w:bCs/>
          <w:color w:val="auto"/>
          <w:sz w:val="28"/>
          <w:szCs w:val="28"/>
          <w:highlight w:val="none"/>
          <w:lang w:val="en-US" w:eastAsia="zh-CN"/>
        </w:rPr>
        <w:t>3.2.5</w:t>
      </w:r>
      <w:r>
        <w:rPr>
          <w:rFonts w:hint="eastAsia" w:ascii="楷体_GB2312" w:hAnsi="楷体_GB2312" w:eastAsia="楷体_GB2312" w:cs="楷体_GB2312"/>
          <w:b/>
          <w:bCs/>
          <w:color w:val="auto"/>
          <w:sz w:val="28"/>
          <w:szCs w:val="28"/>
          <w:highlight w:val="none"/>
        </w:rPr>
        <w:t>价格参数</w:t>
      </w:r>
    </w:p>
    <w:p w14:paraId="1B5D1E1E">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P</w:t>
      </w:r>
      <w:r>
        <w:rPr>
          <w:rFonts w:hint="eastAsia" w:ascii="仿宋_GB2312" w:hAnsi="仿宋_GB2312" w:eastAsia="仿宋_GB2312" w:cs="仿宋_GB2312"/>
          <w:color w:val="auto"/>
          <w:sz w:val="28"/>
          <w:szCs w:val="28"/>
          <w:highlight w:val="none"/>
          <w:vertAlign w:val="subscript"/>
        </w:rPr>
        <w:t>绿批</w:t>
      </w:r>
      <w:r>
        <w:rPr>
          <w:rFonts w:hint="eastAsia" w:ascii="仿宋_GB2312" w:hAnsi="仿宋_GB2312" w:eastAsia="仿宋_GB2312" w:cs="仿宋_GB2312"/>
          <w:color w:val="auto"/>
          <w:sz w:val="28"/>
          <w:szCs w:val="28"/>
          <w:highlight w:val="none"/>
        </w:rPr>
        <w:t>为履约月</w:t>
      </w:r>
      <w:r>
        <w:rPr>
          <w:rFonts w:hint="eastAsia" w:ascii="仿宋_GB2312" w:hAnsi="仿宋_GB2312" w:eastAsia="仿宋_GB2312" w:cs="仿宋_GB2312"/>
          <w:color w:val="auto"/>
          <w:sz w:val="28"/>
          <w:szCs w:val="28"/>
          <w:highlight w:val="none"/>
          <w:lang w:val="en-US" w:eastAsia="zh-CN"/>
        </w:rPr>
        <w:t>北京市</w:t>
      </w:r>
      <w:r>
        <w:rPr>
          <w:rFonts w:hint="eastAsia" w:ascii="仿宋_GB2312" w:hAnsi="仿宋_GB2312" w:eastAsia="仿宋_GB2312" w:cs="仿宋_GB2312"/>
          <w:color w:val="auto"/>
          <w:sz w:val="28"/>
          <w:szCs w:val="28"/>
          <w:highlight w:val="none"/>
        </w:rPr>
        <w:t>全市场绿色电力中长期交易</w:t>
      </w:r>
      <w:r>
        <w:rPr>
          <w:rFonts w:hint="eastAsia" w:ascii="仿宋_GB2312" w:hAnsi="仿宋_GB2312" w:eastAsia="仿宋_GB2312" w:cs="仿宋_GB2312"/>
          <w:color w:val="auto"/>
          <w:sz w:val="28"/>
          <w:szCs w:val="28"/>
          <w:highlight w:val="none"/>
          <w:lang w:val="en-US" w:eastAsia="zh-CN"/>
        </w:rPr>
        <w:t>批发合同</w:t>
      </w:r>
      <w:r>
        <w:rPr>
          <w:rFonts w:hint="eastAsia" w:ascii="仿宋_GB2312" w:hAnsi="仿宋_GB2312" w:eastAsia="仿宋_GB2312" w:cs="仿宋_GB2312"/>
          <w:color w:val="auto"/>
          <w:sz w:val="28"/>
          <w:szCs w:val="28"/>
          <w:highlight w:val="none"/>
        </w:rPr>
        <w:t>的电能量加权平均价</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P</w:t>
      </w:r>
      <w:r>
        <w:rPr>
          <w:rFonts w:hint="eastAsia" w:ascii="仿宋_GB2312" w:hAnsi="仿宋_GB2312" w:eastAsia="仿宋_GB2312" w:cs="仿宋_GB2312"/>
          <w:color w:val="auto"/>
          <w:sz w:val="28"/>
          <w:szCs w:val="28"/>
          <w:highlight w:val="none"/>
          <w:vertAlign w:val="subscript"/>
          <w:lang w:val="en-US" w:eastAsia="zh-CN"/>
        </w:rPr>
        <w:t>绿售</w:t>
      </w:r>
      <w:r>
        <w:rPr>
          <w:rFonts w:hint="eastAsia" w:ascii="仿宋_GB2312" w:hAnsi="仿宋_GB2312" w:eastAsia="仿宋_GB2312" w:cs="仿宋_GB2312"/>
          <w:color w:val="auto"/>
          <w:sz w:val="28"/>
          <w:szCs w:val="28"/>
          <w:highlight w:val="none"/>
        </w:rPr>
        <w:t>为履约月</w:t>
      </w:r>
      <w:r>
        <w:rPr>
          <w:rFonts w:hint="eastAsia" w:ascii="仿宋_GB2312" w:hAnsi="仿宋_GB2312" w:eastAsia="仿宋_GB2312" w:cs="仿宋_GB2312"/>
          <w:color w:val="auto"/>
          <w:sz w:val="28"/>
          <w:szCs w:val="28"/>
          <w:highlight w:val="none"/>
          <w:lang w:val="en-US" w:eastAsia="zh-CN"/>
        </w:rPr>
        <w:t>签约售电公司的</w:t>
      </w:r>
      <w:r>
        <w:rPr>
          <w:rFonts w:hint="eastAsia" w:ascii="仿宋_GB2312" w:hAnsi="仿宋_GB2312" w:eastAsia="仿宋_GB2312" w:cs="仿宋_GB2312"/>
          <w:color w:val="auto"/>
          <w:sz w:val="28"/>
          <w:szCs w:val="28"/>
          <w:highlight w:val="none"/>
        </w:rPr>
        <w:t>绿色电力中长期交易</w:t>
      </w:r>
      <w:r>
        <w:rPr>
          <w:rFonts w:hint="eastAsia" w:ascii="仿宋_GB2312" w:hAnsi="仿宋_GB2312" w:eastAsia="仿宋_GB2312" w:cs="仿宋_GB2312"/>
          <w:color w:val="auto"/>
          <w:sz w:val="28"/>
          <w:szCs w:val="28"/>
          <w:highlight w:val="none"/>
          <w:lang w:val="en-US" w:eastAsia="zh-CN"/>
        </w:rPr>
        <w:t>批发合同的</w:t>
      </w:r>
      <w:r>
        <w:rPr>
          <w:rFonts w:hint="eastAsia" w:ascii="仿宋_GB2312" w:hAnsi="仿宋_GB2312" w:eastAsia="仿宋_GB2312" w:cs="仿宋_GB2312"/>
          <w:color w:val="auto"/>
          <w:sz w:val="28"/>
          <w:szCs w:val="28"/>
          <w:highlight w:val="none"/>
        </w:rPr>
        <w:t>电能量加权平均价</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P</w:t>
      </w:r>
      <w:r>
        <w:rPr>
          <w:rFonts w:hint="eastAsia" w:ascii="仿宋_GB2312" w:hAnsi="仿宋_GB2312" w:eastAsia="仿宋_GB2312" w:cs="仿宋_GB2312"/>
          <w:color w:val="auto"/>
          <w:sz w:val="28"/>
          <w:szCs w:val="28"/>
          <w:highlight w:val="none"/>
          <w:vertAlign w:val="subscript"/>
        </w:rPr>
        <w:t>绿批</w:t>
      </w:r>
      <w:r>
        <w:rPr>
          <w:rFonts w:hint="eastAsia" w:ascii="仿宋_GB2312" w:hAnsi="仿宋_GB2312" w:eastAsia="仿宋_GB2312" w:cs="仿宋_GB2312"/>
          <w:color w:val="auto"/>
          <w:sz w:val="28"/>
          <w:szCs w:val="28"/>
          <w:highlight w:val="none"/>
        </w:rPr>
        <w:t>、P</w:t>
      </w:r>
      <w:r>
        <w:rPr>
          <w:rFonts w:hint="eastAsia" w:ascii="仿宋_GB2312" w:hAnsi="仿宋_GB2312" w:eastAsia="仿宋_GB2312" w:cs="仿宋_GB2312"/>
          <w:color w:val="auto"/>
          <w:sz w:val="28"/>
          <w:szCs w:val="28"/>
          <w:highlight w:val="none"/>
          <w:vertAlign w:val="subscript"/>
          <w:lang w:val="en-US" w:eastAsia="zh-CN"/>
        </w:rPr>
        <w:t>绿售</w:t>
      </w:r>
      <w:r>
        <w:rPr>
          <w:rFonts w:hint="eastAsia" w:ascii="仿宋_GB2312" w:hAnsi="仿宋_GB2312" w:eastAsia="仿宋_GB2312" w:cs="仿宋_GB2312"/>
          <w:color w:val="auto"/>
          <w:sz w:val="28"/>
          <w:szCs w:val="28"/>
          <w:highlight w:val="none"/>
          <w:lang w:val="en-US" w:eastAsia="zh-CN"/>
        </w:rPr>
        <w:t>价格构成中</w:t>
      </w:r>
      <w:r>
        <w:rPr>
          <w:rFonts w:hint="eastAsia" w:ascii="仿宋_GB2312" w:hAnsi="仿宋_GB2312" w:eastAsia="仿宋_GB2312" w:cs="仿宋_GB2312"/>
          <w:color w:val="auto"/>
          <w:sz w:val="28"/>
          <w:szCs w:val="28"/>
          <w:highlight w:val="none"/>
        </w:rPr>
        <w:t>包括</w:t>
      </w:r>
      <w:r>
        <w:rPr>
          <w:rFonts w:hint="eastAsia" w:ascii="仿宋_GB2312" w:hAnsi="仿宋_GB2312" w:eastAsia="仿宋_GB2312" w:cs="仿宋_GB2312"/>
          <w:color w:val="auto"/>
          <w:sz w:val="28"/>
          <w:szCs w:val="28"/>
          <w:highlight w:val="none"/>
          <w:lang w:val="en-US" w:eastAsia="zh-CN"/>
        </w:rPr>
        <w:t>多年PPA及</w:t>
      </w:r>
      <w:r>
        <w:rPr>
          <w:rFonts w:hint="eastAsia" w:ascii="仿宋_GB2312" w:hAnsi="仿宋_GB2312" w:eastAsia="仿宋_GB2312" w:cs="仿宋_GB2312"/>
          <w:color w:val="auto"/>
          <w:sz w:val="28"/>
          <w:szCs w:val="28"/>
          <w:highlight w:val="none"/>
        </w:rPr>
        <w:t>年度交易分月合同、月度合同、月内合同，不含环境价值。P</w:t>
      </w:r>
      <w:r>
        <w:rPr>
          <w:rFonts w:hint="eastAsia" w:ascii="仿宋_GB2312" w:hAnsi="仿宋_GB2312" w:eastAsia="仿宋_GB2312" w:cs="仿宋_GB2312"/>
          <w:color w:val="auto"/>
          <w:sz w:val="28"/>
          <w:szCs w:val="28"/>
          <w:highlight w:val="none"/>
          <w:vertAlign w:val="subscript"/>
        </w:rPr>
        <w:t>绿批</w:t>
      </w:r>
      <w:r>
        <w:rPr>
          <w:rFonts w:hint="eastAsia" w:ascii="仿宋_GB2312" w:hAnsi="仿宋_GB2312" w:eastAsia="仿宋_GB2312" w:cs="仿宋_GB2312"/>
          <w:color w:val="auto"/>
          <w:sz w:val="28"/>
          <w:szCs w:val="28"/>
          <w:highlight w:val="none"/>
          <w:lang w:val="en-US" w:eastAsia="zh-CN"/>
        </w:rPr>
        <w:t>由交易中心在履约月最后一日前在交易平台发布。</w:t>
      </w:r>
    </w:p>
    <w:p w14:paraId="4B250A2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630" w:leftChars="0"/>
        <w:textAlignment w:val="auto"/>
        <w:rPr>
          <w:rFonts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lang w:val="en-US" w:eastAsia="zh-CN"/>
        </w:rPr>
        <w:t>3.3</w:t>
      </w:r>
      <w:r>
        <w:rPr>
          <w:rFonts w:hint="eastAsia" w:ascii="黑体" w:hAnsi="黑体" w:eastAsia="黑体" w:cs="黑体"/>
          <w:b/>
          <w:bCs/>
          <w:color w:val="auto"/>
          <w:sz w:val="28"/>
          <w:szCs w:val="28"/>
          <w:highlight w:val="none"/>
        </w:rPr>
        <w:t>偏差电量电价</w:t>
      </w:r>
    </w:p>
    <w:p w14:paraId="67DED123">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3.3.1</w:t>
      </w:r>
      <w:r>
        <w:rPr>
          <w:rFonts w:hint="eastAsia" w:ascii="仿宋_GB2312" w:hAnsi="仿宋_GB2312" w:eastAsia="仿宋_GB2312" w:cs="仿宋_GB2312"/>
          <w:b w:val="0"/>
          <w:bCs w:val="0"/>
          <w:color w:val="auto"/>
          <w:sz w:val="28"/>
          <w:szCs w:val="28"/>
          <w:highlight w:val="none"/>
        </w:rPr>
        <w:t>零</w:t>
      </w:r>
      <w:r>
        <w:rPr>
          <w:rFonts w:hint="eastAsia" w:ascii="仿宋_GB2312" w:hAnsi="仿宋_GB2312" w:eastAsia="仿宋_GB2312" w:cs="仿宋_GB2312"/>
          <w:color w:val="auto"/>
          <w:sz w:val="28"/>
          <w:szCs w:val="28"/>
          <w:highlight w:val="none"/>
        </w:rPr>
        <w:t>售用户实际用电量与零售合同电量的差值为偏差电量。实际用电量超出合同电量的部分为超用电量，记为正值，少于合同电量的部分为少用电量，记为负值。</w:t>
      </w:r>
    </w:p>
    <w:p w14:paraId="654B6B51">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3.3.2</w:t>
      </w:r>
      <w:r>
        <w:rPr>
          <w:rFonts w:hint="eastAsia" w:ascii="仿宋_GB2312" w:hAnsi="仿宋_GB2312" w:eastAsia="仿宋_GB2312" w:cs="仿宋_GB2312"/>
          <w:color w:val="auto"/>
          <w:sz w:val="28"/>
          <w:szCs w:val="28"/>
          <w:highlight w:val="none"/>
        </w:rPr>
        <w:t>零售用户偏差电量结算，可采用“售电公司全担”或“零售用户共担”偏差责任方式。</w:t>
      </w:r>
      <w:r>
        <w:rPr>
          <w:rFonts w:hint="eastAsia" w:ascii="仿宋_GB2312" w:hAnsi="仿宋_GB2312" w:eastAsia="仿宋_GB2312" w:cs="仿宋_GB2312"/>
          <w:color w:val="auto"/>
          <w:sz w:val="28"/>
          <w:szCs w:val="28"/>
          <w:highlight w:val="none"/>
          <w:lang w:val="en-US" w:eastAsia="zh-CN"/>
        </w:rPr>
        <w:t>零售用户偏差电量结算时，</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售电公司全担</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是指售电公司不对零售用户偏差电量进行考核，“零售用户共担”是指售电公司对零售用户偏差电量进行考核。</w:t>
      </w:r>
    </w:p>
    <w:p w14:paraId="7E9F00E6">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lang w:val="en-US" w:eastAsia="zh-CN"/>
        </w:rPr>
        <w:t>3.3</w:t>
      </w:r>
      <w:r>
        <w:rPr>
          <w:rFonts w:hint="eastAsia" w:ascii="仿宋_GB2312" w:hAnsi="仿宋_GB2312" w:eastAsia="仿宋_GB2312" w:cs="仿宋_GB2312"/>
          <w:color w:val="auto"/>
          <w:sz w:val="28"/>
          <w:szCs w:val="28"/>
          <w:highlight w:val="none"/>
        </w:rPr>
        <w:t>当选择“售电公司全担”方式时，零售用户</w:t>
      </w:r>
      <w:r>
        <w:rPr>
          <w:rFonts w:hint="eastAsia" w:ascii="仿宋_GB2312" w:hAnsi="仿宋_GB2312" w:eastAsia="仿宋_GB2312" w:cs="仿宋_GB2312"/>
          <w:color w:val="auto"/>
          <w:sz w:val="28"/>
          <w:szCs w:val="28"/>
          <w:highlight w:val="none"/>
          <w:lang w:val="en-US" w:eastAsia="zh-CN"/>
        </w:rPr>
        <w:t>超用</w:t>
      </w:r>
      <w:r>
        <w:rPr>
          <w:rFonts w:hint="eastAsia" w:ascii="仿宋_GB2312" w:hAnsi="仿宋_GB2312" w:eastAsia="仿宋_GB2312" w:cs="仿宋_GB2312"/>
          <w:color w:val="auto"/>
          <w:sz w:val="28"/>
          <w:szCs w:val="28"/>
          <w:highlight w:val="none"/>
        </w:rPr>
        <w:t>电量按照</w:t>
      </w:r>
      <w:r>
        <w:rPr>
          <w:rFonts w:hint="eastAsia" w:ascii="仿宋_GB2312" w:hAnsi="仿宋_GB2312" w:eastAsia="仿宋_GB2312" w:cs="仿宋_GB2312"/>
          <w:color w:val="auto"/>
          <w:sz w:val="28"/>
          <w:szCs w:val="28"/>
          <w:highlight w:val="none"/>
          <w:lang w:val="en-US" w:eastAsia="zh-CN"/>
        </w:rPr>
        <w:t>常规电力电能量价格P</w:t>
      </w:r>
      <w:r>
        <w:rPr>
          <w:rFonts w:hint="eastAsia" w:ascii="仿宋_GB2312" w:hAnsi="仿宋_GB2312" w:eastAsia="仿宋_GB2312" w:cs="仿宋_GB2312"/>
          <w:color w:val="auto"/>
          <w:sz w:val="28"/>
          <w:szCs w:val="28"/>
          <w:highlight w:val="none"/>
          <w:vertAlign w:val="subscript"/>
          <w:lang w:val="en-US" w:eastAsia="zh-CN"/>
        </w:rPr>
        <w:t>常</w:t>
      </w:r>
      <w:r>
        <w:rPr>
          <w:rFonts w:hint="eastAsia" w:ascii="仿宋_GB2312" w:hAnsi="仿宋_GB2312" w:eastAsia="仿宋_GB2312" w:cs="仿宋_GB2312"/>
          <w:color w:val="auto"/>
          <w:sz w:val="28"/>
          <w:szCs w:val="28"/>
          <w:highlight w:val="none"/>
        </w:rPr>
        <w:t>结算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零售用户少用电量按照零售合同实际电能量均价P</w:t>
      </w:r>
      <w:r>
        <w:rPr>
          <w:rFonts w:hint="eastAsia" w:ascii="仿宋_GB2312" w:hAnsi="仿宋_GB2312" w:eastAsia="仿宋_GB2312" w:cs="仿宋_GB2312"/>
          <w:color w:val="auto"/>
          <w:sz w:val="28"/>
          <w:szCs w:val="28"/>
          <w:highlight w:val="none"/>
          <w:vertAlign w:val="subscript"/>
          <w:lang w:val="en-US" w:eastAsia="zh-CN"/>
        </w:rPr>
        <w:t>合</w:t>
      </w:r>
      <w:r>
        <w:rPr>
          <w:rFonts w:hint="eastAsia" w:ascii="仿宋_GB2312" w:hAnsi="仿宋_GB2312" w:eastAsia="仿宋_GB2312" w:cs="仿宋_GB2312"/>
          <w:color w:val="auto"/>
          <w:sz w:val="28"/>
          <w:szCs w:val="28"/>
          <w:highlight w:val="none"/>
          <w:lang w:val="en-US" w:eastAsia="zh-CN"/>
        </w:rPr>
        <w:t>结算。零售合同实际电能量均价P</w:t>
      </w:r>
      <w:r>
        <w:rPr>
          <w:rFonts w:hint="eastAsia" w:ascii="仿宋_GB2312" w:hAnsi="仿宋_GB2312" w:eastAsia="仿宋_GB2312" w:cs="仿宋_GB2312"/>
          <w:color w:val="auto"/>
          <w:sz w:val="28"/>
          <w:szCs w:val="28"/>
          <w:highlight w:val="none"/>
          <w:vertAlign w:val="subscript"/>
          <w:lang w:val="en-US" w:eastAsia="zh-CN"/>
        </w:rPr>
        <w:t>合</w:t>
      </w:r>
      <w:r>
        <w:rPr>
          <w:rFonts w:hint="eastAsia" w:ascii="仿宋_GB2312" w:hAnsi="仿宋_GB2312" w:eastAsia="仿宋_GB2312" w:cs="仿宋_GB2312"/>
          <w:color w:val="auto"/>
          <w:sz w:val="28"/>
          <w:szCs w:val="28"/>
          <w:highlight w:val="none"/>
        </w:rPr>
        <w:t>为常规电力与绿色电力</w:t>
      </w:r>
      <w:r>
        <w:rPr>
          <w:rFonts w:hint="eastAsia" w:ascii="仿宋_GB2312" w:hAnsi="仿宋_GB2312" w:eastAsia="仿宋_GB2312" w:cs="仿宋_GB2312"/>
          <w:color w:val="auto"/>
          <w:sz w:val="28"/>
          <w:szCs w:val="28"/>
          <w:highlight w:val="none"/>
          <w:lang w:val="en-US" w:eastAsia="zh-CN"/>
        </w:rPr>
        <w:t>的</w:t>
      </w:r>
      <w:r>
        <w:rPr>
          <w:rFonts w:hint="eastAsia" w:ascii="仿宋_GB2312" w:hAnsi="仿宋_GB2312" w:eastAsia="仿宋_GB2312" w:cs="仿宋_GB2312"/>
          <w:color w:val="auto"/>
          <w:sz w:val="28"/>
          <w:szCs w:val="28"/>
          <w:highlight w:val="none"/>
        </w:rPr>
        <w:t>电能量价格加权平均值。</w:t>
      </w:r>
    </w:p>
    <w:p w14:paraId="0D03FCB4">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textAlignment w:val="auto"/>
        <w:rPr>
          <w:rFonts w:hint="default"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eastAsia="zh-CN"/>
        </w:rPr>
        <w:t>3.3.4</w:t>
      </w:r>
      <w:r>
        <w:rPr>
          <w:rFonts w:hint="eastAsia" w:ascii="仿宋_GB2312" w:hAnsi="仿宋_GB2312" w:eastAsia="仿宋_GB2312" w:cs="仿宋_GB2312"/>
          <w:color w:val="auto"/>
          <w:sz w:val="28"/>
          <w:szCs w:val="28"/>
          <w:highlight w:val="none"/>
        </w:rPr>
        <w:t>当选择“零售用户共担”方式时，</w:t>
      </w:r>
      <w:r>
        <w:rPr>
          <w:rFonts w:hint="eastAsia" w:ascii="仿宋_GB2312" w:hAnsi="仿宋_GB2312" w:eastAsia="仿宋_GB2312" w:cs="仿宋_GB2312"/>
          <w:color w:val="auto"/>
          <w:sz w:val="28"/>
          <w:szCs w:val="28"/>
          <w:highlight w:val="none"/>
          <w:lang w:val="en-US" w:eastAsia="zh-CN"/>
        </w:rPr>
        <w:t>售电公司与零售用户约定偏差共担价格P</w:t>
      </w:r>
      <w:r>
        <w:rPr>
          <w:rFonts w:hint="eastAsia" w:ascii="仿宋_GB2312" w:hAnsi="仿宋_GB2312" w:eastAsia="仿宋_GB2312" w:cs="仿宋_GB2312"/>
          <w:color w:val="auto"/>
          <w:sz w:val="28"/>
          <w:szCs w:val="28"/>
          <w:highlight w:val="none"/>
          <w:vertAlign w:val="subscript"/>
          <w:lang w:val="en-US" w:eastAsia="zh-CN"/>
        </w:rPr>
        <w:t>共担</w:t>
      </w:r>
      <w:r>
        <w:rPr>
          <w:rFonts w:hint="eastAsia" w:ascii="仿宋_GB2312" w:hAnsi="仿宋_GB2312" w:eastAsia="仿宋_GB2312" w:cs="仿宋_GB2312"/>
          <w:color w:val="auto"/>
          <w:sz w:val="28"/>
          <w:szCs w:val="28"/>
          <w:highlight w:val="none"/>
          <w:lang w:val="en-US" w:eastAsia="zh-CN"/>
        </w:rPr>
        <w:t>，P</w:t>
      </w:r>
      <w:r>
        <w:rPr>
          <w:rFonts w:hint="eastAsia" w:ascii="仿宋_GB2312" w:hAnsi="仿宋_GB2312" w:eastAsia="仿宋_GB2312" w:cs="仿宋_GB2312"/>
          <w:color w:val="auto"/>
          <w:sz w:val="28"/>
          <w:szCs w:val="28"/>
          <w:highlight w:val="none"/>
          <w:vertAlign w:val="subscript"/>
          <w:lang w:val="en-US" w:eastAsia="zh-CN"/>
        </w:rPr>
        <w:t>共担</w:t>
      </w:r>
      <w:r>
        <w:rPr>
          <w:rFonts w:hint="eastAsia" w:ascii="仿宋_GB2312" w:hAnsi="仿宋_GB2312" w:eastAsia="仿宋_GB2312" w:cs="仿宋_GB2312"/>
          <w:color w:val="auto"/>
          <w:sz w:val="28"/>
          <w:szCs w:val="28"/>
          <w:highlight w:val="none"/>
          <w:vertAlign w:val="baseline"/>
          <w:lang w:val="en-US" w:eastAsia="zh-CN"/>
        </w:rPr>
        <w:t>取值范围为0-5元/兆瓦时</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零售用户</w:t>
      </w:r>
      <w:r>
        <w:rPr>
          <w:rFonts w:hint="eastAsia" w:ascii="仿宋_GB2312" w:hAnsi="仿宋_GB2312" w:eastAsia="仿宋_GB2312" w:cs="仿宋_GB2312"/>
          <w:color w:val="auto"/>
          <w:sz w:val="28"/>
          <w:szCs w:val="28"/>
          <w:highlight w:val="none"/>
          <w:lang w:val="en-US" w:eastAsia="zh-CN"/>
        </w:rPr>
        <w:t>超用</w:t>
      </w:r>
      <w:r>
        <w:rPr>
          <w:rFonts w:hint="eastAsia" w:ascii="仿宋_GB2312" w:hAnsi="仿宋_GB2312" w:eastAsia="仿宋_GB2312" w:cs="仿宋_GB2312"/>
          <w:color w:val="auto"/>
          <w:sz w:val="28"/>
          <w:szCs w:val="28"/>
          <w:highlight w:val="none"/>
        </w:rPr>
        <w:t>电量</w:t>
      </w:r>
      <w:r>
        <w:rPr>
          <w:rFonts w:hint="eastAsia" w:ascii="仿宋_GB2312" w:hAnsi="仿宋_GB2312" w:eastAsia="仿宋_GB2312" w:cs="仿宋_GB2312"/>
          <w:color w:val="auto"/>
          <w:sz w:val="28"/>
          <w:szCs w:val="28"/>
          <w:highlight w:val="none"/>
          <w:lang w:val="en-US" w:eastAsia="zh-CN"/>
        </w:rPr>
        <w:t>按照P</w:t>
      </w:r>
      <w:r>
        <w:rPr>
          <w:rFonts w:hint="eastAsia" w:ascii="仿宋_GB2312" w:hAnsi="仿宋_GB2312" w:eastAsia="仿宋_GB2312" w:cs="仿宋_GB2312"/>
          <w:color w:val="auto"/>
          <w:sz w:val="28"/>
          <w:szCs w:val="28"/>
          <w:highlight w:val="none"/>
          <w:vertAlign w:val="subscript"/>
          <w:lang w:val="en-US" w:eastAsia="zh-CN"/>
        </w:rPr>
        <w:t>常</w:t>
      </w:r>
      <w:r>
        <w:rPr>
          <w:rFonts w:hint="eastAsia" w:ascii="仿宋_GB2312" w:hAnsi="仿宋_GB2312" w:eastAsia="仿宋_GB2312" w:cs="仿宋_GB2312"/>
          <w:color w:val="auto"/>
          <w:sz w:val="28"/>
          <w:szCs w:val="28"/>
          <w:highlight w:val="none"/>
          <w:lang w:val="en-US" w:eastAsia="zh-CN"/>
        </w:rPr>
        <w:t>与P</w:t>
      </w:r>
      <w:r>
        <w:rPr>
          <w:rFonts w:hint="eastAsia" w:ascii="仿宋_GB2312" w:hAnsi="仿宋_GB2312" w:eastAsia="仿宋_GB2312" w:cs="仿宋_GB2312"/>
          <w:color w:val="auto"/>
          <w:sz w:val="28"/>
          <w:szCs w:val="28"/>
          <w:highlight w:val="none"/>
          <w:vertAlign w:val="subscript"/>
          <w:lang w:val="en-US" w:eastAsia="zh-CN"/>
        </w:rPr>
        <w:t>共担</w:t>
      </w:r>
      <w:r>
        <w:rPr>
          <w:rFonts w:hint="eastAsia" w:ascii="仿宋_GB2312" w:hAnsi="仿宋_GB2312" w:eastAsia="仿宋_GB2312" w:cs="仿宋_GB2312"/>
          <w:color w:val="auto"/>
          <w:sz w:val="28"/>
          <w:szCs w:val="28"/>
          <w:highlight w:val="none"/>
          <w:lang w:val="en-US" w:eastAsia="zh-CN"/>
        </w:rPr>
        <w:t>之和结算，少用电量按照P</w:t>
      </w:r>
      <w:r>
        <w:rPr>
          <w:rFonts w:hint="eastAsia" w:ascii="仿宋_GB2312" w:hAnsi="仿宋_GB2312" w:eastAsia="仿宋_GB2312" w:cs="仿宋_GB2312"/>
          <w:color w:val="auto"/>
          <w:sz w:val="28"/>
          <w:szCs w:val="28"/>
          <w:highlight w:val="none"/>
          <w:vertAlign w:val="subscript"/>
          <w:lang w:val="en-US" w:eastAsia="zh-CN"/>
        </w:rPr>
        <w:t>合</w:t>
      </w:r>
      <w:r>
        <w:rPr>
          <w:rFonts w:hint="eastAsia" w:ascii="仿宋_GB2312" w:hAnsi="仿宋_GB2312" w:eastAsia="仿宋_GB2312" w:cs="仿宋_GB2312"/>
          <w:color w:val="auto"/>
          <w:sz w:val="28"/>
          <w:szCs w:val="28"/>
          <w:highlight w:val="none"/>
          <w:lang w:val="en-US" w:eastAsia="zh-CN"/>
        </w:rPr>
        <w:t>与P</w:t>
      </w:r>
      <w:r>
        <w:rPr>
          <w:rFonts w:hint="eastAsia" w:ascii="仿宋_GB2312" w:hAnsi="仿宋_GB2312" w:eastAsia="仿宋_GB2312" w:cs="仿宋_GB2312"/>
          <w:color w:val="auto"/>
          <w:sz w:val="28"/>
          <w:szCs w:val="28"/>
          <w:highlight w:val="none"/>
          <w:vertAlign w:val="subscript"/>
          <w:lang w:val="en-US" w:eastAsia="zh-CN"/>
        </w:rPr>
        <w:t>共担</w:t>
      </w:r>
      <w:r>
        <w:rPr>
          <w:rFonts w:hint="eastAsia" w:ascii="仿宋_GB2312" w:hAnsi="仿宋_GB2312" w:eastAsia="仿宋_GB2312" w:cs="仿宋_GB2312"/>
          <w:color w:val="auto"/>
          <w:sz w:val="28"/>
          <w:szCs w:val="28"/>
          <w:highlight w:val="none"/>
          <w:lang w:val="en-US" w:eastAsia="zh-CN"/>
        </w:rPr>
        <w:t>之差结算。售电公司与零售用户可约定允许偏差范围[-U%,U%]，U取值应大于等于5，取整数；对于允许偏差范围内的偏差电量，P</w:t>
      </w:r>
      <w:r>
        <w:rPr>
          <w:rFonts w:hint="eastAsia" w:ascii="仿宋_GB2312" w:hAnsi="仿宋_GB2312" w:eastAsia="仿宋_GB2312" w:cs="仿宋_GB2312"/>
          <w:color w:val="auto"/>
          <w:sz w:val="28"/>
          <w:szCs w:val="28"/>
          <w:highlight w:val="none"/>
          <w:vertAlign w:val="subscript"/>
          <w:lang w:val="en-US" w:eastAsia="zh-CN"/>
        </w:rPr>
        <w:t>共担</w:t>
      </w:r>
      <w:r>
        <w:rPr>
          <w:rFonts w:hint="eastAsia" w:ascii="仿宋_GB2312" w:hAnsi="仿宋_GB2312" w:eastAsia="仿宋_GB2312" w:cs="仿宋_GB2312"/>
          <w:color w:val="auto"/>
          <w:sz w:val="28"/>
          <w:szCs w:val="28"/>
          <w:highlight w:val="none"/>
        </w:rPr>
        <w:t>取值</w:t>
      </w:r>
      <w:r>
        <w:rPr>
          <w:rFonts w:hint="eastAsia" w:ascii="仿宋_GB2312" w:hAnsi="仿宋_GB2312" w:eastAsia="仿宋_GB2312" w:cs="仿宋_GB2312"/>
          <w:color w:val="auto"/>
          <w:sz w:val="28"/>
          <w:szCs w:val="28"/>
          <w:highlight w:val="none"/>
          <w:lang w:val="en-US" w:eastAsia="zh-CN"/>
        </w:rPr>
        <w:t>为零，对于超出允许偏差范围的对应偏差电量，P</w:t>
      </w:r>
      <w:r>
        <w:rPr>
          <w:rFonts w:hint="eastAsia" w:ascii="仿宋_GB2312" w:hAnsi="仿宋_GB2312" w:eastAsia="仿宋_GB2312" w:cs="仿宋_GB2312"/>
          <w:color w:val="auto"/>
          <w:sz w:val="28"/>
          <w:szCs w:val="28"/>
          <w:highlight w:val="none"/>
          <w:vertAlign w:val="subscript"/>
          <w:lang w:val="en-US" w:eastAsia="zh-CN"/>
        </w:rPr>
        <w:t>共担</w:t>
      </w:r>
      <w:r>
        <w:rPr>
          <w:rFonts w:hint="eastAsia" w:ascii="仿宋_GB2312" w:hAnsi="仿宋_GB2312" w:eastAsia="仿宋_GB2312" w:cs="仿宋_GB2312"/>
          <w:color w:val="auto"/>
          <w:sz w:val="28"/>
          <w:szCs w:val="28"/>
          <w:highlight w:val="none"/>
        </w:rPr>
        <w:t>取值</w:t>
      </w:r>
      <w:r>
        <w:rPr>
          <w:rFonts w:hint="eastAsia" w:ascii="仿宋_GB2312" w:hAnsi="仿宋_GB2312" w:eastAsia="仿宋_GB2312" w:cs="仿宋_GB2312"/>
          <w:color w:val="auto"/>
          <w:sz w:val="28"/>
          <w:szCs w:val="28"/>
          <w:highlight w:val="none"/>
          <w:lang w:val="en-US" w:eastAsia="zh-CN"/>
        </w:rPr>
        <w:t>为约定值。</w:t>
      </w:r>
    </w:p>
    <w:p w14:paraId="292B8AB4">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3.3.5</w:t>
      </w:r>
      <w:r>
        <w:rPr>
          <w:rFonts w:hint="eastAsia" w:ascii="仿宋_GB2312" w:hAnsi="仿宋_GB2312" w:eastAsia="仿宋_GB2312" w:cs="仿宋_GB2312"/>
          <w:color w:val="auto"/>
          <w:sz w:val="28"/>
          <w:szCs w:val="28"/>
          <w:highlight w:val="none"/>
        </w:rPr>
        <w:t>因偏差免责等政策减免售电公司偏差考核费用的，相应零售合同约定的偏差共担价格</w:t>
      </w:r>
      <w:r>
        <w:rPr>
          <w:rFonts w:hint="eastAsia" w:ascii="仿宋_GB2312" w:hAnsi="仿宋_GB2312" w:eastAsia="仿宋_GB2312" w:cs="仿宋_GB2312"/>
          <w:color w:val="auto"/>
          <w:sz w:val="28"/>
          <w:szCs w:val="28"/>
          <w:highlight w:val="none"/>
          <w:lang w:val="en-US" w:eastAsia="zh-CN"/>
        </w:rPr>
        <w:t>P</w:t>
      </w:r>
      <w:r>
        <w:rPr>
          <w:rFonts w:hint="eastAsia" w:ascii="仿宋_GB2312" w:hAnsi="仿宋_GB2312" w:eastAsia="仿宋_GB2312" w:cs="仿宋_GB2312"/>
          <w:color w:val="auto"/>
          <w:sz w:val="28"/>
          <w:szCs w:val="28"/>
          <w:highlight w:val="none"/>
          <w:vertAlign w:val="subscript"/>
          <w:lang w:val="en-US" w:eastAsia="zh-CN"/>
        </w:rPr>
        <w:t>共担</w:t>
      </w:r>
      <w:r>
        <w:rPr>
          <w:rFonts w:hint="eastAsia" w:ascii="仿宋_GB2312" w:hAnsi="仿宋_GB2312" w:eastAsia="仿宋_GB2312" w:cs="仿宋_GB2312"/>
          <w:color w:val="auto"/>
          <w:sz w:val="28"/>
          <w:szCs w:val="28"/>
          <w:highlight w:val="none"/>
        </w:rPr>
        <w:t>取值为</w:t>
      </w:r>
      <w:r>
        <w:rPr>
          <w:rFonts w:hint="eastAsia" w:ascii="仿宋_GB2312" w:hAnsi="仿宋_GB2312" w:eastAsia="仿宋_GB2312" w:cs="仿宋_GB2312"/>
          <w:color w:val="auto"/>
          <w:sz w:val="28"/>
          <w:szCs w:val="28"/>
          <w:highlight w:val="none"/>
          <w:lang w:val="en-US" w:eastAsia="zh-CN"/>
        </w:rPr>
        <w:t>零</w:t>
      </w:r>
      <w:r>
        <w:rPr>
          <w:rFonts w:hint="eastAsia" w:ascii="仿宋_GB2312" w:hAnsi="仿宋_GB2312" w:eastAsia="仿宋_GB2312" w:cs="仿宋_GB2312"/>
          <w:color w:val="auto"/>
          <w:sz w:val="28"/>
          <w:szCs w:val="28"/>
          <w:highlight w:val="none"/>
        </w:rPr>
        <w:t>。</w:t>
      </w:r>
    </w:p>
    <w:p w14:paraId="3B4946EA">
      <w:pPr>
        <w:keepNext w:val="0"/>
        <w:keepLines w:val="0"/>
        <w:pageBreakBefore w:val="0"/>
        <w:widowControl w:val="0"/>
        <w:kinsoku/>
        <w:wordWrap/>
        <w:overflowPunct/>
        <w:topLinePunct w:val="0"/>
        <w:autoSpaceDE/>
        <w:autoSpaceDN/>
        <w:bidi w:val="0"/>
        <w:adjustRightInd/>
        <w:snapToGrid/>
        <w:spacing w:line="460" w:lineRule="exact"/>
        <w:ind w:left="0" w:firstLine="562" w:firstLineChars="200"/>
        <w:textAlignment w:val="auto"/>
        <w:rPr>
          <w:rFonts w:hint="default" w:ascii="黑体" w:hAnsi="黑体" w:eastAsia="黑体" w:cs="黑体"/>
          <w:b/>
          <w:bCs/>
          <w:color w:val="auto"/>
          <w:sz w:val="28"/>
          <w:szCs w:val="28"/>
          <w:highlight w:val="none"/>
          <w:lang w:val="en-US"/>
        </w:rPr>
      </w:pPr>
      <w:r>
        <w:rPr>
          <w:rFonts w:hint="eastAsia" w:ascii="黑体" w:hAnsi="黑体" w:eastAsia="黑体" w:cs="黑体"/>
          <w:b/>
          <w:bCs/>
          <w:color w:val="auto"/>
          <w:sz w:val="28"/>
          <w:szCs w:val="28"/>
          <w:highlight w:val="none"/>
          <w:lang w:val="en-US" w:eastAsia="zh-CN"/>
        </w:rPr>
        <w:t>3.4售电公司收益分享</w:t>
      </w:r>
    </w:p>
    <w:p w14:paraId="2268079C">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textAlignment w:val="auto"/>
        <w:rPr>
          <w:rFonts w:hint="default"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eastAsia="zh-CN"/>
        </w:rPr>
        <w:t>3.4.1</w:t>
      </w:r>
      <w:r>
        <w:rPr>
          <w:rFonts w:hint="eastAsia" w:ascii="仿宋_GB2312" w:hAnsi="仿宋_GB2312" w:eastAsia="仿宋_GB2312" w:cs="仿宋_GB2312"/>
          <w:color w:val="auto"/>
          <w:sz w:val="28"/>
          <w:szCs w:val="28"/>
          <w:highlight w:val="none"/>
        </w:rPr>
        <w:t>零售用户向售电公司结算的费用包括</w:t>
      </w:r>
      <w:r>
        <w:rPr>
          <w:rFonts w:hint="eastAsia" w:ascii="仿宋_GB2312" w:hAnsi="仿宋_GB2312" w:eastAsia="仿宋_GB2312" w:cs="仿宋_GB2312"/>
          <w:color w:val="auto"/>
          <w:sz w:val="28"/>
          <w:szCs w:val="28"/>
          <w:highlight w:val="none"/>
          <w:lang w:val="en-US" w:eastAsia="zh-CN"/>
        </w:rPr>
        <w:t>电能量电费、绿色电力环境价值费用，其中电能量电费包括</w:t>
      </w:r>
      <w:r>
        <w:rPr>
          <w:rFonts w:hint="eastAsia" w:ascii="仿宋_GB2312" w:hAnsi="仿宋_GB2312" w:eastAsia="仿宋_GB2312" w:cs="仿宋_GB2312"/>
          <w:color w:val="auto"/>
          <w:sz w:val="28"/>
          <w:szCs w:val="28"/>
          <w:highlight w:val="none"/>
        </w:rPr>
        <w:t>常规电力合同电量电费、绿色电力合同电量电费、偏差电量电费。零售用户按零售套餐计算的电能量均价P</w:t>
      </w:r>
      <w:r>
        <w:rPr>
          <w:rFonts w:hint="eastAsia" w:ascii="仿宋_GB2312" w:hAnsi="仿宋_GB2312" w:eastAsia="仿宋_GB2312" w:cs="仿宋_GB2312"/>
          <w:color w:val="auto"/>
          <w:sz w:val="28"/>
          <w:szCs w:val="28"/>
          <w:highlight w:val="none"/>
          <w:vertAlign w:val="subscript"/>
        </w:rPr>
        <w:t>计</w:t>
      </w:r>
      <w:r>
        <w:rPr>
          <w:rFonts w:hint="eastAsia" w:ascii="仿宋_GB2312" w:hAnsi="仿宋_GB2312" w:eastAsia="仿宋_GB2312" w:cs="仿宋_GB2312"/>
          <w:color w:val="auto"/>
          <w:sz w:val="28"/>
          <w:szCs w:val="28"/>
          <w:highlight w:val="none"/>
          <w:vertAlign w:val="subscript"/>
          <w:lang w:val="en-US" w:eastAsia="zh-CN"/>
        </w:rPr>
        <w:t>算</w:t>
      </w:r>
      <w:r>
        <w:rPr>
          <w:rFonts w:hint="eastAsia" w:ascii="仿宋_GB2312" w:hAnsi="仿宋_GB2312" w:eastAsia="仿宋_GB2312" w:cs="仿宋_GB2312"/>
          <w:color w:val="auto"/>
          <w:sz w:val="28"/>
          <w:szCs w:val="28"/>
          <w:highlight w:val="none"/>
        </w:rPr>
        <w:t>为</w:t>
      </w:r>
      <w:r>
        <w:rPr>
          <w:rFonts w:hint="eastAsia" w:ascii="仿宋_GB2312" w:hAnsi="仿宋_GB2312" w:eastAsia="仿宋_GB2312" w:cs="仿宋_GB2312"/>
          <w:color w:val="auto"/>
          <w:sz w:val="28"/>
          <w:szCs w:val="28"/>
          <w:highlight w:val="none"/>
          <w:lang w:val="en-US" w:eastAsia="zh-CN"/>
        </w:rPr>
        <w:t>电能量电费除以用电量。</w:t>
      </w:r>
    </w:p>
    <w:p w14:paraId="5AC1AC7D">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lang w:val="en-US" w:eastAsia="zh-CN"/>
        </w:rPr>
        <w:t>4.2</w:t>
      </w:r>
      <w:r>
        <w:rPr>
          <w:rFonts w:hint="eastAsia" w:ascii="仿宋_GB2312" w:hAnsi="仿宋_GB2312" w:eastAsia="仿宋_GB2312" w:cs="仿宋_GB2312"/>
          <w:color w:val="auto"/>
          <w:sz w:val="28"/>
          <w:szCs w:val="28"/>
          <w:highlight w:val="none"/>
        </w:rPr>
        <w:t>零售用户按零售套餐计算的电能量均价P</w:t>
      </w:r>
      <w:r>
        <w:rPr>
          <w:rFonts w:hint="eastAsia" w:ascii="仿宋_GB2312" w:hAnsi="仿宋_GB2312" w:eastAsia="仿宋_GB2312" w:cs="仿宋_GB2312"/>
          <w:color w:val="auto"/>
          <w:sz w:val="28"/>
          <w:szCs w:val="28"/>
          <w:highlight w:val="none"/>
          <w:vertAlign w:val="subscript"/>
        </w:rPr>
        <w:t>计</w:t>
      </w:r>
      <w:r>
        <w:rPr>
          <w:rFonts w:hint="eastAsia" w:ascii="仿宋_GB2312" w:hAnsi="仿宋_GB2312" w:eastAsia="仿宋_GB2312" w:cs="仿宋_GB2312"/>
          <w:color w:val="auto"/>
          <w:sz w:val="28"/>
          <w:szCs w:val="28"/>
          <w:highlight w:val="none"/>
          <w:vertAlign w:val="subscript"/>
          <w:lang w:val="en-US" w:eastAsia="zh-CN"/>
        </w:rPr>
        <w:t>算</w:t>
      </w:r>
      <w:r>
        <w:rPr>
          <w:rFonts w:hint="eastAsia" w:ascii="仿宋_GB2312" w:hAnsi="仿宋_GB2312" w:eastAsia="仿宋_GB2312" w:cs="仿宋_GB2312"/>
          <w:color w:val="auto"/>
          <w:kern w:val="0"/>
          <w:sz w:val="28"/>
          <w:szCs w:val="28"/>
          <w:highlight w:val="none"/>
        </w:rPr>
        <w:t>在“</w:t>
      </w:r>
      <w:r>
        <w:rPr>
          <w:rFonts w:hint="eastAsia" w:ascii="仿宋_GB2312" w:hAnsi="仿宋_GB2312" w:eastAsia="仿宋_GB2312" w:cs="仿宋_GB2312"/>
          <w:color w:val="auto"/>
          <w:kern w:val="0"/>
          <w:sz w:val="28"/>
          <w:szCs w:val="28"/>
          <w:highlight w:val="none"/>
          <w:lang w:val="en-US" w:eastAsia="zh-CN"/>
        </w:rPr>
        <w:t>北京</w:t>
      </w:r>
      <w:r>
        <w:rPr>
          <w:rFonts w:hint="eastAsia" w:ascii="仿宋_GB2312" w:hAnsi="仿宋_GB2312" w:eastAsia="仿宋_GB2312" w:cs="仿宋_GB2312"/>
          <w:color w:val="auto"/>
          <w:kern w:val="0"/>
          <w:sz w:val="28"/>
          <w:szCs w:val="28"/>
          <w:highlight w:val="none"/>
        </w:rPr>
        <w:t>燃煤基准价±20%”范围内形成</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上限为431.76元/兆瓦时，下限为287.84元/兆瓦时，当</w:t>
      </w:r>
      <w:r>
        <w:rPr>
          <w:rFonts w:hint="eastAsia" w:ascii="仿宋_GB2312" w:hAnsi="仿宋_GB2312" w:eastAsia="仿宋_GB2312" w:cs="仿宋_GB2312"/>
          <w:color w:val="auto"/>
          <w:sz w:val="28"/>
          <w:szCs w:val="28"/>
          <w:highlight w:val="none"/>
        </w:rPr>
        <w:t>P</w:t>
      </w:r>
      <w:r>
        <w:rPr>
          <w:rFonts w:hint="eastAsia" w:ascii="仿宋_GB2312" w:hAnsi="仿宋_GB2312" w:eastAsia="仿宋_GB2312" w:cs="仿宋_GB2312"/>
          <w:color w:val="auto"/>
          <w:sz w:val="28"/>
          <w:szCs w:val="28"/>
          <w:highlight w:val="none"/>
          <w:vertAlign w:val="subscript"/>
        </w:rPr>
        <w:t>计</w:t>
      </w:r>
      <w:r>
        <w:rPr>
          <w:rFonts w:hint="eastAsia" w:ascii="仿宋_GB2312" w:hAnsi="仿宋_GB2312" w:eastAsia="仿宋_GB2312" w:cs="仿宋_GB2312"/>
          <w:color w:val="auto"/>
          <w:sz w:val="28"/>
          <w:szCs w:val="28"/>
          <w:highlight w:val="none"/>
          <w:vertAlign w:val="subscript"/>
          <w:lang w:val="en-US" w:eastAsia="zh-CN"/>
        </w:rPr>
        <w:t>算</w:t>
      </w:r>
      <w:r>
        <w:rPr>
          <w:rFonts w:hint="eastAsia" w:ascii="仿宋_GB2312" w:hAnsi="仿宋_GB2312" w:eastAsia="仿宋_GB2312" w:cs="仿宋_GB2312"/>
          <w:color w:val="auto"/>
          <w:sz w:val="28"/>
          <w:szCs w:val="28"/>
          <w:highlight w:val="none"/>
          <w:lang w:val="en-US" w:eastAsia="zh-CN"/>
        </w:rPr>
        <w:t>超过上限时，取值为</w:t>
      </w:r>
      <w:r>
        <w:rPr>
          <w:rFonts w:hint="eastAsia" w:ascii="仿宋_GB2312" w:hAnsi="仿宋_GB2312" w:eastAsia="仿宋_GB2312" w:cs="仿宋_GB2312"/>
          <w:color w:val="auto"/>
          <w:kern w:val="0"/>
          <w:sz w:val="28"/>
          <w:szCs w:val="28"/>
          <w:highlight w:val="none"/>
          <w:lang w:val="en-US" w:eastAsia="zh-CN"/>
        </w:rPr>
        <w:t>431.76元/兆瓦时</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kern w:val="0"/>
          <w:sz w:val="28"/>
          <w:szCs w:val="28"/>
          <w:highlight w:val="none"/>
          <w:lang w:val="en-US" w:eastAsia="zh-CN"/>
        </w:rPr>
        <w:t>当</w:t>
      </w:r>
      <w:r>
        <w:rPr>
          <w:rFonts w:hint="eastAsia" w:ascii="仿宋_GB2312" w:hAnsi="仿宋_GB2312" w:eastAsia="仿宋_GB2312" w:cs="仿宋_GB2312"/>
          <w:color w:val="auto"/>
          <w:sz w:val="28"/>
          <w:szCs w:val="28"/>
          <w:highlight w:val="none"/>
        </w:rPr>
        <w:t>P</w:t>
      </w:r>
      <w:r>
        <w:rPr>
          <w:rFonts w:hint="eastAsia" w:ascii="仿宋_GB2312" w:hAnsi="仿宋_GB2312" w:eastAsia="仿宋_GB2312" w:cs="仿宋_GB2312"/>
          <w:color w:val="auto"/>
          <w:sz w:val="28"/>
          <w:szCs w:val="28"/>
          <w:highlight w:val="none"/>
          <w:vertAlign w:val="subscript"/>
        </w:rPr>
        <w:t>计</w:t>
      </w:r>
      <w:r>
        <w:rPr>
          <w:rFonts w:hint="eastAsia" w:ascii="仿宋_GB2312" w:hAnsi="仿宋_GB2312" w:eastAsia="仿宋_GB2312" w:cs="仿宋_GB2312"/>
          <w:color w:val="auto"/>
          <w:sz w:val="28"/>
          <w:szCs w:val="28"/>
          <w:highlight w:val="none"/>
          <w:vertAlign w:val="subscript"/>
          <w:lang w:val="en-US" w:eastAsia="zh-CN"/>
        </w:rPr>
        <w:t>算</w:t>
      </w:r>
      <w:r>
        <w:rPr>
          <w:rFonts w:hint="eastAsia" w:ascii="仿宋_GB2312" w:hAnsi="仿宋_GB2312" w:eastAsia="仿宋_GB2312" w:cs="仿宋_GB2312"/>
          <w:color w:val="auto"/>
          <w:sz w:val="28"/>
          <w:szCs w:val="28"/>
          <w:highlight w:val="none"/>
        </w:rPr>
        <w:t>低于下限</w:t>
      </w:r>
      <w:r>
        <w:rPr>
          <w:rFonts w:hint="eastAsia" w:ascii="仿宋_GB2312" w:hAnsi="仿宋_GB2312" w:eastAsia="仿宋_GB2312" w:cs="仿宋_GB2312"/>
          <w:color w:val="auto"/>
          <w:sz w:val="28"/>
          <w:szCs w:val="28"/>
          <w:highlight w:val="none"/>
          <w:lang w:val="en-US" w:eastAsia="zh-CN"/>
        </w:rPr>
        <w:t>时</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取值为</w:t>
      </w:r>
      <w:r>
        <w:rPr>
          <w:rFonts w:hint="eastAsia" w:ascii="仿宋_GB2312" w:hAnsi="仿宋_GB2312" w:eastAsia="仿宋_GB2312" w:cs="仿宋_GB2312"/>
          <w:color w:val="auto"/>
          <w:kern w:val="0"/>
          <w:sz w:val="28"/>
          <w:szCs w:val="28"/>
          <w:highlight w:val="none"/>
          <w:lang w:val="en-US" w:eastAsia="zh-CN"/>
        </w:rPr>
        <w:t>287.84元/兆瓦时</w:t>
      </w:r>
      <w:r>
        <w:rPr>
          <w:rFonts w:hint="eastAsia" w:ascii="仿宋_GB2312" w:hAnsi="仿宋_GB2312" w:eastAsia="仿宋_GB2312" w:cs="仿宋_GB2312"/>
          <w:color w:val="auto"/>
          <w:sz w:val="28"/>
          <w:szCs w:val="28"/>
          <w:highlight w:val="none"/>
        </w:rPr>
        <w:t>。</w:t>
      </w:r>
    </w:p>
    <w:p w14:paraId="66FB6118">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ind w:left="0" w:firstLine="560" w:firstLineChars="200"/>
        <w:jc w:val="both"/>
        <w:textAlignment w:val="auto"/>
        <w:outlineLvl w:val="0"/>
        <w:rPr>
          <w:rFonts w:hint="eastAsia" w:ascii="仿宋_GB2312" w:hAnsi="仿宋_GB2312" w:eastAsia="仿宋_GB2312" w:cs="仿宋_GB2312"/>
          <w:i w:val="0"/>
          <w:iCs w:val="0"/>
          <w:color w:val="auto"/>
          <w:kern w:val="2"/>
          <w:sz w:val="28"/>
          <w:szCs w:val="28"/>
          <w:highlight w:val="none"/>
          <w:lang w:val="en-US" w:bidi="ar-SA"/>
        </w:rPr>
      </w:pPr>
      <w:r>
        <w:rPr>
          <w:rFonts w:hint="eastAsia" w:ascii="仿宋_GB2312" w:hAnsi="仿宋_GB2312" w:eastAsia="仿宋_GB2312" w:cs="仿宋_GB2312"/>
          <w:color w:val="auto"/>
          <w:sz w:val="28"/>
          <w:szCs w:val="28"/>
          <w:highlight w:val="none"/>
          <w:lang w:val="en-US" w:eastAsia="zh-CN"/>
        </w:rPr>
        <w:t>3.4.3</w:t>
      </w:r>
      <w:r>
        <w:rPr>
          <w:rFonts w:hint="eastAsia" w:ascii="仿宋_GB2312" w:hAnsi="仿宋_GB2312" w:eastAsia="仿宋_GB2312" w:cs="仿宋_GB2312"/>
          <w:i w:val="0"/>
          <w:iCs w:val="0"/>
          <w:color w:val="auto"/>
          <w:kern w:val="2"/>
          <w:sz w:val="28"/>
          <w:szCs w:val="28"/>
          <w:highlight w:val="none"/>
          <w:lang w:val="en-US" w:eastAsia="zh-CN" w:bidi="ar-SA"/>
        </w:rPr>
        <w:t>当售电公司月度批零价差（Δ）满足Δ﹥1.2×(2025年度市场平均批零价差)时，超额部分金额（Δ-1.2×年度平均价差）按照售电公司与零售用户协商确定的比例进行分享，分享比例应大幅向零售用户倾斜。售电公司月度批发购电均价计算时包括合同电费和偏差电费，不包括差额资金。</w:t>
      </w:r>
    </w:p>
    <w:p w14:paraId="59485935">
      <w:pPr>
        <w:pStyle w:val="8"/>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b w:val="0"/>
          <w:i w:val="0"/>
          <w:iCs w:val="0"/>
          <w:color w:val="auto"/>
          <w:kern w:val="0"/>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rPr>
        <w:t>3.4.4双方约定收益分享比例F</w:t>
      </w:r>
      <w:r>
        <w:rPr>
          <w:rFonts w:hint="eastAsia" w:ascii="仿宋_GB2312" w:hAnsi="仿宋_GB2312" w:eastAsia="仿宋_GB2312" w:cs="仿宋_GB2312"/>
          <w:color w:val="auto"/>
          <w:sz w:val="28"/>
          <w:szCs w:val="28"/>
          <w:highlight w:val="none"/>
          <w:vertAlign w:val="subscript"/>
          <w:lang w:val="en-US" w:eastAsia="zh-CN"/>
        </w:rPr>
        <w:t>分享</w:t>
      </w:r>
      <w:r>
        <w:rPr>
          <w:rFonts w:hint="eastAsia" w:ascii="仿宋_GB2312" w:hAnsi="仿宋_GB2312" w:eastAsia="仿宋_GB2312" w:cs="仿宋_GB2312"/>
          <w:color w:val="auto"/>
          <w:sz w:val="28"/>
          <w:szCs w:val="28"/>
          <w:highlight w:val="none"/>
          <w:lang w:val="en-US" w:eastAsia="zh-CN"/>
        </w:rPr>
        <w:t>,取值可选为100%、90%、80%，向</w:t>
      </w:r>
      <w:r>
        <w:rPr>
          <w:rFonts w:hint="eastAsia" w:ascii="仿宋_GB2312" w:hAnsi="仿宋_GB2312" w:eastAsia="仿宋_GB2312" w:cs="仿宋_GB2312"/>
          <w:color w:val="auto"/>
          <w:kern w:val="0"/>
          <w:sz w:val="28"/>
          <w:szCs w:val="28"/>
          <w:highlight w:val="none"/>
          <w:lang w:val="en-US" w:eastAsia="zh-CN"/>
        </w:rPr>
        <w:t>零售用户分享电价</w:t>
      </w:r>
      <w:r>
        <w:rPr>
          <w:rFonts w:hint="eastAsia" w:ascii="仿宋_GB2312" w:hAnsi="仿宋_GB2312" w:eastAsia="仿宋_GB2312" w:cs="仿宋_GB2312"/>
          <w:b w:val="0"/>
          <w:i w:val="0"/>
          <w:iCs w:val="0"/>
          <w:color w:val="auto"/>
          <w:kern w:val="0"/>
          <w:sz w:val="28"/>
          <w:szCs w:val="28"/>
          <w:highlight w:val="none"/>
          <w:lang w:val="en-US" w:eastAsia="zh-CN" w:bidi="ar-SA"/>
        </w:rPr>
        <w:t>为售电公司超额部分收益折价与</w:t>
      </w:r>
      <w:r>
        <w:rPr>
          <w:rFonts w:hint="eastAsia" w:ascii="仿宋_GB2312" w:hAnsi="仿宋_GB2312" w:eastAsia="仿宋_GB2312" w:cs="仿宋_GB2312"/>
          <w:color w:val="auto"/>
          <w:sz w:val="28"/>
          <w:szCs w:val="28"/>
          <w:highlight w:val="none"/>
          <w:lang w:val="en-US" w:eastAsia="zh-CN"/>
        </w:rPr>
        <w:t>F</w:t>
      </w:r>
      <w:r>
        <w:rPr>
          <w:rFonts w:hint="eastAsia" w:ascii="仿宋_GB2312" w:hAnsi="仿宋_GB2312" w:eastAsia="仿宋_GB2312" w:cs="仿宋_GB2312"/>
          <w:color w:val="auto"/>
          <w:sz w:val="28"/>
          <w:szCs w:val="28"/>
          <w:highlight w:val="none"/>
          <w:vertAlign w:val="subscript"/>
          <w:lang w:val="en-US" w:eastAsia="zh-CN"/>
        </w:rPr>
        <w:t>分享</w:t>
      </w:r>
      <w:r>
        <w:rPr>
          <w:rFonts w:hint="eastAsia" w:ascii="仿宋_GB2312" w:hAnsi="仿宋_GB2312" w:eastAsia="仿宋_GB2312" w:cs="仿宋_GB2312"/>
          <w:b w:val="0"/>
          <w:i w:val="0"/>
          <w:iCs w:val="0"/>
          <w:color w:val="auto"/>
          <w:kern w:val="0"/>
          <w:sz w:val="28"/>
          <w:szCs w:val="28"/>
          <w:highlight w:val="none"/>
          <w:lang w:val="en-US" w:eastAsia="zh-CN" w:bidi="ar-SA"/>
        </w:rPr>
        <w:t>的乘积。</w:t>
      </w:r>
    </w:p>
    <w:p w14:paraId="3F69453A">
      <w:pPr>
        <w:pStyle w:val="8"/>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3.4.5零售用户向售电公司支付的电能量费用为</w:t>
      </w:r>
      <w:r>
        <w:rPr>
          <w:rFonts w:hint="eastAsia" w:ascii="仿宋_GB2312" w:hAnsi="仿宋_GB2312" w:eastAsia="仿宋_GB2312" w:cs="仿宋_GB2312"/>
          <w:b w:val="0"/>
          <w:i w:val="0"/>
          <w:iCs w:val="0"/>
          <w:color w:val="auto"/>
          <w:kern w:val="0"/>
          <w:sz w:val="28"/>
          <w:szCs w:val="28"/>
          <w:highlight w:val="none"/>
          <w:lang w:val="en-US" w:eastAsia="zh-CN" w:bidi="ar"/>
        </w:rPr>
        <w:t>零售套餐计算的电能量均价</w:t>
      </w:r>
      <w:r>
        <w:rPr>
          <w:rFonts w:hint="eastAsia" w:ascii="仿宋_GB2312" w:hAnsi="仿宋_GB2312" w:eastAsia="仿宋_GB2312" w:cs="仿宋_GB2312"/>
          <w:color w:val="auto"/>
          <w:sz w:val="28"/>
          <w:szCs w:val="28"/>
          <w:highlight w:val="none"/>
        </w:rPr>
        <w:t>P</w:t>
      </w:r>
      <w:r>
        <w:rPr>
          <w:rFonts w:hint="eastAsia" w:ascii="仿宋_GB2312" w:hAnsi="仿宋_GB2312" w:eastAsia="仿宋_GB2312" w:cs="仿宋_GB2312"/>
          <w:color w:val="auto"/>
          <w:sz w:val="28"/>
          <w:szCs w:val="28"/>
          <w:highlight w:val="none"/>
          <w:vertAlign w:val="subscript"/>
        </w:rPr>
        <w:t>计</w:t>
      </w:r>
      <w:r>
        <w:rPr>
          <w:rFonts w:hint="eastAsia" w:ascii="仿宋_GB2312" w:hAnsi="仿宋_GB2312" w:eastAsia="仿宋_GB2312" w:cs="仿宋_GB2312"/>
          <w:color w:val="auto"/>
          <w:sz w:val="28"/>
          <w:szCs w:val="28"/>
          <w:highlight w:val="none"/>
          <w:vertAlign w:val="subscript"/>
          <w:lang w:val="en-US" w:eastAsia="zh-CN"/>
        </w:rPr>
        <w:t>算</w:t>
      </w:r>
      <w:r>
        <w:rPr>
          <w:rFonts w:hint="eastAsia" w:ascii="仿宋_GB2312" w:hAnsi="仿宋_GB2312" w:eastAsia="仿宋_GB2312" w:cs="仿宋_GB2312"/>
          <w:b w:val="0"/>
          <w:i w:val="0"/>
          <w:iCs w:val="0"/>
          <w:color w:val="auto"/>
          <w:kern w:val="0"/>
          <w:sz w:val="28"/>
          <w:szCs w:val="28"/>
          <w:highlight w:val="none"/>
          <w:lang w:val="en-US" w:eastAsia="zh-CN" w:bidi="ar-SA"/>
        </w:rPr>
        <w:t>与向</w:t>
      </w:r>
      <w:r>
        <w:rPr>
          <w:rFonts w:hint="eastAsia" w:ascii="仿宋_GB2312" w:hAnsi="仿宋_GB2312" w:eastAsia="仿宋_GB2312" w:cs="仿宋_GB2312"/>
          <w:color w:val="auto"/>
          <w:kern w:val="0"/>
          <w:sz w:val="28"/>
          <w:szCs w:val="28"/>
          <w:highlight w:val="none"/>
          <w:lang w:val="en-US" w:eastAsia="zh-CN"/>
        </w:rPr>
        <w:t>零售用户分享电价</w:t>
      </w:r>
      <w:r>
        <w:rPr>
          <w:rFonts w:hint="eastAsia" w:ascii="仿宋_GB2312" w:hAnsi="仿宋_GB2312" w:eastAsia="仿宋_GB2312" w:cs="仿宋_GB2312"/>
          <w:color w:val="auto"/>
          <w:sz w:val="28"/>
          <w:szCs w:val="28"/>
          <w:highlight w:val="none"/>
        </w:rPr>
        <w:t>P</w:t>
      </w:r>
      <w:r>
        <w:rPr>
          <w:rFonts w:hint="eastAsia" w:ascii="仿宋_GB2312" w:hAnsi="仿宋_GB2312" w:eastAsia="仿宋_GB2312" w:cs="仿宋_GB2312"/>
          <w:color w:val="auto"/>
          <w:sz w:val="28"/>
          <w:szCs w:val="28"/>
          <w:highlight w:val="none"/>
          <w:vertAlign w:val="subscript"/>
          <w:lang w:val="en-US" w:eastAsia="zh-CN"/>
        </w:rPr>
        <w:t>分享</w:t>
      </w:r>
      <w:r>
        <w:rPr>
          <w:rFonts w:hint="eastAsia" w:ascii="仿宋_GB2312" w:hAnsi="仿宋_GB2312" w:eastAsia="仿宋_GB2312" w:cs="仿宋_GB2312"/>
          <w:b w:val="0"/>
          <w:i w:val="0"/>
          <w:iCs w:val="0"/>
          <w:color w:val="auto"/>
          <w:kern w:val="0"/>
          <w:sz w:val="28"/>
          <w:szCs w:val="28"/>
          <w:highlight w:val="none"/>
          <w:lang w:val="en-US" w:eastAsia="zh-CN" w:bidi="ar-SA"/>
        </w:rPr>
        <w:t>之差与实际用电量的乘积</w:t>
      </w:r>
      <w:r>
        <w:rPr>
          <w:rFonts w:hint="eastAsia" w:ascii="仿宋_GB2312" w:hAnsi="仿宋_GB2312" w:eastAsia="仿宋_GB2312" w:cs="仿宋_GB2312"/>
          <w:color w:val="auto"/>
          <w:sz w:val="28"/>
          <w:szCs w:val="28"/>
          <w:highlight w:val="none"/>
          <w:lang w:val="en-US" w:eastAsia="zh-CN"/>
        </w:rPr>
        <w:t>。</w:t>
      </w:r>
    </w:p>
    <w:p w14:paraId="798778D8">
      <w:pPr>
        <w:pStyle w:val="8"/>
        <w:widowControl/>
        <w:spacing w:line="4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3.4.6收益分享后的月度零售市场均价、2025年度市场平均批零价差由交易中心在交易平台发布。</w:t>
      </w:r>
    </w:p>
    <w:p w14:paraId="029B94C7">
      <w:pPr>
        <w:pStyle w:val="5"/>
        <w:rPr>
          <w:rFonts w:hint="eastAsia" w:asciiTheme="minorEastAsia" w:hAnsiTheme="minorEastAsia" w:eastAsiaTheme="minorEastAsia" w:cstheme="minorEastAsia"/>
          <w:color w:val="auto"/>
          <w:sz w:val="21"/>
          <w:szCs w:val="21"/>
          <w:highlight w:val="none"/>
          <w:lang w:val="en-US" w:eastAsia="zh-CN"/>
        </w:rPr>
      </w:pPr>
    </w:p>
    <w:p w14:paraId="71F1FD20">
      <w:pPr>
        <w:keepNext w:val="0"/>
        <w:keepLines w:val="0"/>
        <w:pageBreakBefore w:val="0"/>
        <w:widowControl w:val="0"/>
        <w:numPr>
          <w:ilvl w:val="0"/>
          <w:numId w:val="1"/>
        </w:numPr>
        <w:kinsoku/>
        <w:wordWrap/>
        <w:overflowPunct/>
        <w:topLinePunct w:val="0"/>
        <w:autoSpaceDE/>
        <w:autoSpaceDN/>
        <w:bidi w:val="0"/>
        <w:adjustRightInd/>
        <w:snapToGrid/>
        <w:spacing w:line="460" w:lineRule="exact"/>
        <w:jc w:val="center"/>
        <w:textAlignment w:val="auto"/>
        <w:rPr>
          <w:rFonts w:hint="eastAsia" w:ascii="黑体" w:hAnsi="黑体" w:eastAsia="黑体" w:cs="黑体"/>
          <w:b/>
          <w:bCs/>
          <w:color w:val="auto"/>
          <w:sz w:val="32"/>
          <w:szCs w:val="32"/>
          <w:highlight w:val="none"/>
          <w:u w:val="none"/>
          <w:lang w:val="en-US" w:eastAsia="zh-CN"/>
        </w:rPr>
      </w:pPr>
      <w:r>
        <w:rPr>
          <w:rFonts w:hint="eastAsia" w:ascii="黑体" w:hAnsi="黑体" w:eastAsia="黑体" w:cs="黑体"/>
          <w:b/>
          <w:bCs/>
          <w:color w:val="auto"/>
          <w:sz w:val="32"/>
          <w:szCs w:val="32"/>
          <w:highlight w:val="none"/>
          <w:u w:val="none"/>
          <w:lang w:val="en-US" w:eastAsia="zh-CN"/>
        </w:rPr>
        <w:t>零售结算</w:t>
      </w:r>
    </w:p>
    <w:p w14:paraId="41441A6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lang w:val="en-US" w:eastAsia="zh-CN"/>
        </w:rPr>
        <w:t>4.1</w:t>
      </w:r>
      <w:r>
        <w:rPr>
          <w:rFonts w:hint="eastAsia" w:ascii="仿宋_GB2312" w:hAnsi="仿宋_GB2312" w:eastAsia="仿宋_GB2312" w:cs="仿宋_GB2312"/>
          <w:color w:val="auto"/>
          <w:kern w:val="0"/>
          <w:sz w:val="28"/>
          <w:szCs w:val="28"/>
          <w:highlight w:val="none"/>
        </w:rPr>
        <w:t>甲方实际用电量</w:t>
      </w:r>
      <w:r>
        <w:rPr>
          <w:rFonts w:hint="eastAsia" w:ascii="仿宋_GB2312" w:hAnsi="仿宋_GB2312" w:eastAsia="仿宋_GB2312" w:cs="仿宋_GB2312"/>
          <w:color w:val="auto"/>
          <w:kern w:val="0"/>
          <w:sz w:val="28"/>
          <w:szCs w:val="28"/>
          <w:highlight w:val="none"/>
          <w:lang w:val="en-US" w:eastAsia="zh-CN"/>
        </w:rPr>
        <w:t>以</w:t>
      </w:r>
      <w:r>
        <w:rPr>
          <w:rFonts w:hint="eastAsia" w:ascii="仿宋_GB2312" w:hAnsi="仿宋_GB2312" w:eastAsia="仿宋_GB2312" w:cs="仿宋_GB2312"/>
          <w:color w:val="auto"/>
          <w:kern w:val="0"/>
          <w:sz w:val="28"/>
          <w:szCs w:val="28"/>
          <w:highlight w:val="none"/>
        </w:rPr>
        <w:t>电网企业抄录</w:t>
      </w:r>
      <w:r>
        <w:rPr>
          <w:rFonts w:hint="eastAsia" w:ascii="仿宋_GB2312" w:hAnsi="仿宋_GB2312" w:eastAsia="仿宋_GB2312" w:cs="仿宋_GB2312"/>
          <w:color w:val="auto"/>
          <w:kern w:val="0"/>
          <w:sz w:val="28"/>
          <w:szCs w:val="28"/>
          <w:highlight w:val="none"/>
          <w:lang w:val="en-US" w:eastAsia="zh-CN"/>
        </w:rPr>
        <w:t>并推送至交易中心的电量为准。</w:t>
      </w:r>
      <w:r>
        <w:rPr>
          <w:rFonts w:hint="eastAsia" w:ascii="仿宋_GB2312" w:hAnsi="仿宋_GB2312" w:eastAsia="仿宋_GB2312" w:cs="仿宋_GB2312"/>
          <w:color w:val="auto"/>
          <w:kern w:val="0"/>
          <w:sz w:val="28"/>
          <w:szCs w:val="28"/>
          <w:highlight w:val="none"/>
        </w:rPr>
        <w:t>本合同履行期间，若电能计量点（或营销户号）发生变更，甲方应</w:t>
      </w:r>
      <w:r>
        <w:rPr>
          <w:rFonts w:hint="eastAsia" w:ascii="仿宋_GB2312" w:hAnsi="仿宋_GB2312" w:eastAsia="仿宋_GB2312" w:cs="仿宋_GB2312"/>
          <w:color w:val="auto"/>
          <w:kern w:val="0"/>
          <w:sz w:val="28"/>
          <w:szCs w:val="28"/>
          <w:highlight w:val="none"/>
          <w:lang w:val="en-US" w:eastAsia="zh-CN"/>
        </w:rPr>
        <w:t>自主</w:t>
      </w:r>
      <w:r>
        <w:rPr>
          <w:rFonts w:hint="eastAsia" w:ascii="仿宋_GB2312" w:hAnsi="仿宋_GB2312" w:eastAsia="仿宋_GB2312" w:cs="仿宋_GB2312"/>
          <w:color w:val="auto"/>
          <w:kern w:val="0"/>
          <w:sz w:val="28"/>
          <w:szCs w:val="28"/>
          <w:highlight w:val="none"/>
        </w:rPr>
        <w:t>及时完成营销业务系统以及交易平台的信息变更</w:t>
      </w:r>
      <w:r>
        <w:rPr>
          <w:rFonts w:hint="eastAsia" w:ascii="仿宋_GB2312" w:hAnsi="仿宋_GB2312" w:eastAsia="仿宋_GB2312" w:cs="仿宋_GB2312"/>
          <w:color w:val="auto"/>
          <w:kern w:val="0"/>
          <w:sz w:val="28"/>
          <w:szCs w:val="28"/>
          <w:highlight w:val="none"/>
          <w:lang w:eastAsia="zh-CN"/>
        </w:rPr>
        <w:t>。</w:t>
      </w:r>
    </w:p>
    <w:p w14:paraId="2E71305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4.2</w:t>
      </w:r>
      <w:r>
        <w:rPr>
          <w:rFonts w:hint="eastAsia" w:ascii="仿宋_GB2312" w:hAnsi="仿宋_GB2312" w:eastAsia="仿宋_GB2312" w:cs="仿宋_GB2312"/>
          <w:color w:val="auto"/>
          <w:kern w:val="0"/>
          <w:sz w:val="28"/>
          <w:szCs w:val="28"/>
          <w:highlight w:val="none"/>
        </w:rPr>
        <w:t>交易中心根据相关交易规则、政府主管部门文件要求及</w:t>
      </w:r>
      <w:r>
        <w:rPr>
          <w:rFonts w:hint="eastAsia" w:ascii="仿宋_GB2312" w:hAnsi="仿宋_GB2312" w:eastAsia="仿宋_GB2312" w:cs="仿宋_GB2312"/>
          <w:color w:val="auto"/>
          <w:sz w:val="28"/>
          <w:szCs w:val="28"/>
          <w:highlight w:val="none"/>
        </w:rPr>
        <w:t>《北京市电力</w:t>
      </w:r>
      <w:r>
        <w:rPr>
          <w:rFonts w:hint="eastAsia" w:ascii="仿宋_GB2312" w:hAnsi="仿宋_GB2312" w:eastAsia="仿宋_GB2312" w:cs="仿宋_GB2312"/>
          <w:color w:val="auto"/>
          <w:sz w:val="28"/>
          <w:szCs w:val="28"/>
          <w:highlight w:val="none"/>
          <w:lang w:val="en-US" w:eastAsia="zh-CN"/>
        </w:rPr>
        <w:t>市场化</w:t>
      </w:r>
      <w:r>
        <w:rPr>
          <w:rFonts w:hint="eastAsia" w:ascii="仿宋_GB2312" w:hAnsi="仿宋_GB2312" w:eastAsia="仿宋_GB2312" w:cs="仿宋_GB2312"/>
          <w:color w:val="auto"/>
          <w:sz w:val="28"/>
          <w:szCs w:val="28"/>
          <w:highlight w:val="none"/>
        </w:rPr>
        <w:t>直接交易结算指引</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2026年</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kern w:val="0"/>
          <w:sz w:val="28"/>
          <w:szCs w:val="28"/>
          <w:highlight w:val="none"/>
        </w:rPr>
        <w:t>要求，按照甲乙双方协商签订的零售套餐结算参数，按月开展零售市场线上结算并出具结算依据。</w:t>
      </w:r>
    </w:p>
    <w:p w14:paraId="459D6BB8">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textAlignment w:val="auto"/>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lang w:val="en-US" w:eastAsia="zh-CN"/>
        </w:rPr>
        <w:t>4.3</w:t>
      </w:r>
      <w:r>
        <w:rPr>
          <w:rFonts w:hint="eastAsia" w:ascii="仿宋_GB2312" w:hAnsi="仿宋_GB2312" w:eastAsia="仿宋_GB2312" w:cs="仿宋_GB2312"/>
          <w:color w:val="auto"/>
          <w:kern w:val="0"/>
          <w:sz w:val="28"/>
          <w:szCs w:val="28"/>
          <w:highlight w:val="none"/>
        </w:rPr>
        <w:t>按照</w:t>
      </w:r>
      <w:r>
        <w:rPr>
          <w:rFonts w:hint="eastAsia" w:ascii="仿宋_GB2312" w:hAnsi="仿宋_GB2312" w:eastAsia="仿宋_GB2312" w:cs="仿宋_GB2312"/>
          <w:color w:val="auto"/>
          <w:kern w:val="0"/>
          <w:sz w:val="28"/>
          <w:szCs w:val="28"/>
          <w:highlight w:val="none"/>
          <w:lang w:val="en-US" w:eastAsia="zh-CN"/>
        </w:rPr>
        <w:t>北京市2026年</w:t>
      </w:r>
      <w:r>
        <w:rPr>
          <w:rFonts w:hint="eastAsia" w:ascii="仿宋_GB2312" w:hAnsi="仿宋_GB2312" w:eastAsia="仿宋_GB2312" w:cs="仿宋_GB2312"/>
          <w:color w:val="auto"/>
          <w:kern w:val="0"/>
          <w:sz w:val="28"/>
          <w:szCs w:val="28"/>
          <w:highlight w:val="none"/>
        </w:rPr>
        <w:t>年度交易方案，零售合同</w:t>
      </w:r>
      <w:r>
        <w:rPr>
          <w:rFonts w:hint="eastAsia" w:ascii="仿宋_GB2312" w:hAnsi="仿宋_GB2312" w:eastAsia="仿宋_GB2312" w:cs="仿宋_GB2312"/>
          <w:color w:val="auto"/>
          <w:kern w:val="0"/>
          <w:sz w:val="28"/>
          <w:szCs w:val="28"/>
          <w:highlight w:val="none"/>
          <w:lang w:val="en-US" w:eastAsia="zh-CN"/>
        </w:rPr>
        <w:t>的</w:t>
      </w:r>
      <w:r>
        <w:rPr>
          <w:rFonts w:hint="eastAsia" w:ascii="仿宋_GB2312" w:hAnsi="仿宋_GB2312" w:eastAsia="仿宋_GB2312" w:cs="仿宋_GB2312"/>
          <w:color w:val="auto"/>
          <w:kern w:val="0"/>
          <w:sz w:val="28"/>
          <w:szCs w:val="28"/>
          <w:highlight w:val="none"/>
        </w:rPr>
        <w:t>电能量价格在“</w:t>
      </w:r>
      <w:r>
        <w:rPr>
          <w:rFonts w:hint="eastAsia" w:ascii="仿宋_GB2312" w:hAnsi="仿宋_GB2312" w:eastAsia="仿宋_GB2312" w:cs="仿宋_GB2312"/>
          <w:color w:val="auto"/>
          <w:kern w:val="0"/>
          <w:sz w:val="28"/>
          <w:szCs w:val="28"/>
          <w:highlight w:val="none"/>
          <w:lang w:val="en-US" w:eastAsia="zh-CN"/>
        </w:rPr>
        <w:t>北京</w:t>
      </w:r>
      <w:r>
        <w:rPr>
          <w:rFonts w:hint="eastAsia" w:ascii="仿宋_GB2312" w:hAnsi="仿宋_GB2312" w:eastAsia="仿宋_GB2312" w:cs="仿宋_GB2312"/>
          <w:color w:val="auto"/>
          <w:kern w:val="0"/>
          <w:sz w:val="28"/>
          <w:szCs w:val="28"/>
          <w:highlight w:val="none"/>
        </w:rPr>
        <w:t>燃煤基准价±20%”范围内形成，</w:t>
      </w:r>
      <w:r>
        <w:rPr>
          <w:rFonts w:hint="eastAsia" w:ascii="仿宋_GB2312" w:hAnsi="仿宋_GB2312" w:eastAsia="仿宋_GB2312" w:cs="仿宋_GB2312"/>
          <w:color w:val="auto"/>
          <w:kern w:val="0"/>
          <w:sz w:val="28"/>
          <w:szCs w:val="28"/>
          <w:highlight w:val="none"/>
          <w:lang w:val="en-US" w:eastAsia="zh-CN"/>
        </w:rPr>
        <w:t>即287.84至</w:t>
      </w:r>
      <w:r>
        <w:rPr>
          <w:rFonts w:hint="eastAsia" w:ascii="仿宋_GB2312" w:hAnsi="仿宋_GB2312" w:eastAsia="仿宋_GB2312" w:cs="仿宋_GB2312"/>
          <w:color w:val="auto"/>
          <w:kern w:val="0"/>
          <w:sz w:val="28"/>
          <w:szCs w:val="28"/>
          <w:highlight w:val="none"/>
        </w:rPr>
        <w:t>431.76元/兆瓦时</w:t>
      </w:r>
      <w:r>
        <w:rPr>
          <w:rFonts w:hint="eastAsia" w:ascii="仿宋_GB2312" w:hAnsi="仿宋_GB2312" w:eastAsia="仿宋_GB2312" w:cs="仿宋_GB2312"/>
          <w:color w:val="auto"/>
          <w:kern w:val="0"/>
          <w:sz w:val="28"/>
          <w:szCs w:val="28"/>
          <w:highlight w:val="none"/>
          <w:lang w:val="en-US" w:eastAsia="zh-CN"/>
        </w:rPr>
        <w:t>之间</w:t>
      </w:r>
      <w:r>
        <w:rPr>
          <w:rFonts w:hint="eastAsia" w:ascii="仿宋_GB2312" w:hAnsi="仿宋_GB2312" w:eastAsia="仿宋_GB2312" w:cs="仿宋_GB2312"/>
          <w:color w:val="auto"/>
          <w:kern w:val="0"/>
          <w:sz w:val="28"/>
          <w:szCs w:val="28"/>
          <w:highlight w:val="none"/>
        </w:rPr>
        <w:t>。</w:t>
      </w:r>
      <w:r>
        <w:rPr>
          <w:rFonts w:hint="eastAsia" w:ascii="仿宋_GB2312" w:hAnsi="仿宋_GB2312" w:eastAsia="仿宋_GB2312" w:cs="仿宋_GB2312"/>
          <w:color w:val="auto"/>
          <w:sz w:val="28"/>
          <w:szCs w:val="28"/>
          <w:highlight w:val="none"/>
        </w:rPr>
        <w:t>零售用户与售电公司</w:t>
      </w:r>
      <w:r>
        <w:rPr>
          <w:rFonts w:hint="eastAsia" w:ascii="仿宋_GB2312" w:hAnsi="仿宋_GB2312" w:eastAsia="仿宋_GB2312" w:cs="仿宋_GB2312"/>
          <w:color w:val="auto"/>
          <w:sz w:val="28"/>
          <w:szCs w:val="28"/>
          <w:highlight w:val="none"/>
          <w:lang w:val="en-US" w:eastAsia="zh-CN"/>
        </w:rPr>
        <w:t>按套餐</w:t>
      </w:r>
      <w:r>
        <w:rPr>
          <w:rFonts w:hint="eastAsia" w:ascii="仿宋_GB2312" w:hAnsi="仿宋_GB2312" w:eastAsia="仿宋_GB2312" w:cs="仿宋_GB2312"/>
          <w:color w:val="auto"/>
          <w:kern w:val="0"/>
          <w:sz w:val="28"/>
          <w:szCs w:val="28"/>
          <w:highlight w:val="none"/>
          <w:lang w:val="en-US" w:eastAsia="zh-CN"/>
        </w:rPr>
        <w:t>形成</w:t>
      </w:r>
      <w:r>
        <w:rPr>
          <w:rFonts w:hint="eastAsia" w:ascii="仿宋_GB2312" w:hAnsi="仿宋_GB2312" w:eastAsia="仿宋_GB2312" w:cs="仿宋_GB2312"/>
          <w:color w:val="auto"/>
          <w:kern w:val="0"/>
          <w:sz w:val="28"/>
          <w:szCs w:val="28"/>
          <w:highlight w:val="none"/>
        </w:rPr>
        <w:t>的常规电力</w:t>
      </w:r>
      <w:r>
        <w:rPr>
          <w:rFonts w:hint="eastAsia" w:ascii="仿宋_GB2312" w:hAnsi="仿宋_GB2312" w:eastAsia="仿宋_GB2312" w:cs="仿宋_GB2312"/>
          <w:color w:val="auto"/>
          <w:kern w:val="0"/>
          <w:sz w:val="28"/>
          <w:szCs w:val="28"/>
          <w:highlight w:val="none"/>
          <w:lang w:val="en-US" w:eastAsia="zh-CN"/>
        </w:rPr>
        <w:t>电能量价格</w:t>
      </w:r>
      <w:r>
        <w:rPr>
          <w:rFonts w:hint="eastAsia" w:ascii="仿宋_GB2312" w:hAnsi="仿宋_GB2312" w:eastAsia="仿宋_GB2312" w:cs="仿宋_GB2312"/>
          <w:color w:val="auto"/>
          <w:kern w:val="0"/>
          <w:sz w:val="28"/>
          <w:szCs w:val="28"/>
          <w:highlight w:val="none"/>
        </w:rPr>
        <w:t>P</w:t>
      </w:r>
      <w:r>
        <w:rPr>
          <w:rFonts w:hint="eastAsia" w:ascii="仿宋_GB2312" w:hAnsi="仿宋_GB2312" w:eastAsia="仿宋_GB2312" w:cs="仿宋_GB2312"/>
          <w:color w:val="auto"/>
          <w:kern w:val="0"/>
          <w:sz w:val="28"/>
          <w:szCs w:val="28"/>
          <w:highlight w:val="none"/>
          <w:vertAlign w:val="subscript"/>
        </w:rPr>
        <w:t>常</w:t>
      </w:r>
      <w:r>
        <w:rPr>
          <w:rFonts w:hint="eastAsia" w:ascii="仿宋_GB2312" w:hAnsi="仿宋_GB2312" w:eastAsia="仿宋_GB2312" w:cs="仿宋_GB2312"/>
          <w:color w:val="auto"/>
          <w:kern w:val="0"/>
          <w:sz w:val="28"/>
          <w:szCs w:val="28"/>
          <w:highlight w:val="none"/>
          <w:lang w:val="en-US" w:eastAsia="zh-CN"/>
        </w:rPr>
        <w:t>及</w:t>
      </w:r>
      <w:r>
        <w:rPr>
          <w:rFonts w:hint="eastAsia" w:ascii="仿宋_GB2312" w:hAnsi="仿宋_GB2312" w:eastAsia="仿宋_GB2312" w:cs="仿宋_GB2312"/>
          <w:color w:val="auto"/>
          <w:kern w:val="0"/>
          <w:sz w:val="28"/>
          <w:szCs w:val="28"/>
          <w:highlight w:val="none"/>
        </w:rPr>
        <w:t>P</w:t>
      </w:r>
      <w:r>
        <w:rPr>
          <w:rFonts w:hint="eastAsia" w:ascii="仿宋_GB2312" w:hAnsi="仿宋_GB2312" w:eastAsia="仿宋_GB2312" w:cs="仿宋_GB2312"/>
          <w:color w:val="auto"/>
          <w:kern w:val="0"/>
          <w:sz w:val="28"/>
          <w:szCs w:val="28"/>
          <w:highlight w:val="none"/>
          <w:vertAlign w:val="subscript"/>
        </w:rPr>
        <w:t>常</w:t>
      </w:r>
      <w:r>
        <w:rPr>
          <w:rFonts w:hint="eastAsia" w:ascii="仿宋_GB2312" w:hAnsi="仿宋_GB2312" w:eastAsia="仿宋_GB2312" w:cs="仿宋_GB2312"/>
          <w:color w:val="auto"/>
          <w:kern w:val="0"/>
          <w:sz w:val="28"/>
          <w:szCs w:val="28"/>
          <w:highlight w:val="none"/>
          <w:vertAlign w:val="subscript"/>
          <w:lang w:val="en-US" w:eastAsia="zh-CN"/>
        </w:rPr>
        <w:t>固</w:t>
      </w:r>
      <w:r>
        <w:rPr>
          <w:rFonts w:hint="eastAsia" w:ascii="仿宋_GB2312" w:hAnsi="仿宋_GB2312" w:eastAsia="仿宋_GB2312" w:cs="仿宋_GB2312"/>
          <w:color w:val="auto"/>
          <w:kern w:val="0"/>
          <w:sz w:val="28"/>
          <w:szCs w:val="28"/>
          <w:highlight w:val="none"/>
        </w:rPr>
        <w:t>，绿色电力</w:t>
      </w:r>
      <w:r>
        <w:rPr>
          <w:rFonts w:hint="eastAsia" w:ascii="仿宋_GB2312" w:hAnsi="仿宋_GB2312" w:eastAsia="仿宋_GB2312" w:cs="仿宋_GB2312"/>
          <w:color w:val="auto"/>
          <w:kern w:val="0"/>
          <w:sz w:val="28"/>
          <w:szCs w:val="28"/>
          <w:highlight w:val="none"/>
          <w:lang w:val="en-US" w:eastAsia="zh-CN"/>
        </w:rPr>
        <w:t>电能量</w:t>
      </w:r>
      <w:r>
        <w:rPr>
          <w:rFonts w:hint="eastAsia" w:ascii="仿宋_GB2312" w:hAnsi="仿宋_GB2312" w:eastAsia="仿宋_GB2312" w:cs="仿宋_GB2312"/>
          <w:color w:val="auto"/>
          <w:kern w:val="0"/>
          <w:sz w:val="28"/>
          <w:szCs w:val="28"/>
          <w:highlight w:val="none"/>
        </w:rPr>
        <w:t>价格P</w:t>
      </w:r>
      <w:r>
        <w:rPr>
          <w:rFonts w:hint="eastAsia" w:ascii="仿宋_GB2312" w:hAnsi="仿宋_GB2312" w:eastAsia="仿宋_GB2312" w:cs="仿宋_GB2312"/>
          <w:color w:val="auto"/>
          <w:kern w:val="0"/>
          <w:sz w:val="28"/>
          <w:szCs w:val="28"/>
          <w:highlight w:val="none"/>
          <w:vertAlign w:val="subscript"/>
          <w:lang w:val="en-US" w:eastAsia="zh-CN"/>
        </w:rPr>
        <w:t>绿</w:t>
      </w:r>
      <w:r>
        <w:rPr>
          <w:rFonts w:hint="eastAsia" w:ascii="仿宋_GB2312" w:hAnsi="仿宋_GB2312" w:eastAsia="仿宋_GB2312" w:cs="仿宋_GB2312"/>
          <w:color w:val="auto"/>
          <w:kern w:val="0"/>
          <w:sz w:val="28"/>
          <w:szCs w:val="28"/>
          <w:highlight w:val="none"/>
          <w:lang w:val="en-US" w:eastAsia="zh-CN"/>
        </w:rPr>
        <w:t>及</w:t>
      </w:r>
      <w:r>
        <w:rPr>
          <w:rFonts w:hint="eastAsia" w:ascii="仿宋_GB2312" w:hAnsi="仿宋_GB2312" w:eastAsia="仿宋_GB2312" w:cs="仿宋_GB2312"/>
          <w:color w:val="auto"/>
          <w:kern w:val="0"/>
          <w:sz w:val="28"/>
          <w:szCs w:val="28"/>
          <w:highlight w:val="none"/>
        </w:rPr>
        <w:t>P</w:t>
      </w:r>
      <w:r>
        <w:rPr>
          <w:rFonts w:hint="eastAsia" w:ascii="仿宋_GB2312" w:hAnsi="仿宋_GB2312" w:eastAsia="仿宋_GB2312" w:cs="仿宋_GB2312"/>
          <w:color w:val="auto"/>
          <w:kern w:val="0"/>
          <w:sz w:val="28"/>
          <w:szCs w:val="28"/>
          <w:highlight w:val="none"/>
          <w:vertAlign w:val="subscript"/>
          <w:lang w:val="en-US" w:eastAsia="zh-CN"/>
        </w:rPr>
        <w:t>绿固</w:t>
      </w:r>
      <w:r>
        <w:rPr>
          <w:rFonts w:hint="eastAsia" w:ascii="仿宋_GB2312" w:hAnsi="仿宋_GB2312" w:eastAsia="仿宋_GB2312" w:cs="仿宋_GB2312"/>
          <w:color w:val="auto"/>
          <w:kern w:val="0"/>
          <w:sz w:val="28"/>
          <w:szCs w:val="28"/>
          <w:highlight w:val="none"/>
        </w:rPr>
        <w:t>，按零售套餐计算的电能量均价P</w:t>
      </w:r>
      <w:r>
        <w:rPr>
          <w:rFonts w:hint="eastAsia" w:ascii="仿宋_GB2312" w:hAnsi="仿宋_GB2312" w:eastAsia="仿宋_GB2312" w:cs="仿宋_GB2312"/>
          <w:color w:val="auto"/>
          <w:kern w:val="0"/>
          <w:sz w:val="28"/>
          <w:szCs w:val="28"/>
          <w:highlight w:val="none"/>
          <w:vertAlign w:val="subscript"/>
        </w:rPr>
        <w:t>计算</w:t>
      </w:r>
      <w:r>
        <w:rPr>
          <w:rFonts w:hint="eastAsia" w:ascii="仿宋_GB2312" w:hAnsi="仿宋_GB2312" w:eastAsia="仿宋_GB2312" w:cs="仿宋_GB2312"/>
          <w:color w:val="auto"/>
          <w:kern w:val="0"/>
          <w:sz w:val="28"/>
          <w:szCs w:val="28"/>
          <w:highlight w:val="none"/>
        </w:rPr>
        <w:t>均</w:t>
      </w:r>
      <w:r>
        <w:rPr>
          <w:rFonts w:hint="eastAsia" w:ascii="仿宋_GB2312" w:hAnsi="仿宋_GB2312" w:eastAsia="仿宋_GB2312" w:cs="仿宋_GB2312"/>
          <w:color w:val="auto"/>
          <w:kern w:val="0"/>
          <w:sz w:val="28"/>
          <w:szCs w:val="28"/>
          <w:highlight w:val="none"/>
          <w:lang w:val="en-US" w:eastAsia="zh-CN"/>
        </w:rPr>
        <w:t>应在上述范围内</w:t>
      </w:r>
      <w:r>
        <w:rPr>
          <w:rFonts w:hint="eastAsia" w:ascii="仿宋_GB2312" w:hAnsi="仿宋_GB2312" w:eastAsia="仿宋_GB2312" w:cs="仿宋_GB2312"/>
          <w:color w:val="auto"/>
          <w:kern w:val="0"/>
          <w:sz w:val="28"/>
          <w:szCs w:val="28"/>
          <w:highlight w:val="none"/>
        </w:rPr>
        <w:t>。</w:t>
      </w:r>
    </w:p>
    <w:p w14:paraId="5294044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4.4</w:t>
      </w:r>
      <w:r>
        <w:rPr>
          <w:rFonts w:hint="eastAsia" w:ascii="仿宋_GB2312" w:hAnsi="仿宋_GB2312" w:eastAsia="仿宋_GB2312" w:cs="仿宋_GB2312"/>
          <w:color w:val="auto"/>
          <w:kern w:val="0"/>
          <w:sz w:val="28"/>
          <w:szCs w:val="28"/>
          <w:highlight w:val="none"/>
        </w:rPr>
        <w:t>本合同约定</w:t>
      </w:r>
      <w:r>
        <w:rPr>
          <w:rFonts w:hint="eastAsia" w:ascii="仿宋_GB2312" w:hAnsi="仿宋_GB2312" w:eastAsia="仿宋_GB2312" w:cs="仿宋_GB2312"/>
          <w:color w:val="auto"/>
          <w:kern w:val="0"/>
          <w:sz w:val="28"/>
          <w:szCs w:val="28"/>
          <w:highlight w:val="none"/>
          <w:lang w:val="en-US" w:eastAsia="zh-CN"/>
        </w:rPr>
        <w:t>的</w:t>
      </w:r>
      <w:r>
        <w:rPr>
          <w:rFonts w:hint="eastAsia" w:ascii="仿宋_GB2312" w:hAnsi="仿宋_GB2312" w:eastAsia="仿宋_GB2312" w:cs="仿宋_GB2312"/>
          <w:color w:val="auto"/>
          <w:kern w:val="0"/>
          <w:sz w:val="28"/>
          <w:szCs w:val="28"/>
          <w:highlight w:val="none"/>
        </w:rPr>
        <w:t>零售价格非用户最终到户价格。甲方（各时段）用电到户价格由电能量价格（以此作为平段价格参与峰谷浮动）、绿色电力环境价值</w:t>
      </w:r>
      <w:r>
        <w:rPr>
          <w:rFonts w:hint="eastAsia" w:ascii="仿宋_GB2312" w:hAnsi="仿宋_GB2312" w:eastAsia="仿宋_GB2312" w:cs="仿宋_GB2312"/>
          <w:color w:val="auto"/>
          <w:kern w:val="0"/>
          <w:sz w:val="28"/>
          <w:szCs w:val="28"/>
          <w:highlight w:val="none"/>
          <w:lang w:val="en-US" w:eastAsia="zh-CN"/>
        </w:rPr>
        <w:t>费用</w:t>
      </w:r>
      <w:r>
        <w:rPr>
          <w:rFonts w:hint="eastAsia" w:ascii="仿宋_GB2312" w:hAnsi="仿宋_GB2312" w:eastAsia="仿宋_GB2312" w:cs="仿宋_GB2312"/>
          <w:color w:val="auto"/>
          <w:kern w:val="0"/>
          <w:sz w:val="28"/>
          <w:szCs w:val="28"/>
          <w:highlight w:val="none"/>
        </w:rPr>
        <w:t>、北京电网输配电价、上网环节线损费用、系统运行费用、政府性基金及附加、新增损益等构成。</w:t>
      </w:r>
      <w:r>
        <w:rPr>
          <w:rFonts w:hint="eastAsia" w:ascii="仿宋_GB2312" w:hAnsi="仿宋_GB2312" w:eastAsia="仿宋_GB2312" w:cs="仿宋_GB2312"/>
          <w:color w:val="auto"/>
          <w:kern w:val="0"/>
          <w:sz w:val="28"/>
          <w:szCs w:val="28"/>
          <w:highlight w:val="none"/>
          <w:lang w:val="en-US" w:eastAsia="zh-CN"/>
        </w:rPr>
        <w:t>电能量价格按双方约定的零售结算模式计算得出，为零售用户</w:t>
      </w:r>
      <w:r>
        <w:rPr>
          <w:rFonts w:hint="eastAsia" w:ascii="仿宋_GB2312" w:hAnsi="仿宋_GB2312" w:eastAsia="仿宋_GB2312" w:cs="仿宋_GB2312"/>
          <w:color w:val="auto"/>
          <w:kern w:val="0"/>
          <w:sz w:val="28"/>
          <w:szCs w:val="28"/>
          <w:highlight w:val="none"/>
        </w:rPr>
        <w:t>最终向</w:t>
      </w:r>
      <w:r>
        <w:rPr>
          <w:rFonts w:hint="eastAsia" w:ascii="仿宋_GB2312" w:hAnsi="仿宋_GB2312" w:eastAsia="仿宋_GB2312" w:cs="仿宋_GB2312"/>
          <w:color w:val="auto"/>
          <w:kern w:val="0"/>
          <w:sz w:val="28"/>
          <w:szCs w:val="28"/>
          <w:highlight w:val="none"/>
          <w:lang w:val="en-US" w:eastAsia="zh-CN"/>
        </w:rPr>
        <w:t>售电公司</w:t>
      </w:r>
      <w:r>
        <w:rPr>
          <w:rFonts w:hint="eastAsia" w:ascii="仿宋_GB2312" w:hAnsi="仿宋_GB2312" w:eastAsia="仿宋_GB2312" w:cs="仿宋_GB2312"/>
          <w:color w:val="auto"/>
          <w:kern w:val="0"/>
          <w:sz w:val="28"/>
          <w:szCs w:val="28"/>
          <w:highlight w:val="none"/>
        </w:rPr>
        <w:t>支付的电能量价格</w:t>
      </w:r>
      <w:r>
        <w:rPr>
          <w:rFonts w:hint="eastAsia" w:ascii="仿宋_GB2312" w:hAnsi="仿宋_GB2312" w:eastAsia="仿宋_GB2312" w:cs="仿宋_GB2312"/>
          <w:color w:val="auto"/>
          <w:kern w:val="0"/>
          <w:sz w:val="28"/>
          <w:szCs w:val="28"/>
          <w:highlight w:val="none"/>
          <w:lang w:val="en-US" w:eastAsia="zh-CN"/>
        </w:rPr>
        <w:t>。</w:t>
      </w:r>
    </w:p>
    <w:p w14:paraId="0B97DCA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4.5零售用户</w:t>
      </w:r>
      <w:r>
        <w:rPr>
          <w:rFonts w:hint="eastAsia" w:ascii="仿宋_GB2312" w:hAnsi="仿宋_GB2312" w:eastAsia="仿宋_GB2312" w:cs="仿宋_GB2312"/>
          <w:color w:val="auto"/>
          <w:kern w:val="0"/>
          <w:sz w:val="28"/>
          <w:szCs w:val="28"/>
          <w:highlight w:val="none"/>
        </w:rPr>
        <w:t>峰谷分时浮动、北京电网输配电价、上网环节线损费用、</w:t>
      </w:r>
      <w:r>
        <w:rPr>
          <w:rFonts w:hint="eastAsia" w:ascii="仿宋_GB2312" w:hAnsi="仿宋_GB2312" w:eastAsia="仿宋_GB2312" w:cs="仿宋_GB2312"/>
          <w:color w:val="auto"/>
          <w:kern w:val="0"/>
          <w:sz w:val="28"/>
          <w:szCs w:val="28"/>
          <w:highlight w:val="none"/>
          <w:lang w:val="en-US" w:eastAsia="zh-CN"/>
        </w:rPr>
        <w:t>系统运行费用、</w:t>
      </w:r>
      <w:r>
        <w:rPr>
          <w:rFonts w:hint="eastAsia" w:ascii="仿宋_GB2312" w:hAnsi="仿宋_GB2312" w:eastAsia="仿宋_GB2312" w:cs="仿宋_GB2312"/>
          <w:color w:val="auto"/>
          <w:kern w:val="0"/>
          <w:sz w:val="28"/>
          <w:szCs w:val="28"/>
          <w:highlight w:val="none"/>
        </w:rPr>
        <w:t>政府性基金及附加、新增损益、基本电价、功率因数调整电费等事宜由国网北京市电力公司按照国家和北京市价格主管部门相关文件执行。</w:t>
      </w:r>
    </w:p>
    <w:p w14:paraId="592F57C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4.6</w:t>
      </w:r>
      <w:r>
        <w:rPr>
          <w:rFonts w:hint="eastAsia" w:ascii="仿宋_GB2312" w:hAnsi="仿宋_GB2312" w:eastAsia="仿宋_GB2312" w:cs="仿宋_GB2312"/>
          <w:color w:val="auto"/>
          <w:kern w:val="0"/>
          <w:sz w:val="28"/>
          <w:szCs w:val="28"/>
          <w:highlight w:val="none"/>
        </w:rPr>
        <w:t>绿色电力零售交易</w:t>
      </w:r>
      <w:r>
        <w:rPr>
          <w:rFonts w:hint="eastAsia" w:ascii="仿宋_GB2312" w:hAnsi="仿宋_GB2312" w:eastAsia="仿宋_GB2312" w:cs="仿宋_GB2312"/>
          <w:color w:val="auto"/>
          <w:kern w:val="0"/>
          <w:sz w:val="28"/>
          <w:szCs w:val="28"/>
          <w:highlight w:val="none"/>
          <w:lang w:val="en-US" w:eastAsia="zh-CN"/>
        </w:rPr>
        <w:t>在保证环境价值可追踪溯源的前提下，电能量部分</w:t>
      </w:r>
      <w:r>
        <w:rPr>
          <w:rFonts w:hint="eastAsia" w:ascii="仿宋_GB2312" w:hAnsi="仿宋_GB2312" w:eastAsia="仿宋_GB2312" w:cs="仿宋_GB2312"/>
          <w:color w:val="auto"/>
          <w:kern w:val="0"/>
          <w:sz w:val="28"/>
          <w:szCs w:val="28"/>
          <w:highlight w:val="none"/>
        </w:rPr>
        <w:t>按照</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合同电量</w:t>
      </w:r>
      <w:r>
        <w:rPr>
          <w:rFonts w:hint="eastAsia" w:ascii="仿宋_GB2312" w:hAnsi="仿宋_GB2312" w:eastAsia="仿宋_GB2312" w:cs="仿宋_GB2312"/>
          <w:color w:val="auto"/>
          <w:kern w:val="0"/>
          <w:sz w:val="28"/>
          <w:szCs w:val="28"/>
          <w:highlight w:val="none"/>
        </w:rPr>
        <w:t>照付不议、</w:t>
      </w:r>
      <w:r>
        <w:rPr>
          <w:rFonts w:hint="eastAsia" w:ascii="仿宋_GB2312" w:hAnsi="仿宋_GB2312" w:eastAsia="仿宋_GB2312" w:cs="仿宋_GB2312"/>
          <w:color w:val="auto"/>
          <w:kern w:val="0"/>
          <w:sz w:val="28"/>
          <w:szCs w:val="28"/>
          <w:highlight w:val="none"/>
          <w:lang w:val="en-US" w:eastAsia="zh-CN"/>
        </w:rPr>
        <w:t>偏差电量偏差</w:t>
      </w:r>
      <w:r>
        <w:rPr>
          <w:rFonts w:hint="eastAsia" w:ascii="仿宋_GB2312" w:hAnsi="仿宋_GB2312" w:eastAsia="仿宋_GB2312" w:cs="仿宋_GB2312"/>
          <w:color w:val="auto"/>
          <w:kern w:val="0"/>
          <w:sz w:val="28"/>
          <w:szCs w:val="28"/>
          <w:highlight w:val="none"/>
        </w:rPr>
        <w:t>结算</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开展结算。环境价值按取小原则优先结算</w:t>
      </w:r>
      <w:r>
        <w:rPr>
          <w:rFonts w:hint="eastAsia" w:ascii="仿宋_GB2312" w:hAnsi="仿宋_GB2312" w:eastAsia="仿宋_GB2312" w:cs="仿宋_GB2312"/>
          <w:color w:val="auto"/>
          <w:kern w:val="0"/>
          <w:sz w:val="28"/>
          <w:szCs w:val="28"/>
          <w:highlight w:val="none"/>
          <w:lang w:eastAsia="zh-CN"/>
        </w:rPr>
        <w:t>，以兆瓦时为单位取整数</w:t>
      </w:r>
      <w:r>
        <w:rPr>
          <w:rFonts w:hint="eastAsia" w:ascii="仿宋_GB2312" w:hAnsi="仿宋_GB2312" w:eastAsia="仿宋_GB2312" w:cs="仿宋_GB2312"/>
          <w:color w:val="auto"/>
          <w:kern w:val="0"/>
          <w:sz w:val="28"/>
          <w:szCs w:val="28"/>
          <w:highlight w:val="none"/>
        </w:rPr>
        <w:t>。</w:t>
      </w:r>
    </w:p>
    <w:p w14:paraId="7F5180B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4.7</w:t>
      </w:r>
      <w:r>
        <w:rPr>
          <w:rFonts w:hint="eastAsia" w:ascii="仿宋_GB2312" w:hAnsi="仿宋_GB2312" w:eastAsia="仿宋_GB2312" w:cs="仿宋_GB2312"/>
          <w:color w:val="auto"/>
          <w:kern w:val="0"/>
          <w:sz w:val="28"/>
          <w:szCs w:val="28"/>
          <w:highlight w:val="none"/>
        </w:rPr>
        <w:t>乙方向甲方</w:t>
      </w:r>
      <w:r>
        <w:rPr>
          <w:rFonts w:hint="eastAsia" w:ascii="仿宋_GB2312" w:hAnsi="仿宋_GB2312" w:eastAsia="仿宋_GB2312" w:cs="仿宋_GB2312"/>
          <w:color w:val="auto"/>
          <w:kern w:val="0"/>
          <w:sz w:val="28"/>
          <w:szCs w:val="28"/>
          <w:highlight w:val="none"/>
          <w:lang w:val="en-US" w:eastAsia="zh-CN"/>
        </w:rPr>
        <w:t>关联</w:t>
      </w:r>
      <w:r>
        <w:rPr>
          <w:rFonts w:hint="eastAsia" w:ascii="仿宋_GB2312" w:hAnsi="仿宋_GB2312" w:eastAsia="仿宋_GB2312" w:cs="仿宋_GB2312"/>
          <w:color w:val="auto"/>
          <w:kern w:val="0"/>
          <w:sz w:val="28"/>
          <w:szCs w:val="28"/>
          <w:highlight w:val="none"/>
        </w:rPr>
        <w:t>的</w:t>
      </w:r>
      <w:r>
        <w:rPr>
          <w:rFonts w:hint="eastAsia" w:ascii="仿宋_GB2312" w:hAnsi="仿宋_GB2312" w:eastAsia="仿宋_GB2312" w:cs="仿宋_GB2312"/>
          <w:color w:val="auto"/>
          <w:kern w:val="0"/>
          <w:sz w:val="28"/>
          <w:szCs w:val="28"/>
          <w:highlight w:val="none"/>
          <w:lang w:val="en-US" w:eastAsia="zh-CN"/>
        </w:rPr>
        <w:t>绿色电力</w:t>
      </w:r>
      <w:r>
        <w:rPr>
          <w:rFonts w:hint="eastAsia" w:ascii="仿宋_GB2312" w:hAnsi="仿宋_GB2312" w:eastAsia="仿宋_GB2312" w:cs="仿宋_GB2312"/>
          <w:color w:val="auto"/>
          <w:kern w:val="0"/>
          <w:sz w:val="28"/>
          <w:szCs w:val="28"/>
          <w:highlight w:val="none"/>
        </w:rPr>
        <w:t>分配电量应等于本合同约定的绿色电力</w:t>
      </w:r>
      <w:r>
        <w:rPr>
          <w:rFonts w:hint="eastAsia" w:ascii="仿宋_GB2312" w:hAnsi="仿宋_GB2312" w:eastAsia="仿宋_GB2312" w:cs="仿宋_GB2312"/>
          <w:color w:val="auto"/>
          <w:kern w:val="0"/>
          <w:sz w:val="28"/>
          <w:szCs w:val="28"/>
          <w:highlight w:val="none"/>
          <w:lang w:val="en-US" w:eastAsia="zh-CN"/>
        </w:rPr>
        <w:t>需求</w:t>
      </w:r>
      <w:r>
        <w:rPr>
          <w:rFonts w:hint="eastAsia" w:ascii="仿宋_GB2312" w:hAnsi="仿宋_GB2312" w:eastAsia="仿宋_GB2312" w:cs="仿宋_GB2312"/>
          <w:color w:val="auto"/>
          <w:kern w:val="0"/>
          <w:sz w:val="28"/>
          <w:szCs w:val="28"/>
          <w:highlight w:val="none"/>
        </w:rPr>
        <w:t>电量</w:t>
      </w:r>
      <w:r>
        <w:rPr>
          <w:rFonts w:hint="eastAsia" w:ascii="仿宋_GB2312" w:hAnsi="仿宋_GB2312" w:eastAsia="仿宋_GB2312" w:cs="仿宋_GB2312"/>
          <w:color w:val="auto"/>
          <w:sz w:val="28"/>
          <w:szCs w:val="28"/>
          <w:highlight w:val="none"/>
        </w:rPr>
        <w:t>Q</w:t>
      </w:r>
      <w:r>
        <w:rPr>
          <w:rFonts w:hint="eastAsia" w:ascii="仿宋_GB2312" w:hAnsi="仿宋_GB2312" w:eastAsia="仿宋_GB2312" w:cs="仿宋_GB2312"/>
          <w:color w:val="auto"/>
          <w:sz w:val="28"/>
          <w:szCs w:val="28"/>
          <w:highlight w:val="none"/>
          <w:vertAlign w:val="subscript"/>
        </w:rPr>
        <w:t>绿</w:t>
      </w:r>
      <w:r>
        <w:rPr>
          <w:rFonts w:hint="eastAsia" w:ascii="仿宋_GB2312" w:hAnsi="仿宋_GB2312" w:eastAsia="仿宋_GB2312" w:cs="仿宋_GB2312"/>
          <w:color w:val="auto"/>
          <w:sz w:val="28"/>
          <w:szCs w:val="28"/>
          <w:highlight w:val="none"/>
          <w:vertAlign w:val="subscript"/>
          <w:lang w:val="en-US" w:eastAsia="zh-CN"/>
        </w:rPr>
        <w:t>需</w:t>
      </w:r>
      <w:r>
        <w:rPr>
          <w:rFonts w:hint="eastAsia" w:ascii="仿宋_GB2312" w:hAnsi="仿宋_GB2312" w:eastAsia="仿宋_GB2312" w:cs="仿宋_GB2312"/>
          <w:color w:val="auto"/>
          <w:kern w:val="0"/>
          <w:sz w:val="28"/>
          <w:szCs w:val="28"/>
          <w:highlight w:val="none"/>
        </w:rPr>
        <w:t>，当</w:t>
      </w:r>
      <w:r>
        <w:rPr>
          <w:rFonts w:hint="eastAsia" w:ascii="仿宋_GB2312" w:hAnsi="仿宋_GB2312" w:eastAsia="仿宋_GB2312" w:cs="仿宋_GB2312"/>
          <w:color w:val="auto"/>
          <w:kern w:val="0"/>
          <w:sz w:val="28"/>
          <w:szCs w:val="28"/>
          <w:highlight w:val="none"/>
          <w:lang w:val="en-US" w:eastAsia="zh-CN"/>
        </w:rPr>
        <w:t>绿色电力</w:t>
      </w:r>
      <w:r>
        <w:rPr>
          <w:rFonts w:hint="eastAsia" w:ascii="仿宋_GB2312" w:hAnsi="仿宋_GB2312" w:eastAsia="仿宋_GB2312" w:cs="仿宋_GB2312"/>
          <w:color w:val="auto"/>
          <w:kern w:val="0"/>
          <w:sz w:val="28"/>
          <w:szCs w:val="28"/>
          <w:highlight w:val="none"/>
        </w:rPr>
        <w:t>分配电量大于绿色电力</w:t>
      </w:r>
      <w:r>
        <w:rPr>
          <w:rFonts w:hint="eastAsia" w:ascii="仿宋_GB2312" w:hAnsi="仿宋_GB2312" w:eastAsia="仿宋_GB2312" w:cs="仿宋_GB2312"/>
          <w:color w:val="auto"/>
          <w:kern w:val="0"/>
          <w:sz w:val="28"/>
          <w:szCs w:val="28"/>
          <w:highlight w:val="none"/>
          <w:lang w:val="en-US" w:eastAsia="zh-CN"/>
        </w:rPr>
        <w:t>需求</w:t>
      </w:r>
      <w:r>
        <w:rPr>
          <w:rFonts w:hint="eastAsia" w:ascii="仿宋_GB2312" w:hAnsi="仿宋_GB2312" w:eastAsia="仿宋_GB2312" w:cs="仿宋_GB2312"/>
          <w:color w:val="auto"/>
          <w:kern w:val="0"/>
          <w:sz w:val="28"/>
          <w:szCs w:val="28"/>
          <w:highlight w:val="none"/>
        </w:rPr>
        <w:t>电量时，在结算时乙方</w:t>
      </w:r>
      <w:r>
        <w:rPr>
          <w:rFonts w:hint="eastAsia" w:ascii="仿宋_GB2312" w:hAnsi="仿宋_GB2312" w:eastAsia="仿宋_GB2312" w:cs="仿宋_GB2312"/>
          <w:color w:val="auto"/>
          <w:kern w:val="0"/>
          <w:sz w:val="28"/>
          <w:szCs w:val="28"/>
          <w:highlight w:val="none"/>
          <w:lang w:val="en-US" w:eastAsia="zh-CN"/>
        </w:rPr>
        <w:t>向甲方关联的</w:t>
      </w:r>
      <w:r>
        <w:rPr>
          <w:rFonts w:hint="eastAsia" w:ascii="仿宋_GB2312" w:hAnsi="仿宋_GB2312" w:eastAsia="仿宋_GB2312" w:cs="仿宋_GB2312"/>
          <w:color w:val="auto"/>
          <w:kern w:val="0"/>
          <w:sz w:val="28"/>
          <w:szCs w:val="28"/>
          <w:highlight w:val="none"/>
        </w:rPr>
        <w:t>对应</w:t>
      </w:r>
      <w:r>
        <w:rPr>
          <w:rFonts w:hint="eastAsia" w:ascii="仿宋_GB2312" w:hAnsi="仿宋_GB2312" w:eastAsia="仿宋_GB2312" w:cs="仿宋_GB2312"/>
          <w:color w:val="auto"/>
          <w:kern w:val="0"/>
          <w:sz w:val="28"/>
          <w:szCs w:val="28"/>
          <w:highlight w:val="none"/>
          <w:lang w:val="en-US" w:eastAsia="zh-CN"/>
        </w:rPr>
        <w:t>电量</w:t>
      </w:r>
      <w:r>
        <w:rPr>
          <w:rFonts w:hint="eastAsia" w:ascii="仿宋_GB2312" w:hAnsi="仿宋_GB2312" w:eastAsia="仿宋_GB2312" w:cs="仿宋_GB2312"/>
          <w:color w:val="auto"/>
          <w:kern w:val="0"/>
          <w:sz w:val="28"/>
          <w:szCs w:val="28"/>
          <w:highlight w:val="none"/>
        </w:rPr>
        <w:t>等比例削减</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取整数</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rPr>
        <w:t>，直至二者相等。合同双方若与发电企业签订多年PPA购电协议，乙方须将相应合同定向等量分配至甲方，不得分配给其他零售用户。</w:t>
      </w:r>
    </w:p>
    <w:p w14:paraId="2134C36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4.8</w:t>
      </w:r>
      <w:r>
        <w:rPr>
          <w:rFonts w:hint="eastAsia" w:ascii="仿宋_GB2312" w:hAnsi="仿宋_GB2312" w:eastAsia="仿宋_GB2312" w:cs="仿宋_GB2312"/>
          <w:color w:val="auto"/>
          <w:kern w:val="0"/>
          <w:sz w:val="28"/>
          <w:szCs w:val="28"/>
          <w:highlight w:val="none"/>
        </w:rPr>
        <w:t>售电公司依据零售用户实际用电量以平段电价方式计算零售收入</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rPr>
        <w:t>售电公司收益为零售市场收入减去批发市场支出。</w:t>
      </w:r>
    </w:p>
    <w:p w14:paraId="6069FBB4">
      <w:pPr>
        <w:pStyle w:val="5"/>
        <w:rPr>
          <w:rFonts w:hint="eastAsia" w:asciiTheme="minorEastAsia" w:hAnsiTheme="minorEastAsia" w:eastAsiaTheme="minorEastAsia" w:cstheme="minorEastAsia"/>
          <w:color w:val="auto"/>
          <w:highlight w:val="none"/>
          <w:lang w:val="en-US" w:eastAsia="zh-CN"/>
        </w:rPr>
      </w:pPr>
    </w:p>
    <w:p w14:paraId="4E6C88A1">
      <w:pPr>
        <w:keepNext w:val="0"/>
        <w:keepLines w:val="0"/>
        <w:pageBreakBefore w:val="0"/>
        <w:widowControl w:val="0"/>
        <w:numPr>
          <w:ilvl w:val="0"/>
          <w:numId w:val="1"/>
        </w:numPr>
        <w:kinsoku/>
        <w:wordWrap/>
        <w:overflowPunct/>
        <w:topLinePunct w:val="0"/>
        <w:autoSpaceDE/>
        <w:autoSpaceDN/>
        <w:bidi w:val="0"/>
        <w:adjustRightInd/>
        <w:snapToGrid/>
        <w:spacing w:line="460" w:lineRule="exact"/>
        <w:jc w:val="center"/>
        <w:textAlignment w:val="auto"/>
        <w:rPr>
          <w:rFonts w:hint="eastAsia" w:ascii="黑体" w:hAnsi="黑体" w:eastAsia="黑体" w:cs="黑体"/>
          <w:b/>
          <w:bCs/>
          <w:color w:val="auto"/>
          <w:sz w:val="32"/>
          <w:szCs w:val="32"/>
          <w:highlight w:val="none"/>
          <w:u w:val="none"/>
          <w:lang w:val="en-US" w:eastAsia="zh-CN"/>
        </w:rPr>
      </w:pPr>
      <w:r>
        <w:rPr>
          <w:rFonts w:hint="eastAsia" w:ascii="黑体" w:hAnsi="黑体" w:eastAsia="黑体" w:cs="黑体"/>
          <w:b/>
          <w:bCs/>
          <w:color w:val="auto"/>
          <w:sz w:val="32"/>
          <w:szCs w:val="32"/>
          <w:highlight w:val="none"/>
          <w:u w:val="none"/>
          <w:lang w:val="en-US" w:eastAsia="zh-CN"/>
        </w:rPr>
        <w:t>合同生效、变更和解除</w:t>
      </w:r>
    </w:p>
    <w:p w14:paraId="35AEC4D9">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5.1本合同经甲乙双方签订并加盖印章后生效。甲乙双方须将签订的纸质合同提交至交易中心登记备案，并在交易平台完成零售结算参数双方确认、上传本合同扫描件，作为双方建立代理关系的依据。甲乙双方须保证纸质文件、扫描件、平台录入参数一致。交易中心将以本合同为依据进行零售市场月度结算，如纸质合同和平台录入结算参数两者有差异，交易中心以交易平台录入数据为准开展结算。</w:t>
      </w:r>
    </w:p>
    <w:p w14:paraId="5630BCF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5.2甲乙双方可对本合同中尚未履约月份的零售结算参数进行变更，须在交易平台进行零售结算参数的调整，并同步将变更后的《北京市电力零售交易结算参数变更表（2026年）》提交至交易中心备案。在未同步完成平台调整、纸质文件备案前，仍按照调整前的合同履行。当甲方更换售电公司时，须重新签订《北京市电力零售市场购售电合同》并完成登记备案，新合同于备案次月生效。</w:t>
      </w:r>
    </w:p>
    <w:p w14:paraId="5BDE79B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5.3因国家法律、法规发生变化或者政府有关部门、能源监管机构出台有关规定、规则，导致双方不能正常履行合同约定时，双方依据法律法规妥善解决。</w:t>
      </w:r>
    </w:p>
    <w:p w14:paraId="49E6781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5.4任何一方发生下列事件，另一方有权在发出书面解除通知后解除本合同：</w:t>
      </w:r>
    </w:p>
    <w:p w14:paraId="4CA3D63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5.4.1一方不具备法律法规、电力交易规则确定的参与电力市场的准入条件或退出电力市场。</w:t>
      </w:r>
    </w:p>
    <w:p w14:paraId="2B8A92C8">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5.4.2一方被申请破产、清算或被吊销营业执照。</w:t>
      </w:r>
    </w:p>
    <w:p w14:paraId="1CFDE94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5.4.3一方与另一实体联合、合并或将其所有或大部分资产转移给另一实体，而该存续的企业不能合理地承担其在本合同项下的所有义务。</w:t>
      </w:r>
    </w:p>
    <w:p w14:paraId="35E4C8D7">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5.4.4被行政机关、行政机关授权的单位、司法机关列入不良信用单位。</w:t>
      </w:r>
    </w:p>
    <w:p w14:paraId="3D2F765D">
      <w:pPr>
        <w:pStyle w:val="5"/>
        <w:rPr>
          <w:rFonts w:hint="default"/>
          <w:color w:val="auto"/>
          <w:highlight w:val="none"/>
          <w:lang w:val="en-US" w:eastAsia="zh-CN"/>
        </w:rPr>
      </w:pPr>
    </w:p>
    <w:p w14:paraId="64D7BD6B">
      <w:pPr>
        <w:keepNext w:val="0"/>
        <w:keepLines w:val="0"/>
        <w:pageBreakBefore w:val="0"/>
        <w:widowControl w:val="0"/>
        <w:numPr>
          <w:ilvl w:val="0"/>
          <w:numId w:val="1"/>
        </w:numPr>
        <w:kinsoku/>
        <w:wordWrap/>
        <w:overflowPunct/>
        <w:topLinePunct w:val="0"/>
        <w:autoSpaceDE/>
        <w:autoSpaceDN/>
        <w:bidi w:val="0"/>
        <w:adjustRightInd/>
        <w:snapToGrid/>
        <w:spacing w:line="460" w:lineRule="exact"/>
        <w:jc w:val="center"/>
        <w:textAlignment w:val="auto"/>
        <w:rPr>
          <w:rFonts w:hint="eastAsia" w:ascii="黑体" w:hAnsi="黑体" w:eastAsia="黑体" w:cs="黑体"/>
          <w:b/>
          <w:bCs/>
          <w:color w:val="auto"/>
          <w:sz w:val="32"/>
          <w:szCs w:val="32"/>
          <w:highlight w:val="none"/>
          <w:u w:val="none"/>
          <w:lang w:val="en-US" w:eastAsia="zh-CN"/>
        </w:rPr>
      </w:pPr>
      <w:r>
        <w:rPr>
          <w:rFonts w:hint="eastAsia" w:ascii="黑体" w:hAnsi="黑体" w:eastAsia="黑体" w:cs="黑体"/>
          <w:b/>
          <w:bCs/>
          <w:color w:val="auto"/>
          <w:sz w:val="32"/>
          <w:szCs w:val="32"/>
          <w:highlight w:val="none"/>
          <w:u w:val="none"/>
          <w:lang w:val="en-US" w:eastAsia="zh-CN"/>
        </w:rPr>
        <w:t>违约和赔偿</w:t>
      </w:r>
    </w:p>
    <w:p w14:paraId="7C0FEA20">
      <w:pPr>
        <w:pStyle w:val="5"/>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6.1任一方违反本合同约定条款视为违约，合同守约方有权要求违约方赔偿违约造成的经济损失。</w:t>
      </w:r>
    </w:p>
    <w:p w14:paraId="57AC0897">
      <w:pPr>
        <w:pStyle w:val="5"/>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6.2违约的处理原则：</w:t>
      </w:r>
    </w:p>
    <w:p w14:paraId="606F7E36">
      <w:pPr>
        <w:pStyle w:val="5"/>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在本合同履行期限届满前，任何一方明确表示或以自己的行为表明不履行合同义务的，另一方可在履行期限届满前解除合同并要求其承担相应的违约责任，因不可抗力导致的除外。</w:t>
      </w:r>
    </w:p>
    <w:p w14:paraId="271F89E5">
      <w:pPr>
        <w:pStyle w:val="5"/>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6.3违约赔偿：</w:t>
      </w:r>
    </w:p>
    <w:p w14:paraId="794BE818">
      <w:pPr>
        <w:pStyle w:val="5"/>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如发生提交虚假信息、停产、变更、退市等行为，影响企业（单位）履行合同义务的情形，违约方给守约方造成的一切直接及间接损失，由违约方承担违约赔偿责任。</w:t>
      </w:r>
    </w:p>
    <w:p w14:paraId="23177DA0">
      <w:pPr>
        <w:pStyle w:val="5"/>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6.4违约金计算及支付方式</w:t>
      </w:r>
    </w:p>
    <w:p w14:paraId="57963D7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b w:val="0"/>
          <w:bCs w:val="0"/>
          <w:color w:val="auto"/>
          <w:kern w:val="2"/>
          <w:sz w:val="28"/>
          <w:szCs w:val="28"/>
          <w:highlight w:val="none"/>
          <w:u w:val="single"/>
          <w:lang w:val="en-US" w:eastAsia="zh-CN" w:bidi="ar-SA"/>
        </w:rPr>
      </w:pPr>
      <w:r>
        <w:rPr>
          <w:rFonts w:hint="eastAsia" w:ascii="仿宋_GB2312" w:hAnsi="仿宋_GB2312" w:eastAsia="仿宋_GB2312" w:cs="仿宋_GB2312"/>
          <w:b w:val="0"/>
          <w:bCs w:val="0"/>
          <w:color w:val="auto"/>
          <w:kern w:val="2"/>
          <w:sz w:val="28"/>
          <w:szCs w:val="28"/>
          <w:highlight w:val="none"/>
          <w:u w:val="none"/>
          <w:lang w:val="en-US" w:eastAsia="zh-CN" w:bidi="ar-SA"/>
        </w:rPr>
        <w:t>违约方应向守约方支付违约造成的经济损失，违约金由双方自行结算赔偿。具体如下：</w:t>
      </w:r>
      <w:r>
        <w:rPr>
          <w:rFonts w:hint="eastAsia" w:ascii="仿宋_GB2312" w:hAnsi="仿宋_GB2312" w:eastAsia="仿宋_GB2312" w:cs="仿宋_GB2312"/>
          <w:b w:val="0"/>
          <w:bCs w:val="0"/>
          <w:color w:val="auto"/>
          <w:kern w:val="2"/>
          <w:sz w:val="28"/>
          <w:szCs w:val="28"/>
          <w:highlight w:val="none"/>
          <w:u w:val="single"/>
          <w:lang w:val="en-US" w:eastAsia="zh-CN" w:bidi="ar-SA"/>
        </w:rPr>
        <w:t xml:space="preserve">  无                                              </w:t>
      </w:r>
    </w:p>
    <w:p w14:paraId="2CD750B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0" w:firstLineChars="0"/>
        <w:jc w:val="both"/>
        <w:textAlignment w:val="auto"/>
        <w:rPr>
          <w:rFonts w:hint="eastAsia" w:ascii="仿宋_GB2312" w:hAnsi="仿宋_GB2312" w:eastAsia="仿宋_GB2312" w:cs="仿宋_GB2312"/>
          <w:b w:val="0"/>
          <w:bCs w:val="0"/>
          <w:color w:val="auto"/>
          <w:kern w:val="2"/>
          <w:sz w:val="28"/>
          <w:szCs w:val="28"/>
          <w:highlight w:val="none"/>
          <w:u w:val="single"/>
          <w:lang w:val="en-US" w:eastAsia="zh-CN" w:bidi="ar-SA"/>
        </w:rPr>
      </w:pPr>
      <w:r>
        <w:rPr>
          <w:rFonts w:hint="eastAsia" w:ascii="仿宋_GB2312" w:hAnsi="仿宋_GB2312" w:eastAsia="仿宋_GB2312" w:cs="仿宋_GB2312"/>
          <w:b w:val="0"/>
          <w:bCs w:val="0"/>
          <w:color w:val="auto"/>
          <w:kern w:val="2"/>
          <w:sz w:val="28"/>
          <w:szCs w:val="28"/>
          <w:highlight w:val="none"/>
          <w:u w:val="single"/>
          <w:lang w:val="en-US" w:eastAsia="zh-CN" w:bidi="ar-SA"/>
        </w:rPr>
        <w:t xml:space="preserve">                                                                </w:t>
      </w:r>
    </w:p>
    <w:p w14:paraId="6966D87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0" w:firstLineChars="0"/>
        <w:jc w:val="both"/>
        <w:textAlignment w:val="auto"/>
        <w:rPr>
          <w:rFonts w:hint="eastAsia" w:ascii="仿宋_GB2312" w:hAnsi="仿宋_GB2312" w:eastAsia="仿宋_GB2312" w:cs="仿宋_GB2312"/>
          <w:b w:val="0"/>
          <w:bCs w:val="0"/>
          <w:color w:val="auto"/>
          <w:kern w:val="2"/>
          <w:sz w:val="28"/>
          <w:szCs w:val="28"/>
          <w:highlight w:val="none"/>
          <w:u w:val="single"/>
          <w:lang w:val="en-US" w:eastAsia="zh-CN" w:bidi="ar-SA"/>
        </w:rPr>
      </w:pPr>
      <w:r>
        <w:rPr>
          <w:rFonts w:hint="eastAsia" w:ascii="仿宋_GB2312" w:hAnsi="仿宋_GB2312" w:eastAsia="仿宋_GB2312" w:cs="仿宋_GB2312"/>
          <w:b w:val="0"/>
          <w:bCs w:val="0"/>
          <w:color w:val="auto"/>
          <w:kern w:val="2"/>
          <w:sz w:val="28"/>
          <w:szCs w:val="28"/>
          <w:highlight w:val="none"/>
          <w:u w:val="single"/>
          <w:lang w:val="en-US" w:eastAsia="zh-CN" w:bidi="ar-SA"/>
        </w:rPr>
        <w:t xml:space="preserve">                                                                </w:t>
      </w:r>
    </w:p>
    <w:p w14:paraId="4394032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0" w:firstLineChars="0"/>
        <w:jc w:val="both"/>
        <w:textAlignment w:val="auto"/>
        <w:rPr>
          <w:rFonts w:hint="eastAsia" w:ascii="仿宋_GB2312" w:hAnsi="仿宋_GB2312" w:eastAsia="仿宋_GB2312" w:cs="仿宋_GB2312"/>
          <w:b w:val="0"/>
          <w:bCs w:val="0"/>
          <w:color w:val="auto"/>
          <w:kern w:val="2"/>
          <w:sz w:val="28"/>
          <w:szCs w:val="28"/>
          <w:highlight w:val="none"/>
          <w:u w:val="single"/>
          <w:lang w:val="en-US" w:eastAsia="zh-CN" w:bidi="ar-SA"/>
        </w:rPr>
      </w:pPr>
      <w:r>
        <w:rPr>
          <w:rFonts w:hint="eastAsia" w:ascii="仿宋_GB2312" w:hAnsi="仿宋_GB2312" w:eastAsia="仿宋_GB2312" w:cs="仿宋_GB2312"/>
          <w:b w:val="0"/>
          <w:bCs w:val="0"/>
          <w:color w:val="auto"/>
          <w:kern w:val="2"/>
          <w:sz w:val="28"/>
          <w:szCs w:val="28"/>
          <w:highlight w:val="none"/>
          <w:u w:val="single"/>
          <w:lang w:val="en-US" w:eastAsia="zh-CN" w:bidi="ar-SA"/>
        </w:rPr>
        <w:t xml:space="preserve">                                                                </w:t>
      </w:r>
    </w:p>
    <w:p w14:paraId="4A6D109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bCs/>
          <w:color w:val="auto"/>
          <w:sz w:val="21"/>
          <w:szCs w:val="21"/>
          <w:highlight w:val="none"/>
          <w:u w:val="none"/>
          <w:lang w:val="en-US" w:eastAsia="zh-CN"/>
        </w:rPr>
      </w:pPr>
    </w:p>
    <w:p w14:paraId="562EA1A0">
      <w:pPr>
        <w:keepNext w:val="0"/>
        <w:keepLines w:val="0"/>
        <w:pageBreakBefore w:val="0"/>
        <w:widowControl w:val="0"/>
        <w:numPr>
          <w:ilvl w:val="0"/>
          <w:numId w:val="1"/>
        </w:numPr>
        <w:kinsoku/>
        <w:wordWrap/>
        <w:overflowPunct/>
        <w:topLinePunct w:val="0"/>
        <w:autoSpaceDE/>
        <w:autoSpaceDN/>
        <w:bidi w:val="0"/>
        <w:adjustRightInd/>
        <w:snapToGrid/>
        <w:spacing w:line="460" w:lineRule="exact"/>
        <w:jc w:val="center"/>
        <w:textAlignment w:val="auto"/>
        <w:rPr>
          <w:rFonts w:hint="eastAsia" w:ascii="黑体" w:hAnsi="黑体" w:eastAsia="黑体" w:cs="黑体"/>
          <w:b/>
          <w:bCs/>
          <w:color w:val="auto"/>
          <w:sz w:val="32"/>
          <w:szCs w:val="32"/>
          <w:highlight w:val="none"/>
          <w:u w:val="none"/>
          <w:lang w:val="en-US" w:eastAsia="zh-CN"/>
        </w:rPr>
      </w:pPr>
      <w:r>
        <w:rPr>
          <w:rFonts w:hint="eastAsia" w:ascii="黑体" w:hAnsi="黑体" w:eastAsia="黑体" w:cs="黑体"/>
          <w:b/>
          <w:bCs/>
          <w:color w:val="auto"/>
          <w:sz w:val="32"/>
          <w:szCs w:val="32"/>
          <w:highlight w:val="none"/>
          <w:u w:val="none"/>
          <w:lang w:val="en-US" w:eastAsia="zh-CN"/>
        </w:rPr>
        <w:t>争议的解决</w:t>
      </w:r>
    </w:p>
    <w:p w14:paraId="07CEE684">
      <w:pPr>
        <w:pStyle w:val="5"/>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textAlignment w:val="auto"/>
        <w:rPr>
          <w:rFonts w:hint="default"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7.1凡因执行本合同所发生的与本合同有关的一切争议，双方应协商解决，也可提请政府相关部门进行调解。协商或调解不成的，按</w:t>
      </w:r>
      <w:r>
        <w:rPr>
          <w:rFonts w:hint="eastAsia" w:ascii="仿宋_GB2312" w:hAnsi="仿宋_GB2312" w:eastAsia="仿宋_GB2312" w:cs="仿宋_GB2312"/>
          <w:b w:val="0"/>
          <w:bCs w:val="0"/>
          <w:color w:val="auto"/>
          <w:sz w:val="28"/>
          <w:szCs w:val="28"/>
          <w:highlight w:val="none"/>
          <w:u w:val="single"/>
          <w:lang w:val="en-US" w:eastAsia="zh-CN"/>
        </w:rPr>
        <w:t xml:space="preserve"> 方式二    </w:t>
      </w:r>
      <w:r>
        <w:rPr>
          <w:rFonts w:hint="eastAsia" w:ascii="仿宋_GB2312" w:hAnsi="仿宋_GB2312" w:eastAsia="仿宋_GB2312" w:cs="仿宋_GB2312"/>
          <w:b w:val="0"/>
          <w:bCs w:val="0"/>
          <w:color w:val="auto"/>
          <w:sz w:val="28"/>
          <w:szCs w:val="28"/>
          <w:highlight w:val="none"/>
          <w:u w:val="none"/>
          <w:lang w:val="en-US" w:eastAsia="zh-CN"/>
        </w:rPr>
        <w:t>（方式一或方式二）解决：</w:t>
      </w:r>
    </w:p>
    <w:p w14:paraId="4019CBE4">
      <w:pPr>
        <w:pStyle w:val="5"/>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方式一：双方同意提请北京仲裁委员会，请求按照其仲裁规则进行仲裁，仲裁裁决是终局的，对各方均具有法律约束力。</w:t>
      </w:r>
    </w:p>
    <w:p w14:paraId="776C51B0">
      <w:pPr>
        <w:pStyle w:val="5"/>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方式二：双方依法提请任意一方所在地人民法院通过民事诉讼程序解决。</w:t>
      </w:r>
    </w:p>
    <w:p w14:paraId="6B292CF2">
      <w:pPr>
        <w:pStyle w:val="5"/>
        <w:rPr>
          <w:rFonts w:hint="default"/>
          <w:color w:val="auto"/>
          <w:highlight w:val="none"/>
          <w:lang w:val="en-US" w:eastAsia="zh-CN"/>
        </w:rPr>
      </w:pPr>
    </w:p>
    <w:p w14:paraId="2DA8E3AC">
      <w:pPr>
        <w:keepNext w:val="0"/>
        <w:keepLines w:val="0"/>
        <w:pageBreakBefore w:val="0"/>
        <w:widowControl w:val="0"/>
        <w:numPr>
          <w:ilvl w:val="0"/>
          <w:numId w:val="1"/>
        </w:numPr>
        <w:kinsoku/>
        <w:wordWrap/>
        <w:overflowPunct/>
        <w:topLinePunct w:val="0"/>
        <w:autoSpaceDE/>
        <w:autoSpaceDN/>
        <w:bidi w:val="0"/>
        <w:adjustRightInd/>
        <w:snapToGrid/>
        <w:spacing w:line="460" w:lineRule="exact"/>
        <w:jc w:val="center"/>
        <w:textAlignment w:val="auto"/>
        <w:rPr>
          <w:rFonts w:hint="eastAsia" w:ascii="黑体" w:hAnsi="黑体" w:eastAsia="黑体" w:cs="黑体"/>
          <w:b/>
          <w:bCs/>
          <w:color w:val="auto"/>
          <w:sz w:val="32"/>
          <w:szCs w:val="32"/>
          <w:highlight w:val="none"/>
          <w:u w:val="none"/>
          <w:lang w:val="en-US" w:eastAsia="zh-CN"/>
        </w:rPr>
      </w:pPr>
      <w:r>
        <w:rPr>
          <w:rFonts w:hint="eastAsia" w:ascii="黑体" w:hAnsi="黑体" w:eastAsia="黑体" w:cs="黑体"/>
          <w:b/>
          <w:bCs/>
          <w:color w:val="auto"/>
          <w:sz w:val="32"/>
          <w:szCs w:val="32"/>
          <w:highlight w:val="none"/>
          <w:u w:val="none"/>
          <w:lang w:val="en-US" w:eastAsia="zh-CN"/>
        </w:rPr>
        <w:t>附则</w:t>
      </w:r>
    </w:p>
    <w:p w14:paraId="46968041">
      <w:pPr>
        <w:pStyle w:val="5"/>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8.1甲乙双方对交易信息须履行保密义务，不得泄露商业机密。甲乙双方均保证其从另一方取得的所有无法自公开渠道获得的资料和文件（包括财务、技术等内容）予以保密。未经该资料和文件的原提供方书面同意，不得向任何第三方透露该资料和文件的全部或任何部分，但按照法律、法规规定可做出披露的情况除外，政府监管部门、市场交易机构等具备查阅资格的单位除外。</w:t>
      </w:r>
    </w:p>
    <w:p w14:paraId="093DCE7C">
      <w:pPr>
        <w:pStyle w:val="5"/>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8.2本合同中保密的条款在本合同解除后仍然有效。</w:t>
      </w:r>
    </w:p>
    <w:p w14:paraId="52AEC289">
      <w:pPr>
        <w:pStyle w:val="5"/>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8.3本合同及其附件构成双方就本合同标的达成的全部内容，应视为构成合同文件不可分割的部分。交易中心按本合同约定的结算模式出具结算依据。</w:t>
      </w:r>
    </w:p>
    <w:p w14:paraId="3378E6D9">
      <w:pPr>
        <w:pStyle w:val="5"/>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8.4本合同的订立、效力、解释、履行和争议解决均适用中华人民共和国法律。</w:t>
      </w:r>
    </w:p>
    <w:p w14:paraId="5783AEAE">
      <w:pPr>
        <w:pStyle w:val="5"/>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8.5本合同签署页及附件一、附件二须由甲乙双方法定代表人或授权代理人签署并加盖公章或合同专用章后生效，合同正文及附件须加盖骑缝章。合同签订日期以双方中最后一方签署并加盖公章或合同专用章的日期为准。</w:t>
      </w:r>
    </w:p>
    <w:p w14:paraId="02BCAEB9">
      <w:pPr>
        <w:pStyle w:val="5"/>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8.6本合同一式</w:t>
      </w:r>
      <w:r>
        <w:rPr>
          <w:rFonts w:hint="eastAsia" w:ascii="仿宋_GB2312" w:hAnsi="仿宋_GB2312" w:eastAsia="仿宋_GB2312" w:cs="仿宋_GB2312"/>
          <w:b w:val="0"/>
          <w:bCs w:val="0"/>
          <w:color w:val="auto"/>
          <w:sz w:val="28"/>
          <w:szCs w:val="28"/>
          <w:highlight w:val="none"/>
          <w:u w:val="single"/>
          <w:lang w:val="en-US" w:eastAsia="zh-CN"/>
        </w:rPr>
        <w:t xml:space="preserve">  叁  </w:t>
      </w:r>
      <w:r>
        <w:rPr>
          <w:rFonts w:hint="eastAsia" w:ascii="仿宋_GB2312" w:hAnsi="仿宋_GB2312" w:eastAsia="仿宋_GB2312" w:cs="仿宋_GB2312"/>
          <w:b w:val="0"/>
          <w:bCs w:val="0"/>
          <w:color w:val="auto"/>
          <w:sz w:val="28"/>
          <w:szCs w:val="28"/>
          <w:highlight w:val="none"/>
          <w:u w:val="none"/>
          <w:lang w:val="en-US" w:eastAsia="zh-CN"/>
        </w:rPr>
        <w:t>份，甲、乙双方各执</w:t>
      </w:r>
      <w:r>
        <w:rPr>
          <w:rFonts w:hint="eastAsia" w:ascii="仿宋_GB2312" w:hAnsi="仿宋_GB2312" w:eastAsia="仿宋_GB2312" w:cs="仿宋_GB2312"/>
          <w:b w:val="0"/>
          <w:bCs w:val="0"/>
          <w:color w:val="auto"/>
          <w:sz w:val="28"/>
          <w:szCs w:val="28"/>
          <w:highlight w:val="none"/>
          <w:u w:val="single"/>
          <w:lang w:val="en-US" w:eastAsia="zh-CN"/>
        </w:rPr>
        <w:t xml:space="preserve">  壹  </w:t>
      </w:r>
      <w:r>
        <w:rPr>
          <w:rFonts w:hint="eastAsia" w:ascii="仿宋_GB2312" w:hAnsi="仿宋_GB2312" w:eastAsia="仿宋_GB2312" w:cs="仿宋_GB2312"/>
          <w:b w:val="0"/>
          <w:bCs w:val="0"/>
          <w:color w:val="auto"/>
          <w:sz w:val="28"/>
          <w:szCs w:val="28"/>
          <w:highlight w:val="none"/>
          <w:u w:val="none"/>
          <w:lang w:val="en-US" w:eastAsia="zh-CN"/>
        </w:rPr>
        <w:t>份，报首都电力交易中心备案一份，具有同等法律效力。</w:t>
      </w:r>
    </w:p>
    <w:p w14:paraId="58180CE1">
      <w:pPr>
        <w:pStyle w:val="5"/>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（以下无正文，为签署页）</w:t>
      </w:r>
    </w:p>
    <w:p w14:paraId="36CF8522">
      <w:pPr>
        <w:pStyle w:val="5"/>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p>
    <w:p w14:paraId="29C7D277">
      <w:pPr>
        <w:pStyle w:val="5"/>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附件一：《煤电容量电价政策知情书》</w:t>
      </w:r>
    </w:p>
    <w:p w14:paraId="546E24A5">
      <w:pPr>
        <w:pStyle w:val="5"/>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textAlignment w:val="auto"/>
        <w:rPr>
          <w:rFonts w:hint="default"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附件二：《北京市电力零售交易结算参数表（2026年）》</w:t>
      </w:r>
    </w:p>
    <w:p w14:paraId="2FB82D0E">
      <w:pPr>
        <w:pStyle w:val="5"/>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br w:type="page"/>
      </w:r>
    </w:p>
    <w:p w14:paraId="11D8B8D7">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黑体" w:hAnsi="黑体" w:eastAsia="黑体" w:cs="黑体"/>
          <w:b/>
          <w:bCs/>
          <w:color w:val="auto"/>
          <w:sz w:val="32"/>
          <w:szCs w:val="32"/>
          <w:highlight w:val="none"/>
          <w:u w:val="none"/>
          <w:lang w:val="en-US" w:eastAsia="zh-CN"/>
        </w:rPr>
      </w:pPr>
      <w:r>
        <w:rPr>
          <w:rFonts w:hint="eastAsia" w:ascii="黑体" w:hAnsi="黑体" w:eastAsia="黑体" w:cs="黑体"/>
          <w:b/>
          <w:bCs/>
          <w:color w:val="auto"/>
          <w:sz w:val="32"/>
          <w:szCs w:val="32"/>
          <w:highlight w:val="none"/>
          <w:u w:val="none"/>
          <w:lang w:val="en-US" w:eastAsia="zh-CN"/>
        </w:rPr>
        <w:t>签署页</w:t>
      </w:r>
    </w:p>
    <w:p w14:paraId="56B2C8F1">
      <w:pPr>
        <w:pStyle w:val="5"/>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highlight w:val="none"/>
        </w:rPr>
      </w:pPr>
    </w:p>
    <w:p w14:paraId="35A03F0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auto"/>
          <w:highlight w:val="none"/>
        </w:rPr>
      </w:pPr>
    </w:p>
    <w:p w14:paraId="72B9A2E7">
      <w:pPr>
        <w:pStyle w:val="5"/>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auto"/>
          <w:highlight w:val="none"/>
        </w:rPr>
        <w:sectPr>
          <w:footerReference r:id="rId5" w:type="default"/>
          <w:pgSz w:w="11906" w:h="16838"/>
          <w:pgMar w:top="1440" w:right="1440" w:bottom="1440" w:left="1440" w:header="851" w:footer="992" w:gutter="0"/>
          <w:pgNumType w:fmt="decimal"/>
          <w:cols w:space="425" w:num="1"/>
          <w:docGrid w:type="lines" w:linePitch="312" w:charSpace="0"/>
        </w:sectPr>
      </w:pPr>
    </w:p>
    <w:p w14:paraId="4E6168CC">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0000FF"/>
          <w:spacing w:val="-5"/>
          <w:sz w:val="28"/>
          <w:szCs w:val="28"/>
          <w:highlight w:val="cyan"/>
        </w:rPr>
      </w:pPr>
      <w:r>
        <w:rPr>
          <w:rFonts w:hint="eastAsia" w:ascii="仿宋_GB2312" w:hAnsi="仿宋_GB2312" w:eastAsia="仿宋_GB2312" w:cs="仿宋_GB2312"/>
          <w:color w:val="0000FF"/>
          <w:spacing w:val="-5"/>
          <w:sz w:val="28"/>
          <w:szCs w:val="28"/>
          <w:highlight w:val="cyan"/>
          <w:lang w:val="en-US" w:eastAsia="zh-CN"/>
        </w:rPr>
        <w:t>甲方（零售用户）：北京市昌平区南口社区卫生服务中心</w:t>
      </w:r>
      <w:r>
        <w:rPr>
          <w:rFonts w:hint="eastAsia" w:ascii="仿宋_GB2312" w:hAnsi="仿宋_GB2312" w:eastAsia="仿宋_GB2312" w:cs="仿宋_GB2312"/>
          <w:color w:val="0000FF"/>
          <w:spacing w:val="-5"/>
          <w:sz w:val="28"/>
          <w:szCs w:val="28"/>
          <w:highlight w:val="cyan"/>
        </w:rPr>
        <w:t>（盖章）</w:t>
      </w:r>
    </w:p>
    <w:p w14:paraId="2A9E6D48">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default" w:ascii="仿宋_GB2312" w:hAnsi="仿宋_GB2312" w:eastAsia="仿宋_GB2312" w:cs="仿宋_GB2312"/>
          <w:color w:val="0000FF"/>
          <w:spacing w:val="-5"/>
          <w:sz w:val="28"/>
          <w:szCs w:val="28"/>
          <w:highlight w:val="cyan"/>
          <w:lang w:val="en-US" w:eastAsia="zh-CN"/>
        </w:rPr>
      </w:pPr>
      <w:r>
        <w:rPr>
          <w:rFonts w:hint="eastAsia" w:ascii="仿宋_GB2312" w:hAnsi="仿宋_GB2312" w:eastAsia="仿宋_GB2312" w:cs="仿宋_GB2312"/>
          <w:color w:val="0000FF"/>
          <w:spacing w:val="-5"/>
          <w:sz w:val="28"/>
          <w:szCs w:val="28"/>
          <w:highlight w:val="cyan"/>
          <w:lang w:val="en-US" w:eastAsia="zh-CN"/>
        </w:rPr>
        <w:t>统一社会信用代码：12110221553145103M</w:t>
      </w:r>
    </w:p>
    <w:p w14:paraId="799AE8FA">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0000FF"/>
          <w:spacing w:val="-5"/>
          <w:sz w:val="28"/>
          <w:szCs w:val="28"/>
          <w:highlight w:val="cyan"/>
          <w:lang w:val="en-US" w:eastAsia="zh-CN"/>
        </w:rPr>
      </w:pPr>
      <w:r>
        <w:rPr>
          <w:rFonts w:hint="eastAsia" w:ascii="仿宋_GB2312" w:hAnsi="仿宋_GB2312" w:eastAsia="仿宋_GB2312" w:cs="仿宋_GB2312"/>
          <w:color w:val="0000FF"/>
          <w:spacing w:val="-5"/>
          <w:sz w:val="28"/>
          <w:szCs w:val="28"/>
          <w:highlight w:val="cyan"/>
          <w:lang w:val="en-US" w:eastAsia="zh-CN"/>
        </w:rPr>
        <w:t>法定代表人（负责人）或</w:t>
      </w:r>
    </w:p>
    <w:p w14:paraId="3B64E77C">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0000FF"/>
          <w:sz w:val="28"/>
          <w:szCs w:val="28"/>
          <w:highlight w:val="cyan"/>
          <w:lang w:val="en-US" w:eastAsia="zh-CN"/>
        </w:rPr>
      </w:pPr>
      <w:r>
        <w:rPr>
          <w:rFonts w:hint="eastAsia" w:ascii="仿宋_GB2312" w:hAnsi="仿宋_GB2312" w:eastAsia="仿宋_GB2312" w:cs="仿宋_GB2312"/>
          <w:color w:val="0000FF"/>
          <w:spacing w:val="-5"/>
          <w:sz w:val="28"/>
          <w:szCs w:val="28"/>
          <w:highlight w:val="cyan"/>
          <w:lang w:val="en-US" w:eastAsia="zh-CN"/>
        </w:rPr>
        <w:t>授权代表（签字）：</w:t>
      </w:r>
    </w:p>
    <w:p w14:paraId="44E582A9">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0000FF"/>
          <w:spacing w:val="-5"/>
          <w:sz w:val="28"/>
          <w:szCs w:val="28"/>
          <w:highlight w:val="cyan"/>
          <w:lang w:val="en-US" w:eastAsia="zh-CN"/>
        </w:rPr>
      </w:pPr>
      <w:r>
        <w:rPr>
          <w:rFonts w:hint="eastAsia" w:ascii="仿宋_GB2312" w:hAnsi="仿宋_GB2312" w:eastAsia="仿宋_GB2312" w:cs="仿宋_GB2312"/>
          <w:color w:val="0000FF"/>
          <w:spacing w:val="-5"/>
          <w:sz w:val="28"/>
          <w:szCs w:val="28"/>
          <w:highlight w:val="cyan"/>
          <w:lang w:val="en-US" w:eastAsia="zh-CN"/>
        </w:rPr>
        <w:t>签订日期：</w:t>
      </w:r>
    </w:p>
    <w:p w14:paraId="6F4FC032">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default" w:ascii="仿宋_GB2312" w:hAnsi="仿宋_GB2312" w:eastAsia="仿宋_GB2312" w:cs="仿宋_GB2312"/>
          <w:color w:val="0000FF"/>
          <w:spacing w:val="-5"/>
          <w:sz w:val="28"/>
          <w:szCs w:val="28"/>
          <w:highlight w:val="cyan"/>
          <w:lang w:val="en-US" w:eastAsia="zh-CN"/>
        </w:rPr>
      </w:pPr>
      <w:r>
        <w:rPr>
          <w:rFonts w:hint="eastAsia" w:ascii="仿宋_GB2312" w:hAnsi="仿宋_GB2312" w:eastAsia="仿宋_GB2312" w:cs="仿宋_GB2312"/>
          <w:color w:val="0000FF"/>
          <w:spacing w:val="-5"/>
          <w:sz w:val="28"/>
          <w:szCs w:val="28"/>
          <w:highlight w:val="cyan"/>
          <w:lang w:val="en-US" w:eastAsia="zh-CN"/>
        </w:rPr>
        <w:t>地址：北京市昌平区南口镇兴隆街3号</w:t>
      </w:r>
    </w:p>
    <w:p w14:paraId="4278E5B6">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default" w:ascii="仿宋_GB2312" w:hAnsi="仿宋_GB2312" w:eastAsia="仿宋_GB2312" w:cs="仿宋_GB2312"/>
          <w:color w:val="0000FF"/>
          <w:spacing w:val="-5"/>
          <w:sz w:val="28"/>
          <w:szCs w:val="28"/>
          <w:highlight w:val="cyan"/>
          <w:lang w:val="en-US" w:eastAsia="zh-CN"/>
        </w:rPr>
      </w:pPr>
      <w:r>
        <w:rPr>
          <w:rFonts w:hint="eastAsia" w:ascii="仿宋_GB2312" w:hAnsi="仿宋_GB2312" w:eastAsia="仿宋_GB2312" w:cs="仿宋_GB2312"/>
          <w:color w:val="0000FF"/>
          <w:spacing w:val="-5"/>
          <w:sz w:val="28"/>
          <w:szCs w:val="28"/>
          <w:highlight w:val="cyan"/>
          <w:lang w:val="en-US" w:eastAsia="zh-CN"/>
        </w:rPr>
        <w:t>邮编：102202</w:t>
      </w:r>
    </w:p>
    <w:p w14:paraId="40B46247">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default" w:ascii="仿宋_GB2312" w:hAnsi="仿宋_GB2312" w:eastAsia="仿宋_GB2312" w:cs="仿宋_GB2312"/>
          <w:color w:val="0000FF"/>
          <w:spacing w:val="-5"/>
          <w:sz w:val="28"/>
          <w:szCs w:val="28"/>
          <w:highlight w:val="cyan"/>
          <w:lang w:val="en-US" w:eastAsia="zh-CN"/>
        </w:rPr>
      </w:pPr>
      <w:r>
        <w:rPr>
          <w:rFonts w:hint="eastAsia" w:ascii="仿宋_GB2312" w:hAnsi="仿宋_GB2312" w:eastAsia="仿宋_GB2312" w:cs="仿宋_GB2312"/>
          <w:color w:val="0000FF"/>
          <w:spacing w:val="-5"/>
          <w:sz w:val="28"/>
          <w:szCs w:val="28"/>
          <w:highlight w:val="cyan"/>
          <w:lang w:val="en-US" w:eastAsia="zh-CN"/>
        </w:rPr>
        <w:t>联系人：刘旭斌</w:t>
      </w:r>
    </w:p>
    <w:p w14:paraId="6BBBC8E9">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auto"/>
          <w:spacing w:val="-5"/>
          <w:sz w:val="28"/>
          <w:szCs w:val="28"/>
          <w:highlight w:val="none"/>
          <w:lang w:val="en-US" w:eastAsia="zh-CN"/>
        </w:rPr>
      </w:pPr>
      <w:r>
        <w:rPr>
          <w:rFonts w:hint="eastAsia" w:ascii="仿宋_GB2312" w:hAnsi="仿宋_GB2312" w:eastAsia="仿宋_GB2312" w:cs="仿宋_GB2312"/>
          <w:color w:val="0000FF"/>
          <w:spacing w:val="-5"/>
          <w:sz w:val="28"/>
          <w:szCs w:val="28"/>
          <w:highlight w:val="cyan"/>
          <w:lang w:val="en-US" w:eastAsia="zh-CN"/>
        </w:rPr>
        <w:t>电话：18618198285</w:t>
      </w:r>
      <w:r>
        <w:rPr>
          <w:rFonts w:hint="eastAsia" w:ascii="仿宋_GB2312" w:hAnsi="仿宋_GB2312" w:eastAsia="仿宋_GB2312" w:cs="仿宋_GB2312"/>
          <w:color w:val="auto"/>
          <w:spacing w:val="-5"/>
          <w:sz w:val="28"/>
          <w:szCs w:val="28"/>
          <w:highlight w:val="none"/>
          <w:lang w:val="en-US" w:eastAsia="zh-CN"/>
        </w:rPr>
        <w:br w:type="column"/>
      </w:r>
      <w:r>
        <w:rPr>
          <w:rFonts w:hint="eastAsia" w:ascii="仿宋_GB2312" w:hAnsi="仿宋_GB2312" w:eastAsia="仿宋_GB2312" w:cs="仿宋_GB2312"/>
          <w:color w:val="auto"/>
          <w:spacing w:val="-5"/>
          <w:sz w:val="28"/>
          <w:szCs w:val="28"/>
          <w:highlight w:val="none"/>
          <w:lang w:val="en-US" w:eastAsia="zh-CN"/>
        </w:rPr>
        <w:t>乙方（售电公司）：北京京能新能源有限公司</w:t>
      </w:r>
    </w:p>
    <w:p w14:paraId="0CF4CE75">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auto"/>
          <w:spacing w:val="-5"/>
          <w:sz w:val="28"/>
          <w:szCs w:val="28"/>
          <w:highlight w:val="none"/>
          <w:lang w:val="en-US" w:eastAsia="zh-CN"/>
        </w:rPr>
      </w:pPr>
      <w:r>
        <w:rPr>
          <w:rFonts w:hint="eastAsia" w:ascii="仿宋_GB2312" w:hAnsi="仿宋_GB2312" w:eastAsia="仿宋_GB2312" w:cs="仿宋_GB2312"/>
          <w:color w:val="auto"/>
          <w:spacing w:val="-5"/>
          <w:sz w:val="28"/>
          <w:szCs w:val="28"/>
          <w:highlight w:val="none"/>
          <w:lang w:val="en-US" w:eastAsia="zh-CN"/>
        </w:rPr>
        <w:t>（盖章）</w:t>
      </w:r>
    </w:p>
    <w:p w14:paraId="503264A1">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color w:val="auto"/>
          <w:highlight w:val="none"/>
          <w:lang w:val="en-US" w:eastAsia="zh-CN"/>
        </w:rPr>
      </w:pPr>
      <w:r>
        <w:rPr>
          <w:rFonts w:hint="eastAsia" w:ascii="仿宋_GB2312" w:hAnsi="仿宋_GB2312" w:eastAsia="仿宋_GB2312" w:cs="仿宋_GB2312"/>
          <w:color w:val="auto"/>
          <w:spacing w:val="-5"/>
          <w:sz w:val="28"/>
          <w:szCs w:val="28"/>
          <w:highlight w:val="none"/>
          <w:lang w:val="en-US" w:eastAsia="zh-CN"/>
        </w:rPr>
        <w:t>统一社会信用代码：911100007541664105</w:t>
      </w:r>
    </w:p>
    <w:p w14:paraId="6F030C25">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auto"/>
          <w:spacing w:val="-5"/>
          <w:sz w:val="28"/>
          <w:szCs w:val="28"/>
          <w:highlight w:val="none"/>
          <w:lang w:val="en-US" w:eastAsia="zh-CN"/>
        </w:rPr>
      </w:pPr>
      <w:r>
        <w:rPr>
          <w:rFonts w:hint="eastAsia" w:ascii="仿宋_GB2312" w:hAnsi="仿宋_GB2312" w:eastAsia="仿宋_GB2312" w:cs="仿宋_GB2312"/>
          <w:color w:val="auto"/>
          <w:spacing w:val="-5"/>
          <w:sz w:val="28"/>
          <w:szCs w:val="28"/>
          <w:highlight w:val="none"/>
          <w:lang w:val="en-US" w:eastAsia="zh-CN"/>
        </w:rPr>
        <w:t>法定代表人（负责人）或</w:t>
      </w:r>
    </w:p>
    <w:p w14:paraId="073CAB64">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auto"/>
          <w:spacing w:val="-5"/>
          <w:sz w:val="28"/>
          <w:szCs w:val="28"/>
          <w:highlight w:val="none"/>
          <w:lang w:val="en-US" w:eastAsia="zh-CN"/>
        </w:rPr>
      </w:pPr>
      <w:r>
        <w:rPr>
          <w:rFonts w:hint="eastAsia" w:ascii="仿宋_GB2312" w:hAnsi="仿宋_GB2312" w:eastAsia="仿宋_GB2312" w:cs="仿宋_GB2312"/>
          <w:color w:val="auto"/>
          <w:spacing w:val="-5"/>
          <w:sz w:val="28"/>
          <w:szCs w:val="28"/>
          <w:highlight w:val="none"/>
          <w:lang w:val="en-US" w:eastAsia="zh-CN"/>
        </w:rPr>
        <w:t>授权代表（签字）：</w:t>
      </w:r>
    </w:p>
    <w:p w14:paraId="6DF03CCD">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auto"/>
          <w:spacing w:val="-5"/>
          <w:sz w:val="28"/>
          <w:szCs w:val="28"/>
          <w:highlight w:val="none"/>
          <w:lang w:val="en-US" w:eastAsia="zh-CN"/>
        </w:rPr>
      </w:pPr>
      <w:r>
        <w:rPr>
          <w:rFonts w:hint="eastAsia" w:ascii="仿宋_GB2312" w:hAnsi="仿宋_GB2312" w:eastAsia="仿宋_GB2312" w:cs="仿宋_GB2312"/>
          <w:color w:val="auto"/>
          <w:spacing w:val="-5"/>
          <w:sz w:val="28"/>
          <w:szCs w:val="28"/>
          <w:highlight w:val="none"/>
          <w:lang w:val="en-US" w:eastAsia="zh-CN"/>
        </w:rPr>
        <w:t>签订日期：</w:t>
      </w:r>
    </w:p>
    <w:p w14:paraId="4ACAFF9B">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auto"/>
          <w:spacing w:val="-5"/>
          <w:sz w:val="28"/>
          <w:szCs w:val="28"/>
          <w:highlight w:val="none"/>
          <w:lang w:val="en-US" w:eastAsia="zh-CN"/>
        </w:rPr>
      </w:pPr>
      <w:r>
        <w:rPr>
          <w:rFonts w:hint="eastAsia" w:ascii="仿宋_GB2312" w:hAnsi="仿宋_GB2312" w:eastAsia="仿宋_GB2312" w:cs="仿宋_GB2312"/>
          <w:color w:val="auto"/>
          <w:spacing w:val="-5"/>
          <w:sz w:val="28"/>
          <w:szCs w:val="28"/>
          <w:highlight w:val="none"/>
          <w:lang w:val="en-US" w:eastAsia="zh-CN"/>
        </w:rPr>
        <w:t>地址：北京市朝阳区广渠路18号院世东国际1号楼第13层</w:t>
      </w:r>
    </w:p>
    <w:p w14:paraId="6A43A457">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auto"/>
          <w:spacing w:val="-5"/>
          <w:sz w:val="28"/>
          <w:szCs w:val="28"/>
          <w:highlight w:val="none"/>
          <w:lang w:val="en-US" w:eastAsia="zh-CN"/>
        </w:rPr>
      </w:pPr>
      <w:r>
        <w:rPr>
          <w:rFonts w:hint="eastAsia" w:ascii="仿宋_GB2312" w:hAnsi="仿宋_GB2312" w:eastAsia="仿宋_GB2312" w:cs="仿宋_GB2312"/>
          <w:color w:val="auto"/>
          <w:spacing w:val="-5"/>
          <w:sz w:val="28"/>
          <w:szCs w:val="28"/>
          <w:highlight w:val="none"/>
          <w:lang w:val="en-US" w:eastAsia="zh-CN"/>
        </w:rPr>
        <w:t>邮编：100022</w:t>
      </w:r>
    </w:p>
    <w:p w14:paraId="5989CCF4">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auto"/>
          <w:spacing w:val="-5"/>
          <w:sz w:val="28"/>
          <w:szCs w:val="28"/>
          <w:highlight w:val="none"/>
          <w:lang w:val="en-US" w:eastAsia="zh-CN"/>
        </w:rPr>
      </w:pPr>
      <w:r>
        <w:rPr>
          <w:rFonts w:hint="eastAsia" w:ascii="仿宋_GB2312" w:hAnsi="仿宋_GB2312" w:eastAsia="仿宋_GB2312" w:cs="仿宋_GB2312"/>
          <w:color w:val="auto"/>
          <w:spacing w:val="-5"/>
          <w:sz w:val="28"/>
          <w:szCs w:val="28"/>
          <w:highlight w:val="none"/>
          <w:lang w:val="en-US" w:eastAsia="zh-CN"/>
        </w:rPr>
        <w:t>联系人：于欢</w:t>
      </w:r>
    </w:p>
    <w:p w14:paraId="01F929F3">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auto"/>
          <w:spacing w:val="-5"/>
          <w:sz w:val="28"/>
          <w:szCs w:val="28"/>
          <w:highlight w:val="none"/>
          <w:lang w:val="en-US" w:eastAsia="zh-CN"/>
        </w:rPr>
      </w:pPr>
      <w:r>
        <w:rPr>
          <w:rFonts w:hint="eastAsia" w:ascii="仿宋_GB2312" w:hAnsi="仿宋_GB2312" w:eastAsia="仿宋_GB2312" w:cs="仿宋_GB2312"/>
          <w:color w:val="auto"/>
          <w:spacing w:val="-5"/>
          <w:sz w:val="28"/>
          <w:szCs w:val="28"/>
          <w:highlight w:val="none"/>
          <w:lang w:val="en-US" w:eastAsia="zh-CN"/>
        </w:rPr>
        <w:t>电话：18242166913</w:t>
      </w:r>
    </w:p>
    <w:p w14:paraId="743F12DF">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auto"/>
          <w:spacing w:val="-5"/>
          <w:sz w:val="28"/>
          <w:szCs w:val="28"/>
          <w:highlight w:val="none"/>
          <w:lang w:val="en-US" w:eastAsia="zh-CN"/>
        </w:rPr>
        <w:sectPr>
          <w:type w:val="continuous"/>
          <w:pgSz w:w="11906" w:h="16838"/>
          <w:pgMar w:top="1440" w:right="1800" w:bottom="1440" w:left="1800" w:header="851" w:footer="992" w:gutter="0"/>
          <w:pgNumType w:fmt="decimal"/>
          <w:cols w:equalWidth="0" w:num="2">
            <w:col w:w="4200" w:space="427"/>
            <w:col w:w="3679"/>
          </w:cols>
          <w:docGrid w:type="lines" w:linePitch="312" w:charSpace="0"/>
        </w:sectPr>
      </w:pPr>
    </w:p>
    <w:p w14:paraId="725903C2">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黑体" w:hAnsi="黑体" w:eastAsia="黑体" w:cs="黑体"/>
          <w:b w:val="0"/>
          <w:bCs w:val="0"/>
          <w:color w:val="auto"/>
          <w:sz w:val="32"/>
          <w:szCs w:val="32"/>
          <w:highlight w:val="none"/>
          <w:u w:val="none"/>
          <w:lang w:val="en-US" w:eastAsia="zh-CN"/>
        </w:rPr>
        <w:sectPr>
          <w:type w:val="continuous"/>
          <w:pgSz w:w="11906" w:h="16838"/>
          <w:pgMar w:top="1440" w:right="1800" w:bottom="1440" w:left="1800" w:header="851" w:footer="992" w:gutter="0"/>
          <w:pgNumType w:fmt="decimal"/>
          <w:cols w:space="425" w:num="1"/>
          <w:docGrid w:type="lines" w:linePitch="312" w:charSpace="0"/>
        </w:sectPr>
      </w:pPr>
    </w:p>
    <w:p w14:paraId="3E3B0C40">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附件一：</w:t>
      </w:r>
    </w:p>
    <w:p w14:paraId="245E369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heme="majorEastAsia" w:hAnsiTheme="majorEastAsia" w:eastAsiaTheme="majorEastAsia" w:cstheme="majorEastAsia"/>
          <w:b/>
          <w:bCs/>
          <w:color w:val="auto"/>
          <w:sz w:val="36"/>
          <w:szCs w:val="36"/>
          <w:highlight w:val="none"/>
          <w:lang w:val="en-US" w:eastAsia="zh-CN"/>
        </w:rPr>
      </w:pPr>
      <w:r>
        <w:rPr>
          <w:rFonts w:hint="eastAsia" w:asciiTheme="majorEastAsia" w:hAnsiTheme="majorEastAsia" w:eastAsiaTheme="majorEastAsia" w:cstheme="majorEastAsia"/>
          <w:b/>
          <w:bCs/>
          <w:color w:val="auto"/>
          <w:sz w:val="36"/>
          <w:szCs w:val="36"/>
          <w:highlight w:val="none"/>
          <w:lang w:val="en-US" w:eastAsia="zh-CN"/>
        </w:rPr>
        <w:t>煤电容量电价政策知情书</w:t>
      </w:r>
    </w:p>
    <w:p w14:paraId="0AF9B3A0">
      <w:pPr>
        <w:pStyle w:val="5"/>
        <w:rPr>
          <w:rFonts w:hint="eastAsia"/>
          <w:color w:val="auto"/>
          <w:highlight w:val="none"/>
          <w:lang w:val="en-US" w:eastAsia="zh-CN"/>
        </w:rPr>
      </w:pPr>
    </w:p>
    <w:p w14:paraId="3B6B034E">
      <w:pPr>
        <w:pStyle w:val="5"/>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零售合同中约定的电能量电价，非用户最终到户电价（详见合同文本4.4条）。根据《国家发展改革委国家能源局关于建立煤电容量电价机制的通知》（发改价格〔2023〕1501号）要求，自2024年1月1日起，煤电机组发电价格由单一制电价调整为两部制电价，即“电量电价+容量电价”，其中电量电价通过市场化方式形成，本零售合同中约定的电能量价格即为电量电价，容量电价根据煤电功能转型情况等因素逐步调整，容量电价由全体工商业用户按月分摊，北京地区工商业用户目前统一通过“系统运行费用—煤电容量电费”收取。</w:t>
      </w:r>
    </w:p>
    <w:p w14:paraId="296FB945">
      <w:pPr>
        <w:pStyle w:val="5"/>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零售用户可通过电费账单“系统运行费用—煤电容量电费”中查看各月容量电价实际分摊执行水平，也可通过“网上国网”的“电力市场服务专区-代理购电价格公示”查看，或者通过首都电力交易平台信息披露模块“市场运营—电网代理购电信息—代理购电价格公示表”中“系统运行费用—煤电容量电费折合度电水平”查看。</w:t>
      </w:r>
    </w:p>
    <w:p w14:paraId="7C5E7979">
      <w:pPr>
        <w:pStyle w:val="5"/>
        <w:rPr>
          <w:rFonts w:hint="eastAsia" w:ascii="仿宋_GB2312" w:hAnsi="仿宋_GB2312" w:eastAsia="仿宋_GB2312" w:cs="仿宋_GB2312"/>
          <w:color w:val="auto"/>
          <w:sz w:val="28"/>
          <w:szCs w:val="28"/>
          <w:highlight w:val="none"/>
          <w:lang w:val="en-US" w:eastAsia="zh-CN"/>
        </w:rPr>
      </w:pPr>
    </w:p>
    <w:p w14:paraId="4E8162D0">
      <w:pPr>
        <w:rPr>
          <w:rFonts w:hint="eastAsia" w:ascii="仿宋_GB2312" w:hAnsi="仿宋_GB2312" w:eastAsia="仿宋_GB2312" w:cs="仿宋_GB2312"/>
          <w:color w:val="auto"/>
          <w:sz w:val="28"/>
          <w:szCs w:val="28"/>
          <w:highlight w:val="none"/>
          <w:lang w:val="en-US" w:eastAsia="zh-CN"/>
        </w:rPr>
      </w:pPr>
    </w:p>
    <w:p w14:paraId="25F1CEAD">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auto"/>
          <w:spacing w:val="-5"/>
          <w:sz w:val="28"/>
          <w:szCs w:val="28"/>
          <w:highlight w:val="none"/>
          <w:lang w:val="en-US" w:eastAsia="zh-CN"/>
        </w:rPr>
        <w:sectPr>
          <w:footerReference r:id="rId6" w:type="default"/>
          <w:pgSz w:w="11906" w:h="16838"/>
          <w:pgMar w:top="1440" w:right="1800" w:bottom="1440" w:left="1800" w:header="851" w:footer="992" w:gutter="0"/>
          <w:pgNumType w:fmt="decimal"/>
          <w:cols w:space="425" w:num="1"/>
          <w:docGrid w:type="lines" w:linePitch="312" w:charSpace="0"/>
        </w:sectPr>
      </w:pPr>
    </w:p>
    <w:p w14:paraId="0E0D4ACA">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default" w:ascii="仿宋_GB2312" w:hAnsi="仿宋_GB2312" w:eastAsia="仿宋_GB2312" w:cs="仿宋_GB2312"/>
          <w:color w:val="0000FF"/>
          <w:spacing w:val="-5"/>
          <w:sz w:val="28"/>
          <w:szCs w:val="28"/>
          <w:highlight w:val="cyan"/>
          <w:lang w:val="en-US" w:eastAsia="zh-CN"/>
        </w:rPr>
      </w:pPr>
      <w:r>
        <w:rPr>
          <w:rFonts w:hint="eastAsia" w:ascii="仿宋_GB2312" w:hAnsi="仿宋_GB2312" w:eastAsia="仿宋_GB2312" w:cs="仿宋_GB2312"/>
          <w:color w:val="0000FF"/>
          <w:spacing w:val="-5"/>
          <w:sz w:val="28"/>
          <w:szCs w:val="28"/>
          <w:highlight w:val="cyan"/>
          <w:lang w:val="en-US" w:eastAsia="zh-CN"/>
        </w:rPr>
        <w:t>甲方（零售用户）：北京市昌平区南口社区卫生服务中心</w:t>
      </w:r>
    </w:p>
    <w:p w14:paraId="465CB15C">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default" w:ascii="仿宋_GB2312" w:hAnsi="仿宋_GB2312" w:eastAsia="仿宋_GB2312" w:cs="仿宋_GB2312"/>
          <w:color w:val="0000FF"/>
          <w:spacing w:val="-5"/>
          <w:sz w:val="28"/>
          <w:szCs w:val="28"/>
          <w:highlight w:val="cyan"/>
          <w:lang w:val="en-US" w:eastAsia="zh-CN"/>
        </w:rPr>
      </w:pPr>
    </w:p>
    <w:p w14:paraId="46813855">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0000FF"/>
          <w:spacing w:val="-5"/>
          <w:sz w:val="28"/>
          <w:szCs w:val="28"/>
          <w:highlight w:val="cyan"/>
        </w:rPr>
      </w:pPr>
      <w:r>
        <w:rPr>
          <w:rFonts w:hint="eastAsia" w:ascii="仿宋_GB2312" w:hAnsi="仿宋_GB2312" w:eastAsia="仿宋_GB2312" w:cs="仿宋_GB2312"/>
          <w:color w:val="0000FF"/>
          <w:spacing w:val="-5"/>
          <w:sz w:val="28"/>
          <w:szCs w:val="28"/>
          <w:highlight w:val="cyan"/>
        </w:rPr>
        <w:t>（盖章）</w:t>
      </w:r>
    </w:p>
    <w:p w14:paraId="4837CFA2">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0000FF"/>
          <w:spacing w:val="-5"/>
          <w:sz w:val="28"/>
          <w:szCs w:val="28"/>
          <w:highlight w:val="cyan"/>
          <w:lang w:val="en-US" w:eastAsia="zh-CN"/>
        </w:rPr>
      </w:pPr>
      <w:r>
        <w:rPr>
          <w:rFonts w:hint="eastAsia" w:ascii="仿宋_GB2312" w:hAnsi="仿宋_GB2312" w:eastAsia="仿宋_GB2312" w:cs="仿宋_GB2312"/>
          <w:color w:val="0000FF"/>
          <w:spacing w:val="-5"/>
          <w:sz w:val="28"/>
          <w:szCs w:val="28"/>
          <w:highlight w:val="cyan"/>
          <w:lang w:val="en-US" w:eastAsia="zh-CN"/>
        </w:rPr>
        <w:t>法定代表人（负责人）或</w:t>
      </w:r>
    </w:p>
    <w:p w14:paraId="09073442">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0000FF"/>
          <w:sz w:val="28"/>
          <w:szCs w:val="28"/>
          <w:highlight w:val="cyan"/>
          <w:lang w:val="en-US" w:eastAsia="zh-CN"/>
        </w:rPr>
      </w:pPr>
      <w:r>
        <w:rPr>
          <w:rFonts w:hint="eastAsia" w:ascii="仿宋_GB2312" w:hAnsi="仿宋_GB2312" w:eastAsia="仿宋_GB2312" w:cs="仿宋_GB2312"/>
          <w:color w:val="0000FF"/>
          <w:spacing w:val="-5"/>
          <w:sz w:val="28"/>
          <w:szCs w:val="28"/>
          <w:highlight w:val="cyan"/>
          <w:lang w:val="en-US" w:eastAsia="zh-CN"/>
        </w:rPr>
        <w:t>授权代表（签字）：</w:t>
      </w:r>
    </w:p>
    <w:p w14:paraId="15BE8EEB">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default" w:ascii="仿宋_GB2312" w:hAnsi="仿宋_GB2312" w:eastAsia="仿宋_GB2312" w:cs="仿宋_GB2312"/>
          <w:color w:val="auto"/>
          <w:spacing w:val="-5"/>
          <w:sz w:val="28"/>
          <w:szCs w:val="28"/>
          <w:highlight w:val="none"/>
          <w:lang w:val="en-US" w:eastAsia="zh-CN"/>
        </w:rPr>
      </w:pPr>
      <w:r>
        <w:rPr>
          <w:rFonts w:hint="eastAsia" w:ascii="仿宋_GB2312" w:hAnsi="仿宋_GB2312" w:eastAsia="仿宋_GB2312" w:cs="仿宋_GB2312"/>
          <w:color w:val="auto"/>
          <w:spacing w:val="-5"/>
          <w:sz w:val="28"/>
          <w:szCs w:val="28"/>
          <w:highlight w:val="none"/>
          <w:lang w:val="en-US" w:eastAsia="zh-CN"/>
        </w:rPr>
        <w:t>乙方（售电公司）：北京京能新能源有限公司</w:t>
      </w:r>
    </w:p>
    <w:p w14:paraId="79D1DF4C">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auto"/>
          <w:spacing w:val="-5"/>
          <w:sz w:val="28"/>
          <w:szCs w:val="28"/>
          <w:highlight w:val="none"/>
          <w:lang w:val="en-US" w:eastAsia="zh-CN"/>
        </w:rPr>
      </w:pPr>
      <w:r>
        <w:rPr>
          <w:rFonts w:hint="eastAsia" w:ascii="仿宋_GB2312" w:hAnsi="仿宋_GB2312" w:eastAsia="仿宋_GB2312" w:cs="仿宋_GB2312"/>
          <w:color w:val="auto"/>
          <w:spacing w:val="-5"/>
          <w:sz w:val="28"/>
          <w:szCs w:val="28"/>
          <w:highlight w:val="none"/>
          <w:lang w:val="en-US" w:eastAsia="zh-CN"/>
        </w:rPr>
        <w:t>（盖章）</w:t>
      </w:r>
    </w:p>
    <w:p w14:paraId="7A1596EB">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auto"/>
          <w:spacing w:val="-5"/>
          <w:sz w:val="28"/>
          <w:szCs w:val="28"/>
          <w:highlight w:val="none"/>
          <w:lang w:val="en-US" w:eastAsia="zh-CN"/>
        </w:rPr>
      </w:pPr>
      <w:r>
        <w:rPr>
          <w:rFonts w:hint="eastAsia" w:ascii="仿宋_GB2312" w:hAnsi="仿宋_GB2312" w:eastAsia="仿宋_GB2312" w:cs="仿宋_GB2312"/>
          <w:color w:val="auto"/>
          <w:spacing w:val="-5"/>
          <w:sz w:val="28"/>
          <w:szCs w:val="28"/>
          <w:highlight w:val="none"/>
          <w:lang w:val="en-US" w:eastAsia="zh-CN"/>
        </w:rPr>
        <w:t>法定代表人（负责人）或</w:t>
      </w:r>
    </w:p>
    <w:p w14:paraId="4A483EB2">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auto"/>
          <w:spacing w:val="-5"/>
          <w:sz w:val="28"/>
          <w:szCs w:val="28"/>
          <w:highlight w:val="none"/>
          <w:lang w:val="en-US" w:eastAsia="zh-CN"/>
        </w:rPr>
      </w:pPr>
      <w:r>
        <w:rPr>
          <w:rFonts w:hint="eastAsia" w:ascii="仿宋_GB2312" w:hAnsi="仿宋_GB2312" w:eastAsia="仿宋_GB2312" w:cs="仿宋_GB2312"/>
          <w:color w:val="auto"/>
          <w:spacing w:val="-5"/>
          <w:sz w:val="28"/>
          <w:szCs w:val="28"/>
          <w:highlight w:val="none"/>
          <w:lang w:val="en-US" w:eastAsia="zh-CN"/>
        </w:rPr>
        <w:t>授权代表（签字）：</w:t>
      </w:r>
    </w:p>
    <w:p w14:paraId="243D8562">
      <w:pPr>
        <w:pStyle w:val="5"/>
        <w:rPr>
          <w:rFonts w:hint="default"/>
          <w:color w:val="auto"/>
          <w:highlight w:val="none"/>
          <w:lang w:val="en-US" w:eastAsia="zh-CN"/>
        </w:rPr>
      </w:pPr>
    </w:p>
    <w:p w14:paraId="4A1DC70E">
      <w:pPr>
        <w:rPr>
          <w:rFonts w:hint="eastAsia" w:ascii="仿宋_GB2312" w:hAnsi="仿宋_GB2312" w:eastAsia="仿宋_GB2312" w:cs="仿宋_GB2312"/>
          <w:color w:val="auto"/>
          <w:sz w:val="28"/>
          <w:szCs w:val="28"/>
          <w:highlight w:val="none"/>
          <w:lang w:val="en-US" w:eastAsia="zh-CN"/>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14:paraId="322EBE68">
      <w:pPr>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br w:type="page"/>
      </w:r>
    </w:p>
    <w:p w14:paraId="724D5591">
      <w:pPr>
        <w:keepNext w:val="0"/>
        <w:keepLines w:val="0"/>
        <w:pageBreakBefore w:val="0"/>
        <w:widowControl w:val="0"/>
        <w:kinsoku/>
        <w:wordWrap w:val="0"/>
        <w:overflowPunct/>
        <w:topLinePunct w:val="0"/>
        <w:autoSpaceDE/>
        <w:autoSpaceDN/>
        <w:bidi w:val="0"/>
        <w:adjustRightInd/>
        <w:snapToGrid/>
        <w:spacing w:line="580" w:lineRule="exact"/>
        <w:ind w:right="0"/>
        <w:jc w:val="both"/>
        <w:textAlignment w:val="auto"/>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附件二：</w:t>
      </w:r>
    </w:p>
    <w:p w14:paraId="7C14F0ED">
      <w:pPr>
        <w:keepNext w:val="0"/>
        <w:keepLines w:val="0"/>
        <w:pageBreakBefore w:val="0"/>
        <w:widowControl/>
        <w:kinsoku w:val="0"/>
        <w:wordWrap/>
        <w:overflowPunct/>
        <w:topLinePunct w:val="0"/>
        <w:autoSpaceDE w:val="0"/>
        <w:autoSpaceDN w:val="0"/>
        <w:bidi w:val="0"/>
        <w:adjustRightInd/>
        <w:snapToGrid/>
        <w:spacing w:line="580" w:lineRule="exact"/>
        <w:ind w:right="0"/>
        <w:jc w:val="center"/>
        <w:textAlignment w:val="baseline"/>
        <w:rPr>
          <w:rFonts w:hint="eastAsia" w:asciiTheme="majorEastAsia" w:hAnsiTheme="majorEastAsia" w:eastAsiaTheme="majorEastAsia" w:cstheme="majorEastAsia"/>
          <w:b/>
          <w:bCs/>
          <w:color w:val="auto"/>
          <w:sz w:val="36"/>
          <w:szCs w:val="36"/>
          <w:highlight w:val="none"/>
          <w:u w:val="none"/>
          <w:lang w:val="en-US" w:eastAsia="zh-CN"/>
        </w:rPr>
      </w:pPr>
      <w:r>
        <w:rPr>
          <w:rFonts w:hint="eastAsia" w:asciiTheme="majorEastAsia" w:hAnsiTheme="majorEastAsia" w:eastAsiaTheme="majorEastAsia" w:cstheme="majorEastAsia"/>
          <w:b/>
          <w:bCs/>
          <w:color w:val="auto"/>
          <w:sz w:val="36"/>
          <w:szCs w:val="36"/>
          <w:highlight w:val="none"/>
          <w:u w:val="none"/>
          <w:lang w:val="en-US" w:eastAsia="zh-CN"/>
        </w:rPr>
        <w:t>北京市电力零售交易结算参数表（2026年）</w:t>
      </w:r>
    </w:p>
    <w:tbl>
      <w:tblPr>
        <w:tblStyle w:val="14"/>
        <w:tblpPr w:leftFromText="180" w:rightFromText="180" w:vertAnchor="text" w:horzAnchor="page" w:tblpXSpec="center" w:tblpY="158"/>
        <w:tblOverlap w:val="never"/>
        <w:tblW w:w="98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67"/>
        <w:gridCol w:w="1535"/>
        <w:gridCol w:w="1536"/>
        <w:gridCol w:w="624"/>
        <w:gridCol w:w="2179"/>
        <w:gridCol w:w="2136"/>
      </w:tblGrid>
      <w:tr w14:paraId="47F57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9877" w:type="dxa"/>
            <w:gridSpan w:val="6"/>
            <w:tcBorders>
              <w:top w:val="single" w:color="000000" w:sz="2" w:space="0"/>
              <w:left w:val="single" w:color="000000" w:sz="2" w:space="0"/>
              <w:bottom w:val="single" w:color="000000" w:sz="2" w:space="0"/>
              <w:right w:val="single" w:color="000000" w:sz="2" w:space="0"/>
            </w:tcBorders>
            <w:vAlign w:val="center"/>
          </w:tcPr>
          <w:p w14:paraId="762CB0C0">
            <w:pPr>
              <w:keepNext w:val="0"/>
              <w:keepLines w:val="0"/>
              <w:pageBreakBefore w:val="0"/>
              <w:widowControl/>
              <w:kinsoku w:val="0"/>
              <w:wordWrap/>
              <w:overflowPunct/>
              <w:topLinePunct w:val="0"/>
              <w:autoSpaceDE w:val="0"/>
              <w:autoSpaceDN w:val="0"/>
              <w:bidi w:val="0"/>
              <w:adjustRightInd w:val="0"/>
              <w:snapToGrid w:val="0"/>
              <w:spacing w:line="223" w:lineRule="auto"/>
              <w:ind w:left="0" w:right="0" w:firstLine="225" w:firstLineChars="100"/>
              <w:jc w:val="left"/>
              <w:textAlignment w:val="baseline"/>
              <w:rPr>
                <w:rFonts w:hint="default" w:ascii="黑体" w:hAnsi="黑体" w:eastAsia="黑体" w:cs="黑体"/>
                <w:b w:val="0"/>
                <w:bCs w:val="0"/>
                <w:color w:val="auto"/>
                <w:spacing w:val="-7"/>
                <w:sz w:val="24"/>
                <w:szCs w:val="24"/>
                <w:highlight w:val="none"/>
                <w:u w:val="single"/>
                <w:lang w:val="en-US" w:eastAsia="zh-CN"/>
              </w:rPr>
            </w:pPr>
            <w:r>
              <w:rPr>
                <w:rFonts w:hint="eastAsia" w:ascii="黑体" w:hAnsi="黑体" w:eastAsia="黑体" w:cs="黑体"/>
                <w:b/>
                <w:bCs/>
                <w:color w:val="auto"/>
                <w:spacing w:val="-8"/>
                <w:sz w:val="24"/>
                <w:szCs w:val="24"/>
                <w:highlight w:val="none"/>
                <w:lang w:val="en-US" w:eastAsia="zh-CN"/>
              </w:rPr>
              <w:t xml:space="preserve">甲方（零售用户）： </w:t>
            </w:r>
            <w:r>
              <w:rPr>
                <w:rFonts w:hint="eastAsia" w:ascii="黑体" w:hAnsi="黑体" w:eastAsia="黑体" w:cs="黑体"/>
                <w:b/>
                <w:bCs/>
                <w:color w:val="0000FF"/>
                <w:spacing w:val="-8"/>
                <w:sz w:val="24"/>
                <w:szCs w:val="24"/>
                <w:highlight w:val="cyan"/>
                <w:lang w:val="en-US" w:eastAsia="zh-CN"/>
              </w:rPr>
              <w:t>北京市昌平区南口社区卫生服务中心</w:t>
            </w:r>
            <w:r>
              <w:rPr>
                <w:rFonts w:hint="eastAsia" w:ascii="楷体" w:hAnsi="楷体" w:eastAsia="楷体" w:cs="楷体"/>
                <w:color w:val="0000FF"/>
                <w:spacing w:val="-6"/>
                <w:kern w:val="2"/>
                <w:sz w:val="24"/>
                <w:szCs w:val="24"/>
                <w:highlight w:val="cyan"/>
                <w:lang w:val="en-US" w:eastAsia="zh-CN" w:bidi="ar-SA"/>
              </w:rPr>
              <w:t>（盖章）</w:t>
            </w:r>
          </w:p>
        </w:tc>
      </w:tr>
      <w:tr w14:paraId="0380C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9877" w:type="dxa"/>
            <w:gridSpan w:val="6"/>
            <w:tcBorders>
              <w:top w:val="single" w:color="000000" w:sz="2" w:space="0"/>
              <w:left w:val="single" w:color="000000" w:sz="2" w:space="0"/>
              <w:bottom w:val="single" w:color="000000" w:sz="2" w:space="0"/>
              <w:right w:val="single" w:color="000000" w:sz="2" w:space="0"/>
            </w:tcBorders>
            <w:vAlign w:val="center"/>
          </w:tcPr>
          <w:p w14:paraId="0270C31B">
            <w:pPr>
              <w:keepNext w:val="0"/>
              <w:keepLines w:val="0"/>
              <w:pageBreakBefore w:val="0"/>
              <w:widowControl/>
              <w:kinsoku w:val="0"/>
              <w:wordWrap/>
              <w:overflowPunct/>
              <w:topLinePunct w:val="0"/>
              <w:autoSpaceDE w:val="0"/>
              <w:autoSpaceDN w:val="0"/>
              <w:bidi w:val="0"/>
              <w:adjustRightInd w:val="0"/>
              <w:snapToGrid w:val="0"/>
              <w:spacing w:line="223" w:lineRule="auto"/>
              <w:ind w:left="0" w:right="0" w:firstLine="225" w:firstLineChars="100"/>
              <w:jc w:val="left"/>
              <w:textAlignment w:val="baseline"/>
              <w:rPr>
                <w:rFonts w:hint="eastAsia" w:ascii="黑体" w:hAnsi="黑体" w:eastAsia="黑体" w:cs="黑体"/>
                <w:b w:val="0"/>
                <w:bCs w:val="0"/>
                <w:color w:val="auto"/>
                <w:spacing w:val="-7"/>
                <w:sz w:val="24"/>
                <w:szCs w:val="24"/>
                <w:highlight w:val="none"/>
                <w:u w:val="single"/>
                <w:lang w:val="en-US" w:eastAsia="zh-CN"/>
              </w:rPr>
            </w:pPr>
            <w:r>
              <w:rPr>
                <w:rFonts w:hint="eastAsia" w:ascii="黑体" w:hAnsi="黑体" w:eastAsia="黑体" w:cs="黑体"/>
                <w:b/>
                <w:bCs/>
                <w:color w:val="auto"/>
                <w:spacing w:val="-8"/>
                <w:sz w:val="24"/>
                <w:szCs w:val="24"/>
                <w:highlight w:val="none"/>
                <w:lang w:val="en-US" w:eastAsia="zh-CN"/>
              </w:rPr>
              <w:t>乙方（售电公司）： 北京京能新能源有限公司</w:t>
            </w:r>
            <w:r>
              <w:rPr>
                <w:rFonts w:hint="eastAsia" w:ascii="楷体" w:hAnsi="楷体" w:eastAsia="楷体" w:cs="楷体"/>
                <w:color w:val="auto"/>
                <w:spacing w:val="-6"/>
                <w:kern w:val="2"/>
                <w:sz w:val="24"/>
                <w:szCs w:val="24"/>
                <w:highlight w:val="none"/>
                <w:lang w:val="en-US" w:eastAsia="zh-CN" w:bidi="ar-SA"/>
              </w:rPr>
              <w:t>（盖章）</w:t>
            </w:r>
          </w:p>
        </w:tc>
      </w:tr>
      <w:tr w14:paraId="7F35C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938" w:type="dxa"/>
            <w:gridSpan w:val="3"/>
            <w:tcBorders>
              <w:top w:val="single" w:color="000000" w:sz="2" w:space="0"/>
              <w:left w:val="single" w:color="000000" w:sz="2" w:space="0"/>
              <w:bottom w:val="single" w:color="000000" w:sz="2" w:space="0"/>
              <w:right w:val="single" w:color="000000" w:sz="2" w:space="0"/>
            </w:tcBorders>
            <w:vAlign w:val="center"/>
          </w:tcPr>
          <w:p w14:paraId="0970802A">
            <w:pPr>
              <w:keepNext w:val="0"/>
              <w:keepLines w:val="0"/>
              <w:pageBreakBefore w:val="0"/>
              <w:widowControl/>
              <w:kinsoku w:val="0"/>
              <w:wordWrap/>
              <w:overflowPunct/>
              <w:topLinePunct w:val="0"/>
              <w:autoSpaceDE w:val="0"/>
              <w:autoSpaceDN w:val="0"/>
              <w:bidi w:val="0"/>
              <w:adjustRightInd w:val="0"/>
              <w:snapToGrid w:val="0"/>
              <w:spacing w:line="222" w:lineRule="auto"/>
              <w:ind w:left="0" w:right="0" w:firstLine="225" w:firstLineChars="100"/>
              <w:jc w:val="left"/>
              <w:textAlignment w:val="baseline"/>
              <w:rPr>
                <w:rFonts w:hint="eastAsia" w:ascii="黑体" w:hAnsi="黑体" w:eastAsia="黑体" w:cs="黑体"/>
                <w:b w:val="0"/>
                <w:bCs w:val="0"/>
                <w:color w:val="auto"/>
                <w:spacing w:val="-7"/>
                <w:sz w:val="24"/>
                <w:szCs w:val="24"/>
                <w:highlight w:val="none"/>
                <w:lang w:val="en-US" w:eastAsia="zh-CN"/>
              </w:rPr>
            </w:pPr>
            <w:r>
              <w:rPr>
                <w:rFonts w:hint="eastAsia" w:ascii="黑体" w:hAnsi="黑体" w:eastAsia="黑体" w:cs="黑体"/>
                <w:b/>
                <w:bCs/>
                <w:color w:val="auto"/>
                <w:spacing w:val="-8"/>
                <w:sz w:val="24"/>
                <w:szCs w:val="24"/>
                <w:highlight w:val="none"/>
                <w:lang w:val="en-US" w:eastAsia="zh-CN"/>
              </w:rPr>
              <w:t>交易周期 ：</w:t>
            </w:r>
            <w:r>
              <w:rPr>
                <w:rFonts w:hint="eastAsia" w:ascii="黑体" w:hAnsi="黑体" w:eastAsia="黑体" w:cs="黑体"/>
                <w:b w:val="0"/>
                <w:bCs w:val="0"/>
                <w:color w:val="auto"/>
                <w:spacing w:val="-7"/>
                <w:sz w:val="24"/>
                <w:szCs w:val="24"/>
                <w:highlight w:val="none"/>
                <w:u w:val="none"/>
                <w:lang w:val="en-US" w:eastAsia="zh-CN"/>
              </w:rPr>
              <w:t xml:space="preserve">  2026 </w:t>
            </w:r>
            <w:r>
              <w:rPr>
                <w:rFonts w:hint="eastAsia" w:ascii="黑体" w:hAnsi="黑体" w:eastAsia="黑体" w:cs="黑体"/>
                <w:b w:val="0"/>
                <w:bCs w:val="0"/>
                <w:color w:val="auto"/>
                <w:spacing w:val="-7"/>
                <w:sz w:val="24"/>
                <w:szCs w:val="24"/>
                <w:highlight w:val="none"/>
                <w:lang w:val="en-US" w:eastAsia="zh-CN"/>
              </w:rPr>
              <w:t xml:space="preserve">年 1 </w:t>
            </w:r>
            <w:r>
              <w:rPr>
                <w:rFonts w:hint="eastAsia" w:ascii="黑体" w:hAnsi="黑体" w:eastAsia="黑体" w:cs="黑体"/>
                <w:b w:val="0"/>
                <w:bCs w:val="0"/>
                <w:color w:val="auto"/>
                <w:spacing w:val="-7"/>
                <w:sz w:val="24"/>
                <w:szCs w:val="24"/>
                <w:highlight w:val="none"/>
                <w:u w:val="none"/>
                <w:lang w:val="en-US" w:eastAsia="zh-CN"/>
              </w:rPr>
              <w:t>月  至 2026年 12 月</w:t>
            </w:r>
          </w:p>
        </w:tc>
        <w:tc>
          <w:tcPr>
            <w:tcW w:w="4939" w:type="dxa"/>
            <w:gridSpan w:val="3"/>
            <w:tcBorders>
              <w:top w:val="single" w:color="000000" w:sz="2" w:space="0"/>
              <w:left w:val="single" w:color="000000" w:sz="2" w:space="0"/>
              <w:bottom w:val="single" w:color="000000" w:sz="2" w:space="0"/>
              <w:right w:val="single" w:color="000000" w:sz="2" w:space="0"/>
            </w:tcBorders>
            <w:vAlign w:val="center"/>
          </w:tcPr>
          <w:p w14:paraId="1F8FB836">
            <w:pPr>
              <w:keepNext w:val="0"/>
              <w:keepLines w:val="0"/>
              <w:pageBreakBefore w:val="0"/>
              <w:widowControl/>
              <w:kinsoku w:val="0"/>
              <w:wordWrap/>
              <w:overflowPunct/>
              <w:topLinePunct w:val="0"/>
              <w:autoSpaceDE w:val="0"/>
              <w:autoSpaceDN w:val="0"/>
              <w:bidi w:val="0"/>
              <w:adjustRightInd w:val="0"/>
              <w:snapToGrid w:val="0"/>
              <w:spacing w:line="222" w:lineRule="auto"/>
              <w:ind w:left="0" w:right="0" w:firstLine="225" w:firstLineChars="100"/>
              <w:jc w:val="left"/>
              <w:textAlignment w:val="baseline"/>
              <w:rPr>
                <w:rFonts w:hint="eastAsia" w:ascii="黑体" w:hAnsi="黑体" w:eastAsia="黑体" w:cs="黑体"/>
                <w:b/>
                <w:bCs/>
                <w:color w:val="auto"/>
                <w:spacing w:val="-8"/>
                <w:sz w:val="24"/>
                <w:szCs w:val="24"/>
                <w:highlight w:val="none"/>
                <w:lang w:val="en-US" w:eastAsia="zh-CN"/>
              </w:rPr>
            </w:pPr>
            <w:r>
              <w:rPr>
                <w:rFonts w:hint="eastAsia" w:ascii="黑体" w:hAnsi="黑体" w:eastAsia="黑体" w:cs="黑体"/>
                <w:b/>
                <w:bCs/>
                <w:color w:val="auto"/>
                <w:spacing w:val="-8"/>
                <w:sz w:val="24"/>
                <w:szCs w:val="24"/>
                <w:highlight w:val="none"/>
                <w:lang w:val="en-US" w:eastAsia="zh-CN"/>
              </w:rPr>
              <w:t>签约日期 ：</w:t>
            </w:r>
          </w:p>
        </w:tc>
      </w:tr>
      <w:tr w14:paraId="61534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9877" w:type="dxa"/>
            <w:gridSpan w:val="6"/>
            <w:tcBorders>
              <w:top w:val="single" w:color="000000" w:sz="2" w:space="0"/>
              <w:left w:val="single" w:color="000000" w:sz="2" w:space="0"/>
              <w:bottom w:val="single" w:color="000000" w:sz="2" w:space="0"/>
              <w:right w:val="single" w:color="000000" w:sz="2" w:space="0"/>
            </w:tcBorders>
            <w:vAlign w:val="center"/>
          </w:tcPr>
          <w:p w14:paraId="7D18011B">
            <w:pPr>
              <w:keepNext w:val="0"/>
              <w:keepLines w:val="0"/>
              <w:pageBreakBefore w:val="0"/>
              <w:widowControl/>
              <w:kinsoku w:val="0"/>
              <w:wordWrap/>
              <w:overflowPunct/>
              <w:topLinePunct w:val="0"/>
              <w:autoSpaceDE w:val="0"/>
              <w:autoSpaceDN w:val="0"/>
              <w:bidi w:val="0"/>
              <w:adjustRightInd w:val="0"/>
              <w:snapToGrid w:val="0"/>
              <w:spacing w:line="223" w:lineRule="auto"/>
              <w:ind w:left="0" w:right="0" w:firstLine="0"/>
              <w:jc w:val="center"/>
              <w:textAlignment w:val="baseline"/>
              <w:rPr>
                <w:rFonts w:hint="default" w:ascii="黑体" w:hAnsi="黑体" w:eastAsia="黑体" w:cs="黑体"/>
                <w:b/>
                <w:bCs/>
                <w:color w:val="auto"/>
                <w:spacing w:val="-7"/>
                <w:sz w:val="24"/>
                <w:szCs w:val="24"/>
                <w:highlight w:val="none"/>
                <w:lang w:val="en-US" w:eastAsia="zh-CN"/>
              </w:rPr>
            </w:pPr>
            <w:r>
              <w:rPr>
                <w:rFonts w:hint="eastAsia" w:ascii="黑体" w:hAnsi="黑体" w:eastAsia="黑体" w:cs="黑体"/>
                <w:b/>
                <w:bCs/>
                <w:color w:val="auto"/>
                <w:spacing w:val="-7"/>
                <w:sz w:val="28"/>
                <w:szCs w:val="28"/>
                <w:highlight w:val="none"/>
                <w:lang w:val="en-US" w:eastAsia="zh-CN"/>
              </w:rPr>
              <w:t xml:space="preserve">                             1.零售套餐价格参数    </w:t>
            </w:r>
            <w:r>
              <w:rPr>
                <w:rFonts w:hint="eastAsia" w:ascii="黑体" w:hAnsi="黑体" w:eastAsia="黑体" w:cs="黑体"/>
                <w:b w:val="0"/>
                <w:bCs w:val="0"/>
                <w:color w:val="auto"/>
                <w:spacing w:val="-7"/>
                <w:sz w:val="22"/>
                <w:szCs w:val="22"/>
                <w:highlight w:val="none"/>
                <w:lang w:val="en-US" w:eastAsia="zh-CN"/>
              </w:rPr>
              <w:t>（单位：元/兆瓦时，保留2位小数）</w:t>
            </w:r>
          </w:p>
        </w:tc>
      </w:tr>
      <w:tr w14:paraId="4C9A1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867" w:type="dxa"/>
            <w:tcBorders>
              <w:top w:val="single" w:color="000000" w:sz="2" w:space="0"/>
              <w:left w:val="single" w:color="000000" w:sz="2" w:space="0"/>
              <w:bottom w:val="single" w:color="000000" w:sz="2" w:space="0"/>
              <w:right w:val="single" w:color="000000" w:sz="2" w:space="0"/>
            </w:tcBorders>
            <w:vAlign w:val="center"/>
          </w:tcPr>
          <w:p w14:paraId="35C2B086">
            <w:pPr>
              <w:keepNext w:val="0"/>
              <w:keepLines w:val="0"/>
              <w:pageBreakBefore w:val="0"/>
              <w:widowControl/>
              <w:kinsoku w:val="0"/>
              <w:wordWrap/>
              <w:overflowPunct/>
              <w:topLinePunct w:val="0"/>
              <w:autoSpaceDE w:val="0"/>
              <w:autoSpaceDN w:val="0"/>
              <w:bidi w:val="0"/>
              <w:adjustRightInd w:val="0"/>
              <w:snapToGrid w:val="0"/>
              <w:spacing w:line="222" w:lineRule="auto"/>
              <w:ind w:left="0" w:right="0" w:firstLine="0"/>
              <w:jc w:val="center"/>
              <w:textAlignment w:val="baseline"/>
              <w:rPr>
                <w:rFonts w:hint="eastAsia" w:ascii="黑体" w:hAnsi="黑体" w:eastAsia="黑体" w:cs="黑体"/>
                <w:b/>
                <w:bCs/>
                <w:color w:val="auto"/>
                <w:sz w:val="24"/>
                <w:szCs w:val="24"/>
                <w:highlight w:val="none"/>
              </w:rPr>
            </w:pPr>
            <w:r>
              <w:rPr>
                <w:rFonts w:hint="eastAsia" w:ascii="黑体" w:hAnsi="黑体" w:eastAsia="黑体" w:cs="黑体"/>
                <w:b/>
                <w:bCs/>
                <w:color w:val="auto"/>
                <w:spacing w:val="-8"/>
                <w:sz w:val="24"/>
                <w:szCs w:val="24"/>
                <w:highlight w:val="none"/>
              </w:rPr>
              <w:t>类别</w:t>
            </w:r>
          </w:p>
        </w:tc>
        <w:tc>
          <w:tcPr>
            <w:tcW w:w="3695" w:type="dxa"/>
            <w:gridSpan w:val="3"/>
            <w:tcBorders>
              <w:top w:val="single" w:color="000000" w:sz="2" w:space="0"/>
              <w:left w:val="single" w:color="000000" w:sz="2" w:space="0"/>
              <w:bottom w:val="single" w:color="000000" w:sz="2" w:space="0"/>
              <w:right w:val="single" w:color="000000" w:sz="2" w:space="0"/>
            </w:tcBorders>
            <w:vAlign w:val="center"/>
          </w:tcPr>
          <w:p w14:paraId="300FCC87">
            <w:pPr>
              <w:keepNext w:val="0"/>
              <w:keepLines w:val="0"/>
              <w:pageBreakBefore w:val="0"/>
              <w:widowControl/>
              <w:kinsoku w:val="0"/>
              <w:wordWrap/>
              <w:overflowPunct/>
              <w:topLinePunct w:val="0"/>
              <w:autoSpaceDE w:val="0"/>
              <w:autoSpaceDN w:val="0"/>
              <w:bidi w:val="0"/>
              <w:adjustRightInd w:val="0"/>
              <w:snapToGrid w:val="0"/>
              <w:spacing w:line="222" w:lineRule="auto"/>
              <w:ind w:left="0" w:right="0" w:firstLine="0"/>
              <w:jc w:val="center"/>
              <w:textAlignment w:val="baseline"/>
              <w:rPr>
                <w:rFonts w:hint="eastAsia" w:ascii="黑体" w:hAnsi="黑体" w:eastAsia="黑体" w:cs="黑体"/>
                <w:b/>
                <w:bCs/>
                <w:color w:val="auto"/>
                <w:sz w:val="24"/>
                <w:szCs w:val="24"/>
                <w:highlight w:val="none"/>
              </w:rPr>
            </w:pPr>
            <w:r>
              <w:rPr>
                <w:rFonts w:hint="eastAsia" w:ascii="黑体" w:hAnsi="黑体" w:eastAsia="黑体" w:cs="黑体"/>
                <w:b/>
                <w:bCs/>
                <w:color w:val="auto"/>
                <w:spacing w:val="-2"/>
                <w:sz w:val="24"/>
                <w:szCs w:val="24"/>
                <w:highlight w:val="none"/>
              </w:rPr>
              <w:t>参数名称</w:t>
            </w:r>
          </w:p>
        </w:tc>
        <w:tc>
          <w:tcPr>
            <w:tcW w:w="2179" w:type="dxa"/>
            <w:tcBorders>
              <w:top w:val="single" w:color="000000" w:sz="2" w:space="0"/>
              <w:left w:val="single" w:color="000000" w:sz="2" w:space="0"/>
              <w:bottom w:val="single" w:color="000000" w:sz="2" w:space="0"/>
              <w:right w:val="single" w:color="000000" w:sz="2" w:space="0"/>
            </w:tcBorders>
            <w:vAlign w:val="center"/>
          </w:tcPr>
          <w:p w14:paraId="42BFF56B">
            <w:pPr>
              <w:keepNext w:val="0"/>
              <w:keepLines w:val="0"/>
              <w:pageBreakBefore w:val="0"/>
              <w:widowControl/>
              <w:kinsoku w:val="0"/>
              <w:wordWrap/>
              <w:overflowPunct/>
              <w:topLinePunct w:val="0"/>
              <w:autoSpaceDE w:val="0"/>
              <w:autoSpaceDN w:val="0"/>
              <w:bidi w:val="0"/>
              <w:adjustRightInd w:val="0"/>
              <w:snapToGrid w:val="0"/>
              <w:spacing w:line="222" w:lineRule="auto"/>
              <w:ind w:left="0" w:right="0" w:firstLine="0"/>
              <w:jc w:val="center"/>
              <w:textAlignment w:val="baseline"/>
              <w:rPr>
                <w:rFonts w:hint="eastAsia" w:ascii="黑体" w:hAnsi="黑体" w:eastAsia="黑体" w:cs="黑体"/>
                <w:b/>
                <w:bCs/>
                <w:color w:val="auto"/>
                <w:sz w:val="24"/>
                <w:szCs w:val="24"/>
                <w:highlight w:val="none"/>
              </w:rPr>
            </w:pPr>
            <w:r>
              <w:rPr>
                <w:rFonts w:hint="eastAsia" w:ascii="黑体" w:hAnsi="黑体" w:eastAsia="黑体" w:cs="黑体"/>
                <w:b/>
                <w:bCs/>
                <w:color w:val="auto"/>
                <w:spacing w:val="-4"/>
                <w:sz w:val="24"/>
                <w:szCs w:val="24"/>
                <w:highlight w:val="none"/>
              </w:rPr>
              <w:t>约定取值</w:t>
            </w:r>
          </w:p>
        </w:tc>
        <w:tc>
          <w:tcPr>
            <w:tcW w:w="2136" w:type="dxa"/>
            <w:tcBorders>
              <w:top w:val="single" w:color="000000" w:sz="2" w:space="0"/>
              <w:left w:val="single" w:color="000000" w:sz="2" w:space="0"/>
              <w:bottom w:val="single" w:color="000000" w:sz="2" w:space="0"/>
              <w:right w:val="single" w:color="000000" w:sz="2" w:space="0"/>
            </w:tcBorders>
            <w:vAlign w:val="center"/>
          </w:tcPr>
          <w:p w14:paraId="7176C145">
            <w:pPr>
              <w:keepNext w:val="0"/>
              <w:keepLines w:val="0"/>
              <w:pageBreakBefore w:val="0"/>
              <w:widowControl/>
              <w:kinsoku w:val="0"/>
              <w:wordWrap/>
              <w:overflowPunct/>
              <w:topLinePunct w:val="0"/>
              <w:autoSpaceDE w:val="0"/>
              <w:autoSpaceDN w:val="0"/>
              <w:bidi w:val="0"/>
              <w:adjustRightInd w:val="0"/>
              <w:snapToGrid w:val="0"/>
              <w:spacing w:line="223" w:lineRule="auto"/>
              <w:ind w:left="0" w:right="0" w:firstLine="0"/>
              <w:jc w:val="center"/>
              <w:textAlignment w:val="baseline"/>
              <w:rPr>
                <w:rFonts w:hint="eastAsia" w:ascii="黑体" w:hAnsi="黑体" w:eastAsia="黑体" w:cs="黑体"/>
                <w:b/>
                <w:bCs/>
                <w:color w:val="auto"/>
                <w:sz w:val="24"/>
                <w:szCs w:val="24"/>
                <w:highlight w:val="none"/>
              </w:rPr>
            </w:pPr>
            <w:r>
              <w:rPr>
                <w:rFonts w:hint="eastAsia" w:ascii="黑体" w:hAnsi="黑体" w:eastAsia="黑体" w:cs="黑体"/>
                <w:b/>
                <w:bCs/>
                <w:color w:val="auto"/>
                <w:spacing w:val="-4"/>
                <w:sz w:val="24"/>
                <w:szCs w:val="24"/>
                <w:highlight w:val="none"/>
              </w:rPr>
              <w:t>取值范围</w:t>
            </w:r>
          </w:p>
        </w:tc>
      </w:tr>
      <w:tr w14:paraId="3CC41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867" w:type="dxa"/>
            <w:vMerge w:val="restart"/>
            <w:tcBorders>
              <w:top w:val="single" w:color="000000" w:sz="2" w:space="0"/>
              <w:bottom w:val="nil"/>
            </w:tcBorders>
            <w:vAlign w:val="center"/>
          </w:tcPr>
          <w:p w14:paraId="06FE5F20">
            <w:pPr>
              <w:pStyle w:val="15"/>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default" w:ascii="楷体" w:hAnsi="楷体" w:eastAsia="楷体" w:cs="楷体"/>
                <w:b/>
                <w:bCs/>
                <w:color w:val="auto"/>
                <w:spacing w:val="0"/>
                <w:sz w:val="24"/>
                <w:szCs w:val="24"/>
                <w:highlight w:val="none"/>
                <w:lang w:val="en-US" w:eastAsia="zh-CN"/>
              </w:rPr>
            </w:pPr>
            <w:r>
              <w:rPr>
                <w:rFonts w:hint="eastAsia" w:cs="楷体"/>
                <w:b/>
                <w:bCs/>
                <w:color w:val="auto"/>
                <w:spacing w:val="0"/>
                <w:sz w:val="24"/>
                <w:szCs w:val="24"/>
                <w:highlight w:val="none"/>
                <w:lang w:val="en-US" w:eastAsia="zh-CN"/>
              </w:rPr>
              <w:t>1.1</w:t>
            </w:r>
            <w:r>
              <w:rPr>
                <w:rFonts w:hint="eastAsia" w:ascii="楷体" w:hAnsi="楷体" w:eastAsia="楷体" w:cs="楷体"/>
                <w:b/>
                <w:bCs/>
                <w:color w:val="auto"/>
                <w:spacing w:val="0"/>
                <w:sz w:val="24"/>
                <w:szCs w:val="24"/>
                <w:highlight w:val="none"/>
              </w:rPr>
              <w:t>常规电力</w:t>
            </w:r>
            <w:r>
              <w:rPr>
                <w:rFonts w:hint="eastAsia" w:cs="楷体"/>
                <w:b/>
                <w:bCs/>
                <w:color w:val="auto"/>
                <w:spacing w:val="0"/>
                <w:sz w:val="24"/>
                <w:szCs w:val="24"/>
                <w:highlight w:val="none"/>
                <w:lang w:val="en-US" w:eastAsia="zh-CN"/>
              </w:rPr>
              <w:t>电价</w:t>
            </w:r>
          </w:p>
          <w:p w14:paraId="0569FDBA">
            <w:pPr>
              <w:pStyle w:val="15"/>
              <w:keepNext w:val="0"/>
              <w:keepLines w:val="0"/>
              <w:pageBreakBefore w:val="0"/>
              <w:widowControl/>
              <w:kinsoku w:val="0"/>
              <w:wordWrap/>
              <w:overflowPunct/>
              <w:topLinePunct w:val="0"/>
              <w:autoSpaceDE w:val="0"/>
              <w:autoSpaceDN w:val="0"/>
              <w:bidi w:val="0"/>
              <w:adjustRightInd w:val="0"/>
              <w:snapToGrid w:val="0"/>
              <w:spacing w:line="227" w:lineRule="auto"/>
              <w:ind w:left="0" w:right="0" w:firstLine="0"/>
              <w:jc w:val="center"/>
              <w:textAlignment w:val="baseline"/>
              <w:rPr>
                <w:rFonts w:hint="eastAsia" w:ascii="楷体" w:hAnsi="楷体" w:eastAsia="楷体" w:cs="楷体"/>
                <w:b/>
                <w:bCs/>
                <w:color w:val="auto"/>
                <w:spacing w:val="0"/>
                <w:sz w:val="24"/>
                <w:szCs w:val="24"/>
                <w:highlight w:val="none"/>
                <w:lang w:eastAsia="zh-CN"/>
              </w:rPr>
            </w:pPr>
            <w:r>
              <w:rPr>
                <w:rFonts w:hint="eastAsia" w:ascii="楷体" w:hAnsi="楷体" w:eastAsia="楷体" w:cs="楷体"/>
                <w:b/>
                <w:bCs/>
                <w:color w:val="auto"/>
                <w:spacing w:val="0"/>
                <w:sz w:val="24"/>
                <w:szCs w:val="24"/>
                <w:highlight w:val="none"/>
              </w:rPr>
              <w:t>（</w:t>
            </w:r>
            <w:r>
              <w:rPr>
                <w:rFonts w:hint="eastAsia" w:cs="楷体"/>
                <w:b/>
                <w:bCs/>
                <w:color w:val="auto"/>
                <w:spacing w:val="0"/>
                <w:sz w:val="24"/>
                <w:szCs w:val="24"/>
                <w:highlight w:val="none"/>
                <w:lang w:val="en-US" w:eastAsia="zh-CN"/>
              </w:rPr>
              <w:t>必填,</w:t>
            </w:r>
            <w:r>
              <w:rPr>
                <w:rFonts w:hint="eastAsia" w:cs="楷体"/>
                <w:b/>
                <w:bCs/>
                <w:color w:val="auto"/>
                <w:spacing w:val="0"/>
                <w:w w:val="100"/>
                <w:sz w:val="24"/>
                <w:szCs w:val="24"/>
                <w:highlight w:val="none"/>
                <w:lang w:val="en-US" w:eastAsia="zh-CN"/>
              </w:rPr>
              <w:t>ABC</w:t>
            </w:r>
            <w:r>
              <w:rPr>
                <w:rFonts w:hint="eastAsia" w:cs="楷体"/>
                <w:b/>
                <w:bCs/>
                <w:color w:val="auto"/>
                <w:spacing w:val="0"/>
                <w:sz w:val="24"/>
                <w:szCs w:val="24"/>
                <w:highlight w:val="none"/>
                <w:lang w:val="en-US" w:eastAsia="zh-CN"/>
              </w:rPr>
              <w:t>三选一</w:t>
            </w:r>
            <w:r>
              <w:rPr>
                <w:rFonts w:hint="eastAsia" w:cs="楷体"/>
                <w:b/>
                <w:bCs/>
                <w:color w:val="auto"/>
                <w:spacing w:val="0"/>
                <w:sz w:val="24"/>
                <w:szCs w:val="24"/>
                <w:highlight w:val="none"/>
                <w:lang w:eastAsia="zh-CN"/>
              </w:rPr>
              <w:t>）</w:t>
            </w:r>
          </w:p>
        </w:tc>
        <w:tc>
          <w:tcPr>
            <w:tcW w:w="1535" w:type="dxa"/>
            <w:tcBorders>
              <w:top w:val="single" w:color="000000" w:sz="2" w:space="0"/>
            </w:tcBorders>
            <w:vAlign w:val="center"/>
          </w:tcPr>
          <w:p w14:paraId="5FC57207">
            <w:pPr>
              <w:pStyle w:val="15"/>
              <w:keepNext w:val="0"/>
              <w:keepLines w:val="0"/>
              <w:pageBreakBefore w:val="0"/>
              <w:widowControl/>
              <w:kinsoku w:val="0"/>
              <w:wordWrap/>
              <w:overflowPunct/>
              <w:topLinePunct w:val="0"/>
              <w:autoSpaceDE w:val="0"/>
              <w:autoSpaceDN w:val="0"/>
              <w:bidi w:val="0"/>
              <w:adjustRightInd w:val="0"/>
              <w:snapToGrid w:val="0"/>
              <w:spacing w:line="231" w:lineRule="auto"/>
              <w:ind w:left="0" w:right="0" w:firstLine="0"/>
              <w:jc w:val="center"/>
              <w:textAlignment w:val="baseline"/>
              <w:rPr>
                <w:rFonts w:hint="default" w:ascii="楷体" w:hAnsi="楷体" w:eastAsia="楷体" w:cs="楷体"/>
                <w:color w:val="auto"/>
                <w:spacing w:val="-6"/>
                <w:sz w:val="24"/>
                <w:szCs w:val="24"/>
                <w:highlight w:val="none"/>
                <w:lang w:val="en-US" w:eastAsia="zh-CN"/>
              </w:rPr>
            </w:pPr>
            <w:r>
              <w:rPr>
                <w:rFonts w:hint="eastAsia" w:cs="楷体"/>
                <w:color w:val="auto"/>
                <w:spacing w:val="-6"/>
                <w:sz w:val="24"/>
                <w:szCs w:val="24"/>
                <w:highlight w:val="none"/>
                <w:lang w:val="en-US" w:eastAsia="zh-CN"/>
              </w:rPr>
              <w:t>A</w:t>
            </w:r>
            <w:r>
              <w:rPr>
                <w:rFonts w:hint="eastAsia" w:ascii="楷体" w:hAnsi="楷体" w:eastAsia="楷体" w:cs="楷体"/>
                <w:color w:val="auto"/>
                <w:spacing w:val="-6"/>
                <w:sz w:val="24"/>
                <w:szCs w:val="24"/>
                <w:highlight w:val="none"/>
                <w:lang w:val="en-US" w:eastAsia="zh-CN"/>
              </w:rPr>
              <w:t>固定价格</w:t>
            </w:r>
          </w:p>
        </w:tc>
        <w:tc>
          <w:tcPr>
            <w:tcW w:w="2160" w:type="dxa"/>
            <w:gridSpan w:val="2"/>
            <w:tcBorders>
              <w:top w:val="single" w:color="000000" w:sz="2" w:space="0"/>
            </w:tcBorders>
            <w:vAlign w:val="center"/>
          </w:tcPr>
          <w:p w14:paraId="6F74F840">
            <w:pPr>
              <w:pStyle w:val="15"/>
              <w:keepNext w:val="0"/>
              <w:keepLines w:val="0"/>
              <w:pageBreakBefore w:val="0"/>
              <w:widowControl/>
              <w:kinsoku w:val="0"/>
              <w:wordWrap/>
              <w:overflowPunct/>
              <w:topLinePunct w:val="0"/>
              <w:autoSpaceDE w:val="0"/>
              <w:autoSpaceDN w:val="0"/>
              <w:bidi w:val="0"/>
              <w:adjustRightInd w:val="0"/>
              <w:snapToGrid w:val="0"/>
              <w:spacing w:line="231" w:lineRule="auto"/>
              <w:ind w:left="0" w:right="0" w:firstLine="0"/>
              <w:jc w:val="center"/>
              <w:textAlignment w:val="baseline"/>
              <w:rPr>
                <w:rFonts w:hint="eastAsia" w:ascii="楷体" w:hAnsi="楷体" w:eastAsia="楷体" w:cs="楷体"/>
                <w:color w:val="auto"/>
                <w:sz w:val="24"/>
                <w:szCs w:val="24"/>
                <w:highlight w:val="none"/>
              </w:rPr>
            </w:pPr>
            <w:r>
              <w:rPr>
                <w:rFonts w:hint="eastAsia" w:ascii="楷体" w:hAnsi="楷体" w:eastAsia="楷体" w:cs="楷体"/>
                <w:color w:val="auto"/>
                <w:spacing w:val="-6"/>
                <w:sz w:val="24"/>
                <w:szCs w:val="24"/>
                <w:highlight w:val="none"/>
              </w:rPr>
              <w:t>固定</w:t>
            </w:r>
            <w:r>
              <w:rPr>
                <w:rFonts w:hint="eastAsia" w:ascii="楷体" w:hAnsi="楷体" w:eastAsia="楷体" w:cs="楷体"/>
                <w:color w:val="auto"/>
                <w:spacing w:val="-6"/>
                <w:sz w:val="24"/>
                <w:szCs w:val="24"/>
                <w:highlight w:val="none"/>
                <w:lang w:val="en-US" w:eastAsia="zh-CN"/>
              </w:rPr>
              <w:t>价格P</w:t>
            </w:r>
            <w:r>
              <w:rPr>
                <w:rFonts w:hint="eastAsia" w:ascii="楷体" w:hAnsi="楷体" w:eastAsia="楷体" w:cs="楷体"/>
                <w:color w:val="auto"/>
                <w:spacing w:val="-6"/>
                <w:sz w:val="32"/>
                <w:szCs w:val="32"/>
                <w:highlight w:val="none"/>
                <w:vertAlign w:val="subscript"/>
                <w:lang w:val="en-US" w:eastAsia="zh-CN"/>
              </w:rPr>
              <w:t>常固</w:t>
            </w:r>
          </w:p>
        </w:tc>
        <w:tc>
          <w:tcPr>
            <w:tcW w:w="2179" w:type="dxa"/>
            <w:tcBorders>
              <w:top w:val="single" w:color="000000" w:sz="2" w:space="0"/>
            </w:tcBorders>
            <w:vAlign w:val="center"/>
          </w:tcPr>
          <w:p w14:paraId="3C63506E">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default"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无</w:t>
            </w:r>
          </w:p>
        </w:tc>
        <w:tc>
          <w:tcPr>
            <w:tcW w:w="2136" w:type="dxa"/>
            <w:tcBorders>
              <w:top w:val="single" w:color="000000" w:sz="2" w:space="0"/>
            </w:tcBorders>
            <w:vAlign w:val="center"/>
          </w:tcPr>
          <w:p w14:paraId="72E5A530">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楷体" w:hAnsi="楷体" w:eastAsia="楷体" w:cs="楷体"/>
                <w:color w:val="auto"/>
                <w:sz w:val="24"/>
                <w:szCs w:val="24"/>
                <w:highlight w:val="none"/>
              </w:rPr>
            </w:pPr>
            <w:r>
              <w:rPr>
                <w:rFonts w:hint="eastAsia" w:ascii="楷体" w:hAnsi="楷体" w:eastAsia="楷体" w:cs="楷体"/>
                <w:color w:val="auto"/>
                <w:spacing w:val="3"/>
                <w:sz w:val="19"/>
                <w:szCs w:val="19"/>
                <w:highlight w:val="none"/>
                <w:lang w:val="en-US" w:eastAsia="zh-CN"/>
              </w:rPr>
              <w:t>287.84</w:t>
            </w:r>
            <w:r>
              <w:rPr>
                <w:rFonts w:hint="eastAsia" w:ascii="楷体" w:hAnsi="楷体" w:eastAsia="楷体" w:cs="楷体"/>
                <w:color w:val="auto"/>
                <w:spacing w:val="3"/>
                <w:sz w:val="19"/>
                <w:szCs w:val="19"/>
                <w:highlight w:val="none"/>
              </w:rPr>
              <w:t>≤</w:t>
            </w:r>
            <w:r>
              <w:rPr>
                <w:rFonts w:hint="eastAsia" w:ascii="楷体" w:hAnsi="楷体" w:eastAsia="楷体" w:cs="楷体"/>
                <w:color w:val="auto"/>
                <w:spacing w:val="-6"/>
                <w:sz w:val="19"/>
                <w:szCs w:val="19"/>
                <w:highlight w:val="none"/>
                <w:lang w:val="en-US" w:eastAsia="zh-CN"/>
              </w:rPr>
              <w:t>P</w:t>
            </w:r>
            <w:r>
              <w:rPr>
                <w:rFonts w:hint="eastAsia" w:ascii="楷体" w:hAnsi="楷体" w:eastAsia="楷体" w:cs="楷体"/>
                <w:color w:val="auto"/>
                <w:spacing w:val="-6"/>
                <w:sz w:val="32"/>
                <w:szCs w:val="32"/>
                <w:highlight w:val="none"/>
                <w:vertAlign w:val="subscript"/>
                <w:lang w:val="en-US" w:eastAsia="zh-CN"/>
              </w:rPr>
              <w:t>常固</w:t>
            </w:r>
            <w:r>
              <w:rPr>
                <w:rFonts w:hint="eastAsia" w:ascii="楷体" w:hAnsi="楷体" w:eastAsia="楷体" w:cs="楷体"/>
                <w:color w:val="auto"/>
                <w:spacing w:val="3"/>
                <w:sz w:val="19"/>
                <w:szCs w:val="19"/>
                <w:highlight w:val="none"/>
              </w:rPr>
              <w:t>≤</w:t>
            </w:r>
            <w:r>
              <w:rPr>
                <w:rFonts w:hint="eastAsia" w:ascii="楷体" w:hAnsi="楷体" w:eastAsia="楷体" w:cs="楷体"/>
                <w:color w:val="auto"/>
                <w:spacing w:val="3"/>
                <w:sz w:val="19"/>
                <w:szCs w:val="19"/>
                <w:highlight w:val="none"/>
                <w:lang w:val="en-US" w:eastAsia="zh-CN"/>
              </w:rPr>
              <w:t>431.76</w:t>
            </w:r>
          </w:p>
        </w:tc>
      </w:tr>
      <w:tr w14:paraId="16FF3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867" w:type="dxa"/>
            <w:vMerge w:val="continue"/>
            <w:tcBorders>
              <w:top w:val="nil"/>
              <w:bottom w:val="nil"/>
            </w:tcBorders>
            <w:vAlign w:val="center"/>
          </w:tcPr>
          <w:p w14:paraId="5AB27CA2">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楷体" w:hAnsi="楷体" w:eastAsia="楷体" w:cs="楷体"/>
                <w:b/>
                <w:bCs/>
                <w:color w:val="auto"/>
                <w:spacing w:val="0"/>
                <w:sz w:val="24"/>
                <w:szCs w:val="24"/>
                <w:highlight w:val="none"/>
              </w:rPr>
            </w:pPr>
          </w:p>
        </w:tc>
        <w:tc>
          <w:tcPr>
            <w:tcW w:w="1535" w:type="dxa"/>
            <w:vMerge w:val="restart"/>
            <w:vAlign w:val="center"/>
          </w:tcPr>
          <w:p w14:paraId="33E17DF4">
            <w:pPr>
              <w:pStyle w:val="15"/>
              <w:keepNext w:val="0"/>
              <w:keepLines w:val="0"/>
              <w:pageBreakBefore w:val="0"/>
              <w:widowControl/>
              <w:kinsoku w:val="0"/>
              <w:wordWrap/>
              <w:overflowPunct/>
              <w:topLinePunct w:val="0"/>
              <w:autoSpaceDE w:val="0"/>
              <w:autoSpaceDN w:val="0"/>
              <w:bidi w:val="0"/>
              <w:adjustRightInd w:val="0"/>
              <w:snapToGrid w:val="0"/>
              <w:spacing w:line="221" w:lineRule="auto"/>
              <w:ind w:left="0" w:right="0" w:firstLine="0"/>
              <w:jc w:val="center"/>
              <w:textAlignment w:val="baseline"/>
              <w:rPr>
                <w:rFonts w:hint="eastAsia" w:ascii="楷体" w:hAnsi="楷体" w:eastAsia="楷体" w:cs="楷体"/>
                <w:color w:val="auto"/>
                <w:spacing w:val="-3"/>
                <w:sz w:val="24"/>
                <w:szCs w:val="24"/>
                <w:highlight w:val="none"/>
                <w:lang w:val="en-US" w:eastAsia="zh-CN"/>
              </w:rPr>
            </w:pPr>
            <w:r>
              <w:rPr>
                <w:rFonts w:hint="eastAsia" w:cs="楷体"/>
                <w:color w:val="auto"/>
                <w:spacing w:val="-3"/>
                <w:sz w:val="24"/>
                <w:szCs w:val="24"/>
                <w:highlight w:val="none"/>
                <w:lang w:val="en-US" w:eastAsia="zh-CN"/>
              </w:rPr>
              <w:t>B</w:t>
            </w:r>
            <w:r>
              <w:rPr>
                <w:rFonts w:hint="eastAsia" w:ascii="楷体" w:hAnsi="楷体" w:eastAsia="楷体" w:cs="楷体"/>
                <w:color w:val="auto"/>
                <w:spacing w:val="-3"/>
                <w:sz w:val="24"/>
                <w:szCs w:val="24"/>
                <w:highlight w:val="none"/>
                <w:lang w:val="en-US" w:eastAsia="zh-CN"/>
              </w:rPr>
              <w:t>联动价格</w:t>
            </w:r>
          </w:p>
        </w:tc>
        <w:tc>
          <w:tcPr>
            <w:tcW w:w="2160" w:type="dxa"/>
            <w:gridSpan w:val="2"/>
            <w:vAlign w:val="center"/>
          </w:tcPr>
          <w:p w14:paraId="3ED3AF01">
            <w:pPr>
              <w:pStyle w:val="15"/>
              <w:keepNext w:val="0"/>
              <w:keepLines w:val="0"/>
              <w:pageBreakBefore w:val="0"/>
              <w:widowControl/>
              <w:kinsoku w:val="0"/>
              <w:wordWrap/>
              <w:overflowPunct/>
              <w:topLinePunct w:val="0"/>
              <w:autoSpaceDE w:val="0"/>
              <w:autoSpaceDN w:val="0"/>
              <w:bidi w:val="0"/>
              <w:adjustRightInd w:val="0"/>
              <w:snapToGrid w:val="0"/>
              <w:spacing w:line="221" w:lineRule="auto"/>
              <w:ind w:left="0" w:right="0" w:firstLine="0"/>
              <w:jc w:val="center"/>
              <w:textAlignment w:val="baseline"/>
              <w:rPr>
                <w:rFonts w:hint="default" w:ascii="楷体" w:hAnsi="楷体" w:eastAsia="楷体" w:cs="楷体"/>
                <w:color w:val="auto"/>
                <w:spacing w:val="-6"/>
                <w:sz w:val="24"/>
                <w:szCs w:val="24"/>
                <w:highlight w:val="none"/>
                <w:lang w:val="en-US" w:eastAsia="zh-CN"/>
              </w:rPr>
            </w:pPr>
            <w:r>
              <w:rPr>
                <w:rFonts w:hint="eastAsia" w:cs="楷体"/>
                <w:color w:val="auto"/>
                <w:spacing w:val="-6"/>
                <w:sz w:val="24"/>
                <w:szCs w:val="24"/>
                <w:highlight w:val="none"/>
                <w:lang w:val="en-US" w:eastAsia="zh-CN"/>
              </w:rPr>
              <w:t>基准价格</w:t>
            </w:r>
            <w:r>
              <w:rPr>
                <w:rFonts w:hint="eastAsia" w:ascii="楷体" w:hAnsi="楷体" w:eastAsia="楷体" w:cs="楷体"/>
                <w:color w:val="auto"/>
                <w:spacing w:val="-6"/>
                <w:sz w:val="24"/>
                <w:szCs w:val="24"/>
                <w:highlight w:val="none"/>
                <w:lang w:val="en-US" w:eastAsia="zh-CN"/>
              </w:rPr>
              <w:t>P</w:t>
            </w:r>
            <w:r>
              <w:rPr>
                <w:rFonts w:hint="eastAsia" w:ascii="楷体" w:hAnsi="楷体" w:eastAsia="楷体" w:cs="楷体"/>
                <w:color w:val="auto"/>
                <w:spacing w:val="-6"/>
                <w:sz w:val="32"/>
                <w:szCs w:val="32"/>
                <w:highlight w:val="none"/>
                <w:vertAlign w:val="subscript"/>
                <w:lang w:val="en-US" w:eastAsia="zh-CN"/>
              </w:rPr>
              <w:t>常</w:t>
            </w:r>
            <w:r>
              <w:rPr>
                <w:rFonts w:hint="eastAsia" w:cs="楷体"/>
                <w:color w:val="auto"/>
                <w:spacing w:val="-6"/>
                <w:sz w:val="32"/>
                <w:szCs w:val="32"/>
                <w:highlight w:val="none"/>
                <w:vertAlign w:val="subscript"/>
                <w:lang w:val="en-US" w:eastAsia="zh-CN"/>
              </w:rPr>
              <w:t>基</w:t>
            </w:r>
          </w:p>
        </w:tc>
        <w:tc>
          <w:tcPr>
            <w:tcW w:w="2179" w:type="dxa"/>
            <w:vAlign w:val="center"/>
          </w:tcPr>
          <w:p w14:paraId="3DF754AA">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楷体" w:hAnsi="楷体" w:eastAsia="楷体" w:cs="楷体"/>
                <w:color w:val="auto"/>
                <w:sz w:val="24"/>
                <w:szCs w:val="24"/>
                <w:highlight w:val="none"/>
                <w:lang w:val="en-US" w:eastAsia="zh-CN"/>
              </w:rPr>
            </w:pPr>
            <w:r>
              <w:rPr>
                <w:rFonts w:hint="eastAsia" w:ascii="楷体" w:hAnsi="楷体" w:eastAsia="楷体" w:cs="楷体"/>
                <w:color w:val="auto"/>
                <w:spacing w:val="-6"/>
                <w:sz w:val="24"/>
                <w:szCs w:val="24"/>
                <w:highlight w:val="none"/>
                <w:lang w:val="en-US" w:eastAsia="zh-CN"/>
              </w:rPr>
              <w:t>P</w:t>
            </w:r>
            <w:r>
              <w:rPr>
                <w:rFonts w:hint="eastAsia" w:ascii="楷体" w:hAnsi="楷体" w:eastAsia="楷体" w:cs="楷体"/>
                <w:color w:val="auto"/>
                <w:spacing w:val="-6"/>
                <w:sz w:val="32"/>
                <w:szCs w:val="32"/>
                <w:highlight w:val="none"/>
                <w:vertAlign w:val="subscript"/>
                <w:lang w:val="en-US" w:eastAsia="zh-CN"/>
              </w:rPr>
              <w:t>常</w:t>
            </w:r>
            <w:r>
              <w:rPr>
                <w:rFonts w:hint="eastAsia" w:cs="楷体"/>
                <w:color w:val="auto"/>
                <w:spacing w:val="-6"/>
                <w:sz w:val="32"/>
                <w:szCs w:val="32"/>
                <w:highlight w:val="none"/>
                <w:vertAlign w:val="subscript"/>
                <w:lang w:val="en-US" w:eastAsia="zh-CN"/>
              </w:rPr>
              <w:t>批</w:t>
            </w:r>
          </w:p>
        </w:tc>
        <w:tc>
          <w:tcPr>
            <w:tcW w:w="2136" w:type="dxa"/>
            <w:vAlign w:val="center"/>
          </w:tcPr>
          <w:p w14:paraId="11EDBC34">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楷体" w:hAnsi="楷体" w:eastAsia="楷体" w:cs="楷体"/>
                <w:color w:val="auto"/>
                <w:spacing w:val="3"/>
                <w:sz w:val="16"/>
                <w:szCs w:val="16"/>
                <w:highlight w:val="none"/>
                <w:lang w:val="en-US" w:eastAsia="zh-CN"/>
              </w:rPr>
            </w:pPr>
            <w:r>
              <w:rPr>
                <w:rFonts w:hint="eastAsia" w:ascii="楷体" w:hAnsi="楷体" w:eastAsia="楷体" w:cs="楷体"/>
                <w:color w:val="auto"/>
                <w:spacing w:val="-6"/>
                <w:sz w:val="24"/>
                <w:szCs w:val="24"/>
                <w:highlight w:val="none"/>
                <w:lang w:val="en-US" w:eastAsia="zh-CN"/>
              </w:rPr>
              <w:t>P</w:t>
            </w:r>
            <w:r>
              <w:rPr>
                <w:rFonts w:hint="eastAsia" w:ascii="楷体" w:hAnsi="楷体" w:eastAsia="楷体" w:cs="楷体"/>
                <w:color w:val="auto"/>
                <w:spacing w:val="-6"/>
                <w:sz w:val="32"/>
                <w:szCs w:val="32"/>
                <w:highlight w:val="none"/>
                <w:vertAlign w:val="subscript"/>
                <w:lang w:val="en-US" w:eastAsia="zh-CN"/>
              </w:rPr>
              <w:t>常</w:t>
            </w:r>
            <w:r>
              <w:rPr>
                <w:rFonts w:hint="eastAsia" w:cs="楷体"/>
                <w:color w:val="auto"/>
                <w:spacing w:val="-6"/>
                <w:sz w:val="32"/>
                <w:szCs w:val="32"/>
                <w:highlight w:val="none"/>
                <w:vertAlign w:val="subscript"/>
                <w:lang w:val="en-US" w:eastAsia="zh-CN"/>
              </w:rPr>
              <w:t>批</w:t>
            </w:r>
            <w:r>
              <w:rPr>
                <w:rFonts w:hint="eastAsia" w:cs="楷体"/>
                <w:color w:val="auto"/>
                <w:spacing w:val="-6"/>
                <w:sz w:val="24"/>
                <w:szCs w:val="24"/>
                <w:highlight w:val="none"/>
                <w:lang w:val="en-US" w:eastAsia="zh-CN"/>
              </w:rPr>
              <w:t>或</w:t>
            </w:r>
            <w:r>
              <w:rPr>
                <w:rFonts w:hint="eastAsia" w:ascii="楷体" w:hAnsi="楷体" w:eastAsia="楷体" w:cs="楷体"/>
                <w:color w:val="auto"/>
                <w:spacing w:val="-6"/>
                <w:sz w:val="24"/>
                <w:szCs w:val="24"/>
                <w:highlight w:val="none"/>
                <w:lang w:val="en-US" w:eastAsia="zh-CN"/>
              </w:rPr>
              <w:t>P</w:t>
            </w:r>
            <w:r>
              <w:rPr>
                <w:rFonts w:hint="eastAsia" w:ascii="楷体" w:hAnsi="楷体" w:eastAsia="楷体" w:cs="楷体"/>
                <w:color w:val="auto"/>
                <w:spacing w:val="-6"/>
                <w:sz w:val="32"/>
                <w:szCs w:val="32"/>
                <w:highlight w:val="none"/>
                <w:vertAlign w:val="subscript"/>
                <w:lang w:val="en-US" w:eastAsia="zh-CN"/>
              </w:rPr>
              <w:t>常</w:t>
            </w:r>
            <w:r>
              <w:rPr>
                <w:rFonts w:hint="eastAsia" w:cs="楷体"/>
                <w:color w:val="auto"/>
                <w:spacing w:val="-6"/>
                <w:sz w:val="32"/>
                <w:szCs w:val="32"/>
                <w:highlight w:val="none"/>
                <w:vertAlign w:val="subscript"/>
                <w:lang w:val="en-US" w:eastAsia="zh-CN"/>
              </w:rPr>
              <w:t>售</w:t>
            </w:r>
          </w:p>
        </w:tc>
      </w:tr>
      <w:tr w14:paraId="6DCFF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867" w:type="dxa"/>
            <w:vMerge w:val="continue"/>
            <w:tcBorders>
              <w:top w:val="nil"/>
              <w:bottom w:val="nil"/>
            </w:tcBorders>
            <w:vAlign w:val="center"/>
          </w:tcPr>
          <w:p w14:paraId="13EF0996">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楷体" w:hAnsi="楷体" w:eastAsia="楷体" w:cs="楷体"/>
                <w:b/>
                <w:bCs/>
                <w:color w:val="auto"/>
                <w:spacing w:val="0"/>
                <w:sz w:val="24"/>
                <w:szCs w:val="24"/>
                <w:highlight w:val="none"/>
              </w:rPr>
            </w:pPr>
          </w:p>
        </w:tc>
        <w:tc>
          <w:tcPr>
            <w:tcW w:w="1535" w:type="dxa"/>
            <w:vMerge w:val="continue"/>
            <w:vAlign w:val="center"/>
          </w:tcPr>
          <w:p w14:paraId="5402A2D6">
            <w:pPr>
              <w:pStyle w:val="15"/>
              <w:keepNext w:val="0"/>
              <w:keepLines w:val="0"/>
              <w:pageBreakBefore w:val="0"/>
              <w:widowControl/>
              <w:kinsoku w:val="0"/>
              <w:wordWrap/>
              <w:overflowPunct/>
              <w:topLinePunct w:val="0"/>
              <w:autoSpaceDE w:val="0"/>
              <w:autoSpaceDN w:val="0"/>
              <w:bidi w:val="0"/>
              <w:adjustRightInd w:val="0"/>
              <w:snapToGrid w:val="0"/>
              <w:spacing w:line="221" w:lineRule="auto"/>
              <w:ind w:left="0" w:right="0" w:firstLine="0"/>
              <w:jc w:val="center"/>
              <w:textAlignment w:val="baseline"/>
              <w:rPr>
                <w:rFonts w:hint="eastAsia" w:ascii="楷体" w:hAnsi="楷体" w:eastAsia="楷体" w:cs="楷体"/>
                <w:color w:val="auto"/>
                <w:spacing w:val="-3"/>
                <w:sz w:val="24"/>
                <w:szCs w:val="24"/>
                <w:highlight w:val="none"/>
                <w:lang w:val="en-US" w:eastAsia="zh-CN"/>
              </w:rPr>
            </w:pPr>
          </w:p>
        </w:tc>
        <w:tc>
          <w:tcPr>
            <w:tcW w:w="2160" w:type="dxa"/>
            <w:gridSpan w:val="2"/>
            <w:vAlign w:val="center"/>
          </w:tcPr>
          <w:p w14:paraId="23245940">
            <w:pPr>
              <w:pStyle w:val="15"/>
              <w:keepNext w:val="0"/>
              <w:keepLines w:val="0"/>
              <w:pageBreakBefore w:val="0"/>
              <w:widowControl/>
              <w:kinsoku w:val="0"/>
              <w:wordWrap/>
              <w:overflowPunct/>
              <w:topLinePunct w:val="0"/>
              <w:autoSpaceDE w:val="0"/>
              <w:autoSpaceDN w:val="0"/>
              <w:bidi w:val="0"/>
              <w:adjustRightInd w:val="0"/>
              <w:snapToGrid w:val="0"/>
              <w:spacing w:line="221" w:lineRule="auto"/>
              <w:ind w:left="0" w:right="0" w:firstLine="0"/>
              <w:jc w:val="center"/>
              <w:textAlignment w:val="baseline"/>
              <w:rPr>
                <w:rFonts w:hint="default" w:ascii="楷体" w:hAnsi="楷体" w:eastAsia="楷体" w:cs="楷体"/>
                <w:color w:val="auto"/>
                <w:sz w:val="24"/>
                <w:szCs w:val="24"/>
                <w:highlight w:val="none"/>
                <w:lang w:val="en-US"/>
              </w:rPr>
            </w:pPr>
            <w:r>
              <w:rPr>
                <w:rFonts w:hint="eastAsia" w:ascii="楷体" w:hAnsi="楷体" w:eastAsia="楷体" w:cs="楷体"/>
                <w:color w:val="auto"/>
                <w:spacing w:val="-6"/>
                <w:sz w:val="24"/>
                <w:szCs w:val="24"/>
                <w:highlight w:val="none"/>
                <w:lang w:val="en-US" w:eastAsia="zh-CN"/>
              </w:rPr>
              <w:t>浮动价格P</w:t>
            </w:r>
            <w:r>
              <w:rPr>
                <w:rFonts w:hint="eastAsia" w:ascii="楷体" w:hAnsi="楷体" w:eastAsia="楷体" w:cs="楷体"/>
                <w:color w:val="auto"/>
                <w:spacing w:val="-6"/>
                <w:sz w:val="32"/>
                <w:szCs w:val="32"/>
                <w:highlight w:val="none"/>
                <w:vertAlign w:val="subscript"/>
                <w:lang w:val="en-US" w:eastAsia="zh-CN"/>
              </w:rPr>
              <w:t>常</w:t>
            </w:r>
            <w:r>
              <w:rPr>
                <w:rFonts w:hint="eastAsia" w:cs="楷体"/>
                <w:color w:val="auto"/>
                <w:spacing w:val="-6"/>
                <w:sz w:val="32"/>
                <w:szCs w:val="32"/>
                <w:highlight w:val="none"/>
                <w:vertAlign w:val="subscript"/>
                <w:lang w:val="en-US" w:eastAsia="zh-CN"/>
              </w:rPr>
              <w:t>浮</w:t>
            </w:r>
          </w:p>
        </w:tc>
        <w:tc>
          <w:tcPr>
            <w:tcW w:w="2179" w:type="dxa"/>
            <w:vAlign w:val="center"/>
          </w:tcPr>
          <w:p w14:paraId="6C06E9DB">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default"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8.28</w:t>
            </w:r>
          </w:p>
        </w:tc>
        <w:tc>
          <w:tcPr>
            <w:tcW w:w="2136" w:type="dxa"/>
            <w:vAlign w:val="center"/>
          </w:tcPr>
          <w:p w14:paraId="79930DE3">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楷体" w:hAnsi="楷体" w:eastAsia="楷体" w:cs="楷体"/>
                <w:color w:val="auto"/>
                <w:sz w:val="24"/>
                <w:szCs w:val="24"/>
                <w:highlight w:val="none"/>
              </w:rPr>
            </w:pPr>
            <w:r>
              <w:rPr>
                <w:rFonts w:hint="eastAsia" w:ascii="楷体" w:hAnsi="楷体" w:eastAsia="楷体" w:cs="楷体"/>
                <w:color w:val="auto"/>
                <w:spacing w:val="3"/>
                <w:sz w:val="16"/>
                <w:szCs w:val="16"/>
                <w:highlight w:val="none"/>
                <w:lang w:val="en-US" w:eastAsia="zh-CN"/>
              </w:rPr>
              <w:t>287.84</w:t>
            </w:r>
            <w:r>
              <w:rPr>
                <w:rFonts w:hint="eastAsia" w:ascii="楷体" w:hAnsi="楷体" w:eastAsia="楷体" w:cs="楷体"/>
                <w:color w:val="auto"/>
                <w:spacing w:val="3"/>
                <w:sz w:val="16"/>
                <w:szCs w:val="16"/>
                <w:highlight w:val="none"/>
              </w:rPr>
              <w:t>≤</w:t>
            </w:r>
            <w:r>
              <w:rPr>
                <w:rFonts w:hint="eastAsia" w:ascii="楷体" w:hAnsi="楷体" w:eastAsia="楷体" w:cs="楷体"/>
                <w:color w:val="auto"/>
                <w:spacing w:val="-6"/>
                <w:sz w:val="19"/>
                <w:szCs w:val="19"/>
                <w:highlight w:val="none"/>
                <w:lang w:val="en-US" w:eastAsia="zh-CN"/>
              </w:rPr>
              <w:t>P</w:t>
            </w:r>
            <w:r>
              <w:rPr>
                <w:rFonts w:hint="eastAsia" w:ascii="楷体" w:hAnsi="楷体" w:eastAsia="楷体" w:cs="楷体"/>
                <w:color w:val="auto"/>
                <w:spacing w:val="-6"/>
                <w:sz w:val="24"/>
                <w:szCs w:val="24"/>
                <w:highlight w:val="none"/>
                <w:vertAlign w:val="subscript"/>
                <w:lang w:val="en-US" w:eastAsia="zh-CN"/>
              </w:rPr>
              <w:t>常</w:t>
            </w:r>
            <w:r>
              <w:rPr>
                <w:rFonts w:hint="eastAsia" w:cs="楷体"/>
                <w:color w:val="auto"/>
                <w:spacing w:val="-6"/>
                <w:sz w:val="24"/>
                <w:szCs w:val="24"/>
                <w:highlight w:val="none"/>
                <w:vertAlign w:val="subscript"/>
                <w:lang w:val="en-US" w:eastAsia="zh-CN"/>
              </w:rPr>
              <w:t>基</w:t>
            </w:r>
            <w:r>
              <w:rPr>
                <w:rFonts w:hint="eastAsia" w:ascii="楷体" w:hAnsi="楷体" w:eastAsia="楷体" w:cs="楷体"/>
                <w:color w:val="auto"/>
                <w:spacing w:val="3"/>
                <w:sz w:val="16"/>
                <w:szCs w:val="16"/>
                <w:highlight w:val="none"/>
              </w:rPr>
              <w:t>＋</w:t>
            </w:r>
            <w:r>
              <w:rPr>
                <w:rFonts w:hint="eastAsia" w:ascii="楷体" w:hAnsi="楷体" w:eastAsia="楷体" w:cs="楷体"/>
                <w:color w:val="auto"/>
                <w:spacing w:val="-6"/>
                <w:sz w:val="19"/>
                <w:szCs w:val="19"/>
                <w:highlight w:val="none"/>
                <w:lang w:val="en-US" w:eastAsia="zh-CN"/>
              </w:rPr>
              <w:t>P</w:t>
            </w:r>
            <w:r>
              <w:rPr>
                <w:rFonts w:hint="eastAsia" w:ascii="楷体" w:hAnsi="楷体" w:eastAsia="楷体" w:cs="楷体"/>
                <w:color w:val="auto"/>
                <w:spacing w:val="-6"/>
                <w:sz w:val="24"/>
                <w:szCs w:val="24"/>
                <w:highlight w:val="none"/>
                <w:vertAlign w:val="subscript"/>
                <w:lang w:val="en-US" w:eastAsia="zh-CN"/>
              </w:rPr>
              <w:t>常</w:t>
            </w:r>
            <w:r>
              <w:rPr>
                <w:rFonts w:hint="eastAsia" w:cs="楷体"/>
                <w:color w:val="auto"/>
                <w:spacing w:val="-6"/>
                <w:sz w:val="24"/>
                <w:szCs w:val="24"/>
                <w:highlight w:val="none"/>
                <w:vertAlign w:val="subscript"/>
                <w:lang w:val="en-US" w:eastAsia="zh-CN"/>
              </w:rPr>
              <w:t>浮</w:t>
            </w:r>
            <w:r>
              <w:rPr>
                <w:rFonts w:hint="eastAsia" w:ascii="楷体" w:hAnsi="楷体" w:eastAsia="楷体" w:cs="楷体"/>
                <w:color w:val="auto"/>
                <w:spacing w:val="3"/>
                <w:sz w:val="16"/>
                <w:szCs w:val="16"/>
                <w:highlight w:val="none"/>
              </w:rPr>
              <w:t>≤</w:t>
            </w:r>
            <w:r>
              <w:rPr>
                <w:rFonts w:hint="eastAsia" w:ascii="楷体" w:hAnsi="楷体" w:eastAsia="楷体" w:cs="楷体"/>
                <w:color w:val="auto"/>
                <w:spacing w:val="3"/>
                <w:sz w:val="16"/>
                <w:szCs w:val="16"/>
                <w:highlight w:val="none"/>
                <w:lang w:val="en-US" w:eastAsia="zh-CN"/>
              </w:rPr>
              <w:t>431.76</w:t>
            </w:r>
          </w:p>
        </w:tc>
      </w:tr>
      <w:tr w14:paraId="6A272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867" w:type="dxa"/>
            <w:vMerge w:val="continue"/>
            <w:tcBorders>
              <w:top w:val="nil"/>
              <w:bottom w:val="nil"/>
            </w:tcBorders>
            <w:vAlign w:val="center"/>
          </w:tcPr>
          <w:p w14:paraId="3E5D6A5F">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楷体" w:hAnsi="楷体" w:eastAsia="楷体" w:cs="楷体"/>
                <w:b/>
                <w:bCs/>
                <w:color w:val="auto"/>
                <w:spacing w:val="0"/>
                <w:sz w:val="24"/>
                <w:szCs w:val="24"/>
                <w:highlight w:val="none"/>
              </w:rPr>
            </w:pPr>
          </w:p>
        </w:tc>
        <w:tc>
          <w:tcPr>
            <w:tcW w:w="1535" w:type="dxa"/>
            <w:vMerge w:val="restart"/>
            <w:vAlign w:val="center"/>
          </w:tcPr>
          <w:p w14:paraId="346E881F">
            <w:pPr>
              <w:pStyle w:val="15"/>
              <w:keepNext w:val="0"/>
              <w:keepLines w:val="0"/>
              <w:pageBreakBefore w:val="0"/>
              <w:widowControl/>
              <w:kinsoku w:val="0"/>
              <w:wordWrap/>
              <w:overflowPunct/>
              <w:topLinePunct w:val="0"/>
              <w:autoSpaceDE w:val="0"/>
              <w:autoSpaceDN w:val="0"/>
              <w:bidi w:val="0"/>
              <w:adjustRightInd w:val="0"/>
              <w:snapToGrid w:val="0"/>
              <w:spacing w:line="224" w:lineRule="auto"/>
              <w:ind w:left="0" w:right="0" w:firstLine="0"/>
              <w:jc w:val="center"/>
              <w:textAlignment w:val="baseline"/>
              <w:rPr>
                <w:rFonts w:hint="eastAsia" w:ascii="楷体" w:hAnsi="楷体" w:eastAsia="楷体" w:cs="楷体"/>
                <w:color w:val="auto"/>
                <w:spacing w:val="-3"/>
                <w:sz w:val="24"/>
                <w:szCs w:val="24"/>
                <w:highlight w:val="none"/>
                <w:lang w:val="en-US" w:eastAsia="zh-CN"/>
              </w:rPr>
            </w:pPr>
            <w:r>
              <w:rPr>
                <w:rFonts w:hint="eastAsia" w:cs="楷体"/>
                <w:color w:val="auto"/>
                <w:spacing w:val="-3"/>
                <w:sz w:val="24"/>
                <w:szCs w:val="24"/>
                <w:highlight w:val="none"/>
                <w:lang w:val="en-US" w:eastAsia="zh-CN"/>
              </w:rPr>
              <w:t>C</w:t>
            </w:r>
            <w:r>
              <w:rPr>
                <w:rFonts w:hint="eastAsia" w:ascii="楷体" w:hAnsi="楷体" w:eastAsia="楷体" w:cs="楷体"/>
                <w:color w:val="auto"/>
                <w:spacing w:val="-3"/>
                <w:sz w:val="24"/>
                <w:szCs w:val="24"/>
                <w:highlight w:val="none"/>
                <w:lang w:val="en-US" w:eastAsia="zh-CN"/>
              </w:rPr>
              <w:t>比例分成</w:t>
            </w:r>
          </w:p>
        </w:tc>
        <w:tc>
          <w:tcPr>
            <w:tcW w:w="2160" w:type="dxa"/>
            <w:gridSpan w:val="2"/>
            <w:vAlign w:val="center"/>
          </w:tcPr>
          <w:p w14:paraId="2217AA84">
            <w:pPr>
              <w:pStyle w:val="15"/>
              <w:keepNext w:val="0"/>
              <w:keepLines w:val="0"/>
              <w:pageBreakBefore w:val="0"/>
              <w:widowControl/>
              <w:kinsoku w:val="0"/>
              <w:wordWrap/>
              <w:overflowPunct/>
              <w:topLinePunct w:val="0"/>
              <w:autoSpaceDE w:val="0"/>
              <w:autoSpaceDN w:val="0"/>
              <w:bidi w:val="0"/>
              <w:adjustRightInd w:val="0"/>
              <w:snapToGrid w:val="0"/>
              <w:spacing w:line="224" w:lineRule="auto"/>
              <w:ind w:left="0" w:right="0" w:firstLine="0"/>
              <w:jc w:val="center"/>
              <w:textAlignment w:val="baseline"/>
              <w:rPr>
                <w:rFonts w:hint="eastAsia" w:ascii="楷体" w:hAnsi="楷体" w:eastAsia="楷体" w:cs="楷体"/>
                <w:color w:val="auto"/>
                <w:sz w:val="24"/>
                <w:szCs w:val="24"/>
                <w:highlight w:val="none"/>
              </w:rPr>
            </w:pPr>
            <w:r>
              <w:rPr>
                <w:rFonts w:hint="eastAsia" w:ascii="楷体" w:hAnsi="楷体" w:eastAsia="楷体" w:cs="楷体"/>
                <w:color w:val="auto"/>
                <w:spacing w:val="-3"/>
                <w:sz w:val="24"/>
                <w:szCs w:val="24"/>
                <w:highlight w:val="none"/>
                <w:lang w:val="en-US" w:eastAsia="zh-CN"/>
              </w:rPr>
              <w:t>固定价格</w:t>
            </w:r>
            <w:r>
              <w:rPr>
                <w:rFonts w:hint="eastAsia" w:ascii="楷体" w:hAnsi="楷体" w:eastAsia="楷体" w:cs="楷体"/>
                <w:color w:val="auto"/>
                <w:spacing w:val="-6"/>
                <w:sz w:val="24"/>
                <w:szCs w:val="24"/>
                <w:highlight w:val="none"/>
                <w:lang w:val="en-US" w:eastAsia="zh-CN"/>
              </w:rPr>
              <w:t>P</w:t>
            </w:r>
            <w:r>
              <w:rPr>
                <w:rFonts w:hint="eastAsia" w:ascii="楷体" w:hAnsi="楷体" w:eastAsia="楷体" w:cs="楷体"/>
                <w:color w:val="auto"/>
                <w:spacing w:val="-6"/>
                <w:sz w:val="32"/>
                <w:szCs w:val="32"/>
                <w:highlight w:val="none"/>
                <w:vertAlign w:val="subscript"/>
                <w:lang w:val="en-US" w:eastAsia="zh-CN"/>
              </w:rPr>
              <w:t>常固</w:t>
            </w:r>
          </w:p>
        </w:tc>
        <w:tc>
          <w:tcPr>
            <w:tcW w:w="2179" w:type="dxa"/>
            <w:vAlign w:val="center"/>
          </w:tcPr>
          <w:p w14:paraId="2BACAAEE">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eastAsia="zh-CN"/>
              </w:rPr>
              <w:t>无</w:t>
            </w:r>
          </w:p>
        </w:tc>
        <w:tc>
          <w:tcPr>
            <w:tcW w:w="2136" w:type="dxa"/>
            <w:vAlign w:val="center"/>
          </w:tcPr>
          <w:p w14:paraId="2D9671F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楷体" w:hAnsi="楷体" w:eastAsia="楷体" w:cs="楷体"/>
                <w:snapToGrid w:val="0"/>
                <w:color w:val="auto"/>
                <w:spacing w:val="-4"/>
                <w:kern w:val="0"/>
                <w:sz w:val="24"/>
                <w:szCs w:val="24"/>
                <w:highlight w:val="none"/>
                <w:lang w:val="en-US" w:eastAsia="en-US" w:bidi="ar-SA"/>
              </w:rPr>
            </w:pPr>
            <w:r>
              <w:rPr>
                <w:rFonts w:hint="eastAsia" w:ascii="楷体" w:hAnsi="楷体" w:eastAsia="楷体" w:cs="楷体"/>
                <w:color w:val="auto"/>
                <w:spacing w:val="3"/>
                <w:sz w:val="19"/>
                <w:szCs w:val="19"/>
                <w:highlight w:val="none"/>
                <w:lang w:val="en-US" w:eastAsia="zh-CN"/>
              </w:rPr>
              <w:t>287.84</w:t>
            </w:r>
            <w:r>
              <w:rPr>
                <w:rFonts w:hint="eastAsia" w:ascii="楷体" w:hAnsi="楷体" w:eastAsia="楷体" w:cs="楷体"/>
                <w:color w:val="auto"/>
                <w:spacing w:val="3"/>
                <w:sz w:val="19"/>
                <w:szCs w:val="19"/>
                <w:highlight w:val="none"/>
              </w:rPr>
              <w:t>≤</w:t>
            </w:r>
            <w:r>
              <w:rPr>
                <w:rFonts w:hint="eastAsia" w:ascii="楷体" w:hAnsi="楷体" w:eastAsia="楷体" w:cs="楷体"/>
                <w:color w:val="auto"/>
                <w:spacing w:val="-6"/>
                <w:sz w:val="19"/>
                <w:szCs w:val="19"/>
                <w:highlight w:val="none"/>
                <w:lang w:val="en-US" w:eastAsia="zh-CN"/>
              </w:rPr>
              <w:t>P</w:t>
            </w:r>
            <w:r>
              <w:rPr>
                <w:rFonts w:hint="eastAsia" w:ascii="楷体" w:hAnsi="楷体" w:eastAsia="楷体" w:cs="楷体"/>
                <w:color w:val="auto"/>
                <w:spacing w:val="-6"/>
                <w:sz w:val="32"/>
                <w:szCs w:val="32"/>
                <w:highlight w:val="none"/>
                <w:vertAlign w:val="subscript"/>
                <w:lang w:val="en-US" w:eastAsia="zh-CN"/>
              </w:rPr>
              <w:t>常固</w:t>
            </w:r>
            <w:r>
              <w:rPr>
                <w:rFonts w:hint="eastAsia" w:ascii="楷体" w:hAnsi="楷体" w:eastAsia="楷体" w:cs="楷体"/>
                <w:color w:val="auto"/>
                <w:spacing w:val="3"/>
                <w:sz w:val="19"/>
                <w:szCs w:val="19"/>
                <w:highlight w:val="none"/>
              </w:rPr>
              <w:t>≤</w:t>
            </w:r>
            <w:r>
              <w:rPr>
                <w:rFonts w:hint="eastAsia" w:ascii="楷体" w:hAnsi="楷体" w:eastAsia="楷体" w:cs="楷体"/>
                <w:color w:val="auto"/>
                <w:spacing w:val="3"/>
                <w:sz w:val="19"/>
                <w:szCs w:val="19"/>
                <w:highlight w:val="none"/>
                <w:lang w:val="en-US" w:eastAsia="zh-CN"/>
              </w:rPr>
              <w:t>431.76</w:t>
            </w:r>
          </w:p>
        </w:tc>
      </w:tr>
      <w:tr w14:paraId="038EE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867" w:type="dxa"/>
            <w:vMerge w:val="continue"/>
            <w:tcBorders>
              <w:top w:val="nil"/>
            </w:tcBorders>
            <w:vAlign w:val="center"/>
          </w:tcPr>
          <w:p w14:paraId="15277D2E">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楷体" w:hAnsi="楷体" w:eastAsia="楷体" w:cs="楷体"/>
                <w:b/>
                <w:bCs/>
                <w:color w:val="auto"/>
                <w:spacing w:val="0"/>
                <w:sz w:val="24"/>
                <w:szCs w:val="24"/>
                <w:highlight w:val="none"/>
              </w:rPr>
            </w:pPr>
          </w:p>
        </w:tc>
        <w:tc>
          <w:tcPr>
            <w:tcW w:w="1535" w:type="dxa"/>
            <w:vMerge w:val="continue"/>
            <w:vAlign w:val="center"/>
          </w:tcPr>
          <w:p w14:paraId="49DD1D9D">
            <w:pPr>
              <w:pStyle w:val="15"/>
              <w:keepNext w:val="0"/>
              <w:keepLines w:val="0"/>
              <w:pageBreakBefore w:val="0"/>
              <w:widowControl/>
              <w:kinsoku w:val="0"/>
              <w:wordWrap/>
              <w:overflowPunct/>
              <w:topLinePunct w:val="0"/>
              <w:autoSpaceDE w:val="0"/>
              <w:autoSpaceDN w:val="0"/>
              <w:bidi w:val="0"/>
              <w:adjustRightInd w:val="0"/>
              <w:snapToGrid w:val="0"/>
              <w:spacing w:line="224" w:lineRule="auto"/>
              <w:ind w:left="0" w:right="0" w:firstLine="0"/>
              <w:jc w:val="center"/>
              <w:textAlignment w:val="baseline"/>
              <w:rPr>
                <w:rFonts w:hint="eastAsia" w:ascii="楷体" w:hAnsi="楷体" w:eastAsia="楷体" w:cs="楷体"/>
                <w:color w:val="auto"/>
                <w:spacing w:val="-3"/>
                <w:sz w:val="24"/>
                <w:szCs w:val="24"/>
                <w:highlight w:val="none"/>
              </w:rPr>
            </w:pPr>
          </w:p>
        </w:tc>
        <w:tc>
          <w:tcPr>
            <w:tcW w:w="2160" w:type="dxa"/>
            <w:gridSpan w:val="2"/>
            <w:vAlign w:val="center"/>
          </w:tcPr>
          <w:p w14:paraId="43CE32B8">
            <w:pPr>
              <w:pStyle w:val="15"/>
              <w:keepNext w:val="0"/>
              <w:keepLines w:val="0"/>
              <w:pageBreakBefore w:val="0"/>
              <w:widowControl/>
              <w:kinsoku w:val="0"/>
              <w:wordWrap/>
              <w:overflowPunct/>
              <w:topLinePunct w:val="0"/>
              <w:autoSpaceDE w:val="0"/>
              <w:autoSpaceDN w:val="0"/>
              <w:bidi w:val="0"/>
              <w:adjustRightInd w:val="0"/>
              <w:snapToGrid w:val="0"/>
              <w:spacing w:line="224" w:lineRule="auto"/>
              <w:ind w:left="0" w:right="0" w:firstLine="0"/>
              <w:jc w:val="center"/>
              <w:textAlignment w:val="baseline"/>
              <w:rPr>
                <w:rFonts w:hint="eastAsia" w:ascii="楷体" w:hAnsi="楷体" w:eastAsia="楷体" w:cs="楷体"/>
                <w:color w:val="auto"/>
                <w:spacing w:val="-3"/>
                <w:sz w:val="24"/>
                <w:szCs w:val="24"/>
                <w:highlight w:val="none"/>
                <w:lang w:val="en-US" w:eastAsia="zh-CN"/>
              </w:rPr>
            </w:pPr>
            <w:r>
              <w:rPr>
                <w:rFonts w:hint="eastAsia" w:ascii="楷体" w:hAnsi="楷体" w:eastAsia="楷体" w:cs="楷体"/>
                <w:color w:val="auto"/>
                <w:spacing w:val="-3"/>
                <w:sz w:val="24"/>
                <w:szCs w:val="24"/>
                <w:highlight w:val="none"/>
                <w:lang w:val="en-US" w:eastAsia="zh-CN"/>
              </w:rPr>
              <w:t>分成比例</w:t>
            </w:r>
            <w:r>
              <w:rPr>
                <w:rFonts w:hint="eastAsia" w:ascii="楷体" w:hAnsi="楷体" w:eastAsia="楷体" w:cs="楷体"/>
                <w:color w:val="auto"/>
                <w:spacing w:val="-6"/>
                <w:sz w:val="24"/>
                <w:szCs w:val="24"/>
                <w:highlight w:val="none"/>
                <w:lang w:val="en-US" w:eastAsia="zh-CN"/>
              </w:rPr>
              <w:t>K</w:t>
            </w:r>
            <w:r>
              <w:rPr>
                <w:rFonts w:hint="eastAsia" w:ascii="楷体" w:hAnsi="楷体" w:eastAsia="楷体" w:cs="楷体"/>
                <w:color w:val="auto"/>
                <w:spacing w:val="-6"/>
                <w:sz w:val="32"/>
                <w:szCs w:val="32"/>
                <w:highlight w:val="none"/>
                <w:vertAlign w:val="subscript"/>
                <w:lang w:val="en-US" w:eastAsia="zh-CN"/>
              </w:rPr>
              <w:t>常</w:t>
            </w:r>
            <w:r>
              <w:rPr>
                <w:rFonts w:hint="eastAsia" w:cs="楷体"/>
                <w:color w:val="auto"/>
                <w:spacing w:val="-6"/>
                <w:sz w:val="32"/>
                <w:szCs w:val="32"/>
                <w:highlight w:val="none"/>
                <w:vertAlign w:val="subscript"/>
                <w:lang w:val="en-US" w:eastAsia="zh-CN"/>
              </w:rPr>
              <w:t>享</w:t>
            </w:r>
          </w:p>
        </w:tc>
        <w:tc>
          <w:tcPr>
            <w:tcW w:w="2179" w:type="dxa"/>
            <w:vAlign w:val="center"/>
          </w:tcPr>
          <w:p w14:paraId="5407AD5D">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无</w:t>
            </w:r>
          </w:p>
        </w:tc>
        <w:tc>
          <w:tcPr>
            <w:tcW w:w="2136" w:type="dxa"/>
            <w:vAlign w:val="center"/>
          </w:tcPr>
          <w:p w14:paraId="19A048D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楷体" w:hAnsi="楷体" w:eastAsia="楷体" w:cs="楷体"/>
                <w:color w:val="auto"/>
                <w:sz w:val="24"/>
                <w:szCs w:val="24"/>
                <w:highlight w:val="none"/>
                <w:lang w:eastAsia="zh-CN"/>
              </w:rPr>
            </w:pPr>
            <w:r>
              <w:rPr>
                <w:rFonts w:hint="eastAsia" w:ascii="楷体" w:hAnsi="楷体" w:eastAsia="楷体" w:cs="楷体"/>
                <w:color w:val="auto"/>
                <w:spacing w:val="3"/>
                <w:sz w:val="19"/>
                <w:szCs w:val="19"/>
                <w:highlight w:val="none"/>
              </w:rPr>
              <w:t>0≤</w:t>
            </w:r>
            <w:r>
              <w:rPr>
                <w:rFonts w:hint="eastAsia" w:ascii="楷体" w:hAnsi="楷体" w:eastAsia="楷体" w:cs="楷体"/>
                <w:color w:val="auto"/>
                <w:spacing w:val="3"/>
                <w:sz w:val="19"/>
                <w:szCs w:val="19"/>
                <w:highlight w:val="none"/>
                <w:lang w:val="en-US" w:eastAsia="zh-CN"/>
              </w:rPr>
              <w:t>K</w:t>
            </w:r>
            <w:r>
              <w:rPr>
                <w:rFonts w:hint="eastAsia" w:ascii="楷体" w:hAnsi="楷体" w:eastAsia="楷体" w:cs="楷体"/>
                <w:color w:val="auto"/>
                <w:spacing w:val="-6"/>
                <w:sz w:val="32"/>
                <w:szCs w:val="32"/>
                <w:highlight w:val="none"/>
                <w:vertAlign w:val="subscript"/>
                <w:lang w:val="en-US" w:eastAsia="zh-CN"/>
              </w:rPr>
              <w:t>常享</w:t>
            </w:r>
            <w:r>
              <w:rPr>
                <w:rFonts w:hint="eastAsia" w:ascii="楷体" w:hAnsi="楷体" w:eastAsia="楷体" w:cs="楷体"/>
                <w:color w:val="auto"/>
                <w:spacing w:val="3"/>
                <w:sz w:val="19"/>
                <w:szCs w:val="19"/>
                <w:highlight w:val="none"/>
              </w:rPr>
              <w:t>≤</w:t>
            </w:r>
            <w:r>
              <w:rPr>
                <w:rFonts w:hint="eastAsia" w:ascii="楷体" w:hAnsi="楷体" w:eastAsia="楷体" w:cs="楷体"/>
                <w:color w:val="auto"/>
                <w:spacing w:val="3"/>
                <w:sz w:val="19"/>
                <w:szCs w:val="19"/>
                <w:highlight w:val="none"/>
                <w:lang w:val="en-US" w:eastAsia="zh-CN"/>
              </w:rPr>
              <w:t>1</w:t>
            </w:r>
          </w:p>
        </w:tc>
      </w:tr>
      <w:tr w14:paraId="17244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867" w:type="dxa"/>
            <w:vMerge w:val="continue"/>
            <w:tcBorders>
              <w:top w:val="nil"/>
            </w:tcBorders>
            <w:vAlign w:val="center"/>
          </w:tcPr>
          <w:p w14:paraId="128D8D1B">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楷体" w:hAnsi="楷体" w:eastAsia="楷体" w:cs="楷体"/>
                <w:b/>
                <w:bCs/>
                <w:color w:val="auto"/>
                <w:spacing w:val="0"/>
                <w:sz w:val="24"/>
                <w:szCs w:val="24"/>
                <w:highlight w:val="none"/>
              </w:rPr>
            </w:pPr>
          </w:p>
        </w:tc>
        <w:tc>
          <w:tcPr>
            <w:tcW w:w="1535" w:type="dxa"/>
            <w:vMerge w:val="continue"/>
            <w:vAlign w:val="center"/>
          </w:tcPr>
          <w:p w14:paraId="568B2AFA">
            <w:pPr>
              <w:pStyle w:val="15"/>
              <w:keepNext w:val="0"/>
              <w:keepLines w:val="0"/>
              <w:pageBreakBefore w:val="0"/>
              <w:widowControl/>
              <w:kinsoku w:val="0"/>
              <w:wordWrap/>
              <w:overflowPunct/>
              <w:topLinePunct w:val="0"/>
              <w:autoSpaceDE w:val="0"/>
              <w:autoSpaceDN w:val="0"/>
              <w:bidi w:val="0"/>
              <w:adjustRightInd w:val="0"/>
              <w:snapToGrid w:val="0"/>
              <w:spacing w:line="224" w:lineRule="auto"/>
              <w:ind w:left="0" w:right="0" w:firstLine="0"/>
              <w:jc w:val="center"/>
              <w:textAlignment w:val="baseline"/>
              <w:rPr>
                <w:rFonts w:hint="eastAsia" w:ascii="楷体" w:hAnsi="楷体" w:eastAsia="楷体" w:cs="楷体"/>
                <w:color w:val="auto"/>
                <w:spacing w:val="-3"/>
                <w:sz w:val="24"/>
                <w:szCs w:val="24"/>
                <w:highlight w:val="none"/>
              </w:rPr>
            </w:pPr>
          </w:p>
        </w:tc>
        <w:tc>
          <w:tcPr>
            <w:tcW w:w="2160" w:type="dxa"/>
            <w:gridSpan w:val="2"/>
            <w:vAlign w:val="center"/>
          </w:tcPr>
          <w:p w14:paraId="60FF4A10">
            <w:pPr>
              <w:pStyle w:val="15"/>
              <w:keepNext w:val="0"/>
              <w:keepLines w:val="0"/>
              <w:pageBreakBefore w:val="0"/>
              <w:widowControl/>
              <w:kinsoku w:val="0"/>
              <w:wordWrap/>
              <w:overflowPunct/>
              <w:topLinePunct w:val="0"/>
              <w:autoSpaceDE w:val="0"/>
              <w:autoSpaceDN w:val="0"/>
              <w:bidi w:val="0"/>
              <w:adjustRightInd w:val="0"/>
              <w:snapToGrid w:val="0"/>
              <w:spacing w:line="224" w:lineRule="auto"/>
              <w:ind w:left="0" w:right="0" w:firstLine="0"/>
              <w:jc w:val="center"/>
              <w:textAlignment w:val="baseline"/>
              <w:rPr>
                <w:rFonts w:hint="eastAsia" w:ascii="楷体" w:hAnsi="楷体" w:eastAsia="楷体" w:cs="楷体"/>
                <w:color w:val="auto"/>
                <w:sz w:val="24"/>
                <w:szCs w:val="24"/>
                <w:highlight w:val="none"/>
                <w:lang w:val="en-US"/>
              </w:rPr>
            </w:pPr>
            <w:r>
              <w:rPr>
                <w:rFonts w:hint="eastAsia" w:ascii="楷体" w:hAnsi="楷体" w:eastAsia="楷体" w:cs="楷体"/>
                <w:color w:val="auto"/>
                <w:spacing w:val="-3"/>
                <w:sz w:val="24"/>
                <w:szCs w:val="24"/>
                <w:highlight w:val="none"/>
                <w:lang w:val="en-US" w:eastAsia="zh-CN"/>
              </w:rPr>
              <w:t>分成比例</w:t>
            </w:r>
            <w:r>
              <w:rPr>
                <w:rFonts w:hint="eastAsia" w:ascii="楷体" w:hAnsi="楷体" w:eastAsia="楷体" w:cs="楷体"/>
                <w:color w:val="auto"/>
                <w:spacing w:val="-6"/>
                <w:sz w:val="24"/>
                <w:szCs w:val="24"/>
                <w:highlight w:val="none"/>
                <w:lang w:val="en-US" w:eastAsia="zh-CN"/>
              </w:rPr>
              <w:t>K</w:t>
            </w:r>
            <w:r>
              <w:rPr>
                <w:rFonts w:hint="eastAsia" w:ascii="楷体" w:hAnsi="楷体" w:eastAsia="楷体" w:cs="楷体"/>
                <w:color w:val="auto"/>
                <w:spacing w:val="-6"/>
                <w:sz w:val="32"/>
                <w:szCs w:val="32"/>
                <w:highlight w:val="none"/>
                <w:vertAlign w:val="subscript"/>
                <w:lang w:val="en-US" w:eastAsia="zh-CN"/>
              </w:rPr>
              <w:t>常</w:t>
            </w:r>
            <w:r>
              <w:rPr>
                <w:rFonts w:hint="eastAsia" w:cs="楷体"/>
                <w:color w:val="auto"/>
                <w:spacing w:val="-6"/>
                <w:sz w:val="32"/>
                <w:szCs w:val="32"/>
                <w:highlight w:val="none"/>
                <w:vertAlign w:val="subscript"/>
                <w:lang w:val="en-US" w:eastAsia="zh-CN"/>
              </w:rPr>
              <w:t>担</w:t>
            </w:r>
          </w:p>
        </w:tc>
        <w:tc>
          <w:tcPr>
            <w:tcW w:w="2179" w:type="dxa"/>
            <w:vAlign w:val="center"/>
          </w:tcPr>
          <w:p w14:paraId="170C12A6">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无</w:t>
            </w:r>
          </w:p>
        </w:tc>
        <w:tc>
          <w:tcPr>
            <w:tcW w:w="2136" w:type="dxa"/>
            <w:vAlign w:val="center"/>
          </w:tcPr>
          <w:p w14:paraId="2DFB93F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楷体" w:hAnsi="楷体" w:eastAsia="楷体" w:cs="楷体"/>
                <w:color w:val="auto"/>
                <w:sz w:val="24"/>
                <w:szCs w:val="24"/>
                <w:highlight w:val="none"/>
              </w:rPr>
            </w:pPr>
            <w:r>
              <w:rPr>
                <w:rFonts w:hint="eastAsia" w:ascii="楷体" w:hAnsi="楷体" w:eastAsia="楷体" w:cs="楷体"/>
                <w:color w:val="auto"/>
                <w:spacing w:val="3"/>
                <w:sz w:val="19"/>
                <w:szCs w:val="19"/>
                <w:highlight w:val="none"/>
              </w:rPr>
              <w:t>0≤</w:t>
            </w:r>
            <w:r>
              <w:rPr>
                <w:rFonts w:hint="eastAsia" w:ascii="楷体" w:hAnsi="楷体" w:eastAsia="楷体" w:cs="楷体"/>
                <w:color w:val="auto"/>
                <w:spacing w:val="3"/>
                <w:sz w:val="19"/>
                <w:szCs w:val="19"/>
                <w:highlight w:val="none"/>
                <w:lang w:val="en-US" w:eastAsia="zh-CN"/>
              </w:rPr>
              <w:t>K</w:t>
            </w:r>
            <w:r>
              <w:rPr>
                <w:rFonts w:hint="eastAsia" w:ascii="楷体" w:hAnsi="楷体" w:eastAsia="楷体" w:cs="楷体"/>
                <w:color w:val="auto"/>
                <w:spacing w:val="-6"/>
                <w:sz w:val="32"/>
                <w:szCs w:val="32"/>
                <w:highlight w:val="none"/>
                <w:vertAlign w:val="subscript"/>
                <w:lang w:val="en-US" w:eastAsia="zh-CN"/>
              </w:rPr>
              <w:t>常担</w:t>
            </w:r>
            <w:r>
              <w:rPr>
                <w:rFonts w:hint="eastAsia" w:ascii="楷体" w:hAnsi="楷体" w:eastAsia="楷体" w:cs="楷体"/>
                <w:color w:val="auto"/>
                <w:spacing w:val="3"/>
                <w:sz w:val="19"/>
                <w:szCs w:val="19"/>
                <w:highlight w:val="none"/>
              </w:rPr>
              <w:t>≤1</w:t>
            </w:r>
          </w:p>
        </w:tc>
      </w:tr>
      <w:tr w14:paraId="0ABD3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867" w:type="dxa"/>
            <w:vMerge w:val="restart"/>
            <w:vAlign w:val="center"/>
          </w:tcPr>
          <w:p w14:paraId="12E49ADE">
            <w:pPr>
              <w:pStyle w:val="15"/>
              <w:keepNext w:val="0"/>
              <w:keepLines w:val="0"/>
              <w:pageBreakBefore w:val="0"/>
              <w:widowControl/>
              <w:kinsoku w:val="0"/>
              <w:wordWrap/>
              <w:overflowPunct/>
              <w:topLinePunct w:val="0"/>
              <w:autoSpaceDE w:val="0"/>
              <w:autoSpaceDN w:val="0"/>
              <w:bidi w:val="0"/>
              <w:adjustRightInd w:val="0"/>
              <w:snapToGrid w:val="0"/>
              <w:spacing w:line="227" w:lineRule="auto"/>
              <w:ind w:left="0" w:right="0" w:firstLine="0"/>
              <w:jc w:val="center"/>
              <w:textAlignment w:val="baseline"/>
              <w:rPr>
                <w:rFonts w:hint="default" w:ascii="楷体" w:hAnsi="楷体" w:eastAsia="楷体" w:cs="楷体"/>
                <w:b/>
                <w:bCs/>
                <w:color w:val="auto"/>
                <w:spacing w:val="0"/>
                <w:sz w:val="24"/>
                <w:szCs w:val="24"/>
                <w:highlight w:val="none"/>
                <w:lang w:val="en-US" w:eastAsia="zh-CN"/>
              </w:rPr>
            </w:pPr>
            <w:r>
              <w:rPr>
                <w:rFonts w:hint="eastAsia" w:cs="楷体"/>
                <w:b/>
                <w:bCs/>
                <w:color w:val="auto"/>
                <w:spacing w:val="0"/>
                <w:sz w:val="24"/>
                <w:szCs w:val="24"/>
                <w:highlight w:val="none"/>
                <w:lang w:val="en-US" w:eastAsia="zh-CN"/>
              </w:rPr>
              <w:t>1.2</w:t>
            </w:r>
            <w:r>
              <w:rPr>
                <w:rFonts w:hint="eastAsia" w:ascii="楷体" w:hAnsi="楷体" w:eastAsia="楷体" w:cs="楷体"/>
                <w:b/>
                <w:bCs/>
                <w:color w:val="auto"/>
                <w:spacing w:val="0"/>
                <w:sz w:val="24"/>
                <w:szCs w:val="24"/>
                <w:highlight w:val="none"/>
              </w:rPr>
              <w:t>绿</w:t>
            </w:r>
            <w:r>
              <w:rPr>
                <w:rFonts w:hint="eastAsia" w:ascii="楷体" w:hAnsi="楷体" w:eastAsia="楷体" w:cs="楷体"/>
                <w:b/>
                <w:bCs/>
                <w:color w:val="auto"/>
                <w:spacing w:val="0"/>
                <w:sz w:val="24"/>
                <w:szCs w:val="24"/>
                <w:highlight w:val="none"/>
                <w:lang w:val="en-US" w:eastAsia="zh-CN"/>
              </w:rPr>
              <w:t>色</w:t>
            </w:r>
            <w:r>
              <w:rPr>
                <w:rFonts w:hint="eastAsia" w:ascii="楷体" w:hAnsi="楷体" w:eastAsia="楷体" w:cs="楷体"/>
                <w:b/>
                <w:bCs/>
                <w:color w:val="auto"/>
                <w:spacing w:val="0"/>
                <w:sz w:val="24"/>
                <w:szCs w:val="24"/>
                <w:highlight w:val="none"/>
              </w:rPr>
              <w:t>电</w:t>
            </w:r>
            <w:r>
              <w:rPr>
                <w:rFonts w:hint="eastAsia" w:ascii="楷体" w:hAnsi="楷体" w:eastAsia="楷体" w:cs="楷体"/>
                <w:b/>
                <w:bCs/>
                <w:color w:val="auto"/>
                <w:spacing w:val="0"/>
                <w:sz w:val="24"/>
                <w:szCs w:val="24"/>
                <w:highlight w:val="none"/>
                <w:lang w:val="en-US" w:eastAsia="zh-CN"/>
              </w:rPr>
              <w:t>力</w:t>
            </w:r>
            <w:r>
              <w:rPr>
                <w:rFonts w:hint="eastAsia" w:cs="楷体"/>
                <w:b/>
                <w:bCs/>
                <w:color w:val="auto"/>
                <w:spacing w:val="0"/>
                <w:sz w:val="24"/>
                <w:szCs w:val="24"/>
                <w:highlight w:val="none"/>
                <w:lang w:val="en-US" w:eastAsia="zh-CN"/>
              </w:rPr>
              <w:t>电价</w:t>
            </w:r>
          </w:p>
          <w:p w14:paraId="512CF992">
            <w:pPr>
              <w:pStyle w:val="15"/>
              <w:keepNext w:val="0"/>
              <w:keepLines w:val="0"/>
              <w:pageBreakBefore w:val="0"/>
              <w:widowControl/>
              <w:kinsoku w:val="0"/>
              <w:wordWrap/>
              <w:overflowPunct/>
              <w:topLinePunct w:val="0"/>
              <w:autoSpaceDE w:val="0"/>
              <w:autoSpaceDN w:val="0"/>
              <w:bidi w:val="0"/>
              <w:adjustRightInd w:val="0"/>
              <w:snapToGrid w:val="0"/>
              <w:spacing w:line="227" w:lineRule="auto"/>
              <w:ind w:left="0" w:right="0" w:firstLine="0"/>
              <w:jc w:val="center"/>
              <w:textAlignment w:val="baseline"/>
              <w:rPr>
                <w:rFonts w:hint="eastAsia" w:ascii="楷体" w:hAnsi="楷体" w:eastAsia="楷体" w:cs="楷体"/>
                <w:b/>
                <w:bCs/>
                <w:color w:val="auto"/>
                <w:spacing w:val="0"/>
                <w:sz w:val="24"/>
                <w:szCs w:val="24"/>
                <w:highlight w:val="none"/>
              </w:rPr>
            </w:pPr>
            <w:r>
              <w:rPr>
                <w:rFonts w:hint="eastAsia" w:ascii="楷体" w:hAnsi="楷体" w:eastAsia="楷体" w:cs="楷体"/>
                <w:b/>
                <w:bCs/>
                <w:color w:val="auto"/>
                <w:spacing w:val="0"/>
                <w:sz w:val="24"/>
                <w:szCs w:val="24"/>
                <w:highlight w:val="none"/>
              </w:rPr>
              <w:t>（</w:t>
            </w:r>
            <w:r>
              <w:rPr>
                <w:rFonts w:hint="eastAsia" w:cs="楷体"/>
                <w:b/>
                <w:bCs/>
                <w:color w:val="auto"/>
                <w:spacing w:val="0"/>
                <w:sz w:val="24"/>
                <w:szCs w:val="24"/>
                <w:highlight w:val="none"/>
                <w:lang w:val="en-US" w:eastAsia="zh-CN"/>
              </w:rPr>
              <w:t>有绿电需求的必填，</w:t>
            </w:r>
            <w:r>
              <w:rPr>
                <w:rFonts w:hint="eastAsia" w:cs="楷体"/>
                <w:b/>
                <w:bCs/>
                <w:color w:val="auto"/>
                <w:spacing w:val="0"/>
                <w:w w:val="100"/>
                <w:sz w:val="24"/>
                <w:szCs w:val="24"/>
                <w:highlight w:val="none"/>
                <w:lang w:val="en-US" w:eastAsia="zh-CN"/>
              </w:rPr>
              <w:t>ABC</w:t>
            </w:r>
            <w:r>
              <w:rPr>
                <w:rFonts w:hint="eastAsia" w:cs="楷体"/>
                <w:b/>
                <w:bCs/>
                <w:color w:val="auto"/>
                <w:spacing w:val="0"/>
                <w:sz w:val="24"/>
                <w:szCs w:val="24"/>
                <w:highlight w:val="none"/>
                <w:lang w:val="en-US" w:eastAsia="zh-CN"/>
              </w:rPr>
              <w:t>三选一,且须与常规电力套餐一致</w:t>
            </w:r>
            <w:r>
              <w:rPr>
                <w:rFonts w:hint="eastAsia" w:cs="楷体"/>
                <w:b/>
                <w:bCs/>
                <w:color w:val="auto"/>
                <w:spacing w:val="0"/>
                <w:sz w:val="24"/>
                <w:szCs w:val="24"/>
                <w:highlight w:val="none"/>
                <w:lang w:eastAsia="zh-CN"/>
              </w:rPr>
              <w:t>）</w:t>
            </w:r>
          </w:p>
        </w:tc>
        <w:tc>
          <w:tcPr>
            <w:tcW w:w="1535" w:type="dxa"/>
            <w:vAlign w:val="center"/>
          </w:tcPr>
          <w:p w14:paraId="5FE3AC2D">
            <w:pPr>
              <w:pStyle w:val="15"/>
              <w:keepNext w:val="0"/>
              <w:keepLines w:val="0"/>
              <w:pageBreakBefore w:val="0"/>
              <w:widowControl/>
              <w:kinsoku w:val="0"/>
              <w:wordWrap/>
              <w:overflowPunct/>
              <w:topLinePunct w:val="0"/>
              <w:autoSpaceDE w:val="0"/>
              <w:autoSpaceDN w:val="0"/>
              <w:bidi w:val="0"/>
              <w:adjustRightInd w:val="0"/>
              <w:snapToGrid w:val="0"/>
              <w:spacing w:line="231" w:lineRule="auto"/>
              <w:ind w:left="0" w:leftChars="0" w:right="0" w:rightChars="0" w:firstLine="0" w:firstLineChars="0"/>
              <w:jc w:val="center"/>
              <w:textAlignment w:val="baseline"/>
              <w:rPr>
                <w:rFonts w:hint="eastAsia" w:ascii="楷体" w:hAnsi="楷体" w:eastAsia="楷体" w:cs="楷体"/>
                <w:snapToGrid w:val="0"/>
                <w:color w:val="auto"/>
                <w:spacing w:val="-6"/>
                <w:kern w:val="0"/>
                <w:sz w:val="24"/>
                <w:szCs w:val="24"/>
                <w:highlight w:val="none"/>
                <w:lang w:val="en-US" w:eastAsia="zh-CN" w:bidi="ar-SA"/>
              </w:rPr>
            </w:pPr>
            <w:r>
              <w:rPr>
                <w:rFonts w:hint="eastAsia" w:cs="楷体"/>
                <w:color w:val="auto"/>
                <w:spacing w:val="-6"/>
                <w:sz w:val="24"/>
                <w:szCs w:val="24"/>
                <w:highlight w:val="none"/>
                <w:lang w:val="en-US" w:eastAsia="zh-CN"/>
              </w:rPr>
              <w:t>A</w:t>
            </w:r>
            <w:r>
              <w:rPr>
                <w:rFonts w:hint="eastAsia" w:ascii="楷体" w:hAnsi="楷体" w:eastAsia="楷体" w:cs="楷体"/>
                <w:color w:val="auto"/>
                <w:spacing w:val="-6"/>
                <w:sz w:val="24"/>
                <w:szCs w:val="24"/>
                <w:highlight w:val="none"/>
                <w:lang w:val="en-US" w:eastAsia="zh-CN"/>
              </w:rPr>
              <w:t>固定价格</w:t>
            </w:r>
          </w:p>
        </w:tc>
        <w:tc>
          <w:tcPr>
            <w:tcW w:w="2160" w:type="dxa"/>
            <w:gridSpan w:val="2"/>
            <w:vAlign w:val="center"/>
          </w:tcPr>
          <w:p w14:paraId="25831D0E">
            <w:pPr>
              <w:pStyle w:val="15"/>
              <w:keepNext w:val="0"/>
              <w:keepLines w:val="0"/>
              <w:pageBreakBefore w:val="0"/>
              <w:widowControl/>
              <w:kinsoku w:val="0"/>
              <w:wordWrap/>
              <w:overflowPunct/>
              <w:topLinePunct w:val="0"/>
              <w:autoSpaceDE w:val="0"/>
              <w:autoSpaceDN w:val="0"/>
              <w:bidi w:val="0"/>
              <w:adjustRightInd w:val="0"/>
              <w:snapToGrid w:val="0"/>
              <w:spacing w:line="231" w:lineRule="auto"/>
              <w:ind w:left="0" w:leftChars="0" w:right="0" w:rightChars="0" w:firstLine="0" w:firstLineChars="0"/>
              <w:jc w:val="center"/>
              <w:textAlignment w:val="baseline"/>
              <w:rPr>
                <w:rFonts w:hint="eastAsia" w:ascii="楷体" w:hAnsi="楷体" w:eastAsia="楷体" w:cs="楷体"/>
                <w:snapToGrid w:val="0"/>
                <w:color w:val="auto"/>
                <w:kern w:val="0"/>
                <w:sz w:val="24"/>
                <w:szCs w:val="24"/>
                <w:highlight w:val="none"/>
                <w:lang w:val="en-US" w:eastAsia="en-US" w:bidi="ar-SA"/>
              </w:rPr>
            </w:pPr>
            <w:r>
              <w:rPr>
                <w:rFonts w:hint="eastAsia" w:ascii="楷体" w:hAnsi="楷体" w:eastAsia="楷体" w:cs="楷体"/>
                <w:color w:val="auto"/>
                <w:spacing w:val="-6"/>
                <w:sz w:val="24"/>
                <w:szCs w:val="24"/>
                <w:highlight w:val="none"/>
              </w:rPr>
              <w:t>固定</w:t>
            </w:r>
            <w:r>
              <w:rPr>
                <w:rFonts w:hint="eastAsia" w:ascii="楷体" w:hAnsi="楷体" w:eastAsia="楷体" w:cs="楷体"/>
                <w:color w:val="auto"/>
                <w:spacing w:val="-6"/>
                <w:sz w:val="24"/>
                <w:szCs w:val="24"/>
                <w:highlight w:val="none"/>
                <w:lang w:val="en-US" w:eastAsia="zh-CN"/>
              </w:rPr>
              <w:t>价格P</w:t>
            </w:r>
            <w:r>
              <w:rPr>
                <w:rFonts w:hint="eastAsia" w:ascii="楷体" w:hAnsi="楷体" w:eastAsia="楷体" w:cs="楷体"/>
                <w:color w:val="auto"/>
                <w:spacing w:val="-6"/>
                <w:sz w:val="32"/>
                <w:szCs w:val="32"/>
                <w:highlight w:val="none"/>
                <w:vertAlign w:val="subscript"/>
                <w:lang w:val="en-US" w:eastAsia="zh-CN"/>
              </w:rPr>
              <w:t>绿固</w:t>
            </w:r>
          </w:p>
        </w:tc>
        <w:tc>
          <w:tcPr>
            <w:tcW w:w="2179" w:type="dxa"/>
            <w:vAlign w:val="center"/>
          </w:tcPr>
          <w:p w14:paraId="3625D444">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default"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无</w:t>
            </w:r>
          </w:p>
        </w:tc>
        <w:tc>
          <w:tcPr>
            <w:tcW w:w="2136" w:type="dxa"/>
            <w:vAlign w:val="center"/>
          </w:tcPr>
          <w:p w14:paraId="7554BBC8">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楷体" w:hAnsi="楷体" w:eastAsia="楷体" w:cs="楷体"/>
                <w:snapToGrid w:val="0"/>
                <w:color w:val="auto"/>
                <w:kern w:val="0"/>
                <w:sz w:val="24"/>
                <w:szCs w:val="24"/>
                <w:highlight w:val="none"/>
                <w:lang w:val="en-US" w:eastAsia="en-US" w:bidi="ar-SA"/>
              </w:rPr>
            </w:pPr>
            <w:r>
              <w:rPr>
                <w:rFonts w:hint="eastAsia" w:ascii="楷体" w:hAnsi="楷体" w:eastAsia="楷体" w:cs="楷体"/>
                <w:color w:val="auto"/>
                <w:spacing w:val="3"/>
                <w:sz w:val="19"/>
                <w:szCs w:val="19"/>
                <w:highlight w:val="none"/>
                <w:lang w:val="en-US" w:eastAsia="zh-CN"/>
              </w:rPr>
              <w:t>287.84</w:t>
            </w:r>
            <w:r>
              <w:rPr>
                <w:rFonts w:hint="eastAsia" w:ascii="楷体" w:hAnsi="楷体" w:eastAsia="楷体" w:cs="楷体"/>
                <w:color w:val="auto"/>
                <w:spacing w:val="3"/>
                <w:sz w:val="19"/>
                <w:szCs w:val="19"/>
                <w:highlight w:val="none"/>
              </w:rPr>
              <w:t>≤</w:t>
            </w:r>
            <w:r>
              <w:rPr>
                <w:rFonts w:hint="eastAsia" w:ascii="楷体" w:hAnsi="楷体" w:eastAsia="楷体" w:cs="楷体"/>
                <w:color w:val="auto"/>
                <w:spacing w:val="-6"/>
                <w:sz w:val="19"/>
                <w:szCs w:val="19"/>
                <w:highlight w:val="none"/>
                <w:lang w:val="en-US" w:eastAsia="zh-CN"/>
              </w:rPr>
              <w:t>P</w:t>
            </w:r>
            <w:r>
              <w:rPr>
                <w:rFonts w:hint="eastAsia" w:ascii="楷体" w:hAnsi="楷体" w:eastAsia="楷体" w:cs="楷体"/>
                <w:color w:val="auto"/>
                <w:spacing w:val="-6"/>
                <w:sz w:val="32"/>
                <w:szCs w:val="32"/>
                <w:highlight w:val="none"/>
                <w:vertAlign w:val="subscript"/>
                <w:lang w:val="en-US" w:eastAsia="zh-CN"/>
              </w:rPr>
              <w:t>绿固</w:t>
            </w:r>
            <w:r>
              <w:rPr>
                <w:rFonts w:hint="eastAsia" w:ascii="楷体" w:hAnsi="楷体" w:eastAsia="楷体" w:cs="楷体"/>
                <w:color w:val="auto"/>
                <w:spacing w:val="3"/>
                <w:sz w:val="19"/>
                <w:szCs w:val="19"/>
                <w:highlight w:val="none"/>
              </w:rPr>
              <w:t>≤</w:t>
            </w:r>
            <w:r>
              <w:rPr>
                <w:rFonts w:hint="eastAsia" w:ascii="楷体" w:hAnsi="楷体" w:eastAsia="楷体" w:cs="楷体"/>
                <w:color w:val="auto"/>
                <w:spacing w:val="3"/>
                <w:sz w:val="19"/>
                <w:szCs w:val="19"/>
                <w:highlight w:val="none"/>
                <w:lang w:val="en-US" w:eastAsia="zh-CN"/>
              </w:rPr>
              <w:t>431.76</w:t>
            </w:r>
          </w:p>
        </w:tc>
      </w:tr>
      <w:tr w14:paraId="2CEED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867" w:type="dxa"/>
            <w:vMerge w:val="continue"/>
            <w:vAlign w:val="center"/>
          </w:tcPr>
          <w:p w14:paraId="4829B641">
            <w:pPr>
              <w:pStyle w:val="15"/>
              <w:keepNext w:val="0"/>
              <w:keepLines w:val="0"/>
              <w:pageBreakBefore w:val="0"/>
              <w:widowControl/>
              <w:kinsoku w:val="0"/>
              <w:wordWrap/>
              <w:overflowPunct/>
              <w:topLinePunct w:val="0"/>
              <w:autoSpaceDE w:val="0"/>
              <w:autoSpaceDN w:val="0"/>
              <w:bidi w:val="0"/>
              <w:adjustRightInd w:val="0"/>
              <w:snapToGrid w:val="0"/>
              <w:spacing w:line="227" w:lineRule="auto"/>
              <w:ind w:left="0" w:right="0" w:firstLine="0"/>
              <w:jc w:val="center"/>
              <w:textAlignment w:val="baseline"/>
              <w:rPr>
                <w:rFonts w:hint="eastAsia" w:ascii="楷体" w:hAnsi="楷体" w:eastAsia="楷体" w:cs="楷体"/>
                <w:b/>
                <w:bCs/>
                <w:color w:val="auto"/>
                <w:spacing w:val="0"/>
                <w:sz w:val="24"/>
                <w:szCs w:val="24"/>
                <w:highlight w:val="none"/>
              </w:rPr>
            </w:pPr>
          </w:p>
        </w:tc>
        <w:tc>
          <w:tcPr>
            <w:tcW w:w="1535" w:type="dxa"/>
            <w:vMerge w:val="restart"/>
            <w:vAlign w:val="center"/>
          </w:tcPr>
          <w:p w14:paraId="7E5150F0">
            <w:pPr>
              <w:pStyle w:val="15"/>
              <w:keepNext w:val="0"/>
              <w:keepLines w:val="0"/>
              <w:pageBreakBefore w:val="0"/>
              <w:widowControl/>
              <w:kinsoku w:val="0"/>
              <w:wordWrap/>
              <w:overflowPunct/>
              <w:topLinePunct w:val="0"/>
              <w:autoSpaceDE w:val="0"/>
              <w:autoSpaceDN w:val="0"/>
              <w:bidi w:val="0"/>
              <w:adjustRightInd w:val="0"/>
              <w:snapToGrid w:val="0"/>
              <w:spacing w:line="221" w:lineRule="auto"/>
              <w:ind w:left="0" w:leftChars="0" w:right="0" w:rightChars="0" w:firstLine="0" w:firstLineChars="0"/>
              <w:jc w:val="center"/>
              <w:textAlignment w:val="baseline"/>
              <w:rPr>
                <w:rFonts w:hint="eastAsia" w:ascii="楷体" w:hAnsi="楷体" w:eastAsia="楷体" w:cs="楷体"/>
                <w:snapToGrid w:val="0"/>
                <w:color w:val="auto"/>
                <w:spacing w:val="-3"/>
                <w:kern w:val="0"/>
                <w:sz w:val="24"/>
                <w:szCs w:val="24"/>
                <w:highlight w:val="none"/>
                <w:lang w:val="en-US" w:eastAsia="zh-CN" w:bidi="ar-SA"/>
              </w:rPr>
            </w:pPr>
            <w:r>
              <w:rPr>
                <w:rFonts w:hint="eastAsia" w:cs="楷体"/>
                <w:color w:val="auto"/>
                <w:spacing w:val="-3"/>
                <w:sz w:val="24"/>
                <w:szCs w:val="24"/>
                <w:highlight w:val="none"/>
                <w:lang w:val="en-US" w:eastAsia="zh-CN"/>
              </w:rPr>
              <w:t>B</w:t>
            </w:r>
            <w:r>
              <w:rPr>
                <w:rFonts w:hint="eastAsia" w:ascii="楷体" w:hAnsi="楷体" w:eastAsia="楷体" w:cs="楷体"/>
                <w:color w:val="auto"/>
                <w:spacing w:val="-3"/>
                <w:sz w:val="24"/>
                <w:szCs w:val="24"/>
                <w:highlight w:val="none"/>
                <w:lang w:val="en-US" w:eastAsia="zh-CN"/>
              </w:rPr>
              <w:t>联动价格</w:t>
            </w:r>
          </w:p>
        </w:tc>
        <w:tc>
          <w:tcPr>
            <w:tcW w:w="2160" w:type="dxa"/>
            <w:gridSpan w:val="2"/>
            <w:vAlign w:val="center"/>
          </w:tcPr>
          <w:p w14:paraId="5615D417">
            <w:pPr>
              <w:pStyle w:val="15"/>
              <w:keepNext w:val="0"/>
              <w:keepLines w:val="0"/>
              <w:pageBreakBefore w:val="0"/>
              <w:widowControl/>
              <w:kinsoku w:val="0"/>
              <w:wordWrap/>
              <w:overflowPunct/>
              <w:topLinePunct w:val="0"/>
              <w:autoSpaceDE w:val="0"/>
              <w:autoSpaceDN w:val="0"/>
              <w:bidi w:val="0"/>
              <w:adjustRightInd w:val="0"/>
              <w:snapToGrid w:val="0"/>
              <w:spacing w:line="221" w:lineRule="auto"/>
              <w:ind w:left="0" w:leftChars="0" w:right="0" w:rightChars="0" w:firstLine="0" w:firstLineChars="0"/>
              <w:jc w:val="center"/>
              <w:textAlignment w:val="baseline"/>
              <w:rPr>
                <w:rFonts w:hint="eastAsia" w:ascii="楷体" w:hAnsi="楷体" w:eastAsia="楷体" w:cs="楷体"/>
                <w:color w:val="auto"/>
                <w:spacing w:val="-6"/>
                <w:kern w:val="2"/>
                <w:sz w:val="24"/>
                <w:szCs w:val="24"/>
                <w:highlight w:val="none"/>
                <w:lang w:val="en-US" w:eastAsia="zh-CN" w:bidi="ar-SA"/>
              </w:rPr>
            </w:pPr>
            <w:r>
              <w:rPr>
                <w:rFonts w:hint="eastAsia" w:cs="楷体"/>
                <w:color w:val="auto"/>
                <w:spacing w:val="-6"/>
                <w:sz w:val="24"/>
                <w:szCs w:val="24"/>
                <w:highlight w:val="none"/>
                <w:lang w:val="en-US" w:eastAsia="zh-CN"/>
              </w:rPr>
              <w:t>基准价格</w:t>
            </w:r>
            <w:r>
              <w:rPr>
                <w:rFonts w:hint="eastAsia" w:ascii="楷体" w:hAnsi="楷体" w:eastAsia="楷体" w:cs="楷体"/>
                <w:color w:val="auto"/>
                <w:spacing w:val="-6"/>
                <w:sz w:val="24"/>
                <w:szCs w:val="24"/>
                <w:highlight w:val="none"/>
                <w:lang w:val="en-US" w:eastAsia="zh-CN"/>
              </w:rPr>
              <w:t>P</w:t>
            </w:r>
            <w:r>
              <w:rPr>
                <w:rFonts w:hint="eastAsia" w:cs="楷体"/>
                <w:color w:val="auto"/>
                <w:spacing w:val="-6"/>
                <w:sz w:val="32"/>
                <w:szCs w:val="32"/>
                <w:highlight w:val="none"/>
                <w:vertAlign w:val="subscript"/>
                <w:lang w:val="en-US" w:eastAsia="zh-CN"/>
              </w:rPr>
              <w:t>绿基</w:t>
            </w:r>
          </w:p>
        </w:tc>
        <w:tc>
          <w:tcPr>
            <w:tcW w:w="2179" w:type="dxa"/>
            <w:vAlign w:val="center"/>
          </w:tcPr>
          <w:p w14:paraId="61EBA110">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spacing w:val="-6"/>
                <w:sz w:val="24"/>
                <w:szCs w:val="24"/>
                <w:highlight w:val="none"/>
                <w:lang w:val="en-US" w:eastAsia="zh-CN"/>
              </w:rPr>
              <w:t>P</w:t>
            </w:r>
            <w:r>
              <w:rPr>
                <w:rFonts w:hint="eastAsia" w:cs="楷体"/>
                <w:color w:val="auto"/>
                <w:spacing w:val="-6"/>
                <w:sz w:val="32"/>
                <w:szCs w:val="32"/>
                <w:highlight w:val="none"/>
                <w:vertAlign w:val="subscript"/>
                <w:lang w:val="en-US" w:eastAsia="zh-CN"/>
              </w:rPr>
              <w:t>绿批</w:t>
            </w:r>
          </w:p>
        </w:tc>
        <w:tc>
          <w:tcPr>
            <w:tcW w:w="2136" w:type="dxa"/>
            <w:vAlign w:val="center"/>
          </w:tcPr>
          <w:p w14:paraId="4AAA2F35">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楷体" w:hAnsi="楷体" w:eastAsia="楷体" w:cs="楷体"/>
                <w:color w:val="auto"/>
                <w:spacing w:val="3"/>
                <w:kern w:val="2"/>
                <w:sz w:val="16"/>
                <w:szCs w:val="16"/>
                <w:highlight w:val="none"/>
                <w:lang w:val="en-US" w:eastAsia="zh-CN" w:bidi="ar-SA"/>
              </w:rPr>
            </w:pPr>
            <w:r>
              <w:rPr>
                <w:rFonts w:hint="eastAsia" w:ascii="楷体" w:hAnsi="楷体" w:eastAsia="楷体" w:cs="楷体"/>
                <w:color w:val="auto"/>
                <w:spacing w:val="-6"/>
                <w:sz w:val="24"/>
                <w:szCs w:val="24"/>
                <w:highlight w:val="none"/>
                <w:lang w:val="en-US" w:eastAsia="zh-CN"/>
              </w:rPr>
              <w:t>P</w:t>
            </w:r>
            <w:r>
              <w:rPr>
                <w:rFonts w:hint="eastAsia" w:cs="楷体"/>
                <w:color w:val="auto"/>
                <w:spacing w:val="-6"/>
                <w:sz w:val="32"/>
                <w:szCs w:val="32"/>
                <w:highlight w:val="none"/>
                <w:vertAlign w:val="subscript"/>
                <w:lang w:val="en-US" w:eastAsia="zh-CN"/>
              </w:rPr>
              <w:t>绿批</w:t>
            </w:r>
            <w:r>
              <w:rPr>
                <w:rFonts w:hint="eastAsia" w:cs="楷体"/>
                <w:color w:val="auto"/>
                <w:spacing w:val="-6"/>
                <w:sz w:val="24"/>
                <w:szCs w:val="24"/>
                <w:highlight w:val="none"/>
                <w:lang w:val="en-US" w:eastAsia="zh-CN"/>
              </w:rPr>
              <w:t>或</w:t>
            </w:r>
            <w:r>
              <w:rPr>
                <w:rFonts w:hint="eastAsia" w:ascii="楷体" w:hAnsi="楷体" w:eastAsia="楷体" w:cs="楷体"/>
                <w:color w:val="auto"/>
                <w:spacing w:val="-6"/>
                <w:sz w:val="24"/>
                <w:szCs w:val="24"/>
                <w:highlight w:val="none"/>
                <w:lang w:val="en-US" w:eastAsia="zh-CN"/>
              </w:rPr>
              <w:t>P</w:t>
            </w:r>
            <w:r>
              <w:rPr>
                <w:rFonts w:hint="eastAsia" w:cs="楷体"/>
                <w:color w:val="auto"/>
                <w:spacing w:val="-6"/>
                <w:sz w:val="32"/>
                <w:szCs w:val="32"/>
                <w:highlight w:val="none"/>
                <w:vertAlign w:val="subscript"/>
                <w:lang w:val="en-US" w:eastAsia="zh-CN"/>
              </w:rPr>
              <w:t>绿售</w:t>
            </w:r>
          </w:p>
        </w:tc>
      </w:tr>
      <w:tr w14:paraId="2EAD1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867" w:type="dxa"/>
            <w:vMerge w:val="continue"/>
            <w:vAlign w:val="center"/>
          </w:tcPr>
          <w:p w14:paraId="5C1ACD79">
            <w:pPr>
              <w:pStyle w:val="15"/>
              <w:keepNext w:val="0"/>
              <w:keepLines w:val="0"/>
              <w:pageBreakBefore w:val="0"/>
              <w:widowControl/>
              <w:kinsoku w:val="0"/>
              <w:wordWrap/>
              <w:overflowPunct/>
              <w:topLinePunct w:val="0"/>
              <w:autoSpaceDE w:val="0"/>
              <w:autoSpaceDN w:val="0"/>
              <w:bidi w:val="0"/>
              <w:adjustRightInd w:val="0"/>
              <w:snapToGrid w:val="0"/>
              <w:spacing w:line="227" w:lineRule="auto"/>
              <w:ind w:left="0" w:right="0" w:firstLine="0"/>
              <w:jc w:val="center"/>
              <w:textAlignment w:val="baseline"/>
              <w:rPr>
                <w:rFonts w:hint="eastAsia" w:ascii="楷体" w:hAnsi="楷体" w:eastAsia="楷体" w:cs="楷体"/>
                <w:b/>
                <w:bCs/>
                <w:color w:val="auto"/>
                <w:spacing w:val="0"/>
                <w:sz w:val="24"/>
                <w:szCs w:val="24"/>
                <w:highlight w:val="none"/>
              </w:rPr>
            </w:pPr>
          </w:p>
        </w:tc>
        <w:tc>
          <w:tcPr>
            <w:tcW w:w="1535" w:type="dxa"/>
            <w:vMerge w:val="continue"/>
            <w:vAlign w:val="center"/>
          </w:tcPr>
          <w:p w14:paraId="7E54A421">
            <w:pPr>
              <w:pStyle w:val="15"/>
              <w:keepNext w:val="0"/>
              <w:keepLines w:val="0"/>
              <w:pageBreakBefore w:val="0"/>
              <w:widowControl/>
              <w:kinsoku w:val="0"/>
              <w:wordWrap/>
              <w:overflowPunct/>
              <w:topLinePunct w:val="0"/>
              <w:autoSpaceDE w:val="0"/>
              <w:autoSpaceDN w:val="0"/>
              <w:bidi w:val="0"/>
              <w:adjustRightInd w:val="0"/>
              <w:snapToGrid w:val="0"/>
              <w:spacing w:line="221" w:lineRule="auto"/>
              <w:ind w:left="0" w:leftChars="0" w:right="0" w:rightChars="0" w:firstLine="0" w:firstLineChars="0"/>
              <w:jc w:val="center"/>
              <w:textAlignment w:val="baseline"/>
              <w:rPr>
                <w:rFonts w:hint="eastAsia" w:ascii="楷体" w:hAnsi="楷体" w:eastAsia="楷体" w:cs="楷体"/>
                <w:snapToGrid w:val="0"/>
                <w:color w:val="auto"/>
                <w:spacing w:val="-3"/>
                <w:kern w:val="0"/>
                <w:sz w:val="24"/>
                <w:szCs w:val="24"/>
                <w:highlight w:val="none"/>
                <w:lang w:val="en-US" w:eastAsia="zh-CN" w:bidi="ar-SA"/>
              </w:rPr>
            </w:pPr>
          </w:p>
        </w:tc>
        <w:tc>
          <w:tcPr>
            <w:tcW w:w="2160" w:type="dxa"/>
            <w:gridSpan w:val="2"/>
            <w:vAlign w:val="center"/>
          </w:tcPr>
          <w:p w14:paraId="532BDFFE">
            <w:pPr>
              <w:pStyle w:val="15"/>
              <w:keepNext w:val="0"/>
              <w:keepLines w:val="0"/>
              <w:pageBreakBefore w:val="0"/>
              <w:widowControl/>
              <w:kinsoku w:val="0"/>
              <w:wordWrap/>
              <w:overflowPunct/>
              <w:topLinePunct w:val="0"/>
              <w:autoSpaceDE w:val="0"/>
              <w:autoSpaceDN w:val="0"/>
              <w:bidi w:val="0"/>
              <w:adjustRightInd w:val="0"/>
              <w:snapToGrid w:val="0"/>
              <w:spacing w:line="221" w:lineRule="auto"/>
              <w:ind w:left="0" w:leftChars="0" w:right="0" w:rightChars="0" w:firstLine="0" w:firstLineChars="0"/>
              <w:jc w:val="center"/>
              <w:textAlignment w:val="baseline"/>
              <w:rPr>
                <w:rFonts w:hint="default" w:ascii="楷体" w:hAnsi="楷体" w:eastAsia="楷体" w:cs="楷体"/>
                <w:snapToGrid w:val="0"/>
                <w:color w:val="auto"/>
                <w:kern w:val="0"/>
                <w:sz w:val="24"/>
                <w:szCs w:val="24"/>
                <w:highlight w:val="none"/>
                <w:lang w:val="en-US" w:eastAsia="en-US" w:bidi="ar-SA"/>
              </w:rPr>
            </w:pPr>
            <w:r>
              <w:rPr>
                <w:rFonts w:hint="eastAsia" w:ascii="楷体" w:hAnsi="楷体" w:eastAsia="楷体" w:cs="楷体"/>
                <w:color w:val="auto"/>
                <w:spacing w:val="-6"/>
                <w:sz w:val="24"/>
                <w:szCs w:val="24"/>
                <w:highlight w:val="none"/>
                <w:lang w:val="en-US" w:eastAsia="zh-CN"/>
              </w:rPr>
              <w:t>浮动价格P</w:t>
            </w:r>
            <w:r>
              <w:rPr>
                <w:rFonts w:hint="eastAsia" w:ascii="楷体" w:hAnsi="楷体" w:eastAsia="楷体" w:cs="楷体"/>
                <w:color w:val="auto"/>
                <w:spacing w:val="-6"/>
                <w:sz w:val="32"/>
                <w:szCs w:val="32"/>
                <w:highlight w:val="none"/>
                <w:vertAlign w:val="subscript"/>
                <w:lang w:val="en-US" w:eastAsia="zh-CN"/>
              </w:rPr>
              <w:t>绿</w:t>
            </w:r>
            <w:r>
              <w:rPr>
                <w:rFonts w:hint="eastAsia" w:cs="楷体"/>
                <w:color w:val="auto"/>
                <w:spacing w:val="-6"/>
                <w:sz w:val="32"/>
                <w:szCs w:val="32"/>
                <w:highlight w:val="none"/>
                <w:vertAlign w:val="subscript"/>
                <w:lang w:val="en-US" w:eastAsia="zh-CN"/>
              </w:rPr>
              <w:t>浮</w:t>
            </w:r>
          </w:p>
        </w:tc>
        <w:tc>
          <w:tcPr>
            <w:tcW w:w="2179" w:type="dxa"/>
            <w:vAlign w:val="center"/>
          </w:tcPr>
          <w:p w14:paraId="5B0C6F0F">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default"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7.73</w:t>
            </w:r>
          </w:p>
        </w:tc>
        <w:tc>
          <w:tcPr>
            <w:tcW w:w="2136" w:type="dxa"/>
            <w:vAlign w:val="center"/>
          </w:tcPr>
          <w:p w14:paraId="1553A7CC">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楷体" w:hAnsi="楷体" w:eastAsia="楷体" w:cs="楷体"/>
                <w:color w:val="auto"/>
                <w:kern w:val="2"/>
                <w:sz w:val="24"/>
                <w:szCs w:val="24"/>
                <w:highlight w:val="none"/>
                <w:lang w:val="en-US" w:eastAsia="en-US" w:bidi="ar-SA"/>
              </w:rPr>
            </w:pPr>
            <w:r>
              <w:rPr>
                <w:rFonts w:hint="eastAsia" w:ascii="楷体" w:hAnsi="楷体" w:eastAsia="楷体" w:cs="楷体"/>
                <w:color w:val="auto"/>
                <w:spacing w:val="3"/>
                <w:sz w:val="16"/>
                <w:szCs w:val="16"/>
                <w:highlight w:val="none"/>
                <w:lang w:val="en-US" w:eastAsia="zh-CN"/>
              </w:rPr>
              <w:t>287.84</w:t>
            </w:r>
            <w:r>
              <w:rPr>
                <w:rFonts w:hint="eastAsia" w:ascii="楷体" w:hAnsi="楷体" w:eastAsia="楷体" w:cs="楷体"/>
                <w:color w:val="auto"/>
                <w:spacing w:val="3"/>
                <w:sz w:val="16"/>
                <w:szCs w:val="16"/>
                <w:highlight w:val="none"/>
              </w:rPr>
              <w:t>≤</w:t>
            </w:r>
            <w:r>
              <w:rPr>
                <w:rFonts w:hint="eastAsia" w:ascii="楷体" w:hAnsi="楷体" w:eastAsia="楷体" w:cs="楷体"/>
                <w:color w:val="auto"/>
                <w:spacing w:val="-6"/>
                <w:sz w:val="19"/>
                <w:szCs w:val="19"/>
                <w:highlight w:val="none"/>
                <w:lang w:val="en-US" w:eastAsia="zh-CN"/>
              </w:rPr>
              <w:t>P</w:t>
            </w:r>
            <w:r>
              <w:rPr>
                <w:rFonts w:hint="eastAsia" w:cs="楷体"/>
                <w:color w:val="auto"/>
                <w:spacing w:val="-6"/>
                <w:sz w:val="24"/>
                <w:szCs w:val="24"/>
                <w:highlight w:val="none"/>
                <w:vertAlign w:val="subscript"/>
                <w:lang w:val="en-US" w:eastAsia="zh-CN"/>
              </w:rPr>
              <w:t>绿基</w:t>
            </w:r>
            <w:r>
              <w:rPr>
                <w:rFonts w:hint="eastAsia" w:ascii="楷体" w:hAnsi="楷体" w:eastAsia="楷体" w:cs="楷体"/>
                <w:color w:val="auto"/>
                <w:spacing w:val="3"/>
                <w:sz w:val="16"/>
                <w:szCs w:val="16"/>
                <w:highlight w:val="none"/>
              </w:rPr>
              <w:t>＋</w:t>
            </w:r>
            <w:r>
              <w:rPr>
                <w:rFonts w:hint="eastAsia" w:ascii="楷体" w:hAnsi="楷体" w:eastAsia="楷体" w:cs="楷体"/>
                <w:color w:val="auto"/>
                <w:spacing w:val="-6"/>
                <w:sz w:val="19"/>
                <w:szCs w:val="19"/>
                <w:highlight w:val="none"/>
                <w:lang w:val="en-US" w:eastAsia="zh-CN"/>
              </w:rPr>
              <w:t>P</w:t>
            </w:r>
            <w:r>
              <w:rPr>
                <w:rFonts w:hint="eastAsia" w:cs="楷体"/>
                <w:color w:val="auto"/>
                <w:spacing w:val="-6"/>
                <w:sz w:val="24"/>
                <w:szCs w:val="24"/>
                <w:highlight w:val="none"/>
                <w:vertAlign w:val="subscript"/>
                <w:lang w:val="en-US" w:eastAsia="zh-CN"/>
              </w:rPr>
              <w:t>绿浮</w:t>
            </w:r>
            <w:r>
              <w:rPr>
                <w:rFonts w:hint="eastAsia" w:ascii="楷体" w:hAnsi="楷体" w:eastAsia="楷体" w:cs="楷体"/>
                <w:color w:val="auto"/>
                <w:spacing w:val="3"/>
                <w:sz w:val="16"/>
                <w:szCs w:val="16"/>
                <w:highlight w:val="none"/>
              </w:rPr>
              <w:t>≤</w:t>
            </w:r>
            <w:r>
              <w:rPr>
                <w:rFonts w:hint="eastAsia" w:ascii="楷体" w:hAnsi="楷体" w:eastAsia="楷体" w:cs="楷体"/>
                <w:color w:val="auto"/>
                <w:spacing w:val="3"/>
                <w:sz w:val="16"/>
                <w:szCs w:val="16"/>
                <w:highlight w:val="none"/>
                <w:lang w:val="en-US" w:eastAsia="zh-CN"/>
              </w:rPr>
              <w:t>431.76</w:t>
            </w:r>
          </w:p>
        </w:tc>
      </w:tr>
      <w:tr w14:paraId="5A40A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867" w:type="dxa"/>
            <w:vMerge w:val="continue"/>
            <w:vAlign w:val="center"/>
          </w:tcPr>
          <w:p w14:paraId="12C7F627">
            <w:pPr>
              <w:pStyle w:val="15"/>
              <w:keepNext w:val="0"/>
              <w:keepLines w:val="0"/>
              <w:pageBreakBefore w:val="0"/>
              <w:widowControl/>
              <w:kinsoku w:val="0"/>
              <w:wordWrap/>
              <w:overflowPunct/>
              <w:topLinePunct w:val="0"/>
              <w:autoSpaceDE w:val="0"/>
              <w:autoSpaceDN w:val="0"/>
              <w:bidi w:val="0"/>
              <w:adjustRightInd w:val="0"/>
              <w:snapToGrid w:val="0"/>
              <w:spacing w:line="227" w:lineRule="auto"/>
              <w:ind w:left="0" w:right="0" w:firstLine="0"/>
              <w:jc w:val="center"/>
              <w:textAlignment w:val="baseline"/>
              <w:rPr>
                <w:rFonts w:hint="eastAsia" w:ascii="楷体" w:hAnsi="楷体" w:eastAsia="楷体" w:cs="楷体"/>
                <w:b/>
                <w:bCs/>
                <w:color w:val="auto"/>
                <w:spacing w:val="0"/>
                <w:sz w:val="24"/>
                <w:szCs w:val="24"/>
                <w:highlight w:val="none"/>
              </w:rPr>
            </w:pPr>
          </w:p>
        </w:tc>
        <w:tc>
          <w:tcPr>
            <w:tcW w:w="1535" w:type="dxa"/>
            <w:vMerge w:val="restart"/>
            <w:vAlign w:val="center"/>
          </w:tcPr>
          <w:p w14:paraId="2FFE4292">
            <w:pPr>
              <w:pStyle w:val="15"/>
              <w:keepNext w:val="0"/>
              <w:keepLines w:val="0"/>
              <w:pageBreakBefore w:val="0"/>
              <w:widowControl/>
              <w:kinsoku w:val="0"/>
              <w:wordWrap/>
              <w:overflowPunct/>
              <w:topLinePunct w:val="0"/>
              <w:autoSpaceDE w:val="0"/>
              <w:autoSpaceDN w:val="0"/>
              <w:bidi w:val="0"/>
              <w:adjustRightInd w:val="0"/>
              <w:snapToGrid w:val="0"/>
              <w:spacing w:line="224" w:lineRule="auto"/>
              <w:ind w:left="0" w:leftChars="0" w:right="0" w:rightChars="0" w:firstLine="0" w:firstLineChars="0"/>
              <w:jc w:val="center"/>
              <w:textAlignment w:val="baseline"/>
              <w:rPr>
                <w:rFonts w:hint="eastAsia" w:ascii="楷体" w:hAnsi="楷体" w:eastAsia="楷体" w:cs="楷体"/>
                <w:snapToGrid w:val="0"/>
                <w:color w:val="auto"/>
                <w:spacing w:val="-3"/>
                <w:kern w:val="0"/>
                <w:sz w:val="24"/>
                <w:szCs w:val="24"/>
                <w:highlight w:val="none"/>
                <w:lang w:val="en-US" w:eastAsia="zh-CN" w:bidi="ar-SA"/>
              </w:rPr>
            </w:pPr>
            <w:r>
              <w:rPr>
                <w:rFonts w:hint="eastAsia" w:cs="楷体"/>
                <w:color w:val="auto"/>
                <w:spacing w:val="-3"/>
                <w:sz w:val="24"/>
                <w:szCs w:val="24"/>
                <w:highlight w:val="none"/>
                <w:lang w:val="en-US" w:eastAsia="zh-CN"/>
              </w:rPr>
              <w:t>C</w:t>
            </w:r>
            <w:r>
              <w:rPr>
                <w:rFonts w:hint="eastAsia" w:ascii="楷体" w:hAnsi="楷体" w:eastAsia="楷体" w:cs="楷体"/>
                <w:color w:val="auto"/>
                <w:spacing w:val="-3"/>
                <w:sz w:val="24"/>
                <w:szCs w:val="24"/>
                <w:highlight w:val="none"/>
                <w:lang w:val="en-US" w:eastAsia="zh-CN"/>
              </w:rPr>
              <w:t>比例分成</w:t>
            </w:r>
          </w:p>
        </w:tc>
        <w:tc>
          <w:tcPr>
            <w:tcW w:w="2160" w:type="dxa"/>
            <w:gridSpan w:val="2"/>
            <w:vAlign w:val="center"/>
          </w:tcPr>
          <w:p w14:paraId="56E87730">
            <w:pPr>
              <w:pStyle w:val="15"/>
              <w:keepNext w:val="0"/>
              <w:keepLines w:val="0"/>
              <w:pageBreakBefore w:val="0"/>
              <w:widowControl/>
              <w:kinsoku w:val="0"/>
              <w:wordWrap/>
              <w:overflowPunct/>
              <w:topLinePunct w:val="0"/>
              <w:autoSpaceDE w:val="0"/>
              <w:autoSpaceDN w:val="0"/>
              <w:bidi w:val="0"/>
              <w:adjustRightInd w:val="0"/>
              <w:snapToGrid w:val="0"/>
              <w:spacing w:line="224" w:lineRule="auto"/>
              <w:ind w:left="0" w:leftChars="0" w:right="0" w:rightChars="0" w:firstLine="0" w:firstLineChars="0"/>
              <w:jc w:val="center"/>
              <w:textAlignment w:val="baseline"/>
              <w:rPr>
                <w:rFonts w:hint="eastAsia" w:ascii="楷体" w:hAnsi="楷体" w:eastAsia="楷体" w:cs="楷体"/>
                <w:snapToGrid w:val="0"/>
                <w:color w:val="auto"/>
                <w:kern w:val="0"/>
                <w:sz w:val="24"/>
                <w:szCs w:val="24"/>
                <w:highlight w:val="none"/>
                <w:lang w:val="en-US" w:eastAsia="en-US" w:bidi="ar-SA"/>
              </w:rPr>
            </w:pPr>
            <w:r>
              <w:rPr>
                <w:rFonts w:hint="eastAsia" w:ascii="楷体" w:hAnsi="楷体" w:eastAsia="楷体" w:cs="楷体"/>
                <w:color w:val="auto"/>
                <w:spacing w:val="-3"/>
                <w:sz w:val="24"/>
                <w:szCs w:val="24"/>
                <w:highlight w:val="none"/>
                <w:lang w:val="en-US" w:eastAsia="zh-CN"/>
              </w:rPr>
              <w:t>固定价格</w:t>
            </w:r>
            <w:r>
              <w:rPr>
                <w:rFonts w:hint="eastAsia" w:ascii="楷体" w:hAnsi="楷体" w:eastAsia="楷体" w:cs="楷体"/>
                <w:color w:val="auto"/>
                <w:spacing w:val="-6"/>
                <w:sz w:val="24"/>
                <w:szCs w:val="24"/>
                <w:highlight w:val="none"/>
                <w:lang w:val="en-US" w:eastAsia="zh-CN"/>
              </w:rPr>
              <w:t>P</w:t>
            </w:r>
            <w:r>
              <w:rPr>
                <w:rFonts w:hint="eastAsia" w:ascii="楷体" w:hAnsi="楷体" w:eastAsia="楷体" w:cs="楷体"/>
                <w:color w:val="auto"/>
                <w:spacing w:val="-6"/>
                <w:sz w:val="32"/>
                <w:szCs w:val="32"/>
                <w:highlight w:val="none"/>
                <w:vertAlign w:val="subscript"/>
                <w:lang w:val="en-US" w:eastAsia="zh-CN"/>
              </w:rPr>
              <w:t>绿固</w:t>
            </w:r>
          </w:p>
        </w:tc>
        <w:tc>
          <w:tcPr>
            <w:tcW w:w="2179" w:type="dxa"/>
            <w:vAlign w:val="center"/>
          </w:tcPr>
          <w:p w14:paraId="11E7EAB7">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eastAsia="zh-CN"/>
              </w:rPr>
              <w:t>无</w:t>
            </w:r>
          </w:p>
        </w:tc>
        <w:tc>
          <w:tcPr>
            <w:tcW w:w="2136" w:type="dxa"/>
            <w:vAlign w:val="center"/>
          </w:tcPr>
          <w:p w14:paraId="7668D52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楷体" w:hAnsi="楷体" w:eastAsia="楷体" w:cs="楷体"/>
                <w:snapToGrid w:val="0"/>
                <w:color w:val="auto"/>
                <w:spacing w:val="-4"/>
                <w:kern w:val="0"/>
                <w:sz w:val="24"/>
                <w:szCs w:val="24"/>
                <w:highlight w:val="none"/>
                <w:lang w:val="en-US" w:eastAsia="en-US" w:bidi="ar-SA"/>
              </w:rPr>
            </w:pPr>
            <w:r>
              <w:rPr>
                <w:rFonts w:hint="eastAsia" w:ascii="楷体" w:hAnsi="楷体" w:eastAsia="楷体" w:cs="楷体"/>
                <w:color w:val="auto"/>
                <w:spacing w:val="3"/>
                <w:sz w:val="19"/>
                <w:szCs w:val="19"/>
                <w:highlight w:val="none"/>
                <w:lang w:val="en-US" w:eastAsia="zh-CN"/>
              </w:rPr>
              <w:t>287.84</w:t>
            </w:r>
            <w:r>
              <w:rPr>
                <w:rFonts w:hint="eastAsia" w:ascii="楷体" w:hAnsi="楷体" w:eastAsia="楷体" w:cs="楷体"/>
                <w:color w:val="auto"/>
                <w:spacing w:val="3"/>
                <w:sz w:val="19"/>
                <w:szCs w:val="19"/>
                <w:highlight w:val="none"/>
              </w:rPr>
              <w:t>≤</w:t>
            </w:r>
            <w:r>
              <w:rPr>
                <w:rFonts w:hint="eastAsia" w:ascii="楷体" w:hAnsi="楷体" w:eastAsia="楷体" w:cs="楷体"/>
                <w:color w:val="auto"/>
                <w:spacing w:val="-6"/>
                <w:sz w:val="19"/>
                <w:szCs w:val="19"/>
                <w:highlight w:val="none"/>
                <w:lang w:val="en-US" w:eastAsia="zh-CN"/>
              </w:rPr>
              <w:t>P</w:t>
            </w:r>
            <w:r>
              <w:rPr>
                <w:rFonts w:hint="eastAsia" w:ascii="楷体" w:hAnsi="楷体" w:eastAsia="楷体" w:cs="楷体"/>
                <w:color w:val="auto"/>
                <w:spacing w:val="-6"/>
                <w:sz w:val="32"/>
                <w:szCs w:val="32"/>
                <w:highlight w:val="none"/>
                <w:vertAlign w:val="subscript"/>
                <w:lang w:val="en-US" w:eastAsia="zh-CN"/>
              </w:rPr>
              <w:t>绿固</w:t>
            </w:r>
            <w:r>
              <w:rPr>
                <w:rFonts w:hint="eastAsia" w:ascii="楷体" w:hAnsi="楷体" w:eastAsia="楷体" w:cs="楷体"/>
                <w:color w:val="auto"/>
                <w:spacing w:val="3"/>
                <w:sz w:val="19"/>
                <w:szCs w:val="19"/>
                <w:highlight w:val="none"/>
              </w:rPr>
              <w:t>≤</w:t>
            </w:r>
            <w:r>
              <w:rPr>
                <w:rFonts w:hint="eastAsia" w:ascii="楷体" w:hAnsi="楷体" w:eastAsia="楷体" w:cs="楷体"/>
                <w:color w:val="auto"/>
                <w:spacing w:val="3"/>
                <w:sz w:val="19"/>
                <w:szCs w:val="19"/>
                <w:highlight w:val="none"/>
                <w:lang w:val="en-US" w:eastAsia="zh-CN"/>
              </w:rPr>
              <w:t>431.76</w:t>
            </w:r>
          </w:p>
        </w:tc>
      </w:tr>
      <w:tr w14:paraId="31F12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867" w:type="dxa"/>
            <w:vMerge w:val="continue"/>
            <w:vAlign w:val="center"/>
          </w:tcPr>
          <w:p w14:paraId="329A26C0">
            <w:pPr>
              <w:pStyle w:val="15"/>
              <w:keepNext w:val="0"/>
              <w:keepLines w:val="0"/>
              <w:pageBreakBefore w:val="0"/>
              <w:widowControl/>
              <w:kinsoku w:val="0"/>
              <w:wordWrap/>
              <w:overflowPunct/>
              <w:topLinePunct w:val="0"/>
              <w:autoSpaceDE w:val="0"/>
              <w:autoSpaceDN w:val="0"/>
              <w:bidi w:val="0"/>
              <w:adjustRightInd w:val="0"/>
              <w:snapToGrid w:val="0"/>
              <w:spacing w:line="227" w:lineRule="auto"/>
              <w:ind w:left="0" w:right="0" w:firstLine="0"/>
              <w:jc w:val="center"/>
              <w:textAlignment w:val="baseline"/>
              <w:rPr>
                <w:rFonts w:hint="eastAsia" w:ascii="楷体" w:hAnsi="楷体" w:eastAsia="楷体" w:cs="楷体"/>
                <w:b/>
                <w:bCs/>
                <w:color w:val="auto"/>
                <w:spacing w:val="0"/>
                <w:sz w:val="24"/>
                <w:szCs w:val="24"/>
                <w:highlight w:val="none"/>
              </w:rPr>
            </w:pPr>
          </w:p>
        </w:tc>
        <w:tc>
          <w:tcPr>
            <w:tcW w:w="1535" w:type="dxa"/>
            <w:vMerge w:val="continue"/>
            <w:vAlign w:val="center"/>
          </w:tcPr>
          <w:p w14:paraId="6C573E2D">
            <w:pPr>
              <w:pStyle w:val="15"/>
              <w:keepNext w:val="0"/>
              <w:keepLines w:val="0"/>
              <w:pageBreakBefore w:val="0"/>
              <w:widowControl/>
              <w:kinsoku w:val="0"/>
              <w:wordWrap/>
              <w:overflowPunct/>
              <w:topLinePunct w:val="0"/>
              <w:autoSpaceDE w:val="0"/>
              <w:autoSpaceDN w:val="0"/>
              <w:bidi w:val="0"/>
              <w:adjustRightInd w:val="0"/>
              <w:snapToGrid w:val="0"/>
              <w:spacing w:line="225" w:lineRule="auto"/>
              <w:ind w:left="0" w:right="0" w:firstLine="0"/>
              <w:jc w:val="center"/>
              <w:textAlignment w:val="baseline"/>
              <w:rPr>
                <w:rFonts w:hint="eastAsia" w:ascii="楷体" w:hAnsi="楷体" w:eastAsia="楷体" w:cs="楷体"/>
                <w:color w:val="auto"/>
                <w:spacing w:val="-1"/>
                <w:sz w:val="24"/>
                <w:szCs w:val="24"/>
                <w:highlight w:val="none"/>
              </w:rPr>
            </w:pPr>
          </w:p>
        </w:tc>
        <w:tc>
          <w:tcPr>
            <w:tcW w:w="2160" w:type="dxa"/>
            <w:gridSpan w:val="2"/>
            <w:vAlign w:val="center"/>
          </w:tcPr>
          <w:p w14:paraId="0561DA2D">
            <w:pPr>
              <w:pStyle w:val="15"/>
              <w:keepNext w:val="0"/>
              <w:keepLines w:val="0"/>
              <w:pageBreakBefore w:val="0"/>
              <w:widowControl/>
              <w:kinsoku w:val="0"/>
              <w:wordWrap/>
              <w:overflowPunct/>
              <w:topLinePunct w:val="0"/>
              <w:autoSpaceDE w:val="0"/>
              <w:autoSpaceDN w:val="0"/>
              <w:bidi w:val="0"/>
              <w:adjustRightInd w:val="0"/>
              <w:snapToGrid w:val="0"/>
              <w:spacing w:line="224" w:lineRule="auto"/>
              <w:ind w:left="0" w:leftChars="0" w:right="0" w:rightChars="0" w:firstLine="0" w:firstLineChars="0"/>
              <w:jc w:val="center"/>
              <w:textAlignment w:val="baseline"/>
              <w:rPr>
                <w:rFonts w:hint="eastAsia" w:ascii="楷体" w:hAnsi="楷体" w:eastAsia="楷体" w:cs="楷体"/>
                <w:snapToGrid w:val="0"/>
                <w:color w:val="auto"/>
                <w:spacing w:val="-3"/>
                <w:kern w:val="0"/>
                <w:sz w:val="24"/>
                <w:szCs w:val="24"/>
                <w:highlight w:val="none"/>
                <w:lang w:val="en-US" w:eastAsia="zh-CN" w:bidi="ar-SA"/>
              </w:rPr>
            </w:pPr>
            <w:r>
              <w:rPr>
                <w:rFonts w:hint="eastAsia" w:ascii="楷体" w:hAnsi="楷体" w:eastAsia="楷体" w:cs="楷体"/>
                <w:color w:val="auto"/>
                <w:spacing w:val="-3"/>
                <w:sz w:val="24"/>
                <w:szCs w:val="24"/>
                <w:highlight w:val="none"/>
                <w:lang w:val="en-US" w:eastAsia="zh-CN"/>
              </w:rPr>
              <w:t>分成比例</w:t>
            </w:r>
            <w:r>
              <w:rPr>
                <w:rFonts w:hint="eastAsia" w:ascii="楷体" w:hAnsi="楷体" w:eastAsia="楷体" w:cs="楷体"/>
                <w:color w:val="auto"/>
                <w:spacing w:val="-6"/>
                <w:sz w:val="24"/>
                <w:szCs w:val="24"/>
                <w:highlight w:val="none"/>
                <w:lang w:val="en-US" w:eastAsia="zh-CN"/>
              </w:rPr>
              <w:t>K</w:t>
            </w:r>
            <w:r>
              <w:rPr>
                <w:rFonts w:hint="eastAsia" w:ascii="楷体" w:hAnsi="楷体" w:eastAsia="楷体" w:cs="楷体"/>
                <w:color w:val="auto"/>
                <w:spacing w:val="-6"/>
                <w:sz w:val="32"/>
                <w:szCs w:val="32"/>
                <w:highlight w:val="none"/>
                <w:vertAlign w:val="subscript"/>
                <w:lang w:val="en-US" w:eastAsia="zh-CN"/>
              </w:rPr>
              <w:t>绿</w:t>
            </w:r>
            <w:r>
              <w:rPr>
                <w:rFonts w:hint="eastAsia" w:cs="楷体"/>
                <w:color w:val="auto"/>
                <w:spacing w:val="-6"/>
                <w:sz w:val="32"/>
                <w:szCs w:val="32"/>
                <w:highlight w:val="none"/>
                <w:vertAlign w:val="subscript"/>
                <w:lang w:val="en-US" w:eastAsia="zh-CN"/>
              </w:rPr>
              <w:t>享</w:t>
            </w:r>
          </w:p>
        </w:tc>
        <w:tc>
          <w:tcPr>
            <w:tcW w:w="2179" w:type="dxa"/>
            <w:vAlign w:val="center"/>
          </w:tcPr>
          <w:p w14:paraId="591E7EDD">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eastAsia="zh-CN"/>
              </w:rPr>
              <w:t>无</w:t>
            </w:r>
          </w:p>
        </w:tc>
        <w:tc>
          <w:tcPr>
            <w:tcW w:w="2136" w:type="dxa"/>
            <w:vAlign w:val="center"/>
          </w:tcPr>
          <w:p w14:paraId="0C1B884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楷体" w:hAnsi="楷体" w:eastAsia="楷体" w:cs="楷体"/>
                <w:snapToGrid w:val="0"/>
                <w:color w:val="auto"/>
                <w:kern w:val="0"/>
                <w:sz w:val="24"/>
                <w:szCs w:val="24"/>
                <w:highlight w:val="none"/>
                <w:lang w:val="en-US" w:eastAsia="en-US" w:bidi="ar-SA"/>
              </w:rPr>
            </w:pPr>
            <w:r>
              <w:rPr>
                <w:rFonts w:hint="eastAsia" w:ascii="楷体" w:hAnsi="楷体" w:eastAsia="楷体" w:cs="楷体"/>
                <w:color w:val="auto"/>
                <w:spacing w:val="3"/>
                <w:sz w:val="19"/>
                <w:szCs w:val="19"/>
                <w:highlight w:val="none"/>
              </w:rPr>
              <w:t>0≤</w:t>
            </w:r>
            <w:r>
              <w:rPr>
                <w:rFonts w:hint="eastAsia" w:ascii="楷体" w:hAnsi="楷体" w:eastAsia="楷体" w:cs="楷体"/>
                <w:color w:val="auto"/>
                <w:spacing w:val="3"/>
                <w:sz w:val="19"/>
                <w:szCs w:val="19"/>
                <w:highlight w:val="none"/>
                <w:lang w:val="en-US" w:eastAsia="zh-CN"/>
              </w:rPr>
              <w:t>K</w:t>
            </w:r>
            <w:r>
              <w:rPr>
                <w:rFonts w:hint="eastAsia" w:ascii="楷体" w:hAnsi="楷体" w:eastAsia="楷体" w:cs="楷体"/>
                <w:color w:val="auto"/>
                <w:spacing w:val="-6"/>
                <w:sz w:val="32"/>
                <w:szCs w:val="32"/>
                <w:highlight w:val="none"/>
                <w:vertAlign w:val="subscript"/>
                <w:lang w:val="en-US" w:eastAsia="zh-CN"/>
              </w:rPr>
              <w:t>绿享</w:t>
            </w:r>
            <w:r>
              <w:rPr>
                <w:rFonts w:hint="eastAsia" w:ascii="楷体" w:hAnsi="楷体" w:eastAsia="楷体" w:cs="楷体"/>
                <w:color w:val="auto"/>
                <w:spacing w:val="3"/>
                <w:sz w:val="19"/>
                <w:szCs w:val="19"/>
                <w:highlight w:val="none"/>
              </w:rPr>
              <w:t>≤1</w:t>
            </w:r>
          </w:p>
        </w:tc>
      </w:tr>
      <w:tr w14:paraId="42B4E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867" w:type="dxa"/>
            <w:vMerge w:val="continue"/>
            <w:vAlign w:val="center"/>
          </w:tcPr>
          <w:p w14:paraId="25DF1617">
            <w:pPr>
              <w:pStyle w:val="15"/>
              <w:keepNext w:val="0"/>
              <w:keepLines w:val="0"/>
              <w:pageBreakBefore w:val="0"/>
              <w:widowControl/>
              <w:kinsoku w:val="0"/>
              <w:wordWrap/>
              <w:overflowPunct/>
              <w:topLinePunct w:val="0"/>
              <w:autoSpaceDE w:val="0"/>
              <w:autoSpaceDN w:val="0"/>
              <w:bidi w:val="0"/>
              <w:adjustRightInd w:val="0"/>
              <w:snapToGrid w:val="0"/>
              <w:spacing w:line="227" w:lineRule="auto"/>
              <w:ind w:left="0" w:right="0" w:firstLine="0"/>
              <w:jc w:val="center"/>
              <w:textAlignment w:val="baseline"/>
              <w:rPr>
                <w:rFonts w:hint="eastAsia" w:ascii="楷体" w:hAnsi="楷体" w:eastAsia="楷体" w:cs="楷体"/>
                <w:b/>
                <w:bCs/>
                <w:color w:val="auto"/>
                <w:spacing w:val="0"/>
                <w:sz w:val="24"/>
                <w:szCs w:val="24"/>
                <w:highlight w:val="none"/>
              </w:rPr>
            </w:pPr>
          </w:p>
        </w:tc>
        <w:tc>
          <w:tcPr>
            <w:tcW w:w="1535" w:type="dxa"/>
            <w:vMerge w:val="continue"/>
            <w:vAlign w:val="center"/>
          </w:tcPr>
          <w:p w14:paraId="6CB76B2C">
            <w:pPr>
              <w:pStyle w:val="15"/>
              <w:keepNext w:val="0"/>
              <w:keepLines w:val="0"/>
              <w:pageBreakBefore w:val="0"/>
              <w:widowControl/>
              <w:kinsoku w:val="0"/>
              <w:wordWrap/>
              <w:overflowPunct/>
              <w:topLinePunct w:val="0"/>
              <w:autoSpaceDE w:val="0"/>
              <w:autoSpaceDN w:val="0"/>
              <w:bidi w:val="0"/>
              <w:adjustRightInd w:val="0"/>
              <w:snapToGrid w:val="0"/>
              <w:spacing w:line="225" w:lineRule="auto"/>
              <w:ind w:left="0" w:right="0" w:firstLine="0"/>
              <w:jc w:val="center"/>
              <w:textAlignment w:val="baseline"/>
              <w:rPr>
                <w:rFonts w:hint="eastAsia" w:ascii="楷体" w:hAnsi="楷体" w:eastAsia="楷体" w:cs="楷体"/>
                <w:color w:val="auto"/>
                <w:spacing w:val="-1"/>
                <w:sz w:val="24"/>
                <w:szCs w:val="24"/>
                <w:highlight w:val="none"/>
              </w:rPr>
            </w:pPr>
          </w:p>
        </w:tc>
        <w:tc>
          <w:tcPr>
            <w:tcW w:w="2160" w:type="dxa"/>
            <w:gridSpan w:val="2"/>
            <w:vAlign w:val="center"/>
          </w:tcPr>
          <w:p w14:paraId="632605BF">
            <w:pPr>
              <w:pStyle w:val="15"/>
              <w:keepNext w:val="0"/>
              <w:keepLines w:val="0"/>
              <w:pageBreakBefore w:val="0"/>
              <w:widowControl/>
              <w:kinsoku w:val="0"/>
              <w:wordWrap/>
              <w:overflowPunct/>
              <w:topLinePunct w:val="0"/>
              <w:autoSpaceDE w:val="0"/>
              <w:autoSpaceDN w:val="0"/>
              <w:bidi w:val="0"/>
              <w:adjustRightInd w:val="0"/>
              <w:snapToGrid w:val="0"/>
              <w:spacing w:line="224" w:lineRule="auto"/>
              <w:ind w:left="0" w:leftChars="0" w:right="0" w:rightChars="0" w:firstLine="0" w:firstLineChars="0"/>
              <w:jc w:val="center"/>
              <w:textAlignment w:val="baseline"/>
              <w:rPr>
                <w:rFonts w:hint="eastAsia" w:ascii="楷体" w:hAnsi="楷体" w:eastAsia="楷体" w:cs="楷体"/>
                <w:snapToGrid w:val="0"/>
                <w:color w:val="auto"/>
                <w:kern w:val="0"/>
                <w:sz w:val="24"/>
                <w:szCs w:val="24"/>
                <w:highlight w:val="none"/>
                <w:lang w:val="en-US" w:eastAsia="en-US" w:bidi="ar-SA"/>
              </w:rPr>
            </w:pPr>
            <w:r>
              <w:rPr>
                <w:rFonts w:hint="eastAsia" w:ascii="楷体" w:hAnsi="楷体" w:eastAsia="楷体" w:cs="楷体"/>
                <w:color w:val="auto"/>
                <w:spacing w:val="-3"/>
                <w:sz w:val="24"/>
                <w:szCs w:val="24"/>
                <w:highlight w:val="none"/>
                <w:lang w:val="en-US" w:eastAsia="zh-CN"/>
              </w:rPr>
              <w:t>分成比例</w:t>
            </w:r>
            <w:r>
              <w:rPr>
                <w:rFonts w:hint="eastAsia" w:ascii="楷体" w:hAnsi="楷体" w:eastAsia="楷体" w:cs="楷体"/>
                <w:color w:val="auto"/>
                <w:spacing w:val="-6"/>
                <w:sz w:val="24"/>
                <w:szCs w:val="24"/>
                <w:highlight w:val="none"/>
                <w:lang w:val="en-US" w:eastAsia="zh-CN"/>
              </w:rPr>
              <w:t>K</w:t>
            </w:r>
            <w:r>
              <w:rPr>
                <w:rFonts w:hint="eastAsia" w:ascii="楷体" w:hAnsi="楷体" w:eastAsia="楷体" w:cs="楷体"/>
                <w:color w:val="auto"/>
                <w:spacing w:val="-6"/>
                <w:sz w:val="32"/>
                <w:szCs w:val="32"/>
                <w:highlight w:val="none"/>
                <w:vertAlign w:val="subscript"/>
                <w:lang w:val="en-US" w:eastAsia="zh-CN"/>
              </w:rPr>
              <w:t>绿</w:t>
            </w:r>
            <w:r>
              <w:rPr>
                <w:rFonts w:hint="eastAsia" w:cs="楷体"/>
                <w:color w:val="auto"/>
                <w:spacing w:val="-6"/>
                <w:sz w:val="32"/>
                <w:szCs w:val="32"/>
                <w:highlight w:val="none"/>
                <w:vertAlign w:val="subscript"/>
                <w:lang w:val="en-US" w:eastAsia="zh-CN"/>
              </w:rPr>
              <w:t>担</w:t>
            </w:r>
          </w:p>
        </w:tc>
        <w:tc>
          <w:tcPr>
            <w:tcW w:w="2179" w:type="dxa"/>
            <w:vAlign w:val="center"/>
          </w:tcPr>
          <w:p w14:paraId="10E45B07">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eastAsia="zh-CN"/>
              </w:rPr>
              <w:t>无</w:t>
            </w:r>
          </w:p>
        </w:tc>
        <w:tc>
          <w:tcPr>
            <w:tcW w:w="2136" w:type="dxa"/>
            <w:vAlign w:val="center"/>
          </w:tcPr>
          <w:p w14:paraId="1C1CFCD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楷体" w:hAnsi="楷体" w:eastAsia="楷体" w:cs="楷体"/>
                <w:snapToGrid w:val="0"/>
                <w:color w:val="auto"/>
                <w:kern w:val="0"/>
                <w:sz w:val="24"/>
                <w:szCs w:val="24"/>
                <w:highlight w:val="none"/>
                <w:lang w:val="en-US" w:eastAsia="en-US" w:bidi="ar-SA"/>
              </w:rPr>
            </w:pPr>
            <w:r>
              <w:rPr>
                <w:rFonts w:hint="eastAsia" w:ascii="楷体" w:hAnsi="楷体" w:eastAsia="楷体" w:cs="楷体"/>
                <w:color w:val="auto"/>
                <w:spacing w:val="3"/>
                <w:sz w:val="19"/>
                <w:szCs w:val="19"/>
                <w:highlight w:val="none"/>
              </w:rPr>
              <w:t>0≤</w:t>
            </w:r>
            <w:r>
              <w:rPr>
                <w:rFonts w:hint="eastAsia" w:ascii="楷体" w:hAnsi="楷体" w:eastAsia="楷体" w:cs="楷体"/>
                <w:color w:val="auto"/>
                <w:spacing w:val="3"/>
                <w:sz w:val="19"/>
                <w:szCs w:val="19"/>
                <w:highlight w:val="none"/>
                <w:lang w:val="en-US" w:eastAsia="zh-CN"/>
              </w:rPr>
              <w:t>K</w:t>
            </w:r>
            <w:r>
              <w:rPr>
                <w:rFonts w:hint="eastAsia" w:ascii="楷体" w:hAnsi="楷体" w:eastAsia="楷体" w:cs="楷体"/>
                <w:color w:val="auto"/>
                <w:spacing w:val="-6"/>
                <w:sz w:val="32"/>
                <w:szCs w:val="32"/>
                <w:highlight w:val="none"/>
                <w:vertAlign w:val="subscript"/>
                <w:lang w:val="en-US" w:eastAsia="zh-CN"/>
              </w:rPr>
              <w:t>绿担</w:t>
            </w:r>
            <w:r>
              <w:rPr>
                <w:rFonts w:hint="eastAsia" w:ascii="楷体" w:hAnsi="楷体" w:eastAsia="楷体" w:cs="楷体"/>
                <w:color w:val="auto"/>
                <w:spacing w:val="3"/>
                <w:sz w:val="19"/>
                <w:szCs w:val="19"/>
                <w:highlight w:val="none"/>
              </w:rPr>
              <w:t>≤1</w:t>
            </w:r>
          </w:p>
        </w:tc>
      </w:tr>
      <w:tr w14:paraId="1CCC8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7" w:hRule="exact"/>
          <w:jc w:val="center"/>
        </w:trPr>
        <w:tc>
          <w:tcPr>
            <w:tcW w:w="1867" w:type="dxa"/>
            <w:vMerge w:val="continue"/>
            <w:vAlign w:val="center"/>
          </w:tcPr>
          <w:p w14:paraId="4CA4E077">
            <w:pPr>
              <w:pStyle w:val="15"/>
              <w:keepNext w:val="0"/>
              <w:keepLines w:val="0"/>
              <w:pageBreakBefore w:val="0"/>
              <w:widowControl/>
              <w:kinsoku w:val="0"/>
              <w:wordWrap/>
              <w:overflowPunct/>
              <w:topLinePunct w:val="0"/>
              <w:autoSpaceDE w:val="0"/>
              <w:autoSpaceDN w:val="0"/>
              <w:bidi w:val="0"/>
              <w:adjustRightInd w:val="0"/>
              <w:snapToGrid w:val="0"/>
              <w:spacing w:line="227" w:lineRule="auto"/>
              <w:ind w:left="0" w:right="0" w:firstLine="0"/>
              <w:jc w:val="center"/>
              <w:textAlignment w:val="baseline"/>
              <w:rPr>
                <w:rFonts w:hint="eastAsia" w:ascii="楷体" w:hAnsi="楷体" w:eastAsia="楷体" w:cs="楷体"/>
                <w:b/>
                <w:bCs/>
                <w:color w:val="auto"/>
                <w:spacing w:val="0"/>
                <w:sz w:val="24"/>
                <w:szCs w:val="24"/>
                <w:highlight w:val="none"/>
              </w:rPr>
            </w:pPr>
          </w:p>
        </w:tc>
        <w:tc>
          <w:tcPr>
            <w:tcW w:w="3695" w:type="dxa"/>
            <w:gridSpan w:val="3"/>
            <w:vAlign w:val="center"/>
          </w:tcPr>
          <w:p w14:paraId="437D89E7">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楷体" w:hAnsi="楷体" w:eastAsia="楷体" w:cs="楷体"/>
                <w:color w:val="auto"/>
                <w:spacing w:val="-1"/>
                <w:sz w:val="24"/>
                <w:szCs w:val="24"/>
                <w:highlight w:val="none"/>
                <w:lang w:val="en-US" w:eastAsia="zh-CN"/>
              </w:rPr>
            </w:pPr>
            <w:r>
              <w:rPr>
                <w:rFonts w:hint="eastAsia" w:ascii="楷体" w:hAnsi="楷体" w:eastAsia="楷体" w:cs="楷体"/>
                <w:color w:val="auto"/>
                <w:spacing w:val="-1"/>
                <w:sz w:val="24"/>
                <w:szCs w:val="24"/>
                <w:highlight w:val="none"/>
                <w:lang w:val="en-US" w:eastAsia="zh-CN"/>
              </w:rPr>
              <w:t>绿色电力零售合同</w:t>
            </w:r>
          </w:p>
          <w:p w14:paraId="46DB8058">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楷体" w:hAnsi="楷体" w:eastAsia="楷体" w:cs="楷体"/>
                <w:color w:val="auto"/>
                <w:spacing w:val="-6"/>
                <w:sz w:val="32"/>
                <w:szCs w:val="32"/>
                <w:highlight w:val="none"/>
                <w:vertAlign w:val="subscript"/>
                <w:lang w:val="en-US" w:eastAsia="zh-CN"/>
              </w:rPr>
            </w:pPr>
            <w:r>
              <w:rPr>
                <w:rFonts w:hint="eastAsia" w:cs="楷体"/>
                <w:color w:val="auto"/>
                <w:spacing w:val="-1"/>
                <w:sz w:val="24"/>
                <w:szCs w:val="24"/>
                <w:highlight w:val="none"/>
                <w:lang w:val="en-US" w:eastAsia="zh-CN"/>
              </w:rPr>
              <w:t>封顶</w:t>
            </w:r>
            <w:r>
              <w:rPr>
                <w:rFonts w:hint="eastAsia" w:ascii="楷体" w:hAnsi="楷体" w:eastAsia="楷体" w:cs="楷体"/>
                <w:color w:val="auto"/>
                <w:spacing w:val="-1"/>
                <w:sz w:val="24"/>
                <w:szCs w:val="24"/>
                <w:highlight w:val="none"/>
                <w:lang w:val="en-US" w:eastAsia="zh-CN"/>
              </w:rPr>
              <w:t>总价</w:t>
            </w:r>
            <w:r>
              <w:rPr>
                <w:rFonts w:hint="eastAsia" w:ascii="楷体" w:hAnsi="楷体" w:eastAsia="楷体" w:cs="楷体"/>
                <w:color w:val="auto"/>
                <w:spacing w:val="-6"/>
                <w:sz w:val="24"/>
                <w:szCs w:val="24"/>
                <w:highlight w:val="none"/>
                <w:lang w:val="en-US" w:eastAsia="zh-CN"/>
              </w:rPr>
              <w:t>P</w:t>
            </w:r>
            <w:r>
              <w:rPr>
                <w:rFonts w:hint="eastAsia" w:ascii="楷体" w:hAnsi="楷体" w:eastAsia="楷体" w:cs="楷体"/>
                <w:color w:val="auto"/>
                <w:spacing w:val="-6"/>
                <w:sz w:val="32"/>
                <w:szCs w:val="32"/>
                <w:highlight w:val="none"/>
                <w:vertAlign w:val="subscript"/>
                <w:lang w:val="en-US" w:eastAsia="zh-CN"/>
              </w:rPr>
              <w:t>绿</w:t>
            </w:r>
            <w:r>
              <w:rPr>
                <w:rFonts w:hint="eastAsia" w:cs="楷体"/>
                <w:color w:val="auto"/>
                <w:spacing w:val="-6"/>
                <w:sz w:val="32"/>
                <w:szCs w:val="32"/>
                <w:highlight w:val="none"/>
                <w:vertAlign w:val="subscript"/>
                <w:lang w:val="en-US" w:eastAsia="zh-CN"/>
              </w:rPr>
              <w:t>封</w:t>
            </w:r>
            <w:r>
              <w:rPr>
                <w:rFonts w:hint="eastAsia" w:ascii="楷体" w:hAnsi="楷体" w:eastAsia="楷体" w:cs="楷体"/>
                <w:color w:val="auto"/>
                <w:spacing w:val="-6"/>
                <w:sz w:val="32"/>
                <w:szCs w:val="32"/>
                <w:highlight w:val="none"/>
                <w:vertAlign w:val="subscript"/>
                <w:lang w:val="en-US" w:eastAsia="zh-CN"/>
              </w:rPr>
              <w:t>总</w:t>
            </w:r>
          </w:p>
        </w:tc>
        <w:tc>
          <w:tcPr>
            <w:tcW w:w="2179" w:type="dxa"/>
            <w:vAlign w:val="center"/>
          </w:tcPr>
          <w:p w14:paraId="7A6E5944">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default"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411.40</w:t>
            </w:r>
          </w:p>
        </w:tc>
        <w:tc>
          <w:tcPr>
            <w:tcW w:w="2136" w:type="dxa"/>
            <w:vAlign w:val="center"/>
          </w:tcPr>
          <w:p w14:paraId="66BEEDDB">
            <w:pPr>
              <w:pStyle w:val="15"/>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cs="楷体"/>
                <w:snapToGrid w:val="0"/>
                <w:color w:val="auto"/>
                <w:spacing w:val="-6"/>
                <w:kern w:val="0"/>
                <w:sz w:val="19"/>
                <w:szCs w:val="19"/>
                <w:highlight w:val="none"/>
                <w:lang w:val="en-US" w:eastAsia="zh-CN" w:bidi="ar-SA"/>
              </w:rPr>
            </w:pPr>
            <w:r>
              <w:rPr>
                <w:rFonts w:hint="eastAsia" w:ascii="楷体" w:hAnsi="楷体" w:eastAsia="楷体" w:cs="楷体"/>
                <w:color w:val="auto"/>
                <w:spacing w:val="-6"/>
                <w:sz w:val="19"/>
                <w:szCs w:val="19"/>
                <w:highlight w:val="none"/>
                <w:lang w:val="en-US" w:eastAsia="zh-CN"/>
              </w:rPr>
              <w:t>P</w:t>
            </w:r>
            <w:r>
              <w:rPr>
                <w:rFonts w:hint="eastAsia" w:ascii="楷体" w:hAnsi="楷体" w:eastAsia="楷体" w:cs="楷体"/>
                <w:snapToGrid w:val="0"/>
                <w:color w:val="auto"/>
                <w:spacing w:val="-6"/>
                <w:kern w:val="0"/>
                <w:sz w:val="32"/>
                <w:szCs w:val="32"/>
                <w:highlight w:val="none"/>
                <w:vertAlign w:val="subscript"/>
                <w:lang w:val="en-US" w:eastAsia="zh-CN" w:bidi="ar-SA"/>
              </w:rPr>
              <w:t>绿</w:t>
            </w:r>
            <w:r>
              <w:rPr>
                <w:rFonts w:hint="eastAsia" w:cs="楷体"/>
                <w:snapToGrid w:val="0"/>
                <w:color w:val="auto"/>
                <w:spacing w:val="-6"/>
                <w:kern w:val="0"/>
                <w:sz w:val="32"/>
                <w:szCs w:val="32"/>
                <w:highlight w:val="none"/>
                <w:vertAlign w:val="subscript"/>
                <w:lang w:val="en-US" w:eastAsia="zh-CN" w:bidi="ar-SA"/>
              </w:rPr>
              <w:t>封</w:t>
            </w:r>
            <w:r>
              <w:rPr>
                <w:rFonts w:hint="eastAsia" w:ascii="楷体" w:hAnsi="楷体" w:eastAsia="楷体" w:cs="楷体"/>
                <w:snapToGrid w:val="0"/>
                <w:color w:val="auto"/>
                <w:spacing w:val="-6"/>
                <w:kern w:val="0"/>
                <w:sz w:val="32"/>
                <w:szCs w:val="32"/>
                <w:highlight w:val="none"/>
                <w:vertAlign w:val="subscript"/>
                <w:lang w:val="en-US" w:eastAsia="zh-CN" w:bidi="ar-SA"/>
              </w:rPr>
              <w:t>总</w:t>
            </w:r>
            <w:r>
              <w:rPr>
                <w:rFonts w:hint="eastAsia" w:cs="楷体"/>
                <w:snapToGrid w:val="0"/>
                <w:color w:val="auto"/>
                <w:spacing w:val="-6"/>
                <w:kern w:val="0"/>
                <w:sz w:val="19"/>
                <w:szCs w:val="19"/>
                <w:highlight w:val="none"/>
                <w:lang w:val="en-US" w:eastAsia="zh-CN" w:bidi="ar-SA"/>
              </w:rPr>
              <w:t>＝电能量价格＋环境价值</w:t>
            </w:r>
          </w:p>
          <w:p w14:paraId="539228AD">
            <w:pPr>
              <w:pStyle w:val="15"/>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楷体" w:hAnsi="楷体" w:eastAsia="楷体" w:cs="楷体"/>
                <w:color w:val="auto"/>
                <w:spacing w:val="-4"/>
                <w:sz w:val="24"/>
                <w:szCs w:val="24"/>
                <w:highlight w:val="none"/>
              </w:rPr>
            </w:pPr>
            <w:r>
              <w:rPr>
                <w:rFonts w:hint="eastAsia" w:ascii="楷体" w:hAnsi="楷体" w:eastAsia="楷体" w:cs="楷体"/>
                <w:color w:val="auto"/>
                <w:spacing w:val="-6"/>
                <w:sz w:val="19"/>
                <w:szCs w:val="19"/>
                <w:highlight w:val="none"/>
                <w:lang w:val="en-US" w:eastAsia="zh-CN"/>
              </w:rPr>
              <w:t>P</w:t>
            </w:r>
            <w:r>
              <w:rPr>
                <w:rFonts w:hint="eastAsia" w:ascii="楷体" w:hAnsi="楷体" w:eastAsia="楷体" w:cs="楷体"/>
                <w:snapToGrid w:val="0"/>
                <w:color w:val="auto"/>
                <w:spacing w:val="-6"/>
                <w:kern w:val="0"/>
                <w:sz w:val="32"/>
                <w:szCs w:val="32"/>
                <w:highlight w:val="none"/>
                <w:vertAlign w:val="subscript"/>
                <w:lang w:val="en-US" w:eastAsia="zh-CN" w:bidi="ar-SA"/>
              </w:rPr>
              <w:t>绿</w:t>
            </w:r>
            <w:r>
              <w:rPr>
                <w:rFonts w:hint="eastAsia" w:cs="楷体"/>
                <w:snapToGrid w:val="0"/>
                <w:color w:val="auto"/>
                <w:spacing w:val="-6"/>
                <w:kern w:val="0"/>
                <w:sz w:val="32"/>
                <w:szCs w:val="32"/>
                <w:highlight w:val="none"/>
                <w:vertAlign w:val="subscript"/>
                <w:lang w:val="en-US" w:eastAsia="zh-CN" w:bidi="ar-SA"/>
              </w:rPr>
              <w:t>封</w:t>
            </w:r>
            <w:r>
              <w:rPr>
                <w:rFonts w:hint="eastAsia" w:ascii="楷体" w:hAnsi="楷体" w:eastAsia="楷体" w:cs="楷体"/>
                <w:snapToGrid w:val="0"/>
                <w:color w:val="auto"/>
                <w:spacing w:val="-6"/>
                <w:kern w:val="0"/>
                <w:sz w:val="32"/>
                <w:szCs w:val="32"/>
                <w:highlight w:val="none"/>
                <w:vertAlign w:val="subscript"/>
                <w:lang w:val="en-US" w:eastAsia="zh-CN" w:bidi="ar-SA"/>
              </w:rPr>
              <w:t>总</w:t>
            </w:r>
            <w:r>
              <w:rPr>
                <w:rFonts w:hint="eastAsia" w:ascii="楷体" w:hAnsi="楷体" w:eastAsia="楷体" w:cs="楷体"/>
                <w:snapToGrid w:val="0"/>
                <w:color w:val="auto"/>
                <w:spacing w:val="3"/>
                <w:kern w:val="0"/>
                <w:sz w:val="19"/>
                <w:szCs w:val="19"/>
                <w:highlight w:val="none"/>
                <w:lang w:val="en-US" w:eastAsia="zh-CN" w:bidi="ar-SA"/>
              </w:rPr>
              <w:t>≥</w:t>
            </w:r>
            <w:r>
              <w:rPr>
                <w:rFonts w:hint="eastAsia" w:ascii="楷体" w:hAnsi="楷体" w:eastAsia="楷体" w:cs="楷体"/>
                <w:color w:val="auto"/>
                <w:spacing w:val="-6"/>
                <w:sz w:val="19"/>
                <w:szCs w:val="19"/>
                <w:highlight w:val="none"/>
                <w:lang w:val="en-US" w:eastAsia="zh-CN"/>
              </w:rPr>
              <w:t>P</w:t>
            </w:r>
            <w:r>
              <w:rPr>
                <w:rFonts w:hint="eastAsia" w:ascii="楷体" w:hAnsi="楷体" w:eastAsia="楷体" w:cs="楷体"/>
                <w:color w:val="auto"/>
                <w:spacing w:val="-6"/>
                <w:sz w:val="32"/>
                <w:szCs w:val="32"/>
                <w:highlight w:val="none"/>
                <w:vertAlign w:val="subscript"/>
                <w:lang w:val="en-US" w:eastAsia="zh-CN"/>
              </w:rPr>
              <w:t>绿</w:t>
            </w:r>
          </w:p>
        </w:tc>
      </w:tr>
      <w:tr w14:paraId="3DCBC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867" w:type="dxa"/>
            <w:vMerge w:val="restart"/>
            <w:vAlign w:val="center"/>
          </w:tcPr>
          <w:p w14:paraId="29194EC7">
            <w:pPr>
              <w:pStyle w:val="15"/>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cs="楷体"/>
                <w:b/>
                <w:bCs/>
                <w:color w:val="auto"/>
                <w:spacing w:val="0"/>
                <w:sz w:val="24"/>
                <w:szCs w:val="24"/>
                <w:highlight w:val="none"/>
                <w:lang w:val="en-US" w:eastAsia="zh-CN"/>
              </w:rPr>
            </w:pPr>
            <w:r>
              <w:rPr>
                <w:rFonts w:hint="eastAsia" w:cs="楷体"/>
                <w:b/>
                <w:bCs/>
                <w:color w:val="auto"/>
                <w:spacing w:val="0"/>
                <w:sz w:val="24"/>
                <w:szCs w:val="24"/>
                <w:highlight w:val="none"/>
                <w:lang w:val="en-US" w:eastAsia="zh-CN"/>
              </w:rPr>
              <w:t>1.3</w:t>
            </w:r>
            <w:r>
              <w:rPr>
                <w:rFonts w:hint="eastAsia" w:ascii="楷体" w:hAnsi="楷体" w:eastAsia="楷体" w:cs="楷体"/>
                <w:b/>
                <w:bCs/>
                <w:color w:val="auto"/>
                <w:spacing w:val="0"/>
                <w:sz w:val="24"/>
                <w:szCs w:val="24"/>
                <w:highlight w:val="none"/>
              </w:rPr>
              <w:t>偏差</w:t>
            </w:r>
            <w:r>
              <w:rPr>
                <w:rFonts w:hint="eastAsia" w:cs="楷体"/>
                <w:b/>
                <w:bCs/>
                <w:color w:val="auto"/>
                <w:spacing w:val="0"/>
                <w:sz w:val="24"/>
                <w:szCs w:val="24"/>
                <w:highlight w:val="none"/>
                <w:lang w:val="en-US" w:eastAsia="zh-CN"/>
              </w:rPr>
              <w:t>电量电价</w:t>
            </w:r>
          </w:p>
          <w:p w14:paraId="6ECD58D2">
            <w:pPr>
              <w:pStyle w:val="15"/>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cs="楷体"/>
                <w:b/>
                <w:bCs/>
                <w:color w:val="auto"/>
                <w:spacing w:val="0"/>
                <w:sz w:val="24"/>
                <w:szCs w:val="24"/>
                <w:highlight w:val="none"/>
                <w:lang w:val="en-US" w:eastAsia="zh-CN"/>
              </w:rPr>
            </w:pPr>
            <w:r>
              <w:rPr>
                <w:rFonts w:hint="eastAsia" w:cs="楷体"/>
                <w:b/>
                <w:bCs/>
                <w:color w:val="auto"/>
                <w:spacing w:val="0"/>
                <w:sz w:val="24"/>
                <w:szCs w:val="24"/>
                <w:highlight w:val="none"/>
                <w:lang w:eastAsia="zh-CN"/>
              </w:rPr>
              <w:t>（</w:t>
            </w:r>
            <w:r>
              <w:rPr>
                <w:rFonts w:hint="eastAsia" w:cs="楷体"/>
                <w:b/>
                <w:bCs/>
                <w:color w:val="auto"/>
                <w:spacing w:val="0"/>
                <w:sz w:val="24"/>
                <w:szCs w:val="24"/>
                <w:highlight w:val="none"/>
                <w:lang w:val="en-US" w:eastAsia="zh-CN"/>
              </w:rPr>
              <w:t>必填</w:t>
            </w:r>
            <w:r>
              <w:rPr>
                <w:rFonts w:hint="eastAsia" w:cs="楷体"/>
                <w:b/>
                <w:bCs/>
                <w:color w:val="auto"/>
                <w:spacing w:val="0"/>
                <w:sz w:val="24"/>
                <w:szCs w:val="24"/>
                <w:highlight w:val="none"/>
                <w:lang w:eastAsia="zh-CN"/>
              </w:rPr>
              <w:t>）</w:t>
            </w:r>
          </w:p>
        </w:tc>
        <w:tc>
          <w:tcPr>
            <w:tcW w:w="3695" w:type="dxa"/>
            <w:gridSpan w:val="3"/>
            <w:vAlign w:val="center"/>
          </w:tcPr>
          <w:p w14:paraId="04837774">
            <w:pPr>
              <w:pStyle w:val="15"/>
              <w:keepNext w:val="0"/>
              <w:keepLines w:val="0"/>
              <w:pageBreakBefore w:val="0"/>
              <w:widowControl/>
              <w:kinsoku w:val="0"/>
              <w:wordWrap/>
              <w:overflowPunct/>
              <w:topLinePunct w:val="0"/>
              <w:autoSpaceDE w:val="0"/>
              <w:autoSpaceDN w:val="0"/>
              <w:bidi w:val="0"/>
              <w:adjustRightInd w:val="0"/>
              <w:snapToGrid w:val="0"/>
              <w:spacing w:line="230" w:lineRule="auto"/>
              <w:ind w:left="0" w:leftChars="0" w:right="0" w:rightChars="0" w:firstLine="0" w:firstLineChars="0"/>
              <w:jc w:val="center"/>
              <w:textAlignment w:val="baseline"/>
              <w:rPr>
                <w:rFonts w:hint="eastAsia" w:ascii="楷体" w:hAnsi="楷体" w:eastAsia="楷体" w:cs="楷体"/>
                <w:color w:val="auto"/>
                <w:spacing w:val="-4"/>
                <w:sz w:val="24"/>
                <w:szCs w:val="24"/>
                <w:highlight w:val="none"/>
                <w:lang w:val="en-US" w:eastAsia="zh-CN"/>
              </w:rPr>
            </w:pPr>
            <w:r>
              <w:rPr>
                <w:rFonts w:hint="eastAsia" w:ascii="楷体" w:hAnsi="楷体" w:eastAsia="楷体" w:cs="楷体"/>
                <w:color w:val="auto"/>
                <w:spacing w:val="-4"/>
                <w:sz w:val="24"/>
                <w:szCs w:val="24"/>
                <w:highlight w:val="none"/>
                <w:lang w:val="en-US" w:eastAsia="zh-CN"/>
              </w:rPr>
              <w:t>售电公司全担偏差</w:t>
            </w:r>
            <w:r>
              <w:rPr>
                <w:rFonts w:hint="eastAsia" w:cs="楷体"/>
                <w:color w:val="auto"/>
                <w:spacing w:val="-4"/>
                <w:sz w:val="24"/>
                <w:szCs w:val="24"/>
                <w:highlight w:val="none"/>
                <w:lang w:val="en-US" w:eastAsia="zh-CN"/>
              </w:rPr>
              <w:t>责任</w:t>
            </w:r>
          </w:p>
        </w:tc>
        <w:tc>
          <w:tcPr>
            <w:tcW w:w="2179" w:type="dxa"/>
            <w:vAlign w:val="center"/>
          </w:tcPr>
          <w:p w14:paraId="64C735DA">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是</w:t>
            </w:r>
          </w:p>
        </w:tc>
        <w:tc>
          <w:tcPr>
            <w:tcW w:w="2136" w:type="dxa"/>
            <w:vAlign w:val="center"/>
          </w:tcPr>
          <w:p w14:paraId="065D090A">
            <w:pPr>
              <w:keepNext w:val="0"/>
              <w:keepLines w:val="0"/>
              <w:pageBreakBefore w:val="0"/>
              <w:widowControl/>
              <w:tabs>
                <w:tab w:val="left" w:pos="730"/>
              </w:tabs>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楷体" w:hAnsi="楷体" w:eastAsia="楷体" w:cs="楷体"/>
                <w:color w:val="auto"/>
                <w:spacing w:val="3"/>
                <w:sz w:val="19"/>
                <w:szCs w:val="19"/>
                <w:highlight w:val="none"/>
              </w:rPr>
            </w:pPr>
            <w:r>
              <w:rPr>
                <w:rFonts w:hint="eastAsia" w:ascii="楷体" w:hAnsi="楷体" w:eastAsia="楷体" w:cs="楷体"/>
                <w:color w:val="auto"/>
                <w:spacing w:val="3"/>
                <w:sz w:val="19"/>
                <w:szCs w:val="19"/>
                <w:highlight w:val="none"/>
                <w:lang w:val="en-US" w:eastAsia="zh-CN"/>
              </w:rPr>
              <w:t>选择全担填</w:t>
            </w:r>
            <w:r>
              <w:rPr>
                <w:rFonts w:hint="eastAsia" w:ascii="楷体" w:hAnsi="楷体" w:eastAsia="楷体" w:cs="楷体"/>
                <w:color w:val="auto"/>
                <w:spacing w:val="3"/>
                <w:sz w:val="19"/>
                <w:szCs w:val="19"/>
                <w:highlight w:val="none"/>
              </w:rPr>
              <w:t>“是”</w:t>
            </w:r>
          </w:p>
          <w:p w14:paraId="73E75E74">
            <w:pPr>
              <w:keepNext w:val="0"/>
              <w:keepLines w:val="0"/>
              <w:pageBreakBefore w:val="0"/>
              <w:widowControl/>
              <w:tabs>
                <w:tab w:val="left" w:pos="730"/>
              </w:tabs>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楷体" w:hAnsi="楷体" w:eastAsia="楷体" w:cs="楷体"/>
                <w:color w:val="auto"/>
                <w:sz w:val="24"/>
                <w:szCs w:val="24"/>
                <w:highlight w:val="none"/>
                <w:lang w:val="en-US" w:eastAsia="zh-CN"/>
              </w:rPr>
            </w:pPr>
            <w:r>
              <w:rPr>
                <w:rFonts w:hint="eastAsia" w:ascii="楷体" w:hAnsi="楷体" w:eastAsia="楷体" w:cs="楷体"/>
                <w:color w:val="auto"/>
                <w:spacing w:val="3"/>
                <w:sz w:val="19"/>
                <w:szCs w:val="19"/>
                <w:highlight w:val="none"/>
                <w:lang w:val="en-US" w:eastAsia="zh-CN"/>
              </w:rPr>
              <w:t>选择共担填“否”</w:t>
            </w:r>
          </w:p>
        </w:tc>
      </w:tr>
      <w:tr w14:paraId="18443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867" w:type="dxa"/>
            <w:vMerge w:val="continue"/>
            <w:vAlign w:val="center"/>
          </w:tcPr>
          <w:p w14:paraId="0F0C7E5C">
            <w:pPr>
              <w:pStyle w:val="15"/>
              <w:keepNext w:val="0"/>
              <w:keepLines w:val="0"/>
              <w:pageBreakBefore w:val="0"/>
              <w:widowControl/>
              <w:kinsoku w:val="0"/>
              <w:wordWrap/>
              <w:overflowPunct/>
              <w:topLinePunct w:val="0"/>
              <w:autoSpaceDE w:val="0"/>
              <w:autoSpaceDN w:val="0"/>
              <w:bidi w:val="0"/>
              <w:adjustRightInd w:val="0"/>
              <w:snapToGrid w:val="0"/>
              <w:spacing w:line="203" w:lineRule="auto"/>
              <w:ind w:left="0" w:right="0" w:firstLine="0"/>
              <w:jc w:val="center"/>
              <w:textAlignment w:val="baseline"/>
              <w:rPr>
                <w:rFonts w:hint="eastAsia" w:ascii="楷体" w:hAnsi="楷体" w:eastAsia="楷体" w:cs="楷体"/>
                <w:b/>
                <w:bCs/>
                <w:color w:val="auto"/>
                <w:spacing w:val="0"/>
                <w:sz w:val="24"/>
                <w:szCs w:val="24"/>
                <w:highlight w:val="none"/>
              </w:rPr>
            </w:pPr>
          </w:p>
        </w:tc>
        <w:tc>
          <w:tcPr>
            <w:tcW w:w="1535" w:type="dxa"/>
            <w:vMerge w:val="restart"/>
            <w:vAlign w:val="center"/>
          </w:tcPr>
          <w:p w14:paraId="2BDF6AAD">
            <w:pPr>
              <w:pStyle w:val="15"/>
              <w:keepNext w:val="0"/>
              <w:keepLines w:val="0"/>
              <w:pageBreakBefore w:val="0"/>
              <w:widowControl/>
              <w:kinsoku w:val="0"/>
              <w:wordWrap/>
              <w:overflowPunct/>
              <w:topLinePunct w:val="0"/>
              <w:autoSpaceDE w:val="0"/>
              <w:autoSpaceDN w:val="0"/>
              <w:bidi w:val="0"/>
              <w:adjustRightInd w:val="0"/>
              <w:snapToGrid w:val="0"/>
              <w:spacing w:line="230" w:lineRule="auto"/>
              <w:ind w:left="0" w:leftChars="0" w:right="0" w:rightChars="0" w:firstLine="0" w:firstLineChars="0"/>
              <w:jc w:val="center"/>
              <w:textAlignment w:val="baseline"/>
              <w:rPr>
                <w:rFonts w:hint="default" w:cs="楷体"/>
                <w:color w:val="auto"/>
                <w:spacing w:val="-4"/>
                <w:sz w:val="24"/>
                <w:szCs w:val="24"/>
                <w:highlight w:val="none"/>
                <w:lang w:val="en-US" w:eastAsia="zh-CN"/>
              </w:rPr>
            </w:pPr>
            <w:r>
              <w:rPr>
                <w:rFonts w:hint="eastAsia" w:cs="楷体"/>
                <w:color w:val="auto"/>
                <w:spacing w:val="-4"/>
                <w:sz w:val="24"/>
                <w:szCs w:val="24"/>
                <w:highlight w:val="none"/>
                <w:lang w:val="en-US" w:eastAsia="zh-CN"/>
              </w:rPr>
              <w:t>零售用户共担偏差责任</w:t>
            </w:r>
          </w:p>
        </w:tc>
        <w:tc>
          <w:tcPr>
            <w:tcW w:w="2160" w:type="dxa"/>
            <w:gridSpan w:val="2"/>
            <w:vAlign w:val="center"/>
          </w:tcPr>
          <w:p w14:paraId="6CFDBDA4">
            <w:pPr>
              <w:pStyle w:val="15"/>
              <w:keepNext w:val="0"/>
              <w:keepLines w:val="0"/>
              <w:pageBreakBefore w:val="0"/>
              <w:widowControl/>
              <w:kinsoku w:val="0"/>
              <w:wordWrap/>
              <w:overflowPunct/>
              <w:topLinePunct w:val="0"/>
              <w:autoSpaceDE w:val="0"/>
              <w:autoSpaceDN w:val="0"/>
              <w:bidi w:val="0"/>
              <w:adjustRightInd w:val="0"/>
              <w:snapToGrid w:val="0"/>
              <w:spacing w:line="230" w:lineRule="auto"/>
              <w:ind w:left="0" w:leftChars="0" w:right="0" w:rightChars="0" w:firstLine="0" w:firstLineChars="0"/>
              <w:jc w:val="center"/>
              <w:textAlignment w:val="baseline"/>
              <w:rPr>
                <w:rFonts w:hint="eastAsia" w:cs="楷体"/>
                <w:color w:val="auto"/>
                <w:spacing w:val="-4"/>
                <w:sz w:val="24"/>
                <w:szCs w:val="24"/>
                <w:highlight w:val="none"/>
                <w:lang w:val="en-US" w:eastAsia="zh-CN"/>
              </w:rPr>
            </w:pPr>
            <w:r>
              <w:rPr>
                <w:rFonts w:hint="eastAsia" w:cs="楷体"/>
                <w:color w:val="auto"/>
                <w:spacing w:val="-4"/>
                <w:sz w:val="24"/>
                <w:szCs w:val="24"/>
                <w:highlight w:val="none"/>
                <w:lang w:val="en-US" w:eastAsia="zh-CN"/>
              </w:rPr>
              <w:t>偏差共担价格</w:t>
            </w:r>
            <w:r>
              <w:rPr>
                <w:rFonts w:hint="eastAsia" w:ascii="楷体" w:hAnsi="楷体" w:eastAsia="楷体" w:cs="楷体"/>
                <w:color w:val="auto"/>
                <w:spacing w:val="-6"/>
                <w:sz w:val="24"/>
                <w:szCs w:val="24"/>
                <w:highlight w:val="none"/>
                <w:lang w:val="en-US" w:eastAsia="zh-CN"/>
              </w:rPr>
              <w:t>P</w:t>
            </w:r>
            <w:r>
              <w:rPr>
                <w:rFonts w:hint="eastAsia" w:cs="楷体"/>
                <w:color w:val="auto"/>
                <w:spacing w:val="-6"/>
                <w:sz w:val="32"/>
                <w:szCs w:val="32"/>
                <w:highlight w:val="none"/>
                <w:vertAlign w:val="subscript"/>
                <w:lang w:val="en-US" w:eastAsia="zh-CN"/>
              </w:rPr>
              <w:t>共担</w:t>
            </w:r>
          </w:p>
        </w:tc>
        <w:tc>
          <w:tcPr>
            <w:tcW w:w="2179" w:type="dxa"/>
            <w:vAlign w:val="center"/>
          </w:tcPr>
          <w:p w14:paraId="7A6691C8">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无</w:t>
            </w:r>
          </w:p>
        </w:tc>
        <w:tc>
          <w:tcPr>
            <w:tcW w:w="2136" w:type="dxa"/>
            <w:vAlign w:val="center"/>
          </w:tcPr>
          <w:p w14:paraId="27429ED4">
            <w:pPr>
              <w:keepNext w:val="0"/>
              <w:keepLines w:val="0"/>
              <w:pageBreakBefore w:val="0"/>
              <w:widowControl/>
              <w:tabs>
                <w:tab w:val="left" w:pos="730"/>
              </w:tabs>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楷体" w:hAnsi="楷体" w:eastAsia="楷体" w:cs="楷体"/>
                <w:color w:val="auto"/>
                <w:spacing w:val="3"/>
                <w:sz w:val="19"/>
                <w:szCs w:val="19"/>
                <w:highlight w:val="none"/>
                <w:lang w:val="en-US" w:eastAsia="zh-CN"/>
              </w:rPr>
            </w:pPr>
            <w:r>
              <w:rPr>
                <w:rFonts w:hint="eastAsia" w:ascii="楷体" w:hAnsi="楷体" w:eastAsia="楷体" w:cs="楷体"/>
                <w:color w:val="auto"/>
                <w:spacing w:val="3"/>
                <w:sz w:val="19"/>
                <w:szCs w:val="19"/>
                <w:highlight w:val="none"/>
                <w:lang w:val="en-US" w:eastAsia="zh-CN"/>
              </w:rPr>
              <w:t>0</w:t>
            </w:r>
            <w:r>
              <w:rPr>
                <w:rFonts w:hint="eastAsia" w:ascii="楷体" w:hAnsi="楷体" w:eastAsia="楷体" w:cs="楷体"/>
                <w:color w:val="auto"/>
                <w:spacing w:val="3"/>
                <w:sz w:val="19"/>
                <w:szCs w:val="19"/>
                <w:highlight w:val="none"/>
              </w:rPr>
              <w:t>≤</w:t>
            </w:r>
            <w:r>
              <w:rPr>
                <w:rFonts w:hint="eastAsia" w:ascii="楷体" w:hAnsi="楷体" w:eastAsia="楷体" w:cs="楷体"/>
                <w:color w:val="auto"/>
                <w:spacing w:val="-6"/>
                <w:sz w:val="19"/>
                <w:szCs w:val="19"/>
                <w:highlight w:val="none"/>
                <w:lang w:val="en-US" w:eastAsia="zh-CN"/>
              </w:rPr>
              <w:t>P</w:t>
            </w:r>
            <w:r>
              <w:rPr>
                <w:rFonts w:hint="eastAsia" w:ascii="楷体" w:hAnsi="楷体" w:eastAsia="楷体" w:cs="楷体"/>
                <w:color w:val="auto"/>
                <w:spacing w:val="-6"/>
                <w:sz w:val="32"/>
                <w:szCs w:val="32"/>
                <w:highlight w:val="none"/>
                <w:vertAlign w:val="subscript"/>
                <w:lang w:val="en-US" w:eastAsia="zh-CN"/>
              </w:rPr>
              <w:t>共担</w:t>
            </w:r>
            <w:r>
              <w:rPr>
                <w:rFonts w:hint="eastAsia" w:ascii="楷体" w:hAnsi="楷体" w:eastAsia="楷体" w:cs="楷体"/>
                <w:color w:val="auto"/>
                <w:spacing w:val="3"/>
                <w:sz w:val="19"/>
                <w:szCs w:val="19"/>
                <w:highlight w:val="none"/>
              </w:rPr>
              <w:t>≤</w:t>
            </w:r>
            <w:r>
              <w:rPr>
                <w:rFonts w:hint="eastAsia" w:ascii="楷体" w:hAnsi="楷体" w:eastAsia="楷体" w:cs="楷体"/>
                <w:color w:val="auto"/>
                <w:spacing w:val="3"/>
                <w:sz w:val="19"/>
                <w:szCs w:val="19"/>
                <w:highlight w:val="none"/>
                <w:lang w:val="en-US" w:eastAsia="zh-CN"/>
              </w:rPr>
              <w:t>5</w:t>
            </w:r>
          </w:p>
        </w:tc>
      </w:tr>
      <w:tr w14:paraId="7C461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867" w:type="dxa"/>
            <w:vMerge w:val="continue"/>
            <w:vAlign w:val="center"/>
          </w:tcPr>
          <w:p w14:paraId="0ABDDCA4">
            <w:pPr>
              <w:pStyle w:val="15"/>
              <w:keepNext w:val="0"/>
              <w:keepLines w:val="0"/>
              <w:pageBreakBefore w:val="0"/>
              <w:widowControl/>
              <w:kinsoku w:val="0"/>
              <w:wordWrap/>
              <w:overflowPunct/>
              <w:topLinePunct w:val="0"/>
              <w:autoSpaceDE w:val="0"/>
              <w:autoSpaceDN w:val="0"/>
              <w:bidi w:val="0"/>
              <w:adjustRightInd w:val="0"/>
              <w:snapToGrid w:val="0"/>
              <w:spacing w:line="203" w:lineRule="auto"/>
              <w:ind w:left="0" w:right="0" w:firstLine="0"/>
              <w:jc w:val="center"/>
              <w:textAlignment w:val="baseline"/>
              <w:rPr>
                <w:rFonts w:hint="eastAsia" w:ascii="楷体" w:hAnsi="楷体" w:eastAsia="楷体" w:cs="楷体"/>
                <w:b/>
                <w:bCs/>
                <w:color w:val="auto"/>
                <w:spacing w:val="0"/>
                <w:sz w:val="24"/>
                <w:szCs w:val="24"/>
                <w:highlight w:val="none"/>
              </w:rPr>
            </w:pPr>
          </w:p>
        </w:tc>
        <w:tc>
          <w:tcPr>
            <w:tcW w:w="1535" w:type="dxa"/>
            <w:vMerge w:val="continue"/>
            <w:vAlign w:val="center"/>
          </w:tcPr>
          <w:p w14:paraId="6ED26D50">
            <w:pPr>
              <w:pStyle w:val="15"/>
              <w:keepNext w:val="0"/>
              <w:keepLines w:val="0"/>
              <w:pageBreakBefore w:val="0"/>
              <w:widowControl/>
              <w:kinsoku w:val="0"/>
              <w:wordWrap/>
              <w:overflowPunct/>
              <w:topLinePunct w:val="0"/>
              <w:autoSpaceDE w:val="0"/>
              <w:autoSpaceDN w:val="0"/>
              <w:bidi w:val="0"/>
              <w:adjustRightInd w:val="0"/>
              <w:snapToGrid w:val="0"/>
              <w:spacing w:line="230" w:lineRule="auto"/>
              <w:ind w:left="0" w:right="0" w:firstLine="0"/>
              <w:jc w:val="center"/>
              <w:textAlignment w:val="baseline"/>
              <w:rPr>
                <w:rFonts w:hint="default" w:ascii="楷体" w:hAnsi="楷体" w:eastAsia="楷体" w:cs="楷体"/>
                <w:color w:val="auto"/>
                <w:spacing w:val="-4"/>
                <w:sz w:val="24"/>
                <w:szCs w:val="24"/>
                <w:highlight w:val="none"/>
                <w:lang w:val="en-US"/>
              </w:rPr>
            </w:pPr>
          </w:p>
        </w:tc>
        <w:tc>
          <w:tcPr>
            <w:tcW w:w="2160" w:type="dxa"/>
            <w:gridSpan w:val="2"/>
            <w:vAlign w:val="center"/>
          </w:tcPr>
          <w:p w14:paraId="5B89122A">
            <w:pPr>
              <w:pStyle w:val="15"/>
              <w:keepNext w:val="0"/>
              <w:keepLines w:val="0"/>
              <w:pageBreakBefore w:val="0"/>
              <w:widowControl/>
              <w:kinsoku w:val="0"/>
              <w:wordWrap/>
              <w:overflowPunct/>
              <w:topLinePunct w:val="0"/>
              <w:autoSpaceDE w:val="0"/>
              <w:autoSpaceDN w:val="0"/>
              <w:bidi w:val="0"/>
              <w:adjustRightInd w:val="0"/>
              <w:snapToGrid w:val="0"/>
              <w:spacing w:line="230" w:lineRule="auto"/>
              <w:ind w:left="0" w:right="0" w:firstLine="0"/>
              <w:jc w:val="center"/>
              <w:textAlignment w:val="baseline"/>
              <w:rPr>
                <w:rFonts w:hint="eastAsia" w:cs="楷体"/>
                <w:color w:val="auto"/>
                <w:spacing w:val="-4"/>
                <w:sz w:val="24"/>
                <w:szCs w:val="24"/>
                <w:highlight w:val="none"/>
                <w:lang w:val="en-US" w:eastAsia="zh-CN"/>
              </w:rPr>
            </w:pPr>
            <w:r>
              <w:rPr>
                <w:rFonts w:hint="eastAsia" w:cs="楷体"/>
                <w:color w:val="auto"/>
                <w:spacing w:val="-4"/>
                <w:sz w:val="24"/>
                <w:szCs w:val="24"/>
                <w:highlight w:val="none"/>
                <w:lang w:val="en-US" w:eastAsia="zh-CN"/>
              </w:rPr>
              <w:t>偏差允许范围U</w:t>
            </w:r>
          </w:p>
        </w:tc>
        <w:tc>
          <w:tcPr>
            <w:tcW w:w="2179" w:type="dxa"/>
            <w:vAlign w:val="center"/>
          </w:tcPr>
          <w:p w14:paraId="41068797">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无</w:t>
            </w:r>
          </w:p>
        </w:tc>
        <w:tc>
          <w:tcPr>
            <w:tcW w:w="2136" w:type="dxa"/>
            <w:vAlign w:val="center"/>
          </w:tcPr>
          <w:p w14:paraId="5609254F">
            <w:pPr>
              <w:keepNext w:val="0"/>
              <w:keepLines w:val="0"/>
              <w:pageBreakBefore w:val="0"/>
              <w:widowControl/>
              <w:tabs>
                <w:tab w:val="left" w:pos="730"/>
              </w:tabs>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楷体" w:hAnsi="楷体" w:eastAsia="楷体" w:cs="楷体"/>
                <w:color w:val="auto"/>
                <w:spacing w:val="3"/>
                <w:sz w:val="19"/>
                <w:szCs w:val="19"/>
                <w:highlight w:val="none"/>
                <w:lang w:val="en-US" w:eastAsia="zh-CN"/>
              </w:rPr>
            </w:pPr>
            <w:r>
              <w:rPr>
                <w:rFonts w:hint="eastAsia" w:ascii="楷体" w:hAnsi="楷体" w:eastAsia="楷体" w:cs="楷体"/>
                <w:color w:val="auto"/>
                <w:spacing w:val="3"/>
                <w:sz w:val="19"/>
                <w:szCs w:val="19"/>
                <w:highlight w:val="none"/>
                <w:lang w:val="en-US" w:eastAsia="zh-CN"/>
              </w:rPr>
              <w:t>-U%≤偏差率≤U%</w:t>
            </w:r>
          </w:p>
          <w:p w14:paraId="44C00871">
            <w:pPr>
              <w:keepNext w:val="0"/>
              <w:keepLines w:val="0"/>
              <w:pageBreakBefore w:val="0"/>
              <w:widowControl/>
              <w:tabs>
                <w:tab w:val="left" w:pos="730"/>
              </w:tabs>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color w:val="auto"/>
                <w:highlight w:val="none"/>
                <w:lang w:val="en-US" w:eastAsia="zh-CN"/>
              </w:rPr>
            </w:pPr>
            <w:r>
              <w:rPr>
                <w:rFonts w:hint="eastAsia" w:ascii="楷体" w:hAnsi="楷体" w:eastAsia="楷体" w:cs="楷体"/>
                <w:color w:val="auto"/>
                <w:spacing w:val="3"/>
                <w:sz w:val="19"/>
                <w:szCs w:val="19"/>
                <w:highlight w:val="none"/>
                <w:lang w:val="en-US" w:eastAsia="zh-CN"/>
              </w:rPr>
              <w:t>U≥5,（U须填整数）</w:t>
            </w:r>
          </w:p>
        </w:tc>
      </w:tr>
      <w:tr w14:paraId="6E031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exact"/>
          <w:jc w:val="center"/>
        </w:trPr>
        <w:tc>
          <w:tcPr>
            <w:tcW w:w="1867" w:type="dxa"/>
            <w:vAlign w:val="center"/>
          </w:tcPr>
          <w:p w14:paraId="16ACC110">
            <w:pPr>
              <w:pStyle w:val="15"/>
              <w:keepNext w:val="0"/>
              <w:keepLines w:val="0"/>
              <w:pageBreakBefore w:val="0"/>
              <w:widowControl/>
              <w:kinsoku w:val="0"/>
              <w:wordWrap/>
              <w:overflowPunct/>
              <w:topLinePunct w:val="0"/>
              <w:autoSpaceDE w:val="0"/>
              <w:autoSpaceDN w:val="0"/>
              <w:bidi w:val="0"/>
              <w:adjustRightInd w:val="0"/>
              <w:snapToGrid w:val="0"/>
              <w:spacing w:line="203" w:lineRule="auto"/>
              <w:ind w:left="0" w:right="0" w:firstLine="0"/>
              <w:jc w:val="center"/>
              <w:textAlignment w:val="baseline"/>
              <w:rPr>
                <w:rFonts w:hint="eastAsia" w:cs="楷体"/>
                <w:b/>
                <w:bCs/>
                <w:color w:val="auto"/>
                <w:spacing w:val="0"/>
                <w:sz w:val="24"/>
                <w:szCs w:val="24"/>
                <w:highlight w:val="none"/>
                <w:lang w:val="en-US" w:eastAsia="zh-CN"/>
              </w:rPr>
            </w:pPr>
            <w:r>
              <w:rPr>
                <w:rFonts w:hint="eastAsia" w:cs="楷体"/>
                <w:b/>
                <w:bCs/>
                <w:color w:val="auto"/>
                <w:spacing w:val="0"/>
                <w:sz w:val="24"/>
                <w:szCs w:val="24"/>
                <w:highlight w:val="none"/>
                <w:lang w:val="en-US" w:eastAsia="zh-CN"/>
              </w:rPr>
              <w:t>1.4售电公司收益分享</w:t>
            </w:r>
          </w:p>
          <w:p w14:paraId="43514A9B">
            <w:pPr>
              <w:pStyle w:val="15"/>
              <w:keepNext w:val="0"/>
              <w:keepLines w:val="0"/>
              <w:pageBreakBefore w:val="0"/>
              <w:widowControl/>
              <w:kinsoku w:val="0"/>
              <w:wordWrap/>
              <w:overflowPunct/>
              <w:topLinePunct w:val="0"/>
              <w:autoSpaceDE w:val="0"/>
              <w:autoSpaceDN w:val="0"/>
              <w:bidi w:val="0"/>
              <w:adjustRightInd w:val="0"/>
              <w:snapToGrid w:val="0"/>
              <w:spacing w:line="203" w:lineRule="auto"/>
              <w:ind w:left="0" w:right="0" w:firstLine="0"/>
              <w:jc w:val="center"/>
              <w:textAlignment w:val="baseline"/>
              <w:rPr>
                <w:rFonts w:hint="default" w:cs="楷体"/>
                <w:b/>
                <w:bCs/>
                <w:color w:val="auto"/>
                <w:spacing w:val="0"/>
                <w:sz w:val="24"/>
                <w:szCs w:val="24"/>
                <w:highlight w:val="none"/>
                <w:lang w:val="en-US" w:eastAsia="zh-CN"/>
              </w:rPr>
            </w:pPr>
            <w:r>
              <w:rPr>
                <w:rFonts w:hint="eastAsia" w:cs="楷体"/>
                <w:b/>
                <w:bCs/>
                <w:color w:val="auto"/>
                <w:spacing w:val="0"/>
                <w:sz w:val="24"/>
                <w:szCs w:val="24"/>
                <w:highlight w:val="none"/>
                <w:lang w:val="en-US" w:eastAsia="zh-CN"/>
              </w:rPr>
              <w:t>（三选一；必填）</w:t>
            </w:r>
          </w:p>
        </w:tc>
        <w:tc>
          <w:tcPr>
            <w:tcW w:w="3695" w:type="dxa"/>
            <w:gridSpan w:val="3"/>
            <w:vAlign w:val="center"/>
          </w:tcPr>
          <w:p w14:paraId="2B50965F">
            <w:pPr>
              <w:pStyle w:val="15"/>
              <w:keepNext w:val="0"/>
              <w:keepLines w:val="0"/>
              <w:pageBreakBefore w:val="0"/>
              <w:widowControl/>
              <w:kinsoku w:val="0"/>
              <w:wordWrap/>
              <w:overflowPunct/>
              <w:topLinePunct w:val="0"/>
              <w:autoSpaceDE w:val="0"/>
              <w:autoSpaceDN w:val="0"/>
              <w:bidi w:val="0"/>
              <w:adjustRightInd w:val="0"/>
              <w:snapToGrid w:val="0"/>
              <w:spacing w:line="223" w:lineRule="auto"/>
              <w:ind w:left="0" w:leftChars="0" w:right="0" w:rightChars="0" w:firstLine="0" w:firstLineChars="0"/>
              <w:jc w:val="center"/>
              <w:textAlignment w:val="baseline"/>
              <w:rPr>
                <w:rFonts w:hint="default" w:ascii="楷体" w:hAnsi="楷体" w:eastAsia="楷体" w:cs="楷体"/>
                <w:color w:val="auto"/>
                <w:spacing w:val="-4"/>
                <w:sz w:val="24"/>
                <w:szCs w:val="24"/>
                <w:highlight w:val="none"/>
                <w:lang w:val="en-US" w:eastAsia="zh-CN"/>
              </w:rPr>
            </w:pPr>
            <w:r>
              <w:rPr>
                <w:rFonts w:hint="eastAsia" w:cs="楷体"/>
                <w:color w:val="auto"/>
                <w:spacing w:val="-4"/>
                <w:sz w:val="24"/>
                <w:szCs w:val="24"/>
                <w:highlight w:val="none"/>
                <w:lang w:val="en-US" w:eastAsia="zh-CN"/>
              </w:rPr>
              <w:t>售电公司向零售用户分享比例F</w:t>
            </w:r>
            <w:r>
              <w:rPr>
                <w:rFonts w:hint="eastAsia" w:cs="楷体"/>
                <w:color w:val="auto"/>
                <w:spacing w:val="-6"/>
                <w:sz w:val="32"/>
                <w:szCs w:val="32"/>
                <w:highlight w:val="none"/>
                <w:vertAlign w:val="subscript"/>
                <w:lang w:val="en-US" w:eastAsia="zh-CN"/>
              </w:rPr>
              <w:t>分享</w:t>
            </w:r>
          </w:p>
        </w:tc>
        <w:tc>
          <w:tcPr>
            <w:tcW w:w="2179" w:type="dxa"/>
            <w:vAlign w:val="center"/>
          </w:tcPr>
          <w:p w14:paraId="67FA3A79">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default"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100%</w:t>
            </w:r>
          </w:p>
        </w:tc>
        <w:tc>
          <w:tcPr>
            <w:tcW w:w="2136" w:type="dxa"/>
            <w:vAlign w:val="center"/>
          </w:tcPr>
          <w:p w14:paraId="4673CA2C">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楷体" w:hAnsi="楷体" w:eastAsia="楷体" w:cs="楷体"/>
                <w:color w:val="auto"/>
                <w:spacing w:val="3"/>
                <w:kern w:val="2"/>
                <w:sz w:val="19"/>
                <w:szCs w:val="19"/>
                <w:highlight w:val="none"/>
                <w:lang w:val="en-US" w:eastAsia="zh-CN" w:bidi="ar-SA"/>
              </w:rPr>
            </w:pPr>
            <w:r>
              <w:rPr>
                <w:rFonts w:hint="eastAsia" w:ascii="楷体" w:hAnsi="楷体" w:eastAsia="楷体" w:cs="楷体"/>
                <w:color w:val="auto"/>
                <w:spacing w:val="3"/>
                <w:kern w:val="2"/>
                <w:sz w:val="19"/>
                <w:szCs w:val="19"/>
                <w:highlight w:val="none"/>
                <w:lang w:val="en-US" w:eastAsia="zh-CN" w:bidi="ar-SA"/>
              </w:rPr>
              <w:t>在100%/90%/80%中</w:t>
            </w:r>
          </w:p>
          <w:p w14:paraId="7AA2131B">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楷体" w:hAnsi="楷体" w:eastAsia="楷体" w:cs="楷体"/>
                <w:color w:val="auto"/>
                <w:spacing w:val="3"/>
                <w:sz w:val="24"/>
                <w:szCs w:val="24"/>
                <w:highlight w:val="none"/>
                <w:lang w:val="en-US" w:eastAsia="zh-CN"/>
              </w:rPr>
            </w:pPr>
            <w:r>
              <w:rPr>
                <w:rFonts w:hint="eastAsia" w:ascii="楷体" w:hAnsi="楷体" w:eastAsia="楷体" w:cs="楷体"/>
                <w:color w:val="auto"/>
                <w:spacing w:val="3"/>
                <w:kern w:val="2"/>
                <w:sz w:val="19"/>
                <w:szCs w:val="19"/>
                <w:highlight w:val="none"/>
                <w:lang w:val="en-US" w:eastAsia="zh-CN" w:bidi="ar-SA"/>
              </w:rPr>
              <w:t>三选一</w:t>
            </w:r>
          </w:p>
        </w:tc>
      </w:tr>
    </w:tbl>
    <w:p w14:paraId="1D392595">
      <w:pPr>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br w:type="page"/>
      </w:r>
    </w:p>
    <w:tbl>
      <w:tblPr>
        <w:tblStyle w:val="14"/>
        <w:tblpPr w:leftFromText="180" w:rightFromText="180" w:vertAnchor="text" w:horzAnchor="page" w:tblpXSpec="center" w:tblpY="74"/>
        <w:tblOverlap w:val="never"/>
        <w:tblW w:w="1003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6"/>
        <w:gridCol w:w="1236"/>
        <w:gridCol w:w="1242"/>
        <w:gridCol w:w="936"/>
        <w:gridCol w:w="1242"/>
        <w:gridCol w:w="1242"/>
        <w:gridCol w:w="939"/>
        <w:gridCol w:w="1258"/>
        <w:gridCol w:w="1171"/>
      </w:tblGrid>
      <w:tr w14:paraId="1218F8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10032" w:type="dxa"/>
            <w:gridSpan w:val="9"/>
            <w:tcBorders>
              <w:top w:val="single" w:color="auto" w:sz="4" w:space="0"/>
              <w:left w:val="single" w:color="auto" w:sz="4" w:space="0"/>
              <w:bottom w:val="single" w:color="auto" w:sz="4" w:space="0"/>
              <w:right w:val="single" w:color="auto" w:sz="4" w:space="0"/>
            </w:tcBorders>
            <w:vAlign w:val="center"/>
          </w:tcPr>
          <w:p w14:paraId="02A1C23D">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ascii="黑体" w:hAnsi="黑体" w:eastAsia="黑体" w:cs="黑体"/>
                <w:b/>
                <w:bCs/>
                <w:color w:val="auto"/>
                <w:spacing w:val="-3"/>
                <w:sz w:val="24"/>
                <w:szCs w:val="24"/>
                <w:highlight w:val="none"/>
              </w:rPr>
            </w:pPr>
            <w:r>
              <w:rPr>
                <w:rFonts w:hint="eastAsia" w:ascii="黑体" w:hAnsi="黑体" w:eastAsia="黑体" w:cs="黑体"/>
                <w:b/>
                <w:bCs/>
                <w:color w:val="auto"/>
                <w:spacing w:val="-7"/>
                <w:sz w:val="28"/>
                <w:szCs w:val="28"/>
                <w:highlight w:val="none"/>
                <w:lang w:val="en-US" w:eastAsia="zh-CN"/>
              </w:rPr>
              <w:t xml:space="preserve">                              2.零售套餐电量参数                 </w:t>
            </w:r>
            <w:r>
              <w:rPr>
                <w:rFonts w:hint="eastAsia" w:ascii="黑体" w:hAnsi="黑体" w:eastAsia="黑体" w:cs="黑体"/>
                <w:b w:val="0"/>
                <w:bCs w:val="0"/>
                <w:color w:val="auto"/>
                <w:spacing w:val="-7"/>
                <w:sz w:val="22"/>
                <w:szCs w:val="22"/>
                <w:highlight w:val="none"/>
                <w:lang w:val="en-US" w:eastAsia="zh-CN"/>
              </w:rPr>
              <w:t>（单位：兆瓦时）</w:t>
            </w:r>
          </w:p>
        </w:tc>
      </w:tr>
      <w:tr w14:paraId="0E840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exact"/>
          <w:jc w:val="center"/>
        </w:trPr>
        <w:tc>
          <w:tcPr>
            <w:tcW w:w="766" w:type="dxa"/>
            <w:tcBorders>
              <w:top w:val="single" w:color="auto" w:sz="4" w:space="0"/>
              <w:left w:val="single" w:color="auto" w:sz="4" w:space="0"/>
              <w:bottom w:val="single" w:color="auto" w:sz="4" w:space="0"/>
              <w:right w:val="single" w:color="auto" w:sz="4" w:space="0"/>
            </w:tcBorders>
            <w:vAlign w:val="center"/>
          </w:tcPr>
          <w:p w14:paraId="4B4987B4">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eastAsia" w:ascii="黑体" w:hAnsi="黑体" w:eastAsia="黑体" w:cs="黑体"/>
                <w:b/>
                <w:bCs/>
                <w:color w:val="auto"/>
                <w:sz w:val="24"/>
                <w:szCs w:val="24"/>
                <w:highlight w:val="none"/>
                <w:lang w:val="en-US" w:eastAsia="zh-CN"/>
              </w:rPr>
            </w:pPr>
            <w:r>
              <w:rPr>
                <w:rFonts w:hint="eastAsia" w:ascii="黑体" w:hAnsi="黑体" w:eastAsia="黑体" w:cs="黑体"/>
                <w:b/>
                <w:bCs/>
                <w:color w:val="auto"/>
                <w:sz w:val="24"/>
                <w:szCs w:val="24"/>
                <w:highlight w:val="none"/>
                <w:lang w:val="en-US" w:eastAsia="zh-CN"/>
              </w:rPr>
              <w:t>月份</w:t>
            </w:r>
          </w:p>
        </w:tc>
        <w:tc>
          <w:tcPr>
            <w:tcW w:w="1236" w:type="dxa"/>
            <w:tcBorders>
              <w:top w:val="single" w:color="auto" w:sz="4" w:space="0"/>
              <w:left w:val="single" w:color="auto" w:sz="4" w:space="0"/>
              <w:bottom w:val="single" w:color="auto" w:sz="4" w:space="0"/>
              <w:right w:val="single" w:color="auto" w:sz="4" w:space="0"/>
            </w:tcBorders>
            <w:vAlign w:val="center"/>
          </w:tcPr>
          <w:p w14:paraId="55C90BE0">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eastAsia" w:ascii="黑体" w:hAnsi="黑体" w:eastAsia="黑体" w:cs="黑体"/>
                <w:b/>
                <w:bCs/>
                <w:color w:val="auto"/>
                <w:spacing w:val="-3"/>
                <w:sz w:val="24"/>
                <w:szCs w:val="24"/>
                <w:highlight w:val="none"/>
                <w:lang w:val="en-US" w:eastAsia="zh-CN"/>
              </w:rPr>
            </w:pPr>
            <w:r>
              <w:rPr>
                <w:rFonts w:ascii="黑体" w:hAnsi="黑体" w:eastAsia="黑体" w:cs="黑体"/>
                <w:b/>
                <w:bCs/>
                <w:color w:val="auto"/>
                <w:spacing w:val="-3"/>
                <w:sz w:val="24"/>
                <w:szCs w:val="24"/>
                <w:highlight w:val="none"/>
              </w:rPr>
              <w:t>合同</w:t>
            </w:r>
            <w:r>
              <w:rPr>
                <w:rFonts w:hint="eastAsia" w:ascii="黑体" w:hAnsi="黑体" w:eastAsia="黑体" w:cs="黑体"/>
                <w:b/>
                <w:bCs/>
                <w:color w:val="auto"/>
                <w:spacing w:val="-3"/>
                <w:sz w:val="24"/>
                <w:szCs w:val="24"/>
                <w:highlight w:val="none"/>
                <w:lang w:val="en-US" w:eastAsia="zh-CN"/>
              </w:rPr>
              <w:t>电</w:t>
            </w:r>
            <w:r>
              <w:rPr>
                <w:rFonts w:ascii="黑体" w:hAnsi="黑体" w:eastAsia="黑体" w:cs="黑体"/>
                <w:b/>
                <w:bCs/>
                <w:color w:val="auto"/>
                <w:spacing w:val="-3"/>
                <w:sz w:val="24"/>
                <w:szCs w:val="24"/>
                <w:highlight w:val="none"/>
              </w:rPr>
              <w:t>量</w:t>
            </w:r>
          </w:p>
          <w:p w14:paraId="0492D6F5">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黑体" w:hAnsi="黑体" w:eastAsia="黑体" w:cs="黑体"/>
                <w:b/>
                <w:bCs/>
                <w:color w:val="auto"/>
                <w:sz w:val="24"/>
                <w:szCs w:val="24"/>
                <w:highlight w:val="none"/>
                <w:lang w:val="en-US" w:eastAsia="zh-CN"/>
              </w:rPr>
            </w:pPr>
            <w:r>
              <w:rPr>
                <w:rFonts w:hint="eastAsia" w:ascii="黑体" w:hAnsi="黑体" w:eastAsia="黑体" w:cs="黑体"/>
                <w:b/>
                <w:bCs/>
                <w:color w:val="auto"/>
                <w:spacing w:val="-3"/>
                <w:sz w:val="24"/>
                <w:szCs w:val="24"/>
                <w:highlight w:val="none"/>
                <w:lang w:val="en-US" w:eastAsia="zh-CN"/>
              </w:rPr>
              <w:t>Q</w:t>
            </w:r>
            <w:r>
              <w:rPr>
                <w:rFonts w:hint="eastAsia" w:ascii="黑体" w:hAnsi="黑体" w:eastAsia="黑体" w:cs="黑体"/>
                <w:b/>
                <w:bCs/>
                <w:color w:val="auto"/>
                <w:spacing w:val="-3"/>
                <w:sz w:val="24"/>
                <w:szCs w:val="24"/>
                <w:highlight w:val="none"/>
                <w:vertAlign w:val="subscript"/>
                <w:lang w:val="en-US" w:eastAsia="zh-CN"/>
              </w:rPr>
              <w:t>合</w:t>
            </w:r>
          </w:p>
        </w:tc>
        <w:tc>
          <w:tcPr>
            <w:tcW w:w="1242" w:type="dxa"/>
            <w:tcBorders>
              <w:top w:val="single" w:color="auto" w:sz="4" w:space="0"/>
              <w:left w:val="single" w:color="auto" w:sz="4" w:space="0"/>
              <w:bottom w:val="single" w:color="auto" w:sz="4" w:space="0"/>
              <w:right w:val="single" w:color="auto" w:sz="4" w:space="0"/>
            </w:tcBorders>
            <w:vAlign w:val="center"/>
          </w:tcPr>
          <w:p w14:paraId="572A0DDD">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黑体" w:hAnsi="黑体" w:eastAsia="黑体" w:cs="黑体"/>
                <w:b/>
                <w:bCs/>
                <w:color w:val="auto"/>
                <w:spacing w:val="-3"/>
                <w:sz w:val="24"/>
                <w:szCs w:val="24"/>
                <w:highlight w:val="none"/>
                <w:lang w:val="en-US" w:eastAsia="zh-CN"/>
              </w:rPr>
            </w:pPr>
            <w:r>
              <w:rPr>
                <w:rFonts w:hint="eastAsia" w:ascii="黑体" w:hAnsi="黑体" w:eastAsia="黑体" w:cs="黑体"/>
                <w:b/>
                <w:bCs/>
                <w:color w:val="auto"/>
                <w:spacing w:val="-3"/>
                <w:sz w:val="24"/>
                <w:szCs w:val="24"/>
                <w:highlight w:val="none"/>
                <w:lang w:val="en-US" w:eastAsia="zh-CN"/>
              </w:rPr>
              <w:t>绿电需求</w:t>
            </w:r>
          </w:p>
          <w:p w14:paraId="2056FAD1">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黑体" w:hAnsi="黑体" w:eastAsia="黑体" w:cs="黑体"/>
                <w:b/>
                <w:bCs/>
                <w:color w:val="auto"/>
                <w:spacing w:val="-3"/>
                <w:sz w:val="24"/>
                <w:szCs w:val="24"/>
                <w:highlight w:val="none"/>
                <w:lang w:val="en-US" w:eastAsia="zh-CN"/>
              </w:rPr>
            </w:pPr>
            <w:r>
              <w:rPr>
                <w:rFonts w:hint="eastAsia" w:ascii="黑体" w:hAnsi="黑体" w:eastAsia="黑体" w:cs="黑体"/>
                <w:b/>
                <w:bCs/>
                <w:color w:val="auto"/>
                <w:spacing w:val="-3"/>
                <w:sz w:val="24"/>
                <w:szCs w:val="24"/>
                <w:highlight w:val="none"/>
                <w:lang w:val="en-US" w:eastAsia="zh-CN"/>
              </w:rPr>
              <w:t>Q</w:t>
            </w:r>
            <w:r>
              <w:rPr>
                <w:rFonts w:hint="eastAsia" w:ascii="黑体" w:hAnsi="黑体" w:eastAsia="黑体" w:cs="黑体"/>
                <w:b/>
                <w:bCs/>
                <w:color w:val="auto"/>
                <w:spacing w:val="-3"/>
                <w:sz w:val="24"/>
                <w:szCs w:val="24"/>
                <w:highlight w:val="none"/>
                <w:vertAlign w:val="subscript"/>
                <w:lang w:val="en-US" w:eastAsia="zh-CN"/>
              </w:rPr>
              <w:t>绿需</w:t>
            </w:r>
          </w:p>
        </w:tc>
        <w:tc>
          <w:tcPr>
            <w:tcW w:w="936" w:type="dxa"/>
            <w:tcBorders>
              <w:top w:val="single" w:color="auto" w:sz="4" w:space="0"/>
              <w:left w:val="single" w:color="auto" w:sz="4" w:space="0"/>
              <w:bottom w:val="single" w:color="auto" w:sz="4" w:space="0"/>
              <w:right w:val="single" w:color="auto" w:sz="4" w:space="0"/>
            </w:tcBorders>
            <w:vAlign w:val="center"/>
          </w:tcPr>
          <w:p w14:paraId="54CD8A82">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lang w:val="en-US" w:eastAsia="zh-CN"/>
              </w:rPr>
              <w:t>月份</w:t>
            </w:r>
          </w:p>
        </w:tc>
        <w:tc>
          <w:tcPr>
            <w:tcW w:w="1242" w:type="dxa"/>
            <w:tcBorders>
              <w:top w:val="single" w:color="auto" w:sz="4" w:space="0"/>
              <w:left w:val="single" w:color="auto" w:sz="4" w:space="0"/>
              <w:bottom w:val="single" w:color="auto" w:sz="4" w:space="0"/>
              <w:right w:val="single" w:color="auto" w:sz="4" w:space="0"/>
            </w:tcBorders>
            <w:vAlign w:val="center"/>
          </w:tcPr>
          <w:p w14:paraId="5335CD81">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eastAsia" w:ascii="黑体" w:hAnsi="黑体" w:eastAsia="黑体" w:cs="黑体"/>
                <w:b/>
                <w:bCs/>
                <w:color w:val="auto"/>
                <w:spacing w:val="-3"/>
                <w:sz w:val="24"/>
                <w:szCs w:val="24"/>
                <w:highlight w:val="none"/>
                <w:lang w:val="en-US" w:eastAsia="zh-CN"/>
              </w:rPr>
            </w:pPr>
            <w:r>
              <w:rPr>
                <w:rFonts w:ascii="黑体" w:hAnsi="黑体" w:eastAsia="黑体" w:cs="黑体"/>
                <w:b/>
                <w:bCs/>
                <w:color w:val="auto"/>
                <w:spacing w:val="-3"/>
                <w:sz w:val="24"/>
                <w:szCs w:val="24"/>
                <w:highlight w:val="none"/>
              </w:rPr>
              <w:t>合同</w:t>
            </w:r>
            <w:r>
              <w:rPr>
                <w:rFonts w:hint="eastAsia" w:ascii="黑体" w:hAnsi="黑体" w:eastAsia="黑体" w:cs="黑体"/>
                <w:b/>
                <w:bCs/>
                <w:color w:val="auto"/>
                <w:spacing w:val="-3"/>
                <w:sz w:val="24"/>
                <w:szCs w:val="24"/>
                <w:highlight w:val="none"/>
                <w:lang w:val="en-US" w:eastAsia="zh-CN"/>
              </w:rPr>
              <w:t>电</w:t>
            </w:r>
            <w:r>
              <w:rPr>
                <w:rFonts w:ascii="黑体" w:hAnsi="黑体" w:eastAsia="黑体" w:cs="黑体"/>
                <w:b/>
                <w:bCs/>
                <w:color w:val="auto"/>
                <w:spacing w:val="-3"/>
                <w:sz w:val="24"/>
                <w:szCs w:val="24"/>
                <w:highlight w:val="none"/>
              </w:rPr>
              <w:t>量</w:t>
            </w:r>
          </w:p>
          <w:p w14:paraId="56B8A589">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黑体" w:hAnsi="黑体" w:eastAsia="黑体" w:cs="黑体"/>
                <w:b/>
                <w:bCs/>
                <w:snapToGrid w:val="0"/>
                <w:color w:val="auto"/>
                <w:kern w:val="0"/>
                <w:sz w:val="24"/>
                <w:szCs w:val="24"/>
                <w:highlight w:val="none"/>
                <w:lang w:val="en-US" w:eastAsia="zh-CN" w:bidi="ar-SA"/>
              </w:rPr>
            </w:pPr>
            <w:r>
              <w:rPr>
                <w:rFonts w:hint="eastAsia" w:ascii="黑体" w:hAnsi="黑体" w:eastAsia="黑体" w:cs="黑体"/>
                <w:b/>
                <w:bCs/>
                <w:color w:val="auto"/>
                <w:spacing w:val="-3"/>
                <w:sz w:val="24"/>
                <w:szCs w:val="24"/>
                <w:highlight w:val="none"/>
                <w:lang w:val="en-US" w:eastAsia="zh-CN"/>
              </w:rPr>
              <w:t>Q</w:t>
            </w:r>
            <w:r>
              <w:rPr>
                <w:rFonts w:hint="eastAsia" w:ascii="黑体" w:hAnsi="黑体" w:eastAsia="黑体" w:cs="黑体"/>
                <w:b/>
                <w:bCs/>
                <w:color w:val="auto"/>
                <w:spacing w:val="-3"/>
                <w:sz w:val="24"/>
                <w:szCs w:val="24"/>
                <w:highlight w:val="none"/>
                <w:vertAlign w:val="subscript"/>
                <w:lang w:val="en-US" w:eastAsia="zh-CN"/>
              </w:rPr>
              <w:t>合</w:t>
            </w:r>
          </w:p>
        </w:tc>
        <w:tc>
          <w:tcPr>
            <w:tcW w:w="1242" w:type="dxa"/>
            <w:tcBorders>
              <w:top w:val="single" w:color="auto" w:sz="4" w:space="0"/>
              <w:left w:val="single" w:color="auto" w:sz="4" w:space="0"/>
              <w:bottom w:val="single" w:color="auto" w:sz="4" w:space="0"/>
              <w:right w:val="single" w:color="auto" w:sz="4" w:space="0"/>
            </w:tcBorders>
            <w:vAlign w:val="center"/>
          </w:tcPr>
          <w:p w14:paraId="60F1907E">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黑体" w:hAnsi="黑体" w:eastAsia="黑体" w:cs="黑体"/>
                <w:b/>
                <w:bCs/>
                <w:color w:val="auto"/>
                <w:spacing w:val="-3"/>
                <w:sz w:val="24"/>
                <w:szCs w:val="24"/>
                <w:highlight w:val="none"/>
                <w:lang w:val="en-US" w:eastAsia="zh-CN"/>
              </w:rPr>
            </w:pPr>
            <w:r>
              <w:rPr>
                <w:rFonts w:hint="eastAsia" w:ascii="黑体" w:hAnsi="黑体" w:eastAsia="黑体" w:cs="黑体"/>
                <w:b/>
                <w:bCs/>
                <w:color w:val="auto"/>
                <w:spacing w:val="-3"/>
                <w:sz w:val="24"/>
                <w:szCs w:val="24"/>
                <w:highlight w:val="none"/>
                <w:lang w:val="en-US" w:eastAsia="zh-CN"/>
              </w:rPr>
              <w:t>绿电需求</w:t>
            </w:r>
          </w:p>
          <w:p w14:paraId="27A0AAD8">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黑体" w:hAnsi="黑体" w:eastAsia="黑体" w:cs="黑体"/>
                <w:b/>
                <w:bCs/>
                <w:snapToGrid w:val="0"/>
                <w:color w:val="auto"/>
                <w:spacing w:val="-3"/>
                <w:kern w:val="0"/>
                <w:sz w:val="24"/>
                <w:szCs w:val="24"/>
                <w:highlight w:val="none"/>
                <w:lang w:val="en-US" w:eastAsia="zh-CN" w:bidi="ar-SA"/>
              </w:rPr>
            </w:pPr>
            <w:r>
              <w:rPr>
                <w:rFonts w:hint="eastAsia" w:ascii="黑体" w:hAnsi="黑体" w:eastAsia="黑体" w:cs="黑体"/>
                <w:b/>
                <w:bCs/>
                <w:color w:val="auto"/>
                <w:spacing w:val="-3"/>
                <w:sz w:val="24"/>
                <w:szCs w:val="24"/>
                <w:highlight w:val="none"/>
                <w:lang w:val="en-US" w:eastAsia="zh-CN"/>
              </w:rPr>
              <w:t>Q</w:t>
            </w:r>
            <w:r>
              <w:rPr>
                <w:rFonts w:hint="eastAsia" w:ascii="黑体" w:hAnsi="黑体" w:eastAsia="黑体" w:cs="黑体"/>
                <w:b/>
                <w:bCs/>
                <w:color w:val="auto"/>
                <w:spacing w:val="-3"/>
                <w:sz w:val="24"/>
                <w:szCs w:val="24"/>
                <w:highlight w:val="none"/>
                <w:vertAlign w:val="subscript"/>
                <w:lang w:val="en-US" w:eastAsia="zh-CN"/>
              </w:rPr>
              <w:t>绿需</w:t>
            </w:r>
          </w:p>
        </w:tc>
        <w:tc>
          <w:tcPr>
            <w:tcW w:w="939" w:type="dxa"/>
            <w:tcBorders>
              <w:top w:val="single" w:color="auto" w:sz="4" w:space="0"/>
              <w:left w:val="single" w:color="auto" w:sz="4" w:space="0"/>
              <w:bottom w:val="single" w:color="auto" w:sz="4" w:space="0"/>
              <w:right w:val="single" w:color="auto" w:sz="4" w:space="0"/>
            </w:tcBorders>
            <w:vAlign w:val="center"/>
          </w:tcPr>
          <w:p w14:paraId="35308A7B">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lang w:val="en-US" w:eastAsia="zh-CN"/>
              </w:rPr>
              <w:t>月份</w:t>
            </w:r>
          </w:p>
        </w:tc>
        <w:tc>
          <w:tcPr>
            <w:tcW w:w="1258" w:type="dxa"/>
            <w:tcBorders>
              <w:top w:val="single" w:color="auto" w:sz="4" w:space="0"/>
              <w:left w:val="single" w:color="auto" w:sz="4" w:space="0"/>
              <w:bottom w:val="single" w:color="auto" w:sz="4" w:space="0"/>
              <w:right w:val="single" w:color="auto" w:sz="4" w:space="0"/>
            </w:tcBorders>
            <w:vAlign w:val="center"/>
          </w:tcPr>
          <w:p w14:paraId="6C7547DC">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eastAsia" w:ascii="黑体" w:hAnsi="黑体" w:eastAsia="黑体" w:cs="黑体"/>
                <w:b/>
                <w:bCs/>
                <w:color w:val="auto"/>
                <w:spacing w:val="-3"/>
                <w:sz w:val="24"/>
                <w:szCs w:val="24"/>
                <w:highlight w:val="none"/>
                <w:lang w:val="en-US" w:eastAsia="zh-CN"/>
              </w:rPr>
            </w:pPr>
            <w:r>
              <w:rPr>
                <w:rFonts w:ascii="黑体" w:hAnsi="黑体" w:eastAsia="黑体" w:cs="黑体"/>
                <w:b/>
                <w:bCs/>
                <w:color w:val="auto"/>
                <w:spacing w:val="-3"/>
                <w:sz w:val="24"/>
                <w:szCs w:val="24"/>
                <w:highlight w:val="none"/>
              </w:rPr>
              <w:t>合同</w:t>
            </w:r>
            <w:r>
              <w:rPr>
                <w:rFonts w:hint="eastAsia" w:ascii="黑体" w:hAnsi="黑体" w:eastAsia="黑体" w:cs="黑体"/>
                <w:b/>
                <w:bCs/>
                <w:color w:val="auto"/>
                <w:spacing w:val="-3"/>
                <w:sz w:val="24"/>
                <w:szCs w:val="24"/>
                <w:highlight w:val="none"/>
                <w:lang w:val="en-US" w:eastAsia="zh-CN"/>
              </w:rPr>
              <w:t>电</w:t>
            </w:r>
            <w:r>
              <w:rPr>
                <w:rFonts w:ascii="黑体" w:hAnsi="黑体" w:eastAsia="黑体" w:cs="黑体"/>
                <w:b/>
                <w:bCs/>
                <w:color w:val="auto"/>
                <w:spacing w:val="-3"/>
                <w:sz w:val="24"/>
                <w:szCs w:val="24"/>
                <w:highlight w:val="none"/>
              </w:rPr>
              <w:t>量</w:t>
            </w:r>
          </w:p>
          <w:p w14:paraId="15A898B1">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ascii="黑体" w:hAnsi="黑体" w:eastAsia="黑体" w:cs="黑体"/>
                <w:b/>
                <w:bCs/>
                <w:color w:val="auto"/>
                <w:sz w:val="24"/>
                <w:szCs w:val="24"/>
                <w:highlight w:val="none"/>
              </w:rPr>
            </w:pPr>
            <w:r>
              <w:rPr>
                <w:rFonts w:hint="eastAsia" w:ascii="黑体" w:hAnsi="黑体" w:eastAsia="黑体" w:cs="黑体"/>
                <w:b/>
                <w:bCs/>
                <w:color w:val="auto"/>
                <w:spacing w:val="-3"/>
                <w:sz w:val="24"/>
                <w:szCs w:val="24"/>
                <w:highlight w:val="none"/>
                <w:lang w:val="en-US" w:eastAsia="zh-CN"/>
              </w:rPr>
              <w:t>Q</w:t>
            </w:r>
            <w:r>
              <w:rPr>
                <w:rFonts w:hint="eastAsia" w:ascii="黑体" w:hAnsi="黑体" w:eastAsia="黑体" w:cs="黑体"/>
                <w:b/>
                <w:bCs/>
                <w:color w:val="auto"/>
                <w:spacing w:val="-3"/>
                <w:sz w:val="24"/>
                <w:szCs w:val="24"/>
                <w:highlight w:val="none"/>
                <w:vertAlign w:val="subscript"/>
                <w:lang w:val="en-US" w:eastAsia="zh-CN"/>
              </w:rPr>
              <w:t>合</w:t>
            </w:r>
          </w:p>
        </w:tc>
        <w:tc>
          <w:tcPr>
            <w:tcW w:w="1171" w:type="dxa"/>
            <w:tcBorders>
              <w:top w:val="single" w:color="auto" w:sz="4" w:space="0"/>
              <w:left w:val="single" w:color="auto" w:sz="4" w:space="0"/>
              <w:bottom w:val="single" w:color="auto" w:sz="4" w:space="0"/>
              <w:right w:val="single" w:color="auto" w:sz="4" w:space="0"/>
            </w:tcBorders>
            <w:vAlign w:val="center"/>
          </w:tcPr>
          <w:p w14:paraId="3D10E0F0">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黑体" w:hAnsi="黑体" w:eastAsia="黑体" w:cs="黑体"/>
                <w:b/>
                <w:bCs/>
                <w:color w:val="auto"/>
                <w:spacing w:val="-3"/>
                <w:sz w:val="24"/>
                <w:szCs w:val="24"/>
                <w:highlight w:val="none"/>
                <w:lang w:val="en-US" w:eastAsia="zh-CN"/>
              </w:rPr>
            </w:pPr>
            <w:r>
              <w:rPr>
                <w:rFonts w:hint="eastAsia" w:ascii="黑体" w:hAnsi="黑体" w:eastAsia="黑体" w:cs="黑体"/>
                <w:b/>
                <w:bCs/>
                <w:color w:val="auto"/>
                <w:spacing w:val="-3"/>
                <w:sz w:val="24"/>
                <w:szCs w:val="24"/>
                <w:highlight w:val="none"/>
                <w:lang w:val="en-US" w:eastAsia="zh-CN"/>
              </w:rPr>
              <w:t>绿电需求</w:t>
            </w:r>
          </w:p>
          <w:p w14:paraId="1CB2381B">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ascii="黑体" w:hAnsi="黑体" w:eastAsia="黑体" w:cs="黑体"/>
                <w:b/>
                <w:bCs/>
                <w:color w:val="auto"/>
                <w:spacing w:val="-3"/>
                <w:sz w:val="24"/>
                <w:szCs w:val="24"/>
                <w:highlight w:val="none"/>
              </w:rPr>
            </w:pPr>
            <w:r>
              <w:rPr>
                <w:rFonts w:hint="eastAsia" w:ascii="黑体" w:hAnsi="黑体" w:eastAsia="黑体" w:cs="黑体"/>
                <w:b/>
                <w:bCs/>
                <w:color w:val="auto"/>
                <w:spacing w:val="-3"/>
                <w:sz w:val="24"/>
                <w:szCs w:val="24"/>
                <w:highlight w:val="none"/>
                <w:lang w:val="en-US" w:eastAsia="zh-CN"/>
              </w:rPr>
              <w:t>Q</w:t>
            </w:r>
            <w:r>
              <w:rPr>
                <w:rFonts w:hint="eastAsia" w:ascii="黑体" w:hAnsi="黑体" w:eastAsia="黑体" w:cs="黑体"/>
                <w:b/>
                <w:bCs/>
                <w:color w:val="auto"/>
                <w:spacing w:val="-3"/>
                <w:sz w:val="24"/>
                <w:szCs w:val="24"/>
                <w:highlight w:val="none"/>
                <w:vertAlign w:val="subscript"/>
                <w:lang w:val="en-US" w:eastAsia="zh-CN"/>
              </w:rPr>
              <w:t>绿需</w:t>
            </w:r>
          </w:p>
        </w:tc>
      </w:tr>
      <w:tr w14:paraId="3E1A2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766" w:type="dxa"/>
            <w:tcBorders>
              <w:top w:val="single" w:color="auto" w:sz="4" w:space="0"/>
              <w:left w:val="single" w:color="auto" w:sz="4" w:space="0"/>
              <w:bottom w:val="single" w:color="auto" w:sz="4" w:space="0"/>
              <w:right w:val="single" w:color="auto" w:sz="4" w:space="0"/>
            </w:tcBorders>
            <w:vAlign w:val="center"/>
          </w:tcPr>
          <w:p w14:paraId="51EADC2A">
            <w:pPr>
              <w:pStyle w:val="15"/>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color w:val="auto"/>
                <w:sz w:val="24"/>
                <w:szCs w:val="24"/>
                <w:highlight w:val="none"/>
              </w:rPr>
            </w:pPr>
            <w:r>
              <w:rPr>
                <w:color w:val="auto"/>
                <w:spacing w:val="-10"/>
                <w:sz w:val="24"/>
                <w:szCs w:val="24"/>
                <w:highlight w:val="none"/>
              </w:rPr>
              <w:t>1月</w:t>
            </w:r>
          </w:p>
        </w:tc>
        <w:tc>
          <w:tcPr>
            <w:tcW w:w="1236" w:type="dxa"/>
            <w:tcBorders>
              <w:top w:val="single" w:color="auto" w:sz="4" w:space="0"/>
              <w:left w:val="single" w:color="auto" w:sz="4" w:space="0"/>
              <w:bottom w:val="single" w:color="auto" w:sz="4" w:space="0"/>
              <w:right w:val="single" w:color="auto" w:sz="4" w:space="0"/>
            </w:tcBorders>
            <w:vAlign w:val="center"/>
          </w:tcPr>
          <w:p w14:paraId="34C79619">
            <w:pPr>
              <w:pStyle w:val="15"/>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color w:val="auto"/>
                <w:spacing w:val="-10"/>
                <w:sz w:val="24"/>
                <w:szCs w:val="24"/>
                <w:highlight w:val="none"/>
                <w:lang w:val="en-US" w:eastAsia="zh-CN"/>
              </w:rPr>
            </w:pPr>
          </w:p>
        </w:tc>
        <w:tc>
          <w:tcPr>
            <w:tcW w:w="1242" w:type="dxa"/>
            <w:tcBorders>
              <w:top w:val="single" w:color="auto" w:sz="4" w:space="0"/>
              <w:left w:val="single" w:color="auto" w:sz="4" w:space="0"/>
              <w:bottom w:val="single" w:color="auto" w:sz="4" w:space="0"/>
              <w:right w:val="single" w:color="auto" w:sz="4" w:space="0"/>
            </w:tcBorders>
            <w:shd w:val="clear" w:color="auto" w:fill="auto"/>
            <w:vAlign w:val="center"/>
          </w:tcPr>
          <w:p w14:paraId="5A1C9FC6">
            <w:pPr>
              <w:pStyle w:val="15"/>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color w:val="auto"/>
                <w:spacing w:val="-10"/>
                <w:sz w:val="24"/>
                <w:szCs w:val="24"/>
                <w:highlight w:val="none"/>
                <w:lang w:val="en-US" w:eastAsia="zh-CN"/>
              </w:rPr>
            </w:pPr>
          </w:p>
        </w:tc>
        <w:tc>
          <w:tcPr>
            <w:tcW w:w="936" w:type="dxa"/>
            <w:tcBorders>
              <w:top w:val="single" w:color="auto" w:sz="4" w:space="0"/>
              <w:left w:val="single" w:color="auto" w:sz="4" w:space="0"/>
              <w:bottom w:val="single" w:color="auto" w:sz="4" w:space="0"/>
              <w:right w:val="single" w:color="auto" w:sz="4" w:space="0"/>
            </w:tcBorders>
            <w:vAlign w:val="center"/>
          </w:tcPr>
          <w:p w14:paraId="186F6E45">
            <w:pPr>
              <w:pStyle w:val="15"/>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color w:val="auto"/>
                <w:spacing w:val="-10"/>
                <w:sz w:val="24"/>
                <w:szCs w:val="24"/>
                <w:highlight w:val="none"/>
              </w:rPr>
            </w:pPr>
            <w:r>
              <w:rPr>
                <w:color w:val="auto"/>
                <w:spacing w:val="-10"/>
                <w:sz w:val="24"/>
                <w:szCs w:val="24"/>
                <w:highlight w:val="none"/>
              </w:rPr>
              <w:t>5月</w:t>
            </w:r>
          </w:p>
        </w:tc>
        <w:tc>
          <w:tcPr>
            <w:tcW w:w="1242" w:type="dxa"/>
            <w:tcBorders>
              <w:top w:val="single" w:color="auto" w:sz="4" w:space="0"/>
              <w:left w:val="single" w:color="auto" w:sz="4" w:space="0"/>
              <w:bottom w:val="single" w:color="auto" w:sz="4" w:space="0"/>
              <w:right w:val="single" w:color="auto" w:sz="4" w:space="0"/>
            </w:tcBorders>
            <w:vAlign w:val="center"/>
          </w:tcPr>
          <w:p w14:paraId="5CEEB039">
            <w:pPr>
              <w:pStyle w:val="15"/>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eastAsia"/>
                <w:color w:val="auto"/>
                <w:spacing w:val="-10"/>
                <w:sz w:val="24"/>
                <w:szCs w:val="24"/>
                <w:highlight w:val="none"/>
                <w:lang w:val="en-US" w:eastAsia="zh-CN"/>
              </w:rPr>
            </w:pPr>
          </w:p>
        </w:tc>
        <w:tc>
          <w:tcPr>
            <w:tcW w:w="1242" w:type="dxa"/>
            <w:tcBorders>
              <w:top w:val="single" w:color="auto" w:sz="4" w:space="0"/>
              <w:left w:val="single" w:color="auto" w:sz="4" w:space="0"/>
              <w:bottom w:val="single" w:color="auto" w:sz="4" w:space="0"/>
              <w:right w:val="single" w:color="auto" w:sz="4" w:space="0"/>
            </w:tcBorders>
            <w:shd w:val="clear" w:color="auto" w:fill="auto"/>
            <w:vAlign w:val="center"/>
          </w:tcPr>
          <w:p w14:paraId="64C909E4">
            <w:pPr>
              <w:pStyle w:val="15"/>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eastAsia"/>
                <w:color w:val="auto"/>
                <w:spacing w:val="-10"/>
                <w:sz w:val="24"/>
                <w:szCs w:val="24"/>
                <w:highlight w:val="none"/>
                <w:lang w:val="en-US" w:eastAsia="zh-CN"/>
              </w:rPr>
            </w:pPr>
          </w:p>
        </w:tc>
        <w:tc>
          <w:tcPr>
            <w:tcW w:w="939" w:type="dxa"/>
            <w:tcBorders>
              <w:top w:val="single" w:color="auto" w:sz="4" w:space="0"/>
              <w:left w:val="single" w:color="auto" w:sz="4" w:space="0"/>
              <w:bottom w:val="single" w:color="auto" w:sz="4" w:space="0"/>
              <w:right w:val="single" w:color="auto" w:sz="4" w:space="0"/>
            </w:tcBorders>
            <w:vAlign w:val="center"/>
          </w:tcPr>
          <w:p w14:paraId="672BB11C">
            <w:pPr>
              <w:pStyle w:val="15"/>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color w:val="auto"/>
                <w:spacing w:val="-10"/>
                <w:sz w:val="24"/>
                <w:szCs w:val="24"/>
                <w:highlight w:val="none"/>
              </w:rPr>
            </w:pPr>
            <w:r>
              <w:rPr>
                <w:color w:val="auto"/>
                <w:spacing w:val="-10"/>
                <w:sz w:val="24"/>
                <w:szCs w:val="24"/>
                <w:highlight w:val="none"/>
              </w:rPr>
              <w:t>9月</w:t>
            </w:r>
          </w:p>
        </w:tc>
        <w:tc>
          <w:tcPr>
            <w:tcW w:w="1258" w:type="dxa"/>
            <w:tcBorders>
              <w:top w:val="single" w:color="auto" w:sz="4" w:space="0"/>
              <w:left w:val="single" w:color="auto" w:sz="4" w:space="0"/>
              <w:bottom w:val="single" w:color="auto" w:sz="4" w:space="0"/>
              <w:right w:val="single" w:color="auto" w:sz="4" w:space="0"/>
            </w:tcBorders>
            <w:vAlign w:val="center"/>
          </w:tcPr>
          <w:p w14:paraId="5D054E96">
            <w:pPr>
              <w:pStyle w:val="15"/>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eastAsia"/>
                <w:color w:val="auto"/>
                <w:spacing w:val="-10"/>
                <w:sz w:val="24"/>
                <w:szCs w:val="24"/>
                <w:highlight w:val="none"/>
                <w:lang w:val="en-US" w:eastAsia="zh-CN"/>
              </w:rPr>
            </w:pP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14:paraId="1214E30A">
            <w:pPr>
              <w:pStyle w:val="15"/>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eastAsia"/>
                <w:color w:val="auto"/>
                <w:spacing w:val="-10"/>
                <w:sz w:val="24"/>
                <w:szCs w:val="24"/>
                <w:highlight w:val="none"/>
                <w:lang w:val="en-US" w:eastAsia="zh-CN"/>
              </w:rPr>
            </w:pPr>
          </w:p>
        </w:tc>
      </w:tr>
      <w:tr w14:paraId="75236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766" w:type="dxa"/>
            <w:tcBorders>
              <w:top w:val="single" w:color="auto" w:sz="4" w:space="0"/>
              <w:left w:val="single" w:color="auto" w:sz="4" w:space="0"/>
              <w:bottom w:val="single" w:color="auto" w:sz="4" w:space="0"/>
              <w:right w:val="single" w:color="auto" w:sz="4" w:space="0"/>
            </w:tcBorders>
            <w:vAlign w:val="center"/>
          </w:tcPr>
          <w:p w14:paraId="00B53A50">
            <w:pPr>
              <w:pStyle w:val="15"/>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color w:val="auto"/>
                <w:spacing w:val="-4"/>
                <w:sz w:val="24"/>
                <w:szCs w:val="24"/>
                <w:highlight w:val="none"/>
              </w:rPr>
            </w:pPr>
            <w:r>
              <w:rPr>
                <w:color w:val="auto"/>
                <w:spacing w:val="-4"/>
                <w:sz w:val="24"/>
                <w:szCs w:val="24"/>
                <w:highlight w:val="none"/>
              </w:rPr>
              <w:t>2月</w:t>
            </w:r>
          </w:p>
        </w:tc>
        <w:tc>
          <w:tcPr>
            <w:tcW w:w="1236" w:type="dxa"/>
            <w:tcBorders>
              <w:top w:val="single" w:color="auto" w:sz="4" w:space="0"/>
              <w:left w:val="single" w:color="auto" w:sz="4" w:space="0"/>
              <w:bottom w:val="single" w:color="auto" w:sz="4" w:space="0"/>
              <w:right w:val="single" w:color="auto" w:sz="4" w:space="0"/>
            </w:tcBorders>
            <w:vAlign w:val="center"/>
          </w:tcPr>
          <w:p w14:paraId="7A512BB1">
            <w:pPr>
              <w:pStyle w:val="15"/>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color w:val="auto"/>
                <w:spacing w:val="-10"/>
                <w:sz w:val="24"/>
                <w:szCs w:val="24"/>
                <w:highlight w:val="none"/>
                <w:lang w:val="en-US" w:eastAsia="zh-CN"/>
              </w:rPr>
            </w:pPr>
          </w:p>
        </w:tc>
        <w:tc>
          <w:tcPr>
            <w:tcW w:w="1242" w:type="dxa"/>
            <w:tcBorders>
              <w:top w:val="single" w:color="auto" w:sz="4" w:space="0"/>
              <w:left w:val="single" w:color="auto" w:sz="4" w:space="0"/>
              <w:bottom w:val="single" w:color="auto" w:sz="4" w:space="0"/>
              <w:right w:val="single" w:color="auto" w:sz="4" w:space="0"/>
            </w:tcBorders>
            <w:shd w:val="clear" w:color="auto" w:fill="auto"/>
            <w:vAlign w:val="center"/>
          </w:tcPr>
          <w:p w14:paraId="32740945">
            <w:pPr>
              <w:pStyle w:val="15"/>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eastAsia"/>
                <w:color w:val="auto"/>
                <w:spacing w:val="-10"/>
                <w:sz w:val="24"/>
                <w:szCs w:val="24"/>
                <w:highlight w:val="none"/>
                <w:lang w:val="en-US" w:eastAsia="zh-CN"/>
              </w:rPr>
            </w:pPr>
          </w:p>
        </w:tc>
        <w:tc>
          <w:tcPr>
            <w:tcW w:w="936" w:type="dxa"/>
            <w:tcBorders>
              <w:top w:val="single" w:color="auto" w:sz="4" w:space="0"/>
              <w:left w:val="single" w:color="auto" w:sz="4" w:space="0"/>
              <w:bottom w:val="single" w:color="auto" w:sz="4" w:space="0"/>
              <w:right w:val="single" w:color="auto" w:sz="4" w:space="0"/>
            </w:tcBorders>
            <w:vAlign w:val="center"/>
          </w:tcPr>
          <w:p w14:paraId="4355FC92">
            <w:pPr>
              <w:pStyle w:val="15"/>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color w:val="auto"/>
                <w:spacing w:val="-10"/>
                <w:sz w:val="24"/>
                <w:szCs w:val="24"/>
                <w:highlight w:val="none"/>
              </w:rPr>
            </w:pPr>
            <w:r>
              <w:rPr>
                <w:color w:val="auto"/>
                <w:spacing w:val="-10"/>
                <w:sz w:val="24"/>
                <w:szCs w:val="24"/>
                <w:highlight w:val="none"/>
              </w:rPr>
              <w:t>6月</w:t>
            </w:r>
          </w:p>
        </w:tc>
        <w:tc>
          <w:tcPr>
            <w:tcW w:w="1242" w:type="dxa"/>
            <w:tcBorders>
              <w:top w:val="single" w:color="auto" w:sz="4" w:space="0"/>
              <w:left w:val="single" w:color="auto" w:sz="4" w:space="0"/>
              <w:bottom w:val="single" w:color="auto" w:sz="4" w:space="0"/>
              <w:right w:val="single" w:color="auto" w:sz="4" w:space="0"/>
            </w:tcBorders>
            <w:vAlign w:val="center"/>
          </w:tcPr>
          <w:p w14:paraId="50739395">
            <w:pPr>
              <w:pStyle w:val="15"/>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eastAsia"/>
                <w:color w:val="auto"/>
                <w:spacing w:val="-10"/>
                <w:sz w:val="24"/>
                <w:szCs w:val="24"/>
                <w:highlight w:val="none"/>
                <w:lang w:val="en-US" w:eastAsia="zh-CN"/>
              </w:rPr>
            </w:pPr>
          </w:p>
        </w:tc>
        <w:tc>
          <w:tcPr>
            <w:tcW w:w="1242" w:type="dxa"/>
            <w:tcBorders>
              <w:top w:val="single" w:color="auto" w:sz="4" w:space="0"/>
              <w:left w:val="single" w:color="auto" w:sz="4" w:space="0"/>
              <w:bottom w:val="single" w:color="auto" w:sz="4" w:space="0"/>
              <w:right w:val="single" w:color="auto" w:sz="4" w:space="0"/>
            </w:tcBorders>
            <w:shd w:val="clear" w:color="auto" w:fill="auto"/>
            <w:vAlign w:val="center"/>
          </w:tcPr>
          <w:p w14:paraId="6315ECE9">
            <w:pPr>
              <w:pStyle w:val="15"/>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eastAsia"/>
                <w:color w:val="auto"/>
                <w:spacing w:val="-10"/>
                <w:sz w:val="24"/>
                <w:szCs w:val="24"/>
                <w:highlight w:val="none"/>
                <w:lang w:val="en-US" w:eastAsia="zh-CN"/>
              </w:rPr>
            </w:pPr>
          </w:p>
        </w:tc>
        <w:tc>
          <w:tcPr>
            <w:tcW w:w="939" w:type="dxa"/>
            <w:tcBorders>
              <w:top w:val="single" w:color="auto" w:sz="4" w:space="0"/>
              <w:left w:val="single" w:color="auto" w:sz="4" w:space="0"/>
              <w:bottom w:val="single" w:color="auto" w:sz="4" w:space="0"/>
              <w:right w:val="single" w:color="auto" w:sz="4" w:space="0"/>
            </w:tcBorders>
            <w:vAlign w:val="center"/>
          </w:tcPr>
          <w:p w14:paraId="5DCBC892">
            <w:pPr>
              <w:pStyle w:val="15"/>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color w:val="auto"/>
                <w:spacing w:val="-10"/>
                <w:sz w:val="24"/>
                <w:szCs w:val="24"/>
                <w:highlight w:val="none"/>
                <w:lang w:val="en-US" w:eastAsia="zh-CN"/>
              </w:rPr>
            </w:pPr>
            <w:r>
              <w:rPr>
                <w:rFonts w:hint="eastAsia"/>
                <w:color w:val="auto"/>
                <w:spacing w:val="-10"/>
                <w:sz w:val="24"/>
                <w:szCs w:val="24"/>
                <w:highlight w:val="none"/>
                <w:lang w:val="en-US" w:eastAsia="zh-CN"/>
              </w:rPr>
              <w:t>10月</w:t>
            </w:r>
          </w:p>
        </w:tc>
        <w:tc>
          <w:tcPr>
            <w:tcW w:w="1258" w:type="dxa"/>
            <w:tcBorders>
              <w:top w:val="single" w:color="auto" w:sz="4" w:space="0"/>
              <w:left w:val="single" w:color="auto" w:sz="4" w:space="0"/>
              <w:bottom w:val="single" w:color="auto" w:sz="4" w:space="0"/>
              <w:right w:val="single" w:color="auto" w:sz="4" w:space="0"/>
            </w:tcBorders>
            <w:vAlign w:val="center"/>
          </w:tcPr>
          <w:p w14:paraId="5DD24E8B">
            <w:pPr>
              <w:pStyle w:val="15"/>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eastAsia"/>
                <w:color w:val="auto"/>
                <w:spacing w:val="-10"/>
                <w:sz w:val="24"/>
                <w:szCs w:val="24"/>
                <w:highlight w:val="none"/>
                <w:lang w:val="en-US" w:eastAsia="zh-CN"/>
              </w:rPr>
            </w:pP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14:paraId="601A996D">
            <w:pPr>
              <w:pStyle w:val="15"/>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eastAsia"/>
                <w:color w:val="auto"/>
                <w:spacing w:val="-10"/>
                <w:sz w:val="24"/>
                <w:szCs w:val="24"/>
                <w:highlight w:val="none"/>
                <w:lang w:val="en-US" w:eastAsia="zh-CN"/>
              </w:rPr>
            </w:pPr>
          </w:p>
        </w:tc>
      </w:tr>
      <w:tr w14:paraId="55044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766" w:type="dxa"/>
            <w:tcBorders>
              <w:top w:val="single" w:color="auto" w:sz="4" w:space="0"/>
              <w:left w:val="single" w:color="auto" w:sz="4" w:space="0"/>
              <w:bottom w:val="single" w:color="auto" w:sz="4" w:space="0"/>
              <w:right w:val="single" w:color="auto" w:sz="4" w:space="0"/>
            </w:tcBorders>
            <w:vAlign w:val="center"/>
          </w:tcPr>
          <w:p w14:paraId="6B936BBC">
            <w:pPr>
              <w:pStyle w:val="15"/>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color w:val="auto"/>
                <w:sz w:val="24"/>
                <w:szCs w:val="24"/>
                <w:highlight w:val="none"/>
              </w:rPr>
            </w:pPr>
            <w:r>
              <w:rPr>
                <w:color w:val="auto"/>
                <w:spacing w:val="-5"/>
                <w:sz w:val="24"/>
                <w:szCs w:val="24"/>
                <w:highlight w:val="none"/>
              </w:rPr>
              <w:t>3月</w:t>
            </w:r>
          </w:p>
        </w:tc>
        <w:tc>
          <w:tcPr>
            <w:tcW w:w="1236" w:type="dxa"/>
            <w:tcBorders>
              <w:top w:val="single" w:color="auto" w:sz="4" w:space="0"/>
              <w:left w:val="single" w:color="auto" w:sz="4" w:space="0"/>
              <w:bottom w:val="single" w:color="auto" w:sz="4" w:space="0"/>
              <w:right w:val="single" w:color="auto" w:sz="4" w:space="0"/>
            </w:tcBorders>
            <w:vAlign w:val="center"/>
          </w:tcPr>
          <w:p w14:paraId="22C8886D">
            <w:pPr>
              <w:pStyle w:val="15"/>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color w:val="auto"/>
                <w:spacing w:val="-10"/>
                <w:sz w:val="24"/>
                <w:szCs w:val="24"/>
                <w:highlight w:val="none"/>
                <w:lang w:val="en-US" w:eastAsia="zh-CN"/>
              </w:rPr>
            </w:pPr>
          </w:p>
        </w:tc>
        <w:tc>
          <w:tcPr>
            <w:tcW w:w="1242" w:type="dxa"/>
            <w:tcBorders>
              <w:top w:val="single" w:color="auto" w:sz="4" w:space="0"/>
              <w:left w:val="single" w:color="auto" w:sz="4" w:space="0"/>
              <w:bottom w:val="single" w:color="auto" w:sz="4" w:space="0"/>
              <w:right w:val="single" w:color="auto" w:sz="4" w:space="0"/>
            </w:tcBorders>
            <w:shd w:val="clear" w:color="auto" w:fill="auto"/>
            <w:vAlign w:val="center"/>
          </w:tcPr>
          <w:p w14:paraId="0D1E3820">
            <w:pPr>
              <w:pStyle w:val="15"/>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eastAsia"/>
                <w:color w:val="auto"/>
                <w:spacing w:val="-10"/>
                <w:sz w:val="24"/>
                <w:szCs w:val="24"/>
                <w:highlight w:val="none"/>
                <w:lang w:val="en-US" w:eastAsia="zh-CN"/>
              </w:rPr>
            </w:pPr>
          </w:p>
        </w:tc>
        <w:tc>
          <w:tcPr>
            <w:tcW w:w="936" w:type="dxa"/>
            <w:tcBorders>
              <w:top w:val="single" w:color="auto" w:sz="4" w:space="0"/>
              <w:left w:val="single" w:color="auto" w:sz="4" w:space="0"/>
              <w:bottom w:val="single" w:color="auto" w:sz="4" w:space="0"/>
              <w:right w:val="single" w:color="auto" w:sz="4" w:space="0"/>
            </w:tcBorders>
            <w:vAlign w:val="center"/>
          </w:tcPr>
          <w:p w14:paraId="4F5868F8">
            <w:pPr>
              <w:pStyle w:val="15"/>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color w:val="auto"/>
                <w:spacing w:val="-10"/>
                <w:sz w:val="24"/>
                <w:szCs w:val="24"/>
                <w:highlight w:val="none"/>
              </w:rPr>
            </w:pPr>
            <w:r>
              <w:rPr>
                <w:color w:val="auto"/>
                <w:spacing w:val="-10"/>
                <w:sz w:val="24"/>
                <w:szCs w:val="24"/>
                <w:highlight w:val="none"/>
              </w:rPr>
              <w:t>7月</w:t>
            </w:r>
          </w:p>
        </w:tc>
        <w:tc>
          <w:tcPr>
            <w:tcW w:w="1242" w:type="dxa"/>
            <w:tcBorders>
              <w:top w:val="single" w:color="auto" w:sz="4" w:space="0"/>
              <w:left w:val="single" w:color="auto" w:sz="4" w:space="0"/>
              <w:bottom w:val="single" w:color="auto" w:sz="4" w:space="0"/>
              <w:right w:val="single" w:color="auto" w:sz="4" w:space="0"/>
            </w:tcBorders>
            <w:vAlign w:val="center"/>
          </w:tcPr>
          <w:p w14:paraId="3AAA99C4">
            <w:pPr>
              <w:pStyle w:val="15"/>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eastAsia"/>
                <w:color w:val="auto"/>
                <w:spacing w:val="-10"/>
                <w:sz w:val="24"/>
                <w:szCs w:val="24"/>
                <w:highlight w:val="none"/>
                <w:lang w:val="en-US" w:eastAsia="zh-CN"/>
              </w:rPr>
            </w:pPr>
          </w:p>
        </w:tc>
        <w:tc>
          <w:tcPr>
            <w:tcW w:w="1242" w:type="dxa"/>
            <w:tcBorders>
              <w:top w:val="single" w:color="auto" w:sz="4" w:space="0"/>
              <w:left w:val="single" w:color="auto" w:sz="4" w:space="0"/>
              <w:bottom w:val="single" w:color="auto" w:sz="4" w:space="0"/>
              <w:right w:val="single" w:color="auto" w:sz="4" w:space="0"/>
            </w:tcBorders>
            <w:shd w:val="clear" w:color="auto" w:fill="auto"/>
            <w:vAlign w:val="center"/>
          </w:tcPr>
          <w:p w14:paraId="33BCA9C7">
            <w:pPr>
              <w:pStyle w:val="15"/>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eastAsia"/>
                <w:color w:val="auto"/>
                <w:spacing w:val="-10"/>
                <w:sz w:val="24"/>
                <w:szCs w:val="24"/>
                <w:highlight w:val="none"/>
                <w:lang w:val="en-US" w:eastAsia="zh-CN"/>
              </w:rPr>
            </w:pPr>
          </w:p>
        </w:tc>
        <w:tc>
          <w:tcPr>
            <w:tcW w:w="939" w:type="dxa"/>
            <w:tcBorders>
              <w:top w:val="single" w:color="auto" w:sz="4" w:space="0"/>
              <w:left w:val="single" w:color="auto" w:sz="4" w:space="0"/>
              <w:bottom w:val="single" w:color="auto" w:sz="4" w:space="0"/>
              <w:right w:val="single" w:color="auto" w:sz="4" w:space="0"/>
            </w:tcBorders>
            <w:vAlign w:val="center"/>
          </w:tcPr>
          <w:p w14:paraId="6E35C51B">
            <w:pPr>
              <w:pStyle w:val="15"/>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color w:val="auto"/>
                <w:spacing w:val="-10"/>
                <w:sz w:val="24"/>
                <w:szCs w:val="24"/>
                <w:highlight w:val="none"/>
              </w:rPr>
            </w:pPr>
            <w:r>
              <w:rPr>
                <w:rFonts w:hint="eastAsia"/>
                <w:color w:val="auto"/>
                <w:spacing w:val="-10"/>
                <w:sz w:val="24"/>
                <w:szCs w:val="24"/>
                <w:highlight w:val="none"/>
                <w:lang w:val="en-US" w:eastAsia="zh-CN"/>
              </w:rPr>
              <w:t>11</w:t>
            </w:r>
            <w:r>
              <w:rPr>
                <w:color w:val="auto"/>
                <w:spacing w:val="-10"/>
                <w:sz w:val="24"/>
                <w:szCs w:val="24"/>
                <w:highlight w:val="none"/>
              </w:rPr>
              <w:t>月</w:t>
            </w:r>
          </w:p>
        </w:tc>
        <w:tc>
          <w:tcPr>
            <w:tcW w:w="1258" w:type="dxa"/>
            <w:tcBorders>
              <w:top w:val="single" w:color="auto" w:sz="4" w:space="0"/>
              <w:left w:val="single" w:color="auto" w:sz="4" w:space="0"/>
              <w:bottom w:val="single" w:color="auto" w:sz="4" w:space="0"/>
              <w:right w:val="single" w:color="auto" w:sz="4" w:space="0"/>
            </w:tcBorders>
            <w:vAlign w:val="center"/>
          </w:tcPr>
          <w:p w14:paraId="0538660D">
            <w:pPr>
              <w:pStyle w:val="15"/>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eastAsia"/>
                <w:color w:val="auto"/>
                <w:spacing w:val="-10"/>
                <w:sz w:val="24"/>
                <w:szCs w:val="24"/>
                <w:highlight w:val="none"/>
                <w:lang w:val="en-US" w:eastAsia="zh-CN"/>
              </w:rPr>
            </w:pP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14:paraId="29F67FEF">
            <w:pPr>
              <w:pStyle w:val="15"/>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eastAsia"/>
                <w:color w:val="auto"/>
                <w:spacing w:val="-10"/>
                <w:sz w:val="24"/>
                <w:szCs w:val="24"/>
                <w:highlight w:val="none"/>
                <w:lang w:val="en-US" w:eastAsia="zh-CN"/>
              </w:rPr>
            </w:pPr>
          </w:p>
        </w:tc>
      </w:tr>
      <w:tr w14:paraId="1A048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766" w:type="dxa"/>
            <w:tcBorders>
              <w:top w:val="single" w:color="auto" w:sz="4" w:space="0"/>
              <w:left w:val="single" w:color="auto" w:sz="4" w:space="0"/>
              <w:bottom w:val="single" w:color="auto" w:sz="4" w:space="0"/>
              <w:right w:val="single" w:color="auto" w:sz="4" w:space="0"/>
            </w:tcBorders>
            <w:vAlign w:val="center"/>
          </w:tcPr>
          <w:p w14:paraId="05FF4EE6">
            <w:pPr>
              <w:pStyle w:val="15"/>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color w:val="auto"/>
                <w:sz w:val="24"/>
                <w:szCs w:val="24"/>
                <w:highlight w:val="none"/>
              </w:rPr>
            </w:pPr>
            <w:r>
              <w:rPr>
                <w:color w:val="auto"/>
                <w:spacing w:val="-2"/>
                <w:sz w:val="24"/>
                <w:szCs w:val="24"/>
                <w:highlight w:val="none"/>
              </w:rPr>
              <w:t>4月</w:t>
            </w:r>
          </w:p>
        </w:tc>
        <w:tc>
          <w:tcPr>
            <w:tcW w:w="1236" w:type="dxa"/>
            <w:tcBorders>
              <w:top w:val="single" w:color="auto" w:sz="4" w:space="0"/>
              <w:left w:val="single" w:color="auto" w:sz="4" w:space="0"/>
              <w:bottom w:val="single" w:color="auto" w:sz="4" w:space="0"/>
              <w:right w:val="single" w:color="auto" w:sz="4" w:space="0"/>
            </w:tcBorders>
            <w:vAlign w:val="center"/>
          </w:tcPr>
          <w:p w14:paraId="6708A9C4">
            <w:pPr>
              <w:pStyle w:val="15"/>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color w:val="auto"/>
                <w:spacing w:val="-10"/>
                <w:sz w:val="24"/>
                <w:szCs w:val="24"/>
                <w:highlight w:val="none"/>
                <w:lang w:val="en-US" w:eastAsia="zh-CN"/>
              </w:rPr>
            </w:pPr>
          </w:p>
        </w:tc>
        <w:tc>
          <w:tcPr>
            <w:tcW w:w="1242" w:type="dxa"/>
            <w:tcBorders>
              <w:top w:val="single" w:color="auto" w:sz="4" w:space="0"/>
              <w:left w:val="single" w:color="auto" w:sz="4" w:space="0"/>
              <w:bottom w:val="single" w:color="auto" w:sz="4" w:space="0"/>
              <w:right w:val="single" w:color="auto" w:sz="4" w:space="0"/>
            </w:tcBorders>
            <w:shd w:val="clear" w:color="auto" w:fill="auto"/>
            <w:vAlign w:val="center"/>
          </w:tcPr>
          <w:p w14:paraId="2115FBE5">
            <w:pPr>
              <w:pStyle w:val="15"/>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eastAsia"/>
                <w:color w:val="auto"/>
                <w:spacing w:val="-10"/>
                <w:sz w:val="24"/>
                <w:szCs w:val="24"/>
                <w:highlight w:val="none"/>
                <w:lang w:val="en-US" w:eastAsia="zh-CN"/>
              </w:rPr>
            </w:pPr>
          </w:p>
        </w:tc>
        <w:tc>
          <w:tcPr>
            <w:tcW w:w="936" w:type="dxa"/>
            <w:tcBorders>
              <w:top w:val="single" w:color="auto" w:sz="4" w:space="0"/>
              <w:left w:val="single" w:color="auto" w:sz="4" w:space="0"/>
              <w:bottom w:val="single" w:color="auto" w:sz="4" w:space="0"/>
              <w:right w:val="single" w:color="auto" w:sz="4" w:space="0"/>
            </w:tcBorders>
            <w:vAlign w:val="center"/>
          </w:tcPr>
          <w:p w14:paraId="468B6288">
            <w:pPr>
              <w:pStyle w:val="15"/>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color w:val="auto"/>
                <w:spacing w:val="-10"/>
                <w:sz w:val="24"/>
                <w:szCs w:val="24"/>
                <w:highlight w:val="none"/>
              </w:rPr>
            </w:pPr>
            <w:r>
              <w:rPr>
                <w:color w:val="auto"/>
                <w:spacing w:val="-10"/>
                <w:sz w:val="24"/>
                <w:szCs w:val="24"/>
                <w:highlight w:val="none"/>
              </w:rPr>
              <w:t>8月</w:t>
            </w:r>
          </w:p>
        </w:tc>
        <w:tc>
          <w:tcPr>
            <w:tcW w:w="1242" w:type="dxa"/>
            <w:tcBorders>
              <w:top w:val="single" w:color="auto" w:sz="4" w:space="0"/>
              <w:left w:val="single" w:color="auto" w:sz="4" w:space="0"/>
              <w:bottom w:val="single" w:color="auto" w:sz="4" w:space="0"/>
              <w:right w:val="single" w:color="auto" w:sz="4" w:space="0"/>
            </w:tcBorders>
            <w:vAlign w:val="center"/>
          </w:tcPr>
          <w:p w14:paraId="31750B16">
            <w:pPr>
              <w:pStyle w:val="15"/>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eastAsia"/>
                <w:color w:val="auto"/>
                <w:spacing w:val="-10"/>
                <w:sz w:val="24"/>
                <w:szCs w:val="24"/>
                <w:highlight w:val="none"/>
                <w:lang w:val="en-US" w:eastAsia="zh-CN"/>
              </w:rPr>
            </w:pPr>
          </w:p>
        </w:tc>
        <w:tc>
          <w:tcPr>
            <w:tcW w:w="1242" w:type="dxa"/>
            <w:tcBorders>
              <w:top w:val="single" w:color="auto" w:sz="4" w:space="0"/>
              <w:left w:val="single" w:color="auto" w:sz="4" w:space="0"/>
              <w:bottom w:val="single" w:color="auto" w:sz="4" w:space="0"/>
              <w:right w:val="single" w:color="auto" w:sz="4" w:space="0"/>
            </w:tcBorders>
            <w:shd w:val="clear" w:color="auto" w:fill="auto"/>
            <w:vAlign w:val="center"/>
          </w:tcPr>
          <w:p w14:paraId="49811A5D">
            <w:pPr>
              <w:pStyle w:val="15"/>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eastAsia"/>
                <w:color w:val="auto"/>
                <w:spacing w:val="-10"/>
                <w:sz w:val="24"/>
                <w:szCs w:val="24"/>
                <w:highlight w:val="none"/>
                <w:lang w:val="en-US" w:eastAsia="zh-CN"/>
              </w:rPr>
            </w:pPr>
          </w:p>
        </w:tc>
        <w:tc>
          <w:tcPr>
            <w:tcW w:w="939" w:type="dxa"/>
            <w:tcBorders>
              <w:top w:val="single" w:color="auto" w:sz="4" w:space="0"/>
              <w:left w:val="single" w:color="auto" w:sz="4" w:space="0"/>
              <w:bottom w:val="single" w:color="auto" w:sz="4" w:space="0"/>
              <w:right w:val="single" w:color="auto" w:sz="4" w:space="0"/>
            </w:tcBorders>
            <w:vAlign w:val="center"/>
          </w:tcPr>
          <w:p w14:paraId="3B7AAE37">
            <w:pPr>
              <w:pStyle w:val="15"/>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color w:val="auto"/>
                <w:spacing w:val="-10"/>
                <w:sz w:val="24"/>
                <w:szCs w:val="24"/>
                <w:highlight w:val="none"/>
              </w:rPr>
            </w:pPr>
            <w:r>
              <w:rPr>
                <w:rFonts w:hint="eastAsia"/>
                <w:color w:val="auto"/>
                <w:spacing w:val="-10"/>
                <w:sz w:val="24"/>
                <w:szCs w:val="24"/>
                <w:highlight w:val="none"/>
                <w:lang w:val="en-US" w:eastAsia="zh-CN"/>
              </w:rPr>
              <w:t>12</w:t>
            </w:r>
            <w:r>
              <w:rPr>
                <w:color w:val="auto"/>
                <w:spacing w:val="-10"/>
                <w:sz w:val="24"/>
                <w:szCs w:val="24"/>
                <w:highlight w:val="none"/>
              </w:rPr>
              <w:t>月</w:t>
            </w:r>
          </w:p>
        </w:tc>
        <w:tc>
          <w:tcPr>
            <w:tcW w:w="1258" w:type="dxa"/>
            <w:tcBorders>
              <w:top w:val="single" w:color="auto" w:sz="4" w:space="0"/>
              <w:left w:val="single" w:color="auto" w:sz="4" w:space="0"/>
              <w:bottom w:val="single" w:color="auto" w:sz="4" w:space="0"/>
              <w:right w:val="single" w:color="auto" w:sz="4" w:space="0"/>
            </w:tcBorders>
            <w:vAlign w:val="center"/>
          </w:tcPr>
          <w:p w14:paraId="086D79D9">
            <w:pPr>
              <w:pStyle w:val="15"/>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eastAsia"/>
                <w:color w:val="auto"/>
                <w:spacing w:val="-10"/>
                <w:sz w:val="24"/>
                <w:szCs w:val="24"/>
                <w:highlight w:val="none"/>
                <w:lang w:val="en-US" w:eastAsia="zh-CN"/>
              </w:rPr>
            </w:pP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14:paraId="738577B8">
            <w:pPr>
              <w:pStyle w:val="15"/>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eastAsia"/>
                <w:color w:val="auto"/>
                <w:spacing w:val="-10"/>
                <w:sz w:val="24"/>
                <w:szCs w:val="24"/>
                <w:highlight w:val="none"/>
                <w:lang w:val="en-US" w:eastAsia="zh-CN"/>
              </w:rPr>
            </w:pPr>
          </w:p>
        </w:tc>
      </w:tr>
      <w:tr w14:paraId="7AAD3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2" w:hRule="exact"/>
          <w:jc w:val="center"/>
        </w:trPr>
        <w:tc>
          <w:tcPr>
            <w:tcW w:w="10032" w:type="dxa"/>
            <w:gridSpan w:val="9"/>
            <w:tcBorders>
              <w:left w:val="single" w:color="auto" w:sz="4" w:space="0"/>
              <w:bottom w:val="single" w:color="auto" w:sz="4" w:space="0"/>
              <w:right w:val="single" w:color="auto" w:sz="4" w:space="0"/>
            </w:tcBorders>
            <w:vAlign w:val="top"/>
          </w:tcPr>
          <w:p w14:paraId="2C9C3E7F">
            <w:pPr>
              <w:pStyle w:val="15"/>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both"/>
              <w:textAlignment w:val="baseline"/>
              <w:rPr>
                <w:rFonts w:hint="eastAsia"/>
                <w:b/>
                <w:bCs/>
                <w:color w:val="auto"/>
                <w:spacing w:val="10"/>
                <w:sz w:val="24"/>
                <w:szCs w:val="24"/>
                <w:highlight w:val="none"/>
                <w:lang w:val="en-US" w:eastAsia="zh-CN"/>
              </w:rPr>
            </w:pPr>
            <w:r>
              <w:rPr>
                <w:rFonts w:hint="eastAsia"/>
                <w:b/>
                <w:bCs/>
                <w:color w:val="auto"/>
                <w:spacing w:val="10"/>
                <w:sz w:val="24"/>
                <w:szCs w:val="24"/>
                <w:highlight w:val="none"/>
                <w:lang w:val="en-US" w:eastAsia="zh-CN"/>
              </w:rPr>
              <w:t>填写要求：</w:t>
            </w:r>
          </w:p>
          <w:p w14:paraId="75B8447F">
            <w:pPr>
              <w:pStyle w:val="15"/>
              <w:keepNext w:val="0"/>
              <w:keepLines w:val="0"/>
              <w:pageBreakBefore w:val="0"/>
              <w:widowControl/>
              <w:numPr>
                <w:ilvl w:val="0"/>
                <w:numId w:val="0"/>
              </w:numPr>
              <w:kinsoku w:val="0"/>
              <w:wordWrap/>
              <w:overflowPunct/>
              <w:topLinePunct w:val="0"/>
              <w:autoSpaceDE w:val="0"/>
              <w:autoSpaceDN w:val="0"/>
              <w:bidi w:val="0"/>
              <w:adjustRightInd/>
              <w:snapToGrid/>
              <w:spacing w:line="240" w:lineRule="auto"/>
              <w:ind w:leftChars="0" w:right="0" w:rightChars="0" w:firstLine="260" w:firstLineChars="100"/>
              <w:jc w:val="both"/>
              <w:textAlignment w:val="baseline"/>
              <w:rPr>
                <w:rFonts w:hint="eastAsia"/>
                <w:color w:val="auto"/>
                <w:spacing w:val="10"/>
                <w:sz w:val="24"/>
                <w:szCs w:val="24"/>
                <w:highlight w:val="none"/>
                <w:lang w:val="en-US" w:eastAsia="zh-CN"/>
              </w:rPr>
            </w:pPr>
            <w:r>
              <w:rPr>
                <w:rFonts w:hint="eastAsia"/>
                <w:color w:val="auto"/>
                <w:spacing w:val="10"/>
                <w:sz w:val="24"/>
                <w:szCs w:val="24"/>
                <w:highlight w:val="none"/>
                <w:lang w:val="en-US" w:eastAsia="zh-CN"/>
              </w:rPr>
              <w:t>1、零售套餐价格参数及电量参数由合同双方填写之处，合同双方应根据实际情况填写。如合同双方约定无需填写的，则应注明“无”，若需填写处为空白且合同范本未规定的，则按照“无”处理。</w:t>
            </w:r>
          </w:p>
          <w:p w14:paraId="55E74DB5">
            <w:pPr>
              <w:pStyle w:val="15"/>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260" w:firstLineChars="100"/>
              <w:jc w:val="both"/>
              <w:textAlignment w:val="baseline"/>
              <w:rPr>
                <w:rFonts w:hint="default"/>
                <w:color w:val="auto"/>
                <w:spacing w:val="10"/>
                <w:sz w:val="24"/>
                <w:szCs w:val="24"/>
                <w:highlight w:val="none"/>
                <w:lang w:val="en-US" w:eastAsia="zh-CN"/>
              </w:rPr>
            </w:pPr>
            <w:r>
              <w:rPr>
                <w:rFonts w:hint="eastAsia"/>
                <w:color w:val="auto"/>
                <w:spacing w:val="10"/>
                <w:sz w:val="24"/>
                <w:szCs w:val="24"/>
                <w:highlight w:val="none"/>
                <w:lang w:val="en-US" w:eastAsia="zh-CN"/>
              </w:rPr>
              <w:t>2、零售套餐价格参数中合同电量和常规电力电价必填，若甲方有绿色电力需求，须填写绿电需求电量和绿色电力电价的相关参数。</w:t>
            </w:r>
          </w:p>
          <w:p w14:paraId="006074EA">
            <w:pPr>
              <w:pStyle w:val="15"/>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260" w:firstLineChars="100"/>
              <w:jc w:val="both"/>
              <w:textAlignment w:val="baseline"/>
              <w:rPr>
                <w:rFonts w:hint="eastAsia"/>
                <w:color w:val="auto"/>
                <w:spacing w:val="10"/>
                <w:sz w:val="24"/>
                <w:szCs w:val="24"/>
                <w:highlight w:val="none"/>
                <w:lang w:val="en-US" w:eastAsia="zh-CN"/>
              </w:rPr>
            </w:pPr>
            <w:r>
              <w:rPr>
                <w:rFonts w:hint="eastAsia"/>
                <w:color w:val="auto"/>
                <w:spacing w:val="10"/>
                <w:sz w:val="24"/>
                <w:szCs w:val="24"/>
                <w:highlight w:val="none"/>
                <w:lang w:val="en-US" w:eastAsia="zh-CN"/>
              </w:rPr>
              <w:t>3、</w:t>
            </w:r>
            <w:r>
              <w:rPr>
                <w:rFonts w:hint="eastAsia"/>
                <w:color w:val="auto"/>
                <w:spacing w:val="4"/>
                <w:sz w:val="24"/>
                <w:szCs w:val="24"/>
                <w:highlight w:val="none"/>
                <w:lang w:val="en-US" w:eastAsia="zh-CN"/>
              </w:rPr>
              <w:t>零售套餐电量参数中的</w:t>
            </w:r>
            <w:r>
              <w:rPr>
                <w:color w:val="auto"/>
                <w:spacing w:val="10"/>
                <w:sz w:val="24"/>
                <w:szCs w:val="24"/>
                <w:highlight w:val="none"/>
              </w:rPr>
              <w:t>合同</w:t>
            </w:r>
            <w:r>
              <w:rPr>
                <w:rFonts w:hint="eastAsia"/>
                <w:color w:val="auto"/>
                <w:spacing w:val="10"/>
                <w:sz w:val="24"/>
                <w:szCs w:val="24"/>
                <w:highlight w:val="none"/>
                <w:lang w:val="en-US" w:eastAsia="zh-CN"/>
              </w:rPr>
              <w:t>电</w:t>
            </w:r>
            <w:r>
              <w:rPr>
                <w:color w:val="auto"/>
                <w:spacing w:val="10"/>
                <w:sz w:val="24"/>
                <w:szCs w:val="24"/>
                <w:highlight w:val="none"/>
              </w:rPr>
              <w:t>量为甲方</w:t>
            </w:r>
            <w:r>
              <w:rPr>
                <w:rFonts w:hint="eastAsia"/>
                <w:color w:val="auto"/>
                <w:spacing w:val="10"/>
                <w:sz w:val="24"/>
                <w:szCs w:val="24"/>
                <w:highlight w:val="none"/>
                <w:lang w:val="en-US" w:eastAsia="zh-CN"/>
              </w:rPr>
              <w:t>的</w:t>
            </w:r>
            <w:r>
              <w:rPr>
                <w:color w:val="auto"/>
                <w:spacing w:val="10"/>
                <w:sz w:val="24"/>
                <w:szCs w:val="24"/>
                <w:highlight w:val="none"/>
              </w:rPr>
              <w:t>全部电量，</w:t>
            </w:r>
            <w:r>
              <w:rPr>
                <w:rFonts w:hint="eastAsia"/>
                <w:color w:val="auto"/>
                <w:spacing w:val="10"/>
                <w:sz w:val="24"/>
                <w:szCs w:val="24"/>
                <w:highlight w:val="none"/>
                <w:lang w:val="en-US" w:eastAsia="zh-CN"/>
              </w:rPr>
              <w:t>单位为兆瓦时，保留3位小数。</w:t>
            </w:r>
          </w:p>
          <w:p w14:paraId="0A04F0DA">
            <w:pPr>
              <w:pStyle w:val="15"/>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260" w:firstLineChars="100"/>
              <w:jc w:val="both"/>
              <w:textAlignment w:val="baseline"/>
              <w:rPr>
                <w:rFonts w:hint="default"/>
                <w:color w:val="auto"/>
                <w:spacing w:val="10"/>
                <w:sz w:val="24"/>
                <w:szCs w:val="24"/>
                <w:highlight w:val="none"/>
                <w:lang w:val="en-US"/>
              </w:rPr>
            </w:pPr>
            <w:r>
              <w:rPr>
                <w:rFonts w:hint="eastAsia"/>
                <w:color w:val="auto"/>
                <w:spacing w:val="10"/>
                <w:sz w:val="24"/>
                <w:szCs w:val="24"/>
                <w:highlight w:val="none"/>
                <w:lang w:val="en-US" w:eastAsia="zh-CN"/>
              </w:rPr>
              <w:t>4、零售套餐电量参数中的绿电需求电量为甲方全部电量中的绿色电力需求部分，绿色需求电量须小于等于合同电量，且大于等于当月已签订的PPA协议电量</w:t>
            </w:r>
            <w:r>
              <w:rPr>
                <w:color w:val="auto"/>
                <w:spacing w:val="9"/>
                <w:sz w:val="24"/>
                <w:szCs w:val="24"/>
                <w:highlight w:val="none"/>
              </w:rPr>
              <w:t>。</w:t>
            </w:r>
            <w:r>
              <w:rPr>
                <w:rFonts w:hint="eastAsia"/>
                <w:color w:val="auto"/>
                <w:spacing w:val="9"/>
                <w:sz w:val="24"/>
                <w:szCs w:val="24"/>
                <w:highlight w:val="none"/>
                <w:lang w:val="en-US" w:eastAsia="zh-CN"/>
              </w:rPr>
              <w:t>绿色</w:t>
            </w:r>
            <w:r>
              <w:rPr>
                <w:rFonts w:hint="eastAsia"/>
                <w:color w:val="auto"/>
                <w:spacing w:val="4"/>
                <w:sz w:val="24"/>
                <w:szCs w:val="24"/>
                <w:highlight w:val="none"/>
                <w:lang w:val="en-US" w:eastAsia="zh-CN"/>
              </w:rPr>
              <w:t>电力交易以1兆瓦时为最小交易单位，填写</w:t>
            </w:r>
            <w:r>
              <w:rPr>
                <w:rFonts w:hint="eastAsia"/>
                <w:color w:val="auto"/>
                <w:spacing w:val="10"/>
                <w:sz w:val="24"/>
                <w:szCs w:val="24"/>
                <w:highlight w:val="none"/>
                <w:lang w:val="en-US" w:eastAsia="zh-CN"/>
              </w:rPr>
              <w:t>绿电需求电量</w:t>
            </w:r>
            <w:r>
              <w:rPr>
                <w:rFonts w:hint="eastAsia"/>
                <w:color w:val="auto"/>
                <w:spacing w:val="4"/>
                <w:sz w:val="24"/>
                <w:szCs w:val="24"/>
                <w:highlight w:val="none"/>
                <w:lang w:val="en-US" w:eastAsia="zh-CN"/>
              </w:rPr>
              <w:t>时应为整数，若</w:t>
            </w:r>
            <w:r>
              <w:rPr>
                <w:rFonts w:hint="eastAsia"/>
                <w:color w:val="auto"/>
                <w:spacing w:val="10"/>
                <w:sz w:val="24"/>
                <w:szCs w:val="24"/>
                <w:highlight w:val="none"/>
                <w:lang w:val="en-US" w:eastAsia="zh-CN"/>
              </w:rPr>
              <w:t>绿电需求电量</w:t>
            </w:r>
            <w:r>
              <w:rPr>
                <w:rFonts w:hint="eastAsia"/>
                <w:color w:val="auto"/>
                <w:spacing w:val="4"/>
                <w:sz w:val="24"/>
                <w:szCs w:val="24"/>
                <w:highlight w:val="none"/>
                <w:lang w:val="en-US" w:eastAsia="zh-CN"/>
              </w:rPr>
              <w:t>未填写为整数的，则按“取整”处理。</w:t>
            </w:r>
          </w:p>
        </w:tc>
      </w:tr>
    </w:tbl>
    <w:p w14:paraId="1BECF228">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default"/>
          <w:color w:val="auto"/>
          <w:highlight w:val="none"/>
          <w:lang w:val="en-US" w:eastAsia="zh-CN"/>
        </w:rPr>
      </w:pPr>
    </w:p>
    <w:p w14:paraId="5A55105C">
      <w:pPr>
        <w:pStyle w:val="5"/>
        <w:rPr>
          <w:rFonts w:hint="default"/>
          <w:color w:val="auto"/>
          <w:highlight w:val="none"/>
          <w:lang w:val="en-US" w:eastAsia="zh-CN"/>
        </w:rPr>
      </w:pPr>
    </w:p>
    <w:p w14:paraId="7E89C6F0">
      <w:pPr>
        <w:rPr>
          <w:rFonts w:hint="default"/>
          <w:color w:val="auto"/>
          <w:highlight w:val="none"/>
          <w:lang w:val="en-US" w:eastAsia="zh-CN"/>
        </w:rPr>
      </w:pPr>
    </w:p>
    <w:p w14:paraId="4BF645C3">
      <w:pPr>
        <w:pStyle w:val="5"/>
        <w:rPr>
          <w:rFonts w:hint="default"/>
          <w:color w:val="auto"/>
          <w:highlight w:val="none"/>
          <w:lang w:val="en-US" w:eastAsia="zh-CN"/>
        </w:rPr>
      </w:pPr>
    </w:p>
    <w:p w14:paraId="45B53034">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auto"/>
          <w:spacing w:val="-5"/>
          <w:sz w:val="28"/>
          <w:szCs w:val="28"/>
          <w:highlight w:val="none"/>
          <w:lang w:val="en-US" w:eastAsia="zh-CN"/>
        </w:rPr>
        <w:sectPr>
          <w:type w:val="continuous"/>
          <w:pgSz w:w="11906" w:h="16838"/>
          <w:pgMar w:top="1440" w:right="1800" w:bottom="1440" w:left="1800" w:header="851" w:footer="992" w:gutter="0"/>
          <w:pgNumType w:fmt="decimal"/>
          <w:cols w:space="425" w:num="1"/>
          <w:docGrid w:type="lines" w:linePitch="312" w:charSpace="0"/>
        </w:sectPr>
      </w:pPr>
    </w:p>
    <w:p w14:paraId="188CDF1C">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default" w:ascii="仿宋_GB2312" w:hAnsi="仿宋_GB2312" w:eastAsia="仿宋_GB2312" w:cs="仿宋_GB2312"/>
          <w:color w:val="0000FF"/>
          <w:spacing w:val="-5"/>
          <w:sz w:val="28"/>
          <w:szCs w:val="28"/>
          <w:highlight w:val="cyan"/>
          <w:lang w:val="en-US" w:eastAsia="zh-CN"/>
        </w:rPr>
      </w:pPr>
      <w:r>
        <w:rPr>
          <w:rFonts w:hint="eastAsia" w:ascii="仿宋_GB2312" w:hAnsi="仿宋_GB2312" w:eastAsia="仿宋_GB2312" w:cs="仿宋_GB2312"/>
          <w:color w:val="0000FF"/>
          <w:spacing w:val="-5"/>
          <w:sz w:val="28"/>
          <w:szCs w:val="28"/>
          <w:highlight w:val="cyan"/>
          <w:lang w:val="en-US" w:eastAsia="zh-CN"/>
        </w:rPr>
        <w:t>甲方（零售用户）：北京市昌平区南口社区卫生服务中心</w:t>
      </w:r>
    </w:p>
    <w:p w14:paraId="670C5CEC">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0000FF"/>
          <w:spacing w:val="-5"/>
          <w:sz w:val="28"/>
          <w:szCs w:val="28"/>
          <w:highlight w:val="cyan"/>
        </w:rPr>
      </w:pPr>
      <w:r>
        <w:rPr>
          <w:rFonts w:hint="eastAsia" w:ascii="仿宋_GB2312" w:hAnsi="仿宋_GB2312" w:eastAsia="仿宋_GB2312" w:cs="仿宋_GB2312"/>
          <w:color w:val="0000FF"/>
          <w:spacing w:val="-5"/>
          <w:sz w:val="28"/>
          <w:szCs w:val="28"/>
          <w:highlight w:val="cyan"/>
        </w:rPr>
        <w:t>（盖章）</w:t>
      </w:r>
      <w:bookmarkStart w:id="0" w:name="_GoBack"/>
      <w:bookmarkEnd w:id="0"/>
    </w:p>
    <w:p w14:paraId="0AEAD72F">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0000FF"/>
          <w:spacing w:val="-5"/>
          <w:sz w:val="28"/>
          <w:szCs w:val="28"/>
          <w:highlight w:val="cyan"/>
          <w:lang w:val="en-US" w:eastAsia="zh-CN"/>
        </w:rPr>
      </w:pPr>
      <w:r>
        <w:rPr>
          <w:rFonts w:hint="eastAsia" w:ascii="仿宋_GB2312" w:hAnsi="仿宋_GB2312" w:eastAsia="仿宋_GB2312" w:cs="仿宋_GB2312"/>
          <w:color w:val="0000FF"/>
          <w:spacing w:val="-5"/>
          <w:sz w:val="28"/>
          <w:szCs w:val="28"/>
          <w:highlight w:val="cyan"/>
          <w:lang w:val="en-US" w:eastAsia="zh-CN"/>
        </w:rPr>
        <w:t>法定代表人（负责人）或</w:t>
      </w:r>
    </w:p>
    <w:p w14:paraId="4A294060">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0000FF"/>
          <w:sz w:val="28"/>
          <w:szCs w:val="28"/>
          <w:highlight w:val="cyan"/>
          <w:lang w:val="en-US" w:eastAsia="zh-CN"/>
        </w:rPr>
      </w:pPr>
      <w:r>
        <w:rPr>
          <w:rFonts w:hint="eastAsia" w:ascii="仿宋_GB2312" w:hAnsi="仿宋_GB2312" w:eastAsia="仿宋_GB2312" w:cs="仿宋_GB2312"/>
          <w:color w:val="0000FF"/>
          <w:spacing w:val="-5"/>
          <w:sz w:val="28"/>
          <w:szCs w:val="28"/>
          <w:highlight w:val="cyan"/>
          <w:lang w:val="en-US" w:eastAsia="zh-CN"/>
        </w:rPr>
        <w:t>授权代表（签字）：</w:t>
      </w:r>
    </w:p>
    <w:p w14:paraId="1F0802F0">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default" w:ascii="仿宋_GB2312" w:hAnsi="仿宋_GB2312" w:eastAsia="仿宋_GB2312" w:cs="仿宋_GB2312"/>
          <w:color w:val="auto"/>
          <w:spacing w:val="-5"/>
          <w:sz w:val="28"/>
          <w:szCs w:val="28"/>
          <w:highlight w:val="none"/>
          <w:lang w:val="en-US" w:eastAsia="zh-CN"/>
        </w:rPr>
      </w:pPr>
      <w:r>
        <w:rPr>
          <w:rFonts w:hint="eastAsia" w:ascii="仿宋_GB2312" w:hAnsi="仿宋_GB2312" w:eastAsia="仿宋_GB2312" w:cs="仿宋_GB2312"/>
          <w:color w:val="auto"/>
          <w:spacing w:val="-5"/>
          <w:sz w:val="28"/>
          <w:szCs w:val="28"/>
          <w:highlight w:val="none"/>
          <w:lang w:val="en-US" w:eastAsia="zh-CN"/>
        </w:rPr>
        <w:t>乙方（售电公司）：北京京能新能源有限公司</w:t>
      </w:r>
    </w:p>
    <w:p w14:paraId="4C36BE80">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auto"/>
          <w:spacing w:val="-5"/>
          <w:sz w:val="28"/>
          <w:szCs w:val="28"/>
          <w:highlight w:val="none"/>
          <w:lang w:val="en-US" w:eastAsia="zh-CN"/>
        </w:rPr>
      </w:pPr>
      <w:r>
        <w:rPr>
          <w:rFonts w:hint="eastAsia" w:ascii="仿宋_GB2312" w:hAnsi="仿宋_GB2312" w:eastAsia="仿宋_GB2312" w:cs="仿宋_GB2312"/>
          <w:color w:val="auto"/>
          <w:spacing w:val="-5"/>
          <w:sz w:val="28"/>
          <w:szCs w:val="28"/>
          <w:highlight w:val="none"/>
          <w:lang w:val="en-US" w:eastAsia="zh-CN"/>
        </w:rPr>
        <w:t>（盖章）</w:t>
      </w:r>
    </w:p>
    <w:p w14:paraId="508C4BA9">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auto"/>
          <w:spacing w:val="-5"/>
          <w:sz w:val="28"/>
          <w:szCs w:val="28"/>
          <w:highlight w:val="none"/>
          <w:lang w:val="en-US" w:eastAsia="zh-CN"/>
        </w:rPr>
      </w:pPr>
      <w:r>
        <w:rPr>
          <w:rFonts w:hint="eastAsia" w:ascii="仿宋_GB2312" w:hAnsi="仿宋_GB2312" w:eastAsia="仿宋_GB2312" w:cs="仿宋_GB2312"/>
          <w:color w:val="auto"/>
          <w:spacing w:val="-5"/>
          <w:sz w:val="28"/>
          <w:szCs w:val="28"/>
          <w:highlight w:val="none"/>
          <w:lang w:val="en-US" w:eastAsia="zh-CN"/>
        </w:rPr>
        <w:t>法定代表人（负责人）或</w:t>
      </w:r>
    </w:p>
    <w:p w14:paraId="4EDB39C8">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auto"/>
          <w:spacing w:val="-5"/>
          <w:sz w:val="28"/>
          <w:szCs w:val="28"/>
          <w:highlight w:val="none"/>
          <w:lang w:val="en-US" w:eastAsia="zh-CN"/>
        </w:rPr>
      </w:pPr>
      <w:r>
        <w:rPr>
          <w:rFonts w:hint="eastAsia" w:ascii="仿宋_GB2312" w:hAnsi="仿宋_GB2312" w:eastAsia="仿宋_GB2312" w:cs="仿宋_GB2312"/>
          <w:color w:val="auto"/>
          <w:spacing w:val="-5"/>
          <w:sz w:val="28"/>
          <w:szCs w:val="28"/>
          <w:highlight w:val="none"/>
          <w:lang w:val="en-US" w:eastAsia="zh-CN"/>
        </w:rPr>
        <w:t>授权代表（签字）：</w:t>
      </w:r>
    </w:p>
    <w:p w14:paraId="3D26CE9C">
      <w:pPr>
        <w:pStyle w:val="5"/>
        <w:rPr>
          <w:rFonts w:hint="default"/>
          <w:color w:val="auto"/>
          <w:highlight w:val="none"/>
          <w:lang w:val="en-US" w:eastAsia="zh-CN"/>
        </w:rPr>
      </w:pPr>
    </w:p>
    <w:p w14:paraId="2A6CC9C2">
      <w:pPr>
        <w:rPr>
          <w:rFonts w:hint="eastAsia" w:ascii="仿宋_GB2312" w:hAnsi="仿宋_GB2312" w:eastAsia="仿宋_GB2312" w:cs="仿宋_GB2312"/>
          <w:color w:val="auto"/>
          <w:sz w:val="28"/>
          <w:szCs w:val="28"/>
          <w:highlight w:val="none"/>
          <w:lang w:val="en-US" w:eastAsia="zh-CN"/>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14:paraId="6826B0B3">
      <w:pPr>
        <w:pStyle w:val="5"/>
        <w:rPr>
          <w:rFonts w:hint="default"/>
          <w:color w:val="auto"/>
          <w:highlight w:val="none"/>
          <w:lang w:val="en-US" w:eastAsia="zh-CN"/>
        </w:rPr>
      </w:pPr>
    </w:p>
    <w:sectPr>
      <w:type w:val="continuous"/>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AFBAECE-F6A4-4F64-9398-2B0420D0928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1814604-BB3D-4925-92DA-E416749382E6}"/>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embedRegular r:id="rId3" w:fontKey="{DAA7AA44-1DD3-4EC6-99D3-303E33482505}"/>
  </w:font>
  <w:font w:name="方正小标宋_GBK">
    <w:panose1 w:val="02000000000000000000"/>
    <w:charset w:val="86"/>
    <w:family w:val="auto"/>
    <w:pitch w:val="default"/>
    <w:sig w:usb0="A00002BF" w:usb1="38CF7CFA" w:usb2="00082016" w:usb3="00000000" w:csb0="00040001" w:csb1="00000000"/>
    <w:embedRegular r:id="rId4" w:fontKey="{8F838EFE-9119-436C-84C2-423709FB2E40}"/>
  </w:font>
  <w:font w:name="仿宋_GB2312">
    <w:panose1 w:val="02010609030101010101"/>
    <w:charset w:val="86"/>
    <w:family w:val="auto"/>
    <w:pitch w:val="default"/>
    <w:sig w:usb0="00000001" w:usb1="080E0000" w:usb2="00000000" w:usb3="00000000" w:csb0="00040000" w:csb1="00000000"/>
    <w:embedRegular r:id="rId5" w:fontKey="{31CCE97D-ECCB-45AD-858F-E7C98E6D51A9}"/>
  </w:font>
  <w:font w:name="楷体_GB2312">
    <w:panose1 w:val="02010609030101010101"/>
    <w:charset w:val="86"/>
    <w:family w:val="modern"/>
    <w:pitch w:val="default"/>
    <w:sig w:usb0="00000001" w:usb1="080E0000" w:usb2="00000000" w:usb3="00000000" w:csb0="00040000" w:csb1="00000000"/>
    <w:embedRegular r:id="rId6" w:fontKey="{07BEB381-83BE-4DD5-B65B-EBF9D65AF7A6}"/>
  </w:font>
  <w:font w:name="Cambria Math">
    <w:panose1 w:val="02040503050406030204"/>
    <w:charset w:val="00"/>
    <w:family w:val="auto"/>
    <w:pitch w:val="default"/>
    <w:sig w:usb0="E00006FF" w:usb1="420024FF" w:usb2="02000000" w:usb3="00000000" w:csb0="2000019F" w:csb1="00000000"/>
    <w:embedRegular r:id="rId7" w:fontKey="{DD276561-4BDA-4A66-93DA-43E3D5E87217}"/>
  </w:font>
  <w:font w:name="仿宋">
    <w:panose1 w:val="02010609060101010101"/>
    <w:charset w:val="86"/>
    <w:family w:val="modern"/>
    <w:pitch w:val="default"/>
    <w:sig w:usb0="800002BF" w:usb1="38CF7CFA" w:usb2="00000016" w:usb3="00000000" w:csb0="00040001" w:csb1="00000000"/>
    <w:embedRegular r:id="rId8" w:fontKey="{B231BE01-82AC-454E-B371-B08AE0129BA4}"/>
  </w:font>
  <w:font w:name="WPSEMBED1">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B746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F03FC0">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3F03FC0">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AB045">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F423D6">
                          <w:pPr>
                            <w:pStyle w:val="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7F423D6">
                    <w:pPr>
                      <w:pStyle w:val="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097C7">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E03FC2">
                          <w:pPr>
                            <w:pStyle w:val="6"/>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1E03FC2">
                    <w:pPr>
                      <w:pStyle w:val="6"/>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1C455">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5FF526">
                          <w:pPr>
                            <w:pStyle w:val="6"/>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C5FF526">
                    <w:pPr>
                      <w:pStyle w:val="6"/>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1D029C"/>
    <w:multiLevelType w:val="singleLevel"/>
    <w:tmpl w:val="0B1D029C"/>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iN2NhNDVlNTIxYWFjMzkzMWRiYjM3OTk2YzAyMTkifQ=="/>
  </w:docVars>
  <w:rsids>
    <w:rsidRoot w:val="40C30BEB"/>
    <w:rsid w:val="003F5C99"/>
    <w:rsid w:val="00613FB0"/>
    <w:rsid w:val="01026649"/>
    <w:rsid w:val="0134599A"/>
    <w:rsid w:val="0151328C"/>
    <w:rsid w:val="017F5000"/>
    <w:rsid w:val="01D033E4"/>
    <w:rsid w:val="02106D08"/>
    <w:rsid w:val="0217502C"/>
    <w:rsid w:val="027726A8"/>
    <w:rsid w:val="028104AB"/>
    <w:rsid w:val="028F60A8"/>
    <w:rsid w:val="02C31918"/>
    <w:rsid w:val="02D138B3"/>
    <w:rsid w:val="02F20788"/>
    <w:rsid w:val="02FC59AB"/>
    <w:rsid w:val="030376E3"/>
    <w:rsid w:val="031A5E9C"/>
    <w:rsid w:val="032C3DC2"/>
    <w:rsid w:val="037C40D5"/>
    <w:rsid w:val="03C2587E"/>
    <w:rsid w:val="044C59B4"/>
    <w:rsid w:val="051F32A1"/>
    <w:rsid w:val="0547021D"/>
    <w:rsid w:val="05D3562A"/>
    <w:rsid w:val="05F4610C"/>
    <w:rsid w:val="061D0F87"/>
    <w:rsid w:val="06811895"/>
    <w:rsid w:val="06BE0C4C"/>
    <w:rsid w:val="06CB3BCD"/>
    <w:rsid w:val="071C6C9B"/>
    <w:rsid w:val="073A17F3"/>
    <w:rsid w:val="07963262"/>
    <w:rsid w:val="08583ABA"/>
    <w:rsid w:val="089139CF"/>
    <w:rsid w:val="089E5421"/>
    <w:rsid w:val="08A737BE"/>
    <w:rsid w:val="08D7431A"/>
    <w:rsid w:val="094D4CD7"/>
    <w:rsid w:val="09D36D65"/>
    <w:rsid w:val="09DB5DFF"/>
    <w:rsid w:val="0A132D5F"/>
    <w:rsid w:val="0A1C5C78"/>
    <w:rsid w:val="0A3204CF"/>
    <w:rsid w:val="0A3D172D"/>
    <w:rsid w:val="0AD601E0"/>
    <w:rsid w:val="0B2909CE"/>
    <w:rsid w:val="0B3456C7"/>
    <w:rsid w:val="0B6039B7"/>
    <w:rsid w:val="0C18511B"/>
    <w:rsid w:val="0C295EEB"/>
    <w:rsid w:val="0C4458AD"/>
    <w:rsid w:val="0C6628DC"/>
    <w:rsid w:val="0CA05112"/>
    <w:rsid w:val="0CD15ECF"/>
    <w:rsid w:val="0D050461"/>
    <w:rsid w:val="0D252E3D"/>
    <w:rsid w:val="0D34053F"/>
    <w:rsid w:val="0D3F5AF7"/>
    <w:rsid w:val="0D667CE4"/>
    <w:rsid w:val="0D79646A"/>
    <w:rsid w:val="0D925663"/>
    <w:rsid w:val="0EAD7AAA"/>
    <w:rsid w:val="0EBD6C3D"/>
    <w:rsid w:val="0EDA40A4"/>
    <w:rsid w:val="0EDC0848"/>
    <w:rsid w:val="0EE53537"/>
    <w:rsid w:val="0F2F6ECE"/>
    <w:rsid w:val="0F451552"/>
    <w:rsid w:val="0F601A19"/>
    <w:rsid w:val="102875D5"/>
    <w:rsid w:val="111F1D8E"/>
    <w:rsid w:val="11206427"/>
    <w:rsid w:val="113D61E3"/>
    <w:rsid w:val="1145737B"/>
    <w:rsid w:val="1152079C"/>
    <w:rsid w:val="11740F96"/>
    <w:rsid w:val="1209283C"/>
    <w:rsid w:val="124F6B19"/>
    <w:rsid w:val="12685735"/>
    <w:rsid w:val="12A1781C"/>
    <w:rsid w:val="131E6B55"/>
    <w:rsid w:val="13C65C33"/>
    <w:rsid w:val="13E001AE"/>
    <w:rsid w:val="144264FB"/>
    <w:rsid w:val="144E2796"/>
    <w:rsid w:val="145A27B4"/>
    <w:rsid w:val="149D21F5"/>
    <w:rsid w:val="14EE42AD"/>
    <w:rsid w:val="150767E5"/>
    <w:rsid w:val="15611CF6"/>
    <w:rsid w:val="158E7435"/>
    <w:rsid w:val="15EE70EA"/>
    <w:rsid w:val="161B453D"/>
    <w:rsid w:val="16733D65"/>
    <w:rsid w:val="1677276B"/>
    <w:rsid w:val="18476BAC"/>
    <w:rsid w:val="18490F0B"/>
    <w:rsid w:val="187058AA"/>
    <w:rsid w:val="188A58FE"/>
    <w:rsid w:val="18964ECD"/>
    <w:rsid w:val="18B03077"/>
    <w:rsid w:val="18B143E1"/>
    <w:rsid w:val="18DC4CBA"/>
    <w:rsid w:val="18E2072C"/>
    <w:rsid w:val="1962515C"/>
    <w:rsid w:val="19741A10"/>
    <w:rsid w:val="197A2E60"/>
    <w:rsid w:val="19D741AC"/>
    <w:rsid w:val="1A113891"/>
    <w:rsid w:val="1A5B4F79"/>
    <w:rsid w:val="1A673A3F"/>
    <w:rsid w:val="1A972BB0"/>
    <w:rsid w:val="1AAB12CD"/>
    <w:rsid w:val="1AAC7D95"/>
    <w:rsid w:val="1AAD78D2"/>
    <w:rsid w:val="1AB577BF"/>
    <w:rsid w:val="1AFA6011"/>
    <w:rsid w:val="1B550B8A"/>
    <w:rsid w:val="1B614A55"/>
    <w:rsid w:val="1B751080"/>
    <w:rsid w:val="1C007608"/>
    <w:rsid w:val="1C021606"/>
    <w:rsid w:val="1C595A1E"/>
    <w:rsid w:val="1CA255E6"/>
    <w:rsid w:val="1CCC57BD"/>
    <w:rsid w:val="1CF1204F"/>
    <w:rsid w:val="1D0111BB"/>
    <w:rsid w:val="1D6B2111"/>
    <w:rsid w:val="1D936543"/>
    <w:rsid w:val="1DF24F99"/>
    <w:rsid w:val="1E156D0A"/>
    <w:rsid w:val="1E741D98"/>
    <w:rsid w:val="1EBF2CA7"/>
    <w:rsid w:val="1ECB124D"/>
    <w:rsid w:val="1F37344D"/>
    <w:rsid w:val="1F854A0E"/>
    <w:rsid w:val="1FA36039"/>
    <w:rsid w:val="1FDA2871"/>
    <w:rsid w:val="1FF93223"/>
    <w:rsid w:val="204C587C"/>
    <w:rsid w:val="20DA78EB"/>
    <w:rsid w:val="20ED600B"/>
    <w:rsid w:val="214B2AE3"/>
    <w:rsid w:val="215E679A"/>
    <w:rsid w:val="2196690E"/>
    <w:rsid w:val="21AF1AF1"/>
    <w:rsid w:val="225625D4"/>
    <w:rsid w:val="22657243"/>
    <w:rsid w:val="22F70505"/>
    <w:rsid w:val="23255EA0"/>
    <w:rsid w:val="232568C3"/>
    <w:rsid w:val="235145D0"/>
    <w:rsid w:val="235774D3"/>
    <w:rsid w:val="2369154D"/>
    <w:rsid w:val="23E10A82"/>
    <w:rsid w:val="24130D3D"/>
    <w:rsid w:val="245D4E70"/>
    <w:rsid w:val="24614D1D"/>
    <w:rsid w:val="24621101"/>
    <w:rsid w:val="24F76BB2"/>
    <w:rsid w:val="250167D7"/>
    <w:rsid w:val="250A08A4"/>
    <w:rsid w:val="25222758"/>
    <w:rsid w:val="252A3BD6"/>
    <w:rsid w:val="252D19D0"/>
    <w:rsid w:val="25DD0121"/>
    <w:rsid w:val="26185F66"/>
    <w:rsid w:val="270F5264"/>
    <w:rsid w:val="2792239B"/>
    <w:rsid w:val="28203DBB"/>
    <w:rsid w:val="282249EF"/>
    <w:rsid w:val="282A3AB6"/>
    <w:rsid w:val="283B6D0F"/>
    <w:rsid w:val="283C5022"/>
    <w:rsid w:val="286B06E9"/>
    <w:rsid w:val="291E67ED"/>
    <w:rsid w:val="293B2959"/>
    <w:rsid w:val="2967175C"/>
    <w:rsid w:val="296E0EF7"/>
    <w:rsid w:val="299E757C"/>
    <w:rsid w:val="29F52194"/>
    <w:rsid w:val="2A22204A"/>
    <w:rsid w:val="2A6B2BC2"/>
    <w:rsid w:val="2A7C1A5E"/>
    <w:rsid w:val="2AE33B4F"/>
    <w:rsid w:val="2AFB2C2C"/>
    <w:rsid w:val="2AFB3049"/>
    <w:rsid w:val="2B9C079D"/>
    <w:rsid w:val="2BC06F77"/>
    <w:rsid w:val="2C197150"/>
    <w:rsid w:val="2C463705"/>
    <w:rsid w:val="2C524C76"/>
    <w:rsid w:val="2C6A55AC"/>
    <w:rsid w:val="2C7355D2"/>
    <w:rsid w:val="2CAD6BAD"/>
    <w:rsid w:val="2D244F36"/>
    <w:rsid w:val="2D30173F"/>
    <w:rsid w:val="2D564730"/>
    <w:rsid w:val="2DB40568"/>
    <w:rsid w:val="2DD64A42"/>
    <w:rsid w:val="2E391D83"/>
    <w:rsid w:val="2E572D36"/>
    <w:rsid w:val="2E7A5313"/>
    <w:rsid w:val="2F062BB5"/>
    <w:rsid w:val="2FA12A8F"/>
    <w:rsid w:val="2FC57ADA"/>
    <w:rsid w:val="2FD33202"/>
    <w:rsid w:val="2FE762F4"/>
    <w:rsid w:val="2FEF44A2"/>
    <w:rsid w:val="2FFD51D6"/>
    <w:rsid w:val="302839FC"/>
    <w:rsid w:val="304B5444"/>
    <w:rsid w:val="305855BB"/>
    <w:rsid w:val="305E6600"/>
    <w:rsid w:val="3074238E"/>
    <w:rsid w:val="310F22A9"/>
    <w:rsid w:val="31447BE1"/>
    <w:rsid w:val="3189206B"/>
    <w:rsid w:val="31917CE0"/>
    <w:rsid w:val="31DD546C"/>
    <w:rsid w:val="31FA4EA0"/>
    <w:rsid w:val="32086399"/>
    <w:rsid w:val="322162CA"/>
    <w:rsid w:val="322301B4"/>
    <w:rsid w:val="3266479F"/>
    <w:rsid w:val="327F7546"/>
    <w:rsid w:val="328A52B4"/>
    <w:rsid w:val="32AE644D"/>
    <w:rsid w:val="32B66FDB"/>
    <w:rsid w:val="34086FB3"/>
    <w:rsid w:val="34112AF4"/>
    <w:rsid w:val="344F23AD"/>
    <w:rsid w:val="34CD2733"/>
    <w:rsid w:val="35131753"/>
    <w:rsid w:val="35354FE1"/>
    <w:rsid w:val="357C4F4F"/>
    <w:rsid w:val="358E3FBF"/>
    <w:rsid w:val="35AF550F"/>
    <w:rsid w:val="35B22242"/>
    <w:rsid w:val="36691699"/>
    <w:rsid w:val="36783C9C"/>
    <w:rsid w:val="36F16FD3"/>
    <w:rsid w:val="37B66AED"/>
    <w:rsid w:val="38332D42"/>
    <w:rsid w:val="383846E0"/>
    <w:rsid w:val="3871404D"/>
    <w:rsid w:val="38764AB1"/>
    <w:rsid w:val="38D64E9E"/>
    <w:rsid w:val="390B55EE"/>
    <w:rsid w:val="39183B2C"/>
    <w:rsid w:val="39384FF0"/>
    <w:rsid w:val="39551177"/>
    <w:rsid w:val="39630E1C"/>
    <w:rsid w:val="39995BA2"/>
    <w:rsid w:val="39BE3C8D"/>
    <w:rsid w:val="39C0783C"/>
    <w:rsid w:val="39C53B9C"/>
    <w:rsid w:val="39EE3581"/>
    <w:rsid w:val="3A4126B3"/>
    <w:rsid w:val="3A7266A6"/>
    <w:rsid w:val="3A971C80"/>
    <w:rsid w:val="3AA14851"/>
    <w:rsid w:val="3AE42C02"/>
    <w:rsid w:val="3AEF02F9"/>
    <w:rsid w:val="3B3106D2"/>
    <w:rsid w:val="3B64270E"/>
    <w:rsid w:val="3B7A3D31"/>
    <w:rsid w:val="3B860582"/>
    <w:rsid w:val="3BB3465A"/>
    <w:rsid w:val="3BE47C50"/>
    <w:rsid w:val="3C242C38"/>
    <w:rsid w:val="3C743F2C"/>
    <w:rsid w:val="3CE70A48"/>
    <w:rsid w:val="3D317A87"/>
    <w:rsid w:val="3D3707CB"/>
    <w:rsid w:val="3D3E195E"/>
    <w:rsid w:val="3D576F79"/>
    <w:rsid w:val="3D600441"/>
    <w:rsid w:val="3DBC71B7"/>
    <w:rsid w:val="3DD95D20"/>
    <w:rsid w:val="3DED60EF"/>
    <w:rsid w:val="3E5C3963"/>
    <w:rsid w:val="3EB95641"/>
    <w:rsid w:val="3F170541"/>
    <w:rsid w:val="3F3160E7"/>
    <w:rsid w:val="3F527C57"/>
    <w:rsid w:val="3FB2483E"/>
    <w:rsid w:val="3FBF60AE"/>
    <w:rsid w:val="406B797E"/>
    <w:rsid w:val="40B70941"/>
    <w:rsid w:val="40C30BEB"/>
    <w:rsid w:val="410C7BD3"/>
    <w:rsid w:val="41D87A12"/>
    <w:rsid w:val="421129DB"/>
    <w:rsid w:val="425B2AF5"/>
    <w:rsid w:val="425E02BF"/>
    <w:rsid w:val="440305EA"/>
    <w:rsid w:val="44442A00"/>
    <w:rsid w:val="44581BDB"/>
    <w:rsid w:val="447830E2"/>
    <w:rsid w:val="4502084B"/>
    <w:rsid w:val="451873C9"/>
    <w:rsid w:val="45510A72"/>
    <w:rsid w:val="45E23A91"/>
    <w:rsid w:val="461E68C2"/>
    <w:rsid w:val="462F49B1"/>
    <w:rsid w:val="465C18D8"/>
    <w:rsid w:val="467A3B2C"/>
    <w:rsid w:val="46A80F52"/>
    <w:rsid w:val="46FA053B"/>
    <w:rsid w:val="479B68D2"/>
    <w:rsid w:val="47C83A01"/>
    <w:rsid w:val="48B04E42"/>
    <w:rsid w:val="48CC0898"/>
    <w:rsid w:val="49680539"/>
    <w:rsid w:val="49712442"/>
    <w:rsid w:val="498F329B"/>
    <w:rsid w:val="49BD3C89"/>
    <w:rsid w:val="49D2267A"/>
    <w:rsid w:val="49DA4135"/>
    <w:rsid w:val="4A913806"/>
    <w:rsid w:val="4AD23CC2"/>
    <w:rsid w:val="4B852F04"/>
    <w:rsid w:val="4B9D37E4"/>
    <w:rsid w:val="4B9D4FC7"/>
    <w:rsid w:val="4BE07B48"/>
    <w:rsid w:val="4C202DEA"/>
    <w:rsid w:val="4C4F4382"/>
    <w:rsid w:val="4C7048C4"/>
    <w:rsid w:val="4C786019"/>
    <w:rsid w:val="4C9821AC"/>
    <w:rsid w:val="4CA724AA"/>
    <w:rsid w:val="4D217DC5"/>
    <w:rsid w:val="4D400AC9"/>
    <w:rsid w:val="4D58301A"/>
    <w:rsid w:val="4DA37F18"/>
    <w:rsid w:val="4DF77BFD"/>
    <w:rsid w:val="4DFD4A23"/>
    <w:rsid w:val="4E2260BC"/>
    <w:rsid w:val="4E3F0540"/>
    <w:rsid w:val="4ED43786"/>
    <w:rsid w:val="4EE93F89"/>
    <w:rsid w:val="4EFB4C60"/>
    <w:rsid w:val="4F15258F"/>
    <w:rsid w:val="4F1612E1"/>
    <w:rsid w:val="4F6A76D8"/>
    <w:rsid w:val="4FB86971"/>
    <w:rsid w:val="4FDF26CC"/>
    <w:rsid w:val="50465DC1"/>
    <w:rsid w:val="506E6FDF"/>
    <w:rsid w:val="508C4EEC"/>
    <w:rsid w:val="508F6ED5"/>
    <w:rsid w:val="50AA495F"/>
    <w:rsid w:val="50C96E57"/>
    <w:rsid w:val="50DB0ACB"/>
    <w:rsid w:val="515E61C4"/>
    <w:rsid w:val="51807CFF"/>
    <w:rsid w:val="52102E2E"/>
    <w:rsid w:val="521D12DF"/>
    <w:rsid w:val="521F5647"/>
    <w:rsid w:val="52565998"/>
    <w:rsid w:val="525E6B71"/>
    <w:rsid w:val="52650DED"/>
    <w:rsid w:val="52C2189F"/>
    <w:rsid w:val="52E65410"/>
    <w:rsid w:val="52FF226F"/>
    <w:rsid w:val="53715DBB"/>
    <w:rsid w:val="53AE3575"/>
    <w:rsid w:val="53C51418"/>
    <w:rsid w:val="54005716"/>
    <w:rsid w:val="54601C88"/>
    <w:rsid w:val="54AA0574"/>
    <w:rsid w:val="553001C2"/>
    <w:rsid w:val="553A45E0"/>
    <w:rsid w:val="55985036"/>
    <w:rsid w:val="55B13153"/>
    <w:rsid w:val="55C32329"/>
    <w:rsid w:val="563074FD"/>
    <w:rsid w:val="56B51416"/>
    <w:rsid w:val="57007337"/>
    <w:rsid w:val="573E7E5F"/>
    <w:rsid w:val="57917FB7"/>
    <w:rsid w:val="57B67619"/>
    <w:rsid w:val="57C14BAC"/>
    <w:rsid w:val="57D918F2"/>
    <w:rsid w:val="58272E16"/>
    <w:rsid w:val="58914EAA"/>
    <w:rsid w:val="592901BC"/>
    <w:rsid w:val="59BA58DD"/>
    <w:rsid w:val="59EB2C32"/>
    <w:rsid w:val="5A006A65"/>
    <w:rsid w:val="5A57084D"/>
    <w:rsid w:val="5A9E49B6"/>
    <w:rsid w:val="5ABE5A4E"/>
    <w:rsid w:val="5AC4123B"/>
    <w:rsid w:val="5AC67D3B"/>
    <w:rsid w:val="5AD76F76"/>
    <w:rsid w:val="5B0C4006"/>
    <w:rsid w:val="5B112E70"/>
    <w:rsid w:val="5BB77F11"/>
    <w:rsid w:val="5BC910FE"/>
    <w:rsid w:val="5BF82FD0"/>
    <w:rsid w:val="5C244398"/>
    <w:rsid w:val="5C747B79"/>
    <w:rsid w:val="5CE34F72"/>
    <w:rsid w:val="5D507058"/>
    <w:rsid w:val="5D7E4050"/>
    <w:rsid w:val="5D99089C"/>
    <w:rsid w:val="5DF071D7"/>
    <w:rsid w:val="5E265835"/>
    <w:rsid w:val="5E2865DC"/>
    <w:rsid w:val="5E3229A2"/>
    <w:rsid w:val="5E505297"/>
    <w:rsid w:val="5E77250F"/>
    <w:rsid w:val="5EAA3616"/>
    <w:rsid w:val="5EEA4CD9"/>
    <w:rsid w:val="5EF542AD"/>
    <w:rsid w:val="5EFA5CD3"/>
    <w:rsid w:val="5F2C67FE"/>
    <w:rsid w:val="5F5924B0"/>
    <w:rsid w:val="5FB839CD"/>
    <w:rsid w:val="5FEB19E8"/>
    <w:rsid w:val="603C1771"/>
    <w:rsid w:val="603F4A5A"/>
    <w:rsid w:val="60530F71"/>
    <w:rsid w:val="6056529D"/>
    <w:rsid w:val="60A53138"/>
    <w:rsid w:val="60A63D7D"/>
    <w:rsid w:val="61433C21"/>
    <w:rsid w:val="61502F36"/>
    <w:rsid w:val="618F3578"/>
    <w:rsid w:val="61E54921"/>
    <w:rsid w:val="62055A84"/>
    <w:rsid w:val="625E7ACA"/>
    <w:rsid w:val="628C76A7"/>
    <w:rsid w:val="632145F5"/>
    <w:rsid w:val="63584057"/>
    <w:rsid w:val="63A70E8C"/>
    <w:rsid w:val="6462297E"/>
    <w:rsid w:val="64C869E5"/>
    <w:rsid w:val="64DE7F54"/>
    <w:rsid w:val="651B37AC"/>
    <w:rsid w:val="653636E8"/>
    <w:rsid w:val="653A6CAF"/>
    <w:rsid w:val="657C3B00"/>
    <w:rsid w:val="65F25875"/>
    <w:rsid w:val="661C2645"/>
    <w:rsid w:val="665964A4"/>
    <w:rsid w:val="6702433F"/>
    <w:rsid w:val="67535261"/>
    <w:rsid w:val="67BD1827"/>
    <w:rsid w:val="67C779FD"/>
    <w:rsid w:val="67DA12A6"/>
    <w:rsid w:val="67E67FB7"/>
    <w:rsid w:val="6805422F"/>
    <w:rsid w:val="6807630E"/>
    <w:rsid w:val="681C1233"/>
    <w:rsid w:val="6854511D"/>
    <w:rsid w:val="68803180"/>
    <w:rsid w:val="68CE5245"/>
    <w:rsid w:val="69303F92"/>
    <w:rsid w:val="69C34860"/>
    <w:rsid w:val="6A370BBE"/>
    <w:rsid w:val="6AD63DBF"/>
    <w:rsid w:val="6B674648"/>
    <w:rsid w:val="6BB31B19"/>
    <w:rsid w:val="6BEC46D4"/>
    <w:rsid w:val="6C0408C8"/>
    <w:rsid w:val="6C245689"/>
    <w:rsid w:val="6C400D34"/>
    <w:rsid w:val="6C4432F4"/>
    <w:rsid w:val="6CBD63CA"/>
    <w:rsid w:val="6D081DD5"/>
    <w:rsid w:val="6D106F4F"/>
    <w:rsid w:val="6D1F751B"/>
    <w:rsid w:val="6D2304F6"/>
    <w:rsid w:val="6D851863"/>
    <w:rsid w:val="6D974DFC"/>
    <w:rsid w:val="6DA440A1"/>
    <w:rsid w:val="6DE950FD"/>
    <w:rsid w:val="6DEC2412"/>
    <w:rsid w:val="6E580E15"/>
    <w:rsid w:val="6E5C6036"/>
    <w:rsid w:val="6E7626AA"/>
    <w:rsid w:val="6E9C1853"/>
    <w:rsid w:val="6EC917DF"/>
    <w:rsid w:val="6EFF4CB3"/>
    <w:rsid w:val="6F2C4820"/>
    <w:rsid w:val="6F3600CD"/>
    <w:rsid w:val="6F9B25C3"/>
    <w:rsid w:val="7007316A"/>
    <w:rsid w:val="70085765"/>
    <w:rsid w:val="705F7453"/>
    <w:rsid w:val="70687739"/>
    <w:rsid w:val="71190690"/>
    <w:rsid w:val="712D7639"/>
    <w:rsid w:val="715F52D0"/>
    <w:rsid w:val="71D85599"/>
    <w:rsid w:val="71DE4FB1"/>
    <w:rsid w:val="723407F1"/>
    <w:rsid w:val="725249E2"/>
    <w:rsid w:val="727E0DB9"/>
    <w:rsid w:val="72B95306"/>
    <w:rsid w:val="72D36A71"/>
    <w:rsid w:val="73087A7D"/>
    <w:rsid w:val="73920807"/>
    <w:rsid w:val="744A11C1"/>
    <w:rsid w:val="745D2CF4"/>
    <w:rsid w:val="74A4534E"/>
    <w:rsid w:val="74FD09CF"/>
    <w:rsid w:val="750D091A"/>
    <w:rsid w:val="752B6B15"/>
    <w:rsid w:val="757C7180"/>
    <w:rsid w:val="758A735F"/>
    <w:rsid w:val="75907680"/>
    <w:rsid w:val="75AD2054"/>
    <w:rsid w:val="75FB1687"/>
    <w:rsid w:val="76220067"/>
    <w:rsid w:val="76273E60"/>
    <w:rsid w:val="769E0761"/>
    <w:rsid w:val="76EB42AA"/>
    <w:rsid w:val="76F36340"/>
    <w:rsid w:val="776A63B2"/>
    <w:rsid w:val="777C790E"/>
    <w:rsid w:val="77A90DE5"/>
    <w:rsid w:val="77D70DAD"/>
    <w:rsid w:val="77DE7FB8"/>
    <w:rsid w:val="787A1285"/>
    <w:rsid w:val="796524AF"/>
    <w:rsid w:val="797A46FB"/>
    <w:rsid w:val="79AD0BAB"/>
    <w:rsid w:val="79CC14F8"/>
    <w:rsid w:val="79ED0498"/>
    <w:rsid w:val="7A627BEE"/>
    <w:rsid w:val="7A781161"/>
    <w:rsid w:val="7A8A3E8C"/>
    <w:rsid w:val="7B59223C"/>
    <w:rsid w:val="7BD14190"/>
    <w:rsid w:val="7BF67377"/>
    <w:rsid w:val="7C3B575E"/>
    <w:rsid w:val="7C71141E"/>
    <w:rsid w:val="7CD17C43"/>
    <w:rsid w:val="7CFD0935"/>
    <w:rsid w:val="7D895CB1"/>
    <w:rsid w:val="7DD751D0"/>
    <w:rsid w:val="7DE74FE3"/>
    <w:rsid w:val="7DEB7532"/>
    <w:rsid w:val="7E0126EF"/>
    <w:rsid w:val="7E442F5E"/>
    <w:rsid w:val="7EE523CE"/>
    <w:rsid w:val="7EE66944"/>
    <w:rsid w:val="7F1C1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Calibri" w:hAnsi="Calibri" w:eastAsia="宋体"/>
      <w:sz w:val="21"/>
      <w:szCs w:val="21"/>
    </w:rPr>
  </w:style>
  <w:style w:type="paragraph" w:styleId="4">
    <w:name w:val="annotation text"/>
    <w:basedOn w:val="1"/>
    <w:qFormat/>
    <w:uiPriority w:val="0"/>
    <w:pPr>
      <w:jc w:val="left"/>
    </w:pPr>
  </w:style>
  <w:style w:type="paragraph" w:styleId="5">
    <w:name w:val="Body Text"/>
    <w:basedOn w:val="1"/>
    <w:next w:val="1"/>
    <w:qFormat/>
    <w:uiPriority w:val="0"/>
    <w:pPr>
      <w:spacing w:after="120"/>
    </w:pPr>
    <w:rPr>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标题0"/>
    <w:basedOn w:val="1"/>
    <w:next w:val="1"/>
    <w:qFormat/>
    <w:uiPriority w:val="0"/>
    <w:pPr>
      <w:keepNext/>
      <w:keepLines/>
      <w:spacing w:line="580" w:lineRule="exact"/>
      <w:jc w:val="center"/>
      <w:outlineLvl w:val="0"/>
    </w:pPr>
    <w:rPr>
      <w:rFonts w:hint="eastAsia" w:ascii="Calibri" w:hAnsi="Calibri" w:eastAsia="黑体"/>
      <w:bCs/>
      <w:kern w:val="44"/>
      <w:sz w:val="30"/>
      <w:szCs w:val="44"/>
    </w:rPr>
  </w:style>
  <w:style w:type="paragraph" w:customStyle="1" w:styleId="13">
    <w:name w:val="标题2"/>
    <w:basedOn w:val="2"/>
    <w:semiHidden/>
    <w:qFormat/>
    <w:uiPriority w:val="0"/>
    <w:pPr>
      <w:keepNext w:val="0"/>
      <w:keepLines w:val="0"/>
      <w:spacing w:before="0" w:after="0" w:line="240" w:lineRule="auto"/>
    </w:pPr>
    <w:rPr>
      <w:rFonts w:ascii="Cambria" w:hAnsi="Cambria" w:eastAsiaTheme="minorEastAsia" w:cstheme="minorBidi"/>
      <w:b w:val="0"/>
      <w:sz w:val="21"/>
    </w:rPr>
  </w:style>
  <w:style w:type="table" w:customStyle="1" w:styleId="14">
    <w:name w:val="Table Normal"/>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楷体" w:hAnsi="楷体" w:eastAsia="楷体" w:cs="楷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4987</Words>
  <Characters>5213</Characters>
  <Lines>0</Lines>
  <Paragraphs>0</Paragraphs>
  <TotalTime>4</TotalTime>
  <ScaleCrop>false</ScaleCrop>
  <LinksUpToDate>false</LinksUpToDate>
  <CharactersWithSpaces>5231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2024-11-13T02:07:00Z</dcterms:created>
  <dc:creator>BEPC</dc:creator>
  <cp:lastModifiedBy>WPS_409571465</cp:lastModifiedBy>
  <cp:lastPrinted>2025-11-12T09:02:00Z</cp:lastPrinted>
  <dcterms:modified xsi:type="dcterms:W3CDTF">2026-01-28T08:14:25Z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48C24D0C880146DDA9E283E428728CCC_13</vt:lpwstr>
  </property>
  <property fmtid="{D5CDD505-2E9C-101B-9397-08002B2CF9AE}" pid="4" name="KSOTemplateDocerSaveRecord">
    <vt:lpwstr>eyJoZGlkIjoiYWEzMzc4NTA2YWE1MDViYjQ2MmExNjc3ZTVkODkxN2UiLCJ1c2VySWQiOiI0MDk1NzE0NjUifQ==</vt:lpwstr>
  </property>
</Properties>
</file>