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4FD3D1">
      <w:pPr>
        <w:spacing w:line="580" w:lineRule="exact"/>
        <w:jc w:val="center"/>
        <w:rPr>
          <w:rFonts w:ascii="方正小标宋_GBK" w:hAnsi="方正小标宋_GBK" w:eastAsia="方正小标宋_GBK" w:cs="方正小标宋_GBK"/>
          <w:sz w:val="52"/>
          <w:szCs w:val="52"/>
        </w:rPr>
      </w:pPr>
    </w:p>
    <w:p w14:paraId="1FF0995C">
      <w:pPr>
        <w:spacing w:line="580" w:lineRule="exact"/>
        <w:jc w:val="center"/>
        <w:rPr>
          <w:rFonts w:ascii="方正小标宋_GBK" w:hAnsi="方正小标宋_GBK" w:eastAsia="方正小标宋_GBK" w:cs="方正小标宋_GBK"/>
          <w:sz w:val="52"/>
          <w:szCs w:val="52"/>
        </w:rPr>
      </w:pPr>
    </w:p>
    <w:p w14:paraId="6C621C9A">
      <w:pPr>
        <w:spacing w:line="580" w:lineRule="exact"/>
        <w:jc w:val="center"/>
        <w:rPr>
          <w:rFonts w:ascii="方正小标宋_GBK" w:hAnsi="方正小标宋_GBK" w:eastAsia="方正小标宋_GBK" w:cs="方正小标宋_GBK"/>
          <w:sz w:val="52"/>
          <w:szCs w:val="52"/>
        </w:rPr>
      </w:pPr>
    </w:p>
    <w:p w14:paraId="0A9A7607">
      <w:pPr>
        <w:spacing w:line="580" w:lineRule="exact"/>
        <w:jc w:val="center"/>
        <w:rPr>
          <w:rFonts w:ascii="方正小标宋_GBK" w:hAnsi="方正小标宋_GBK" w:eastAsia="方正小标宋_GBK" w:cs="方正小标宋_GBK"/>
          <w:sz w:val="52"/>
          <w:szCs w:val="52"/>
        </w:rPr>
      </w:pPr>
    </w:p>
    <w:p w14:paraId="6B8EAFC9">
      <w:pPr>
        <w:spacing w:line="580" w:lineRule="exact"/>
        <w:jc w:val="center"/>
        <w:rPr>
          <w:rFonts w:ascii="方正小标宋_GBK" w:hAnsi="方正小标宋_GBK" w:eastAsia="方正小标宋_GBK" w:cs="方正小标宋_GBK"/>
          <w:b/>
          <w:bCs/>
          <w:sz w:val="48"/>
          <w:szCs w:val="48"/>
        </w:rPr>
      </w:pPr>
      <w:r>
        <w:rPr>
          <w:rFonts w:hint="eastAsia" w:ascii="方正小标宋_GBK" w:hAnsi="方正小标宋_GBK" w:eastAsia="方正小标宋_GBK" w:cs="方正小标宋_GBK"/>
          <w:b/>
          <w:bCs/>
          <w:sz w:val="48"/>
          <w:szCs w:val="48"/>
        </w:rPr>
        <w:t>北京市电力零售市场购售电合同</w:t>
      </w:r>
    </w:p>
    <w:p w14:paraId="3BAE9A2F">
      <w:pPr>
        <w:spacing w:line="580" w:lineRule="exact"/>
        <w:jc w:val="center"/>
        <w:rPr>
          <w:rFonts w:ascii="方正小标宋_GBK" w:hAnsi="方正小标宋_GBK" w:eastAsia="方正小标宋_GBK" w:cs="方正小标宋_GBK"/>
          <w:sz w:val="44"/>
          <w:szCs w:val="44"/>
        </w:rPr>
      </w:pPr>
    </w:p>
    <w:p w14:paraId="0177B53E">
      <w:pPr>
        <w:spacing w:line="580" w:lineRule="exact"/>
        <w:jc w:val="center"/>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（2026年示范文本）</w:t>
      </w:r>
    </w:p>
    <w:p w14:paraId="6B2E8EC0">
      <w:pPr>
        <w:pStyle w:val="2"/>
        <w:jc w:val="center"/>
        <w:rPr>
          <w:rFonts w:eastAsia="方正小标宋_GBK"/>
        </w:rPr>
      </w:pPr>
    </w:p>
    <w:p w14:paraId="5D01021E"/>
    <w:p w14:paraId="651CF8B0">
      <w:pPr>
        <w:spacing w:line="580" w:lineRule="exact"/>
        <w:jc w:val="center"/>
        <w:rPr>
          <w:rFonts w:ascii="方正小标宋_GBK" w:hAnsi="方正小标宋_GBK" w:eastAsia="方正小标宋_GBK" w:cs="方正小标宋_GBK"/>
          <w:sz w:val="44"/>
          <w:szCs w:val="44"/>
        </w:rPr>
      </w:pPr>
    </w:p>
    <w:p w14:paraId="5CEC9AA4">
      <w:pPr>
        <w:spacing w:line="580" w:lineRule="exact"/>
        <w:jc w:val="center"/>
        <w:rPr>
          <w:rFonts w:ascii="方正小标宋_GBK" w:hAnsi="方正小标宋_GBK" w:eastAsia="方正小标宋_GBK" w:cs="方正小标宋_GBK"/>
          <w:sz w:val="44"/>
          <w:szCs w:val="44"/>
        </w:rPr>
      </w:pPr>
    </w:p>
    <w:p w14:paraId="1C054710">
      <w:pPr>
        <w:spacing w:line="580" w:lineRule="exact"/>
        <w:jc w:val="center"/>
        <w:rPr>
          <w:rFonts w:ascii="方正小标宋_GBK" w:hAnsi="方正小标宋_GBK" w:eastAsia="方正小标宋_GBK" w:cs="方正小标宋_GBK"/>
          <w:sz w:val="44"/>
          <w:szCs w:val="44"/>
        </w:rPr>
      </w:pPr>
    </w:p>
    <w:p w14:paraId="4A904CC5">
      <w:pPr>
        <w:spacing w:line="580" w:lineRule="exact"/>
        <w:jc w:val="center"/>
        <w:rPr>
          <w:rFonts w:ascii="方正小标宋_GBK" w:hAnsi="方正小标宋_GBK" w:eastAsia="方正小标宋_GBK" w:cs="方正小标宋_GBK"/>
          <w:sz w:val="44"/>
          <w:szCs w:val="44"/>
        </w:rPr>
      </w:pPr>
    </w:p>
    <w:p w14:paraId="2407582C">
      <w:pPr>
        <w:spacing w:line="580" w:lineRule="exact"/>
        <w:jc w:val="center"/>
        <w:rPr>
          <w:rFonts w:ascii="方正小标宋_GBK" w:hAnsi="方正小标宋_GBK" w:eastAsia="方正小标宋_GBK" w:cs="方正小标宋_GBK"/>
          <w:sz w:val="44"/>
          <w:szCs w:val="44"/>
        </w:rPr>
      </w:pPr>
    </w:p>
    <w:p w14:paraId="2E906B5C">
      <w:pPr>
        <w:spacing w:line="580" w:lineRule="exact"/>
        <w:jc w:val="center"/>
        <w:rPr>
          <w:rFonts w:ascii="方正小标宋_GBK" w:hAnsi="方正小标宋_GBK" w:eastAsia="方正小标宋_GBK" w:cs="方正小标宋_GBK"/>
          <w:sz w:val="44"/>
          <w:szCs w:val="44"/>
        </w:rPr>
      </w:pPr>
    </w:p>
    <w:p w14:paraId="6854A1B7">
      <w:pPr>
        <w:spacing w:line="580" w:lineRule="exact"/>
        <w:jc w:val="left"/>
        <w:rPr>
          <w:rFonts w:ascii="黑体" w:hAnsi="黑体" w:eastAsia="黑体" w:cs="黑体"/>
          <w:b/>
          <w:bCs/>
          <w:sz w:val="32"/>
          <w:szCs w:val="32"/>
        </w:rPr>
      </w:pPr>
      <w:r>
        <w:rPr>
          <w:rFonts w:hint="eastAsia" w:ascii="黑体" w:hAnsi="黑体" w:eastAsia="黑体" w:cs="黑体"/>
          <w:b/>
          <w:bCs/>
          <w:sz w:val="32"/>
          <w:szCs w:val="32"/>
        </w:rPr>
        <w:t>甲方（零售用户）：北京市石景山区市场监督管理局</w:t>
      </w:r>
    </w:p>
    <w:p w14:paraId="352C5594">
      <w:pPr>
        <w:spacing w:line="580" w:lineRule="exact"/>
        <w:jc w:val="left"/>
        <w:rPr>
          <w:rFonts w:ascii="黑体" w:hAnsi="黑体" w:eastAsia="黑体" w:cs="黑体"/>
          <w:b/>
          <w:bCs/>
          <w:sz w:val="32"/>
          <w:szCs w:val="32"/>
        </w:rPr>
      </w:pPr>
    </w:p>
    <w:p w14:paraId="57588AEE">
      <w:pPr>
        <w:spacing w:line="580" w:lineRule="exact"/>
        <w:jc w:val="left"/>
        <w:rPr>
          <w:rFonts w:ascii="黑体" w:hAnsi="黑体" w:eastAsia="黑体" w:cs="黑体"/>
          <w:b/>
          <w:bCs/>
          <w:sz w:val="32"/>
          <w:szCs w:val="32"/>
        </w:rPr>
      </w:pPr>
      <w:r>
        <w:rPr>
          <w:rFonts w:hint="eastAsia" w:ascii="黑体" w:hAnsi="黑体" w:eastAsia="黑体" w:cs="黑体"/>
          <w:b/>
          <w:bCs/>
          <w:sz w:val="32"/>
          <w:szCs w:val="32"/>
        </w:rPr>
        <w:t>乙方（售电公司）：北京京能电力股份有限公司</w:t>
      </w:r>
    </w:p>
    <w:p w14:paraId="58AFC42D">
      <w:pPr>
        <w:spacing w:line="580" w:lineRule="exact"/>
        <w:jc w:val="left"/>
        <w:rPr>
          <w:rFonts w:ascii="黑体" w:hAnsi="黑体" w:eastAsia="黑体" w:cs="黑体"/>
          <w:b/>
          <w:bCs/>
          <w:sz w:val="32"/>
          <w:szCs w:val="32"/>
        </w:rPr>
      </w:pPr>
    </w:p>
    <w:p w14:paraId="1086F9CA">
      <w:pPr>
        <w:spacing w:line="580" w:lineRule="exact"/>
        <w:jc w:val="left"/>
        <w:rPr>
          <w:rFonts w:ascii="黑体" w:hAnsi="黑体" w:eastAsia="黑体" w:cs="黑体"/>
          <w:b/>
          <w:bCs/>
          <w:sz w:val="32"/>
          <w:szCs w:val="32"/>
        </w:rPr>
      </w:pPr>
    </w:p>
    <w:p w14:paraId="2F6DEC41">
      <w:pPr>
        <w:spacing w:line="580" w:lineRule="exact"/>
        <w:jc w:val="left"/>
        <w:rPr>
          <w:rFonts w:ascii="黑体" w:hAnsi="黑体" w:eastAsia="黑体" w:cs="黑体"/>
          <w:b/>
          <w:bCs/>
          <w:sz w:val="32"/>
          <w:szCs w:val="32"/>
        </w:rPr>
      </w:pPr>
    </w:p>
    <w:p w14:paraId="6A5B0C36">
      <w:pPr>
        <w:spacing w:line="580" w:lineRule="exact"/>
        <w:jc w:val="center"/>
        <w:rPr>
          <w:rFonts w:ascii="黑体" w:hAnsi="黑体" w:eastAsia="黑体" w:cs="黑体"/>
          <w:b/>
          <w:bCs/>
          <w:sz w:val="32"/>
          <w:szCs w:val="32"/>
        </w:rPr>
      </w:pPr>
      <w:r>
        <w:rPr>
          <w:rFonts w:hint="eastAsia" w:ascii="黑体" w:hAnsi="黑体" w:eastAsia="黑体" w:cs="黑体"/>
          <w:b/>
          <w:bCs/>
          <w:sz w:val="32"/>
          <w:szCs w:val="32"/>
          <w:u w:val="single"/>
        </w:rPr>
        <w:t xml:space="preserve">      </w:t>
      </w:r>
      <w:r>
        <w:rPr>
          <w:rFonts w:hint="eastAsia" w:ascii="黑体" w:hAnsi="黑体" w:eastAsia="黑体" w:cs="黑体"/>
          <w:b/>
          <w:bCs/>
          <w:sz w:val="32"/>
          <w:szCs w:val="32"/>
        </w:rPr>
        <w:t>年</w:t>
      </w:r>
      <w:r>
        <w:rPr>
          <w:rFonts w:hint="eastAsia" w:ascii="黑体" w:hAnsi="黑体" w:eastAsia="黑体" w:cs="黑体"/>
          <w:b/>
          <w:bCs/>
          <w:sz w:val="32"/>
          <w:szCs w:val="32"/>
          <w:u w:val="single"/>
        </w:rPr>
        <w:t xml:space="preserve">      </w:t>
      </w:r>
      <w:r>
        <w:rPr>
          <w:rFonts w:hint="eastAsia" w:ascii="黑体" w:hAnsi="黑体" w:eastAsia="黑体" w:cs="黑体"/>
          <w:b/>
          <w:bCs/>
          <w:sz w:val="32"/>
          <w:szCs w:val="32"/>
        </w:rPr>
        <w:t>月</w:t>
      </w:r>
      <w:r>
        <w:rPr>
          <w:rFonts w:hint="eastAsia" w:ascii="黑体" w:hAnsi="黑体" w:eastAsia="黑体" w:cs="黑体"/>
          <w:b/>
          <w:bCs/>
          <w:sz w:val="32"/>
          <w:szCs w:val="32"/>
          <w:u w:val="single"/>
        </w:rPr>
        <w:t xml:space="preserve">      </w:t>
      </w:r>
      <w:r>
        <w:rPr>
          <w:rFonts w:hint="eastAsia" w:ascii="黑体" w:hAnsi="黑体" w:eastAsia="黑体" w:cs="黑体"/>
          <w:b/>
          <w:bCs/>
          <w:sz w:val="32"/>
          <w:szCs w:val="32"/>
        </w:rPr>
        <w:t>日</w:t>
      </w:r>
    </w:p>
    <w:p w14:paraId="446CD7C8">
      <w:pPr>
        <w:spacing w:line="460" w:lineRule="exact"/>
        <w:jc w:val="center"/>
        <w:rPr>
          <w:rFonts w:ascii="黑体" w:hAnsi="黑体" w:eastAsia="黑体" w:cs="黑体"/>
          <w:b/>
          <w:bCs/>
          <w:sz w:val="32"/>
          <w:szCs w:val="32"/>
        </w:rPr>
        <w:sectPr>
          <w:footerReference r:id="rId3" w:type="default"/>
          <w:pgSz w:w="11906" w:h="16838"/>
          <w:pgMar w:top="1440" w:right="1800" w:bottom="1440" w:left="1800" w:header="851" w:footer="992" w:gutter="0"/>
          <w:pgNumType w:start="1"/>
          <w:cols w:space="425" w:num="1"/>
          <w:docGrid w:type="lines" w:linePitch="312" w:charSpace="0"/>
        </w:sectPr>
      </w:pPr>
    </w:p>
    <w:p w14:paraId="163B75B7">
      <w:pPr>
        <w:spacing w:line="460" w:lineRule="exact"/>
        <w:jc w:val="center"/>
        <w:rPr>
          <w:rFonts w:ascii="黑体" w:hAnsi="黑体" w:eastAsia="黑体" w:cs="黑体"/>
          <w:b/>
          <w:bCs/>
          <w:sz w:val="32"/>
          <w:szCs w:val="32"/>
        </w:rPr>
      </w:pPr>
      <w:r>
        <w:rPr>
          <w:rFonts w:hint="eastAsia" w:ascii="黑体" w:hAnsi="黑体" w:eastAsia="黑体" w:cs="黑体"/>
          <w:b/>
          <w:bCs/>
          <w:sz w:val="32"/>
          <w:szCs w:val="32"/>
        </w:rPr>
        <w:t>合同范本使用说明</w:t>
      </w:r>
    </w:p>
    <w:p w14:paraId="1625716D">
      <w:pPr>
        <w:spacing w:line="460" w:lineRule="exact"/>
        <w:jc w:val="center"/>
        <w:rPr>
          <w:rFonts w:ascii="仿宋_GB2312" w:hAnsi="仿宋_GB2312" w:eastAsia="仿宋_GB2312" w:cs="仿宋_GB2312"/>
          <w:b/>
          <w:bCs/>
          <w:sz w:val="28"/>
          <w:szCs w:val="28"/>
        </w:rPr>
      </w:pPr>
    </w:p>
    <w:p w14:paraId="4E2C2BB9">
      <w:pPr>
        <w:spacing w:line="4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一、本合同范本适用于售电公司与零售用户在北京市电力市场开展的电力零售交易及结算，范本明确了双方的权利义务、零售套餐、结算模式以及合同变更解除等条款。</w:t>
      </w:r>
    </w:p>
    <w:p w14:paraId="4B24AB1F">
      <w:pPr>
        <w:spacing w:line="4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二、本合同范本为北京市电力零售市场标准化合同文本，合同双方不得直接对合同文本进行改动。</w:t>
      </w:r>
    </w:p>
    <w:p w14:paraId="3816FEA5">
      <w:pPr>
        <w:spacing w:line="4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三、本合同范本仅支持合同双方约定的电力零售交易结算。若涉及其他需资金结算的增值服务或约定，由合同双方另行签订合同，并自主结算。若双方签订的其他合同与本合同不一致所造成的双方损失或争议，由双方通过协商或司法途径解决。</w:t>
      </w:r>
    </w:p>
    <w:p w14:paraId="384EDE53">
      <w:pPr>
        <w:spacing w:line="4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四、对于上述使用说明的内容，合同双方均已认真阅读、完全理解并同意，合同双方协商一致使用本合同范本，即视为知悉并同意上述使用说明的全部内容。</w:t>
      </w:r>
    </w:p>
    <w:p w14:paraId="2AF2C3E9">
      <w:pPr>
        <w:spacing w:line="460" w:lineRule="exact"/>
        <w:ind w:firstLine="560" w:firstLineChars="200"/>
        <w:rPr>
          <w:rFonts w:ascii="仿宋_GB2312" w:hAnsi="仿宋_GB2312" w:eastAsia="仿宋_GB2312" w:cs="仿宋_GB2312"/>
          <w:sz w:val="28"/>
          <w:szCs w:val="28"/>
        </w:rPr>
        <w:sectPr>
          <w:footerReference r:id="rId4" w:type="default"/>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sz w:val="28"/>
          <w:szCs w:val="28"/>
        </w:rPr>
        <w:t>五、本合同范本由合同双方填写之处，合同双方应根据实际情况填写。如合同双方约定无需填写的，则应注明“无”，若需填写处为空白且合同范本未规定的，则按照“无”处理。</w:t>
      </w:r>
    </w:p>
    <w:p w14:paraId="49549636">
      <w:pPr>
        <w:pStyle w:val="2"/>
        <w:spacing w:after="0" w:line="4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本合同由下列双方签署：</w:t>
      </w:r>
    </w:p>
    <w:p w14:paraId="43C7863C">
      <w:pPr>
        <w:pStyle w:val="2"/>
        <w:spacing w:after="0" w:line="4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甲方（零售用户）：北京市石景山区市场监督管理局</w:t>
      </w:r>
    </w:p>
    <w:p w14:paraId="7953DD74">
      <w:pPr>
        <w:pStyle w:val="2"/>
        <w:spacing w:after="0" w:line="4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乙方（售电公司）：北京京能电力股份有限公司</w:t>
      </w:r>
    </w:p>
    <w:p w14:paraId="1E81AED8">
      <w:pPr>
        <w:pStyle w:val="2"/>
        <w:spacing w:after="0" w:line="460" w:lineRule="exact"/>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甲、乙双方在此向对方陈述如下：</w:t>
      </w:r>
    </w:p>
    <w:p w14:paraId="19370E9E">
      <w:pPr>
        <w:pStyle w:val="2"/>
        <w:spacing w:after="0" w:line="4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一、本方为一家依法设立并合法存续的企业（单位），具有法人资格/经法人单位授权，且在首都电力交易中心完成注册，具备电力市场交易资格，有权签署并有能力履行本合同。</w:t>
      </w:r>
    </w:p>
    <w:p w14:paraId="6CD60F62">
      <w:pPr>
        <w:pStyle w:val="2"/>
        <w:spacing w:after="0" w:line="4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二、本方已充分理解有关的电力交易规则，完全清楚电力市场可能存在的风险，认同成交结果，同意按照本合同约定执行，并自愿承担可能存在的后果。</w:t>
      </w:r>
    </w:p>
    <w:p w14:paraId="044DB1F2">
      <w:pPr>
        <w:pStyle w:val="2"/>
        <w:spacing w:after="0" w:line="4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三、本方为签署本合同所需的内部授权程序均已完成，签署本合同的是本方法定代表人或授权代理人。本合同生效后即对合同双方具有法律约束力。</w:t>
      </w:r>
    </w:p>
    <w:p w14:paraId="605E3902">
      <w:pPr>
        <w:pStyle w:val="2"/>
        <w:spacing w:after="0" w:line="4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现甲乙双方本着平等、自愿、诚信的原则，就电力零售交易达成以下约定：</w:t>
      </w:r>
    </w:p>
    <w:p w14:paraId="23D9688A"/>
    <w:p w14:paraId="2DF984EA">
      <w:pPr>
        <w:numPr>
          <w:ilvl w:val="0"/>
          <w:numId w:val="1"/>
        </w:numPr>
        <w:spacing w:line="460" w:lineRule="exact"/>
        <w:jc w:val="center"/>
        <w:rPr>
          <w:rFonts w:ascii="黑体" w:hAnsi="黑体" w:eastAsia="黑体" w:cs="黑体"/>
          <w:b/>
          <w:bCs/>
          <w:sz w:val="32"/>
          <w:szCs w:val="32"/>
        </w:rPr>
      </w:pPr>
      <w:r>
        <w:rPr>
          <w:rFonts w:hint="eastAsia" w:ascii="黑体" w:hAnsi="黑体" w:eastAsia="黑体" w:cs="黑体"/>
          <w:b/>
          <w:bCs/>
          <w:sz w:val="32"/>
          <w:szCs w:val="32"/>
        </w:rPr>
        <w:t>风险提示</w:t>
      </w:r>
    </w:p>
    <w:p w14:paraId="5BFF030C">
      <w:pPr>
        <w:spacing w:line="460" w:lineRule="exact"/>
        <w:ind w:firstLine="560" w:firstLineChars="200"/>
        <w:rPr>
          <w:rFonts w:ascii="仿宋_GB2312" w:hAnsi="仿宋_GB2312" w:eastAsia="仿宋_GB2312" w:cs="仿宋_GB2312"/>
          <w:b/>
          <w:bCs/>
          <w:sz w:val="28"/>
          <w:szCs w:val="28"/>
        </w:rPr>
      </w:pPr>
      <w:r>
        <w:rPr>
          <w:rFonts w:hint="eastAsia" w:ascii="仿宋_GB2312" w:hAnsi="仿宋_GB2312" w:eastAsia="仿宋_GB2312" w:cs="仿宋_GB2312"/>
          <w:sz w:val="28"/>
          <w:szCs w:val="28"/>
        </w:rPr>
        <w:t>1.1本合同约定的电能量价格</w:t>
      </w:r>
      <w:r>
        <w:rPr>
          <w:rFonts w:hint="eastAsia" w:ascii="仿宋_GB2312" w:hAnsi="仿宋_GB2312" w:eastAsia="仿宋_GB2312" w:cs="仿宋_GB2312"/>
          <w:b/>
          <w:bCs/>
          <w:sz w:val="28"/>
          <w:szCs w:val="28"/>
        </w:rPr>
        <w:t>并非用户最终到户电价</w:t>
      </w:r>
      <w:r>
        <w:rPr>
          <w:rFonts w:hint="eastAsia" w:ascii="仿宋_GB2312" w:hAnsi="仿宋_GB2312" w:eastAsia="仿宋_GB2312" w:cs="仿宋_GB2312"/>
          <w:sz w:val="28"/>
          <w:szCs w:val="28"/>
        </w:rPr>
        <w:t>（详见合同文本4.4条）。本合同约定的电能量价格不含煤电容量电价，煤电容量电价纳入系统运行费用每月由工商业用户分摊。甲乙双方已充分知悉煤电容量电价相关政策（详见附件一），</w:t>
      </w:r>
      <w:r>
        <w:rPr>
          <w:rFonts w:hint="eastAsia" w:ascii="仿宋_GB2312" w:hAnsi="仿宋_GB2312" w:eastAsia="仿宋_GB2312" w:cs="仿宋_GB2312"/>
          <w:b/>
          <w:bCs/>
          <w:sz w:val="28"/>
          <w:szCs w:val="28"/>
        </w:rPr>
        <w:t>2026年煤电容量电价水平较2025年上调，甲乙双方协商一致确认，乙方须将批发市场电能量价格随之下降的空间足额传导至甲方，乙方不得利用信息不对称误导甲方、赚取不当利润，推高甲方用电成本；甲方应重点关注煤电容量电价政策对到户电价的影响，在签订合同前根据市场行情综合评估叠加煤电容量电价等各类费用后的购电成本。</w:t>
      </w:r>
    </w:p>
    <w:p w14:paraId="52CCF8E8">
      <w:pPr>
        <w:spacing w:line="4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1.2本合同双方若与发电企业签订多年PPA购电协议，双方须综合考虑甲方绿电实际需求量，综合衔接多年PPA、年度、月度及月内绿电交易电量占比及价格，统筹约定本合同中所涉及的绿电交易零售价格。</w:t>
      </w:r>
    </w:p>
    <w:p w14:paraId="27B20C54">
      <w:pPr>
        <w:spacing w:line="4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1.3</w:t>
      </w:r>
      <w:r>
        <w:rPr>
          <w:rFonts w:hint="eastAsia" w:ascii="仿宋_GB2312" w:hAnsi="仿宋_GB2312" w:eastAsia="仿宋_GB2312" w:cs="仿宋_GB2312"/>
          <w:b/>
          <w:bCs/>
          <w:sz w:val="28"/>
          <w:szCs w:val="28"/>
        </w:rPr>
        <w:t>甲方应参照交易平台披露的批发市场价格参数，合理选择零售结算模式及价格。</w:t>
      </w:r>
      <w:r>
        <w:rPr>
          <w:rFonts w:hint="eastAsia" w:ascii="仿宋_GB2312" w:hAnsi="仿宋_GB2312" w:eastAsia="仿宋_GB2312" w:cs="仿宋_GB2312"/>
          <w:sz w:val="28"/>
          <w:szCs w:val="28"/>
        </w:rPr>
        <w:t>对于偏差电量结算，甲方应合理选择“售电公司全担”或“零售用户共担”方式。当选择“零售用户共担”时，乙方须协助甲方合理确定合同电量，不得误导甲方偏离实际需求签署过高或过低的合同电量，赚取不当利润。绿色电力零售合同封顶总价、售电公司收益分享均是有效防范零售价格风险的措施，甲方应认真理解、合理应用。</w:t>
      </w:r>
    </w:p>
    <w:p w14:paraId="62949943">
      <w:pPr>
        <w:spacing w:line="460" w:lineRule="exact"/>
        <w:ind w:firstLine="560" w:firstLineChars="200"/>
        <w:rPr>
          <w:rFonts w:ascii="仿宋_GB2312" w:hAnsi="仿宋_GB2312" w:eastAsia="仿宋_GB2312" w:cs="仿宋_GB2312"/>
          <w:b/>
          <w:bCs/>
          <w:sz w:val="28"/>
          <w:szCs w:val="28"/>
        </w:rPr>
      </w:pPr>
      <w:r>
        <w:rPr>
          <w:rFonts w:hint="eastAsia" w:ascii="仿宋_GB2312" w:hAnsi="仿宋_GB2312" w:eastAsia="仿宋_GB2312" w:cs="仿宋_GB2312"/>
          <w:sz w:val="28"/>
          <w:szCs w:val="28"/>
        </w:rPr>
        <w:t>1.4</w:t>
      </w:r>
      <w:r>
        <w:rPr>
          <w:rFonts w:hint="eastAsia" w:ascii="仿宋_GB2312" w:hAnsi="仿宋_GB2312" w:eastAsia="仿宋_GB2312" w:cs="仿宋_GB2312"/>
          <w:b/>
          <w:bCs/>
          <w:sz w:val="28"/>
          <w:szCs w:val="28"/>
        </w:rPr>
        <w:t>按照国家有关要求，严禁在收取电费中加收其他费用。</w:t>
      </w:r>
      <w:r>
        <w:rPr>
          <w:rFonts w:hint="eastAsia" w:ascii="仿宋_GB2312" w:hAnsi="仿宋_GB2312" w:eastAsia="仿宋_GB2312" w:cs="仿宋_GB2312"/>
          <w:sz w:val="28"/>
          <w:szCs w:val="28"/>
        </w:rPr>
        <w:t>物业公共部位、共用设施和配套设施的运行维护费用等，应通过物业费、租金或公共收益解决，严禁以电费为基数加收服务类费用。</w:t>
      </w:r>
      <w:r>
        <w:rPr>
          <w:rFonts w:hint="eastAsia" w:ascii="仿宋_GB2312" w:hAnsi="仿宋_GB2312" w:eastAsia="仿宋_GB2312" w:cs="仿宋_GB2312"/>
          <w:b/>
          <w:bCs/>
          <w:sz w:val="28"/>
          <w:szCs w:val="28"/>
        </w:rPr>
        <w:t>甲乙双方应按照公平自愿原则签订本合同，不得通过签订明显有失市场公平的结算参数损害相关方利益。</w:t>
      </w:r>
    </w:p>
    <w:p w14:paraId="0F9EDD25">
      <w:pPr>
        <w:spacing w:line="4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1.5合同期内如遇国家电价政策调整影响零售交易时，售电公司和零售用户应通过签订补充协议或在合同中增加约束条款等形式落实国家要求。</w:t>
      </w:r>
    </w:p>
    <w:p w14:paraId="4D854EA1">
      <w:pPr>
        <w:spacing w:line="460" w:lineRule="exact"/>
        <w:ind w:firstLine="560" w:firstLineChars="200"/>
        <w:rPr>
          <w:rFonts w:ascii="仿宋_GB2312" w:hAnsi="仿宋_GB2312" w:eastAsia="仿宋_GB2312" w:cs="仿宋_GB2312"/>
          <w:b/>
          <w:bCs/>
          <w:sz w:val="28"/>
          <w:szCs w:val="28"/>
        </w:rPr>
      </w:pPr>
      <w:r>
        <w:rPr>
          <w:rFonts w:hint="eastAsia" w:ascii="仿宋_GB2312" w:hAnsi="仿宋_GB2312" w:eastAsia="仿宋_GB2312" w:cs="仿宋_GB2312"/>
          <w:sz w:val="28"/>
          <w:szCs w:val="28"/>
        </w:rPr>
        <w:t>1.6</w:t>
      </w:r>
      <w:r>
        <w:rPr>
          <w:rFonts w:hint="eastAsia" w:ascii="仿宋_GB2312" w:hAnsi="仿宋_GB2312" w:eastAsia="仿宋_GB2312" w:cs="仿宋_GB2312"/>
          <w:b/>
          <w:bCs/>
          <w:sz w:val="28"/>
          <w:szCs w:val="28"/>
        </w:rPr>
        <w:t>交易中心依据交易平台中的结算参数进行结算，请各经营主体妥善保管各自交易平台账号、密码、数字证书、人脸识别、电子签章等信息，切勿泄露、配合、提供给其他方和相对方使用，并自愿承担未妥善保管及使用导致的一切风险及后果。</w:t>
      </w:r>
    </w:p>
    <w:p w14:paraId="1C4C20CF">
      <w:pPr>
        <w:spacing w:line="4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1.7本合同签订价格均为含税价格。</w:t>
      </w:r>
    </w:p>
    <w:p w14:paraId="7454D816">
      <w:pPr>
        <w:spacing w:line="4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1.8对于上述风险提示，合同双方均已认真阅读、完全理解并同意，合同签署即视为知悉并同意上述风险提示的全部内容。</w:t>
      </w:r>
    </w:p>
    <w:p w14:paraId="26895F8C">
      <w:pPr>
        <w:pStyle w:val="2"/>
      </w:pPr>
    </w:p>
    <w:p w14:paraId="4977F802">
      <w:pPr>
        <w:numPr>
          <w:ilvl w:val="0"/>
          <w:numId w:val="1"/>
        </w:numPr>
        <w:spacing w:line="460" w:lineRule="exact"/>
        <w:jc w:val="center"/>
        <w:rPr>
          <w:rFonts w:ascii="黑体" w:hAnsi="黑体" w:eastAsia="黑体" w:cs="黑体"/>
          <w:b/>
          <w:bCs/>
          <w:sz w:val="32"/>
          <w:szCs w:val="32"/>
        </w:rPr>
      </w:pPr>
      <w:r>
        <w:rPr>
          <w:rFonts w:hint="eastAsia" w:ascii="黑体" w:hAnsi="黑体" w:eastAsia="黑体" w:cs="黑体"/>
          <w:b/>
          <w:bCs/>
          <w:sz w:val="32"/>
          <w:szCs w:val="32"/>
        </w:rPr>
        <w:t>权利和义务</w:t>
      </w:r>
    </w:p>
    <w:p w14:paraId="1F727679">
      <w:pPr>
        <w:spacing w:line="460" w:lineRule="exact"/>
        <w:ind w:firstLine="562" w:firstLineChars="200"/>
        <w:rPr>
          <w:rFonts w:ascii="楷体_GB2312" w:hAnsi="楷体_GB2312" w:eastAsia="楷体_GB2312" w:cs="楷体_GB2312"/>
          <w:b/>
          <w:bCs/>
          <w:sz w:val="28"/>
          <w:szCs w:val="28"/>
        </w:rPr>
      </w:pPr>
      <w:r>
        <w:rPr>
          <w:rFonts w:hint="eastAsia" w:ascii="楷体_GB2312" w:hAnsi="楷体_GB2312" w:eastAsia="楷体_GB2312" w:cs="楷体_GB2312"/>
          <w:b/>
          <w:bCs/>
          <w:sz w:val="28"/>
          <w:szCs w:val="28"/>
        </w:rPr>
        <w:t>2.1甲方的权利</w:t>
      </w:r>
    </w:p>
    <w:p w14:paraId="01A18195">
      <w:pPr>
        <w:spacing w:line="4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2.1.1按照国家法律、法规等获取电网企业提供的有关接入和用电服务。</w:t>
      </w:r>
    </w:p>
    <w:p w14:paraId="458A7CF6">
      <w:pPr>
        <w:spacing w:line="4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2.1.2获得乙方履行本合同义务相关的信息、资料及查阅电能量计量数据。</w:t>
      </w:r>
    </w:p>
    <w:p w14:paraId="0E541E10">
      <w:pPr>
        <w:spacing w:line="460" w:lineRule="exact"/>
        <w:ind w:firstLine="562" w:firstLineChars="200"/>
        <w:rPr>
          <w:rFonts w:ascii="楷体_GB2312" w:hAnsi="楷体_GB2312" w:eastAsia="楷体_GB2312" w:cs="楷体_GB2312"/>
          <w:b/>
          <w:bCs/>
          <w:sz w:val="28"/>
          <w:szCs w:val="28"/>
        </w:rPr>
      </w:pPr>
      <w:r>
        <w:rPr>
          <w:rFonts w:hint="eastAsia" w:ascii="楷体_GB2312" w:hAnsi="楷体_GB2312" w:eastAsia="楷体_GB2312" w:cs="楷体_GB2312"/>
          <w:b/>
          <w:bCs/>
          <w:sz w:val="28"/>
          <w:szCs w:val="28"/>
        </w:rPr>
        <w:t>2.2甲方的义务</w:t>
      </w:r>
    </w:p>
    <w:p w14:paraId="3951FA1B">
      <w:pPr>
        <w:spacing w:line="4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2.2.1按规定披露和提供信息，向乙方如实提供本合同履约周期的历史用电数据和计量数据等用电信息，以及用电计量点的增减及变更、办理增减容和更名过户等用电业务信息，向乙方提供与履行本合同相关的其他信息。</w:t>
      </w:r>
    </w:p>
    <w:p w14:paraId="4A06F2D6">
      <w:pPr>
        <w:spacing w:line="4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2.2.2按规定按时缴纳电费，包括：电能量电费、输配电费、政府基金附加费等相关费用。</w:t>
      </w:r>
    </w:p>
    <w:p w14:paraId="363A3892">
      <w:pPr>
        <w:spacing w:line="4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2.2.3在本合同的交易周期内仅与一家售电公司签订电力零售市场购售电合同，已签订的多年PPA协议中关联的售电公司，须与本合同的乙方一致。如需在交易周期内更换售电公司，须同步调整PPA协议和电力零售市场购售电合同，保持两者中的售电公司一致。</w:t>
      </w:r>
    </w:p>
    <w:p w14:paraId="208B1FEA">
      <w:pPr>
        <w:spacing w:line="4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2.2.4当甲方退市或更换售电公司时，如已签订的合同未履行完毕，须与乙方协商解除《北京市电力零售市场购售电合同》等，并完成电量及费用清算。</w:t>
      </w:r>
    </w:p>
    <w:p w14:paraId="2188C450">
      <w:pPr>
        <w:spacing w:line="460" w:lineRule="exact"/>
        <w:ind w:firstLine="562" w:firstLineChars="200"/>
        <w:rPr>
          <w:rFonts w:ascii="楷体_GB2312" w:hAnsi="楷体_GB2312" w:eastAsia="楷体_GB2312" w:cs="楷体_GB2312"/>
          <w:b/>
          <w:bCs/>
          <w:sz w:val="28"/>
          <w:szCs w:val="28"/>
        </w:rPr>
      </w:pPr>
      <w:r>
        <w:rPr>
          <w:rFonts w:hint="eastAsia" w:ascii="楷体_GB2312" w:hAnsi="楷体_GB2312" w:eastAsia="楷体_GB2312" w:cs="楷体_GB2312"/>
          <w:b/>
          <w:bCs/>
          <w:sz w:val="28"/>
          <w:szCs w:val="28"/>
        </w:rPr>
        <w:t>2.3乙方的权利</w:t>
      </w:r>
    </w:p>
    <w:p w14:paraId="3BF3FBDD">
      <w:pPr>
        <w:spacing w:line="4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获得甲方履行本合同义务相关的信息、资料及查阅计量电量数据。</w:t>
      </w:r>
    </w:p>
    <w:p w14:paraId="689FA61A">
      <w:pPr>
        <w:spacing w:line="460" w:lineRule="exact"/>
        <w:ind w:firstLine="562" w:firstLineChars="200"/>
        <w:rPr>
          <w:rFonts w:ascii="楷体_GB2312" w:hAnsi="楷体_GB2312" w:eastAsia="楷体_GB2312" w:cs="楷体_GB2312"/>
          <w:b/>
          <w:bCs/>
          <w:sz w:val="28"/>
          <w:szCs w:val="28"/>
        </w:rPr>
      </w:pPr>
      <w:r>
        <w:rPr>
          <w:rFonts w:hint="eastAsia" w:ascii="楷体_GB2312" w:hAnsi="楷体_GB2312" w:eastAsia="楷体_GB2312" w:cs="楷体_GB2312"/>
          <w:b/>
          <w:bCs/>
          <w:sz w:val="28"/>
          <w:szCs w:val="28"/>
        </w:rPr>
        <w:t>2.4乙方的义务</w:t>
      </w:r>
    </w:p>
    <w:p w14:paraId="59F7493F">
      <w:pPr>
        <w:spacing w:line="4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2.4.1按照国家有关法律、规定和技术规范，为甲方提供电力交易销售服务，参与批发市场交易并按规定结算。</w:t>
      </w:r>
    </w:p>
    <w:p w14:paraId="78F27E5A">
      <w:pPr>
        <w:spacing w:line="4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2.4.2按规定披露和提供信息，向甲方及时准确宣传解释相关电力市场结算规则、流程等要求，向甲方提供真实准确的有关电力零售套餐交易的相关信息及资料，协助甲方及时签订零售合同、固化零售结算模式，不得提供虚假的或误导性的信息。</w:t>
      </w:r>
    </w:p>
    <w:p w14:paraId="47E4C34B">
      <w:pPr>
        <w:spacing w:line="4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2.4.3当甲方退市或更换售电公司时，以及当乙方因无力提供售电服务或按国家规定的程序强制退出市场时，须处理已签订但未履行或未履行完毕的合同，并完成电量及费用清算。</w:t>
      </w:r>
    </w:p>
    <w:p w14:paraId="3ECE8FAC">
      <w:pPr>
        <w:spacing w:line="4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2.4.4在本合同交易周期内，甲乙双方协商一致解除本合同的，乙方应配合更换PPA协议中的售电公司。</w:t>
      </w:r>
    </w:p>
    <w:p w14:paraId="134E7F6D">
      <w:pPr>
        <w:spacing w:line="4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2.4.5按照国家规定，作为可再生能源电力的消纳责任主体，承担可再生能源电力的消纳责任。</w:t>
      </w:r>
    </w:p>
    <w:p w14:paraId="21917EB7">
      <w:pPr>
        <w:spacing w:line="460" w:lineRule="exact"/>
        <w:ind w:firstLine="562" w:firstLineChars="200"/>
        <w:rPr>
          <w:rFonts w:ascii="楷体_GB2312" w:hAnsi="楷体_GB2312" w:eastAsia="楷体_GB2312" w:cs="楷体_GB2312"/>
          <w:b/>
          <w:bCs/>
          <w:sz w:val="28"/>
          <w:szCs w:val="28"/>
        </w:rPr>
      </w:pPr>
      <w:r>
        <w:rPr>
          <w:rFonts w:hint="eastAsia" w:ascii="楷体_GB2312" w:hAnsi="楷体_GB2312" w:eastAsia="楷体_GB2312" w:cs="楷体_GB2312"/>
          <w:b/>
          <w:bCs/>
          <w:sz w:val="28"/>
          <w:szCs w:val="28"/>
        </w:rPr>
        <w:t>2.5其他</w:t>
      </w:r>
    </w:p>
    <w:p w14:paraId="70A97F18">
      <w:pPr>
        <w:spacing w:line="4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2.5.1合同双方权利义务其他未尽事宜，按照国家有关规则要求执行。</w:t>
      </w:r>
    </w:p>
    <w:p w14:paraId="225CE545">
      <w:r>
        <w:br w:type="page"/>
      </w:r>
    </w:p>
    <w:p w14:paraId="33ECB1A0">
      <w:pPr>
        <w:numPr>
          <w:ilvl w:val="0"/>
          <w:numId w:val="1"/>
        </w:numPr>
        <w:spacing w:line="460" w:lineRule="exact"/>
        <w:jc w:val="center"/>
        <w:rPr>
          <w:rFonts w:ascii="黑体" w:hAnsi="黑体" w:eastAsia="黑体" w:cs="黑体"/>
          <w:b/>
          <w:bCs/>
          <w:sz w:val="32"/>
          <w:szCs w:val="32"/>
        </w:rPr>
      </w:pPr>
      <w:r>
        <w:rPr>
          <w:rFonts w:hint="eastAsia" w:ascii="黑体" w:hAnsi="黑体" w:eastAsia="黑体" w:cs="黑体"/>
          <w:b/>
          <w:bCs/>
          <w:sz w:val="32"/>
          <w:szCs w:val="32"/>
        </w:rPr>
        <w:t>零售套餐交易信息</w:t>
      </w:r>
    </w:p>
    <w:p w14:paraId="4F2FBDA3">
      <w:pPr>
        <w:spacing w:line="4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甲乙双方最小交易周期为月，通过签订零售套餐，对零售交易的合同电量电价（包括常规电力和绿色电力）、偏差电量电价、超额收益分享进行约定。甲乙双方交易周期及电量、电价等参数约定详见本合同附件二。常规电力套餐和绿色电力套餐须选定为同类型套餐。</w:t>
      </w:r>
    </w:p>
    <w:p w14:paraId="78EE27CC">
      <w:pPr>
        <w:spacing w:line="460" w:lineRule="exact"/>
        <w:ind w:firstLine="562" w:firstLineChars="200"/>
        <w:rPr>
          <w:rFonts w:ascii="黑体" w:hAnsi="黑体" w:eastAsia="黑体" w:cs="黑体"/>
          <w:b/>
          <w:bCs/>
          <w:sz w:val="28"/>
          <w:szCs w:val="28"/>
        </w:rPr>
      </w:pPr>
      <w:r>
        <w:rPr>
          <w:rFonts w:hint="eastAsia" w:ascii="黑体" w:hAnsi="黑体" w:eastAsia="黑体" w:cs="黑体"/>
          <w:b/>
          <w:bCs/>
          <w:sz w:val="28"/>
          <w:szCs w:val="28"/>
        </w:rPr>
        <w:t>3.1常规电力合同电量电价</w:t>
      </w:r>
    </w:p>
    <w:p w14:paraId="48F0CE5B">
      <w:pPr>
        <w:spacing w:line="460" w:lineRule="exact"/>
        <w:ind w:firstLine="562" w:firstLineChars="200"/>
        <w:rPr>
          <w:rFonts w:ascii="楷体_GB2312" w:hAnsi="楷体_GB2312" w:eastAsia="楷体_GB2312" w:cs="楷体_GB2312"/>
          <w:b/>
          <w:bCs/>
          <w:sz w:val="28"/>
          <w:szCs w:val="28"/>
        </w:rPr>
      </w:pPr>
      <w:r>
        <w:rPr>
          <w:rFonts w:hint="eastAsia" w:ascii="楷体_GB2312" w:hAnsi="楷体_GB2312" w:eastAsia="楷体_GB2312" w:cs="楷体_GB2312"/>
          <w:b/>
          <w:bCs/>
          <w:sz w:val="28"/>
          <w:szCs w:val="28"/>
        </w:rPr>
        <w:t>3.1.1常规电力电能量价格</w:t>
      </w:r>
    </w:p>
    <w:p w14:paraId="56CB6512">
      <w:pPr>
        <w:spacing w:line="46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A固定价格套餐：</w:t>
      </w:r>
      <w:r>
        <w:rPr>
          <w:rFonts w:hint="eastAsia" w:ascii="仿宋_GB2312" w:hAnsi="仿宋_GB2312" w:eastAsia="仿宋_GB2312" w:cs="仿宋_GB2312"/>
          <w:sz w:val="28"/>
          <w:szCs w:val="28"/>
        </w:rPr>
        <w:t>双方约定，常规电力电量Q</w:t>
      </w:r>
      <w:r>
        <w:rPr>
          <w:rFonts w:hint="eastAsia" w:ascii="仿宋_GB2312" w:hAnsi="仿宋_GB2312" w:eastAsia="仿宋_GB2312" w:cs="仿宋_GB2312"/>
          <w:sz w:val="28"/>
          <w:szCs w:val="28"/>
          <w:vertAlign w:val="subscript"/>
        </w:rPr>
        <w:t>常</w:t>
      </w:r>
      <w:r>
        <w:rPr>
          <w:rFonts w:hint="eastAsia" w:ascii="仿宋_GB2312" w:hAnsi="仿宋_GB2312" w:eastAsia="仿宋_GB2312" w:cs="仿宋_GB2312"/>
          <w:sz w:val="28"/>
          <w:szCs w:val="28"/>
        </w:rPr>
        <w:t>按照固定价格P</w:t>
      </w:r>
      <w:r>
        <w:rPr>
          <w:rFonts w:hint="eastAsia" w:ascii="仿宋_GB2312" w:hAnsi="仿宋_GB2312" w:eastAsia="仿宋_GB2312" w:cs="仿宋_GB2312"/>
          <w:sz w:val="28"/>
          <w:szCs w:val="28"/>
          <w:vertAlign w:val="subscript"/>
        </w:rPr>
        <w:t>常固</w:t>
      </w:r>
      <w:r>
        <w:rPr>
          <w:rFonts w:hint="eastAsia" w:ascii="仿宋_GB2312" w:hAnsi="仿宋_GB2312" w:eastAsia="仿宋_GB2312" w:cs="仿宋_GB2312"/>
          <w:sz w:val="28"/>
          <w:szCs w:val="28"/>
        </w:rPr>
        <w:t>结算,该价格不随市场价格变化。</w:t>
      </w:r>
    </w:p>
    <w:p w14:paraId="36DDF32B">
      <w:pPr>
        <w:spacing w:line="460" w:lineRule="exact"/>
        <w:jc w:val="center"/>
        <w:rPr>
          <w:rFonts w:ascii="楷体_GB2312" w:hAnsi="楷体_GB2312" w:eastAsia="楷体_GB2312" w:cs="楷体_GB2312"/>
          <w:b/>
          <w:bCs/>
          <w:sz w:val="28"/>
          <w:szCs w:val="28"/>
        </w:rPr>
      </w:pPr>
      <w:r>
        <w:rPr>
          <w:rFonts w:hint="eastAsia" w:ascii="楷体_GB2312" w:hAnsi="楷体_GB2312" w:eastAsia="楷体_GB2312" w:cs="楷体_GB2312"/>
          <w:b/>
          <w:bCs/>
          <w:sz w:val="28"/>
          <w:szCs w:val="28"/>
        </w:rPr>
        <w:t>P</w:t>
      </w:r>
      <w:r>
        <w:rPr>
          <w:rFonts w:hint="eastAsia" w:ascii="楷体_GB2312" w:hAnsi="楷体_GB2312" w:eastAsia="楷体_GB2312" w:cs="楷体_GB2312"/>
          <w:b/>
          <w:bCs/>
          <w:sz w:val="28"/>
          <w:szCs w:val="28"/>
          <w:vertAlign w:val="subscript"/>
        </w:rPr>
        <w:t>常</w:t>
      </w:r>
      <w:r>
        <w:rPr>
          <w:rFonts w:hint="eastAsia" w:ascii="楷体_GB2312" w:hAnsi="楷体_GB2312" w:eastAsia="楷体_GB2312" w:cs="楷体_GB2312"/>
          <w:b/>
          <w:bCs/>
          <w:sz w:val="28"/>
          <w:szCs w:val="28"/>
        </w:rPr>
        <w:t>＝P</w:t>
      </w:r>
      <w:r>
        <w:rPr>
          <w:rFonts w:hint="eastAsia" w:ascii="楷体_GB2312" w:hAnsi="楷体_GB2312" w:eastAsia="楷体_GB2312" w:cs="楷体_GB2312"/>
          <w:b/>
          <w:bCs/>
          <w:sz w:val="28"/>
          <w:szCs w:val="28"/>
          <w:vertAlign w:val="subscript"/>
        </w:rPr>
        <w:t>常固</w:t>
      </w:r>
    </w:p>
    <w:p w14:paraId="3FB9483D">
      <w:pPr>
        <w:spacing w:line="460" w:lineRule="exact"/>
        <w:ind w:firstLine="562" w:firstLineChars="200"/>
        <w:rPr>
          <w:rFonts w:hAnsi="Cambria Math" w:eastAsia="仿宋_GB2312" w:cs="仿宋_GB2312"/>
          <w:sz w:val="32"/>
          <w:szCs w:val="32"/>
        </w:rPr>
      </w:pPr>
      <w:r>
        <w:rPr>
          <w:rFonts w:hint="eastAsia" w:ascii="仿宋_GB2312" w:hAnsi="仿宋_GB2312" w:eastAsia="仿宋_GB2312" w:cs="仿宋_GB2312"/>
          <w:b/>
          <w:bCs/>
          <w:sz w:val="28"/>
          <w:szCs w:val="28"/>
        </w:rPr>
        <w:t>B联动价格套餐：</w:t>
      </w:r>
      <w:r>
        <w:rPr>
          <w:rFonts w:hint="eastAsia" w:ascii="仿宋_GB2312" w:hAnsi="仿宋_GB2312" w:eastAsia="仿宋_GB2312" w:cs="仿宋_GB2312"/>
          <w:sz w:val="28"/>
          <w:szCs w:val="28"/>
        </w:rPr>
        <w:t>双方约定，常规电力电量Q</w:t>
      </w:r>
      <w:r>
        <w:rPr>
          <w:rFonts w:hint="eastAsia" w:ascii="仿宋_GB2312" w:hAnsi="仿宋_GB2312" w:eastAsia="仿宋_GB2312" w:cs="仿宋_GB2312"/>
          <w:sz w:val="28"/>
          <w:szCs w:val="28"/>
          <w:vertAlign w:val="subscript"/>
        </w:rPr>
        <w:t>常</w:t>
      </w:r>
      <w:r>
        <w:rPr>
          <w:rFonts w:hint="eastAsia" w:ascii="仿宋_GB2312" w:hAnsi="仿宋_GB2312" w:eastAsia="仿宋_GB2312" w:cs="仿宋_GB2312"/>
          <w:sz w:val="28"/>
          <w:szCs w:val="28"/>
        </w:rPr>
        <w:t>按照常规电力基准价格P</w:t>
      </w:r>
      <w:r>
        <w:rPr>
          <w:rFonts w:hint="eastAsia" w:ascii="仿宋_GB2312" w:hAnsi="仿宋_GB2312" w:eastAsia="仿宋_GB2312" w:cs="仿宋_GB2312"/>
          <w:sz w:val="28"/>
          <w:szCs w:val="28"/>
          <w:vertAlign w:val="subscript"/>
        </w:rPr>
        <w:t>常基</w:t>
      </w:r>
      <w:r>
        <w:rPr>
          <w:rFonts w:hint="eastAsia" w:ascii="仿宋_GB2312" w:hAnsi="仿宋_GB2312" w:eastAsia="仿宋_GB2312" w:cs="仿宋_GB2312"/>
          <w:sz w:val="28"/>
          <w:szCs w:val="28"/>
        </w:rPr>
        <w:t>叠加浮动价格</w:t>
      </w:r>
      <w:r>
        <w:rPr>
          <w:rFonts w:hint="eastAsia" w:ascii="仿宋" w:hAnsi="仿宋" w:eastAsia="仿宋" w:cs="仿宋"/>
          <w:sz w:val="28"/>
          <w:szCs w:val="28"/>
        </w:rPr>
        <w:t>P</w:t>
      </w:r>
      <w:r>
        <w:rPr>
          <w:rFonts w:hint="eastAsia" w:ascii="仿宋" w:hAnsi="仿宋" w:eastAsia="仿宋" w:cs="仿宋"/>
          <w:sz w:val="28"/>
          <w:szCs w:val="28"/>
          <w:vertAlign w:val="subscript"/>
        </w:rPr>
        <w:t>常浮</w:t>
      </w:r>
      <w:r>
        <w:rPr>
          <w:rFonts w:hint="eastAsia" w:ascii="仿宋_GB2312" w:hAnsi="仿宋_GB2312" w:eastAsia="仿宋_GB2312" w:cs="仿宋_GB2312"/>
          <w:sz w:val="28"/>
          <w:szCs w:val="28"/>
        </w:rPr>
        <w:t>结算。常规电力基准价格P</w:t>
      </w:r>
      <w:r>
        <w:rPr>
          <w:rFonts w:hint="eastAsia" w:ascii="仿宋_GB2312" w:hAnsi="仿宋_GB2312" w:eastAsia="仿宋_GB2312" w:cs="仿宋_GB2312"/>
          <w:sz w:val="28"/>
          <w:szCs w:val="28"/>
          <w:vertAlign w:val="subscript"/>
        </w:rPr>
        <w:t>常基</w:t>
      </w:r>
      <w:r>
        <w:rPr>
          <w:rFonts w:hint="eastAsia" w:ascii="仿宋_GB2312" w:hAnsi="仿宋_GB2312" w:eastAsia="仿宋_GB2312" w:cs="仿宋_GB2312"/>
          <w:sz w:val="28"/>
          <w:szCs w:val="28"/>
        </w:rPr>
        <w:t>可以选择常规电力批发市场合同均价P</w:t>
      </w:r>
      <w:r>
        <w:rPr>
          <w:rFonts w:hint="eastAsia" w:ascii="仿宋_GB2312" w:hAnsi="仿宋_GB2312" w:eastAsia="仿宋_GB2312" w:cs="仿宋_GB2312"/>
          <w:sz w:val="28"/>
          <w:szCs w:val="28"/>
          <w:vertAlign w:val="subscript"/>
        </w:rPr>
        <w:t>常批</w:t>
      </w:r>
      <w:r>
        <w:rPr>
          <w:rFonts w:hint="eastAsia" w:ascii="仿宋_GB2312" w:hAnsi="仿宋_GB2312" w:eastAsia="仿宋_GB2312" w:cs="仿宋_GB2312"/>
          <w:sz w:val="28"/>
          <w:szCs w:val="28"/>
        </w:rPr>
        <w:t>作为联动基准，也可以选择签约售电公司的常规电力批发合同均价P</w:t>
      </w:r>
      <w:r>
        <w:rPr>
          <w:rFonts w:hint="eastAsia" w:ascii="仿宋_GB2312" w:hAnsi="仿宋_GB2312" w:eastAsia="仿宋_GB2312" w:cs="仿宋_GB2312"/>
          <w:sz w:val="28"/>
          <w:szCs w:val="28"/>
          <w:vertAlign w:val="subscript"/>
        </w:rPr>
        <w:t>常售</w:t>
      </w:r>
      <w:r>
        <w:rPr>
          <w:rFonts w:hint="eastAsia" w:ascii="仿宋_GB2312" w:hAnsi="仿宋_GB2312" w:eastAsia="仿宋_GB2312" w:cs="仿宋_GB2312"/>
          <w:sz w:val="28"/>
          <w:szCs w:val="28"/>
        </w:rPr>
        <w:t>作为联动基准。</w:t>
      </w:r>
      <w:r>
        <w:rPr>
          <w:rFonts w:hint="eastAsia" w:ascii="仿宋" w:hAnsi="仿宋" w:eastAsia="仿宋" w:cs="仿宋"/>
          <w:sz w:val="28"/>
          <w:szCs w:val="28"/>
        </w:rPr>
        <w:t>P</w:t>
      </w:r>
      <w:r>
        <w:rPr>
          <w:rFonts w:hint="eastAsia" w:ascii="仿宋" w:hAnsi="仿宋" w:eastAsia="仿宋" w:cs="仿宋"/>
          <w:sz w:val="28"/>
          <w:szCs w:val="28"/>
          <w:vertAlign w:val="subscript"/>
        </w:rPr>
        <w:t>常浮</w:t>
      </w:r>
      <w:r>
        <w:rPr>
          <w:rFonts w:hint="eastAsia" w:ascii="仿宋" w:hAnsi="仿宋" w:eastAsia="仿宋" w:cs="仿宋"/>
          <w:sz w:val="28"/>
          <w:szCs w:val="28"/>
        </w:rPr>
        <w:t>可以为正值、零、负值。当签约售电公司未签订常规电力批发合同时，</w:t>
      </w:r>
      <w:r>
        <w:rPr>
          <w:rFonts w:hint="eastAsia" w:ascii="仿宋_GB2312" w:hAnsi="仿宋_GB2312" w:eastAsia="仿宋_GB2312" w:cs="仿宋_GB2312"/>
          <w:sz w:val="28"/>
          <w:szCs w:val="28"/>
        </w:rPr>
        <w:t>P</w:t>
      </w:r>
      <w:r>
        <w:rPr>
          <w:rFonts w:hint="eastAsia" w:ascii="仿宋_GB2312" w:hAnsi="仿宋_GB2312" w:eastAsia="仿宋_GB2312" w:cs="仿宋_GB2312"/>
          <w:sz w:val="28"/>
          <w:szCs w:val="28"/>
          <w:vertAlign w:val="subscript"/>
        </w:rPr>
        <w:t>常基</w:t>
      </w:r>
      <w:r>
        <w:rPr>
          <w:rFonts w:hint="eastAsia" w:ascii="仿宋_GB2312" w:hAnsi="仿宋_GB2312" w:eastAsia="仿宋_GB2312" w:cs="仿宋_GB2312"/>
          <w:sz w:val="28"/>
          <w:szCs w:val="28"/>
        </w:rPr>
        <w:t>默认取值为P</w:t>
      </w:r>
      <w:r>
        <w:rPr>
          <w:rFonts w:hint="eastAsia" w:ascii="仿宋_GB2312" w:hAnsi="仿宋_GB2312" w:eastAsia="仿宋_GB2312" w:cs="仿宋_GB2312"/>
          <w:sz w:val="28"/>
          <w:szCs w:val="28"/>
          <w:vertAlign w:val="subscript"/>
        </w:rPr>
        <w:t>常批</w:t>
      </w:r>
      <w:r>
        <w:rPr>
          <w:rFonts w:hint="eastAsia" w:hAnsi="Cambria Math" w:eastAsia="仿宋_GB2312" w:cs="仿宋_GB2312"/>
          <w:sz w:val="32"/>
          <w:szCs w:val="32"/>
        </w:rPr>
        <w:t>。</w:t>
      </w:r>
    </w:p>
    <w:p w14:paraId="2AC1A950">
      <w:pPr>
        <w:spacing w:line="460" w:lineRule="exact"/>
        <w:jc w:val="center"/>
        <w:rPr>
          <w:rFonts w:ascii="楷体_GB2312" w:hAnsi="楷体_GB2312" w:eastAsia="楷体_GB2312" w:cs="楷体_GB2312"/>
          <w:b/>
          <w:bCs/>
          <w:sz w:val="28"/>
          <w:szCs w:val="28"/>
        </w:rPr>
      </w:pPr>
      <w:r>
        <w:rPr>
          <w:rFonts w:hint="eastAsia" w:ascii="楷体_GB2312" w:hAnsi="楷体_GB2312" w:eastAsia="楷体_GB2312" w:cs="楷体_GB2312"/>
          <w:b/>
          <w:bCs/>
          <w:sz w:val="28"/>
          <w:szCs w:val="28"/>
        </w:rPr>
        <w:t>P</w:t>
      </w:r>
      <w:r>
        <w:rPr>
          <w:rFonts w:hint="eastAsia" w:ascii="楷体_GB2312" w:hAnsi="楷体_GB2312" w:eastAsia="楷体_GB2312" w:cs="楷体_GB2312"/>
          <w:b/>
          <w:bCs/>
          <w:sz w:val="28"/>
          <w:szCs w:val="28"/>
          <w:vertAlign w:val="subscript"/>
        </w:rPr>
        <w:t>常</w:t>
      </w:r>
      <w:r>
        <w:rPr>
          <w:rFonts w:hint="eastAsia" w:ascii="楷体_GB2312" w:hAnsi="楷体_GB2312" w:eastAsia="楷体_GB2312" w:cs="楷体_GB2312"/>
          <w:b/>
          <w:bCs/>
          <w:sz w:val="28"/>
          <w:szCs w:val="28"/>
        </w:rPr>
        <w:t>＝P</w:t>
      </w:r>
      <w:r>
        <w:rPr>
          <w:rFonts w:hint="eastAsia" w:ascii="楷体_GB2312" w:hAnsi="楷体_GB2312" w:eastAsia="楷体_GB2312" w:cs="楷体_GB2312"/>
          <w:b/>
          <w:bCs/>
          <w:sz w:val="28"/>
          <w:szCs w:val="28"/>
          <w:vertAlign w:val="subscript"/>
        </w:rPr>
        <w:t>常基</w:t>
      </w:r>
      <w:r>
        <w:rPr>
          <w:rFonts w:hint="eastAsia" w:ascii="楷体_GB2312" w:hAnsi="楷体_GB2312" w:eastAsia="楷体_GB2312" w:cs="楷体_GB2312"/>
          <w:b/>
          <w:bCs/>
          <w:sz w:val="28"/>
          <w:szCs w:val="28"/>
        </w:rPr>
        <w:t>＋P</w:t>
      </w:r>
      <w:r>
        <w:rPr>
          <w:rFonts w:hint="eastAsia" w:ascii="楷体_GB2312" w:hAnsi="楷体_GB2312" w:eastAsia="楷体_GB2312" w:cs="楷体_GB2312"/>
          <w:b/>
          <w:bCs/>
          <w:sz w:val="28"/>
          <w:szCs w:val="28"/>
          <w:vertAlign w:val="subscript"/>
        </w:rPr>
        <w:t>常浮</w:t>
      </w:r>
    </w:p>
    <w:p w14:paraId="1741427E">
      <w:pPr>
        <w:spacing w:line="46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C比例分成套餐：</w:t>
      </w:r>
      <w:r>
        <w:rPr>
          <w:rFonts w:hint="eastAsia" w:ascii="仿宋_GB2312" w:hAnsi="仿宋_GB2312" w:eastAsia="仿宋_GB2312" w:cs="仿宋_GB2312"/>
          <w:sz w:val="28"/>
          <w:szCs w:val="28"/>
        </w:rPr>
        <w:t>双方约定，常规电力电量Q</w:t>
      </w:r>
      <w:r>
        <w:rPr>
          <w:rFonts w:hint="eastAsia" w:ascii="仿宋_GB2312" w:hAnsi="仿宋_GB2312" w:eastAsia="仿宋_GB2312" w:cs="仿宋_GB2312"/>
          <w:sz w:val="28"/>
          <w:szCs w:val="28"/>
          <w:vertAlign w:val="subscript"/>
        </w:rPr>
        <w:t>常</w:t>
      </w:r>
      <w:r>
        <w:rPr>
          <w:rFonts w:hint="eastAsia" w:ascii="仿宋_GB2312" w:hAnsi="仿宋_GB2312" w:eastAsia="仿宋_GB2312" w:cs="仿宋_GB2312"/>
          <w:sz w:val="28"/>
          <w:szCs w:val="28"/>
        </w:rPr>
        <w:t>在约定固定价格P</w:t>
      </w:r>
      <w:r>
        <w:rPr>
          <w:rFonts w:hint="eastAsia" w:ascii="仿宋_GB2312" w:hAnsi="仿宋_GB2312" w:eastAsia="仿宋_GB2312" w:cs="仿宋_GB2312"/>
          <w:sz w:val="28"/>
          <w:szCs w:val="28"/>
          <w:vertAlign w:val="subscript"/>
        </w:rPr>
        <w:t>常固</w:t>
      </w:r>
      <w:r>
        <w:rPr>
          <w:rFonts w:hint="eastAsia" w:ascii="仿宋_GB2312" w:hAnsi="仿宋_GB2312" w:eastAsia="仿宋_GB2312" w:cs="仿宋_GB2312"/>
          <w:sz w:val="28"/>
          <w:szCs w:val="28"/>
        </w:rPr>
        <w:t>的基础上，将固定价格P</w:t>
      </w:r>
      <w:r>
        <w:rPr>
          <w:rFonts w:hint="eastAsia" w:ascii="仿宋_GB2312" w:hAnsi="仿宋_GB2312" w:eastAsia="仿宋_GB2312" w:cs="仿宋_GB2312"/>
          <w:sz w:val="28"/>
          <w:szCs w:val="28"/>
          <w:vertAlign w:val="subscript"/>
        </w:rPr>
        <w:t>常固</w:t>
      </w:r>
      <w:r>
        <w:rPr>
          <w:rFonts w:hint="eastAsia" w:ascii="仿宋_GB2312" w:hAnsi="仿宋_GB2312" w:eastAsia="仿宋_GB2312" w:cs="仿宋_GB2312"/>
          <w:sz w:val="28"/>
          <w:szCs w:val="28"/>
        </w:rPr>
        <w:t>与常规电力批发市场合同均价P</w:t>
      </w:r>
      <w:r>
        <w:rPr>
          <w:rFonts w:hint="eastAsia" w:ascii="仿宋_GB2312" w:hAnsi="仿宋_GB2312" w:eastAsia="仿宋_GB2312" w:cs="仿宋_GB2312"/>
          <w:sz w:val="28"/>
          <w:szCs w:val="28"/>
          <w:vertAlign w:val="subscript"/>
        </w:rPr>
        <w:t>常批</w:t>
      </w:r>
      <w:r>
        <w:rPr>
          <w:rFonts w:hint="eastAsia" w:ascii="仿宋_GB2312" w:hAnsi="仿宋_GB2312" w:eastAsia="仿宋_GB2312" w:cs="仿宋_GB2312"/>
          <w:sz w:val="28"/>
          <w:szCs w:val="28"/>
        </w:rPr>
        <w:t>之间的差值，按照约定的分成比例K</w:t>
      </w:r>
      <w:r>
        <w:rPr>
          <w:rFonts w:hint="eastAsia" w:ascii="仿宋_GB2312" w:hAnsi="仿宋_GB2312" w:eastAsia="仿宋_GB2312" w:cs="仿宋_GB2312"/>
          <w:sz w:val="28"/>
          <w:szCs w:val="28"/>
          <w:vertAlign w:val="subscript"/>
        </w:rPr>
        <w:t>常</w:t>
      </w:r>
      <w:r>
        <w:rPr>
          <w:rFonts w:hint="eastAsia" w:ascii="仿宋_GB2312" w:hAnsi="仿宋_GB2312" w:eastAsia="仿宋_GB2312" w:cs="仿宋_GB2312"/>
          <w:sz w:val="28"/>
          <w:szCs w:val="28"/>
        </w:rPr>
        <w:t>传导至零售用户。当上述差值为正时，比例K</w:t>
      </w:r>
      <w:r>
        <w:rPr>
          <w:rFonts w:hint="eastAsia" w:ascii="仿宋_GB2312" w:hAnsi="仿宋_GB2312" w:eastAsia="仿宋_GB2312" w:cs="仿宋_GB2312"/>
          <w:sz w:val="28"/>
          <w:szCs w:val="28"/>
          <w:vertAlign w:val="subscript"/>
        </w:rPr>
        <w:t>常享</w:t>
      </w:r>
      <w:r>
        <w:rPr>
          <w:rFonts w:hint="eastAsia" w:ascii="仿宋_GB2312" w:hAnsi="仿宋_GB2312" w:eastAsia="仿宋_GB2312" w:cs="仿宋_GB2312"/>
          <w:sz w:val="28"/>
          <w:szCs w:val="28"/>
        </w:rPr>
        <w:t>部分由零售用户分享；差值为负时，比例K</w:t>
      </w:r>
      <w:r>
        <w:rPr>
          <w:rFonts w:hint="eastAsia" w:ascii="仿宋_GB2312" w:hAnsi="仿宋_GB2312" w:eastAsia="仿宋_GB2312" w:cs="仿宋_GB2312"/>
          <w:sz w:val="28"/>
          <w:szCs w:val="28"/>
          <w:vertAlign w:val="subscript"/>
        </w:rPr>
        <w:t>常担</w:t>
      </w:r>
      <w:r>
        <w:rPr>
          <w:rFonts w:hint="eastAsia" w:ascii="仿宋_GB2312" w:hAnsi="仿宋_GB2312" w:eastAsia="仿宋_GB2312" w:cs="仿宋_GB2312"/>
          <w:sz w:val="28"/>
          <w:szCs w:val="28"/>
        </w:rPr>
        <w:t>部分由零售用户承担。K</w:t>
      </w:r>
      <w:r>
        <w:rPr>
          <w:rFonts w:hint="eastAsia" w:ascii="仿宋_GB2312" w:hAnsi="仿宋_GB2312" w:eastAsia="仿宋_GB2312" w:cs="仿宋_GB2312"/>
          <w:sz w:val="28"/>
          <w:szCs w:val="28"/>
          <w:vertAlign w:val="subscript"/>
        </w:rPr>
        <w:t>常</w:t>
      </w:r>
      <w:r>
        <w:rPr>
          <w:rFonts w:hint="eastAsia" w:ascii="仿宋_GB2312" w:hAnsi="仿宋_GB2312" w:eastAsia="仿宋_GB2312" w:cs="仿宋_GB2312"/>
          <w:sz w:val="28"/>
          <w:szCs w:val="28"/>
        </w:rPr>
        <w:t>(包括K</w:t>
      </w:r>
      <w:r>
        <w:rPr>
          <w:rFonts w:hint="eastAsia" w:ascii="仿宋_GB2312" w:hAnsi="仿宋_GB2312" w:eastAsia="仿宋_GB2312" w:cs="仿宋_GB2312"/>
          <w:sz w:val="28"/>
          <w:szCs w:val="28"/>
          <w:vertAlign w:val="subscript"/>
        </w:rPr>
        <w:t>常享</w:t>
      </w:r>
      <w:r>
        <w:rPr>
          <w:rFonts w:hint="eastAsia" w:ascii="仿宋_GB2312" w:hAnsi="仿宋_GB2312" w:eastAsia="仿宋_GB2312" w:cs="仿宋_GB2312"/>
          <w:sz w:val="28"/>
          <w:szCs w:val="28"/>
        </w:rPr>
        <w:t>、K</w:t>
      </w:r>
      <w:r>
        <w:rPr>
          <w:rFonts w:hint="eastAsia" w:ascii="仿宋_GB2312" w:hAnsi="仿宋_GB2312" w:eastAsia="仿宋_GB2312" w:cs="仿宋_GB2312"/>
          <w:sz w:val="28"/>
          <w:szCs w:val="28"/>
          <w:vertAlign w:val="subscript"/>
        </w:rPr>
        <w:t>常担</w:t>
      </w:r>
      <w:r>
        <w:rPr>
          <w:rFonts w:hint="eastAsia" w:ascii="仿宋_GB2312" w:hAnsi="仿宋_GB2312" w:eastAsia="仿宋_GB2312" w:cs="仿宋_GB2312"/>
          <w:sz w:val="28"/>
          <w:szCs w:val="28"/>
        </w:rPr>
        <w:t>)取值范围为0至1。</w:t>
      </w:r>
    </w:p>
    <w:p w14:paraId="171B5ECA">
      <w:pPr>
        <w:spacing w:line="460" w:lineRule="exact"/>
        <w:jc w:val="center"/>
        <w:rPr>
          <w:rFonts w:ascii="楷体_GB2312" w:hAnsi="楷体_GB2312" w:eastAsia="楷体_GB2312" w:cs="楷体_GB2312"/>
          <w:b/>
          <w:bCs/>
          <w:sz w:val="28"/>
          <w:szCs w:val="28"/>
          <w:vertAlign w:val="subscript"/>
        </w:rPr>
      </w:pPr>
      <w:r>
        <w:rPr>
          <w:rFonts w:hint="eastAsia" w:ascii="楷体_GB2312" w:hAnsi="楷体_GB2312" w:eastAsia="楷体_GB2312" w:cs="楷体_GB2312"/>
          <w:b/>
          <w:bCs/>
          <w:sz w:val="28"/>
          <w:szCs w:val="28"/>
        </w:rPr>
        <w:t>P</w:t>
      </w:r>
      <w:r>
        <w:rPr>
          <w:rFonts w:hint="eastAsia" w:ascii="楷体_GB2312" w:hAnsi="楷体_GB2312" w:eastAsia="楷体_GB2312" w:cs="楷体_GB2312"/>
          <w:b/>
          <w:bCs/>
          <w:sz w:val="28"/>
          <w:szCs w:val="28"/>
          <w:vertAlign w:val="subscript"/>
        </w:rPr>
        <w:t>常</w:t>
      </w:r>
      <w:r>
        <w:rPr>
          <w:rFonts w:hint="eastAsia" w:ascii="楷体_GB2312" w:hAnsi="楷体_GB2312" w:eastAsia="楷体_GB2312" w:cs="楷体_GB2312"/>
          <w:b/>
          <w:bCs/>
          <w:sz w:val="28"/>
          <w:szCs w:val="28"/>
        </w:rPr>
        <w:t>＝P</w:t>
      </w:r>
      <w:r>
        <w:rPr>
          <w:rFonts w:hint="eastAsia" w:ascii="楷体_GB2312" w:hAnsi="楷体_GB2312" w:eastAsia="楷体_GB2312" w:cs="楷体_GB2312"/>
          <w:b/>
          <w:bCs/>
          <w:sz w:val="28"/>
          <w:szCs w:val="28"/>
          <w:vertAlign w:val="subscript"/>
        </w:rPr>
        <w:t>常固</w:t>
      </w:r>
      <w:r>
        <w:rPr>
          <w:rFonts w:hint="eastAsia" w:ascii="楷体_GB2312" w:hAnsi="楷体_GB2312" w:eastAsia="楷体_GB2312" w:cs="楷体_GB2312"/>
          <w:b/>
          <w:bCs/>
          <w:sz w:val="28"/>
          <w:szCs w:val="28"/>
        </w:rPr>
        <w:t>－（P</w:t>
      </w:r>
      <w:r>
        <w:rPr>
          <w:rFonts w:hint="eastAsia" w:ascii="楷体_GB2312" w:hAnsi="楷体_GB2312" w:eastAsia="楷体_GB2312" w:cs="楷体_GB2312"/>
          <w:b/>
          <w:bCs/>
          <w:sz w:val="28"/>
          <w:szCs w:val="28"/>
          <w:vertAlign w:val="subscript"/>
        </w:rPr>
        <w:t>常固</w:t>
      </w:r>
      <w:r>
        <w:rPr>
          <w:rFonts w:hint="eastAsia" w:ascii="楷体_GB2312" w:hAnsi="楷体_GB2312" w:eastAsia="楷体_GB2312" w:cs="楷体_GB2312"/>
          <w:b/>
          <w:bCs/>
          <w:sz w:val="28"/>
          <w:szCs w:val="28"/>
        </w:rPr>
        <w:t>－P</w:t>
      </w:r>
      <w:r>
        <w:rPr>
          <w:rFonts w:hint="eastAsia" w:ascii="楷体_GB2312" w:hAnsi="楷体_GB2312" w:eastAsia="楷体_GB2312" w:cs="楷体_GB2312"/>
          <w:b/>
          <w:bCs/>
          <w:sz w:val="28"/>
          <w:szCs w:val="28"/>
          <w:vertAlign w:val="subscript"/>
        </w:rPr>
        <w:t>常批</w:t>
      </w:r>
      <w:r>
        <w:rPr>
          <w:rFonts w:hint="eastAsia" w:ascii="楷体_GB2312" w:hAnsi="楷体_GB2312" w:eastAsia="楷体_GB2312" w:cs="楷体_GB2312"/>
          <w:b/>
          <w:bCs/>
          <w:sz w:val="28"/>
          <w:szCs w:val="28"/>
        </w:rPr>
        <w:t>）×K</w:t>
      </w:r>
      <w:r>
        <w:rPr>
          <w:rFonts w:hint="eastAsia" w:ascii="楷体_GB2312" w:hAnsi="楷体_GB2312" w:eastAsia="楷体_GB2312" w:cs="楷体_GB2312"/>
          <w:b/>
          <w:bCs/>
          <w:sz w:val="28"/>
          <w:szCs w:val="28"/>
          <w:vertAlign w:val="subscript"/>
        </w:rPr>
        <w:t>常</w:t>
      </w:r>
    </w:p>
    <w:p w14:paraId="37C1C436">
      <w:pPr>
        <w:numPr>
          <w:ilvl w:val="255"/>
          <w:numId w:val="0"/>
        </w:numPr>
        <w:spacing w:line="460" w:lineRule="exact"/>
        <w:ind w:firstLine="562" w:firstLineChars="200"/>
        <w:jc w:val="left"/>
        <w:rPr>
          <w:rFonts w:ascii="楷体_GB2312" w:hAnsi="楷体_GB2312" w:eastAsia="楷体_GB2312" w:cs="楷体_GB2312"/>
          <w:b/>
          <w:bCs/>
          <w:sz w:val="28"/>
          <w:szCs w:val="28"/>
        </w:rPr>
      </w:pPr>
      <w:r>
        <w:rPr>
          <w:rFonts w:hint="eastAsia" w:ascii="楷体_GB2312" w:hAnsi="楷体_GB2312" w:eastAsia="楷体_GB2312" w:cs="楷体_GB2312"/>
          <w:b/>
          <w:bCs/>
          <w:sz w:val="28"/>
          <w:szCs w:val="28"/>
        </w:rPr>
        <w:t>3.1.2常规电力电量</w:t>
      </w:r>
    </w:p>
    <w:p w14:paraId="0CE56BE6">
      <w:pPr>
        <w:pStyle w:val="2"/>
        <w:spacing w:after="0" w:line="460" w:lineRule="exact"/>
        <w:ind w:firstLine="560" w:firstLineChars="200"/>
        <w:rPr>
          <w:rFonts w:hAnsi="Cambria Math" w:eastAsia="仿宋_GB2312" w:cs="仿宋_GB2312"/>
          <w:sz w:val="28"/>
          <w:szCs w:val="28"/>
        </w:rPr>
      </w:pPr>
      <w:r>
        <w:rPr>
          <w:rFonts w:hint="eastAsia" w:ascii="仿宋_GB2312" w:hAnsi="仿宋_GB2312" w:eastAsia="仿宋_GB2312" w:cs="仿宋_GB2312"/>
          <w:sz w:val="28"/>
          <w:szCs w:val="28"/>
        </w:rPr>
        <w:t>常规电力电量Q</w:t>
      </w:r>
      <w:r>
        <w:rPr>
          <w:rFonts w:hint="eastAsia" w:ascii="仿宋_GB2312" w:hAnsi="仿宋_GB2312" w:eastAsia="仿宋_GB2312" w:cs="仿宋_GB2312"/>
          <w:sz w:val="28"/>
          <w:szCs w:val="28"/>
          <w:vertAlign w:val="subscript"/>
        </w:rPr>
        <w:t>常</w:t>
      </w:r>
      <w:r>
        <w:rPr>
          <w:rFonts w:hint="eastAsia" w:hAnsi="Cambria Math" w:eastAsia="仿宋_GB2312" w:cs="仿宋_GB2312"/>
          <w:sz w:val="28"/>
          <w:szCs w:val="28"/>
        </w:rPr>
        <w:t>为双方</w:t>
      </w:r>
      <w:r>
        <w:rPr>
          <w:rFonts w:hint="eastAsia" w:ascii="仿宋_GB2312" w:hAnsi="仿宋_GB2312" w:eastAsia="仿宋_GB2312" w:cs="仿宋_GB2312"/>
          <w:sz w:val="28"/>
          <w:szCs w:val="28"/>
        </w:rPr>
        <w:t>约定的合同电量Q</w:t>
      </w:r>
      <w:r>
        <w:rPr>
          <w:rFonts w:hint="eastAsia" w:ascii="仿宋_GB2312" w:hAnsi="仿宋_GB2312" w:eastAsia="仿宋_GB2312" w:cs="仿宋_GB2312"/>
          <w:sz w:val="28"/>
          <w:szCs w:val="28"/>
          <w:vertAlign w:val="subscript"/>
        </w:rPr>
        <w:t>合</w:t>
      </w:r>
      <w:r>
        <w:rPr>
          <w:rFonts w:hint="eastAsia" w:hAnsi="Cambria Math" w:eastAsia="仿宋_GB2312" w:cs="仿宋_GB2312"/>
          <w:sz w:val="28"/>
          <w:szCs w:val="28"/>
        </w:rPr>
        <w:t>与</w:t>
      </w:r>
      <w:r>
        <w:rPr>
          <w:rFonts w:hint="eastAsia" w:ascii="仿宋_GB2312" w:hAnsi="仿宋_GB2312" w:eastAsia="仿宋_GB2312" w:cs="仿宋_GB2312"/>
          <w:sz w:val="28"/>
          <w:szCs w:val="28"/>
        </w:rPr>
        <w:t>绿色电力电量Q</w:t>
      </w:r>
      <w:r>
        <w:rPr>
          <w:rFonts w:hint="eastAsia" w:ascii="仿宋_GB2312" w:hAnsi="仿宋_GB2312" w:eastAsia="仿宋_GB2312" w:cs="仿宋_GB2312"/>
          <w:sz w:val="28"/>
          <w:szCs w:val="28"/>
          <w:vertAlign w:val="subscript"/>
        </w:rPr>
        <w:t>绿</w:t>
      </w:r>
      <w:r>
        <w:rPr>
          <w:rFonts w:hint="eastAsia" w:hAnsi="Cambria Math" w:eastAsia="仿宋_GB2312" w:cs="仿宋_GB2312"/>
          <w:sz w:val="28"/>
          <w:szCs w:val="28"/>
        </w:rPr>
        <w:t>之差，若未开展绿色电力交易，</w:t>
      </w:r>
      <w:r>
        <w:rPr>
          <w:rFonts w:hint="eastAsia" w:ascii="仿宋_GB2312" w:hAnsi="仿宋_GB2312" w:eastAsia="仿宋_GB2312" w:cs="仿宋_GB2312"/>
          <w:sz w:val="28"/>
          <w:szCs w:val="28"/>
        </w:rPr>
        <w:t>Q</w:t>
      </w:r>
      <w:r>
        <w:rPr>
          <w:rFonts w:hint="eastAsia" w:ascii="仿宋_GB2312" w:hAnsi="仿宋_GB2312" w:eastAsia="仿宋_GB2312" w:cs="仿宋_GB2312"/>
          <w:sz w:val="28"/>
          <w:szCs w:val="28"/>
          <w:vertAlign w:val="subscript"/>
        </w:rPr>
        <w:t>绿</w:t>
      </w:r>
      <w:r>
        <w:rPr>
          <w:rFonts w:hint="eastAsia" w:hAnsi="Cambria Math" w:eastAsia="仿宋_GB2312" w:cs="仿宋_GB2312"/>
          <w:sz w:val="28"/>
          <w:szCs w:val="28"/>
        </w:rPr>
        <w:t>为</w:t>
      </w:r>
      <w:r>
        <w:rPr>
          <w:rFonts w:hint="eastAsia" w:ascii="仿宋_GB2312" w:hAnsi="仿宋_GB2312" w:eastAsia="仿宋_GB2312" w:cs="仿宋_GB2312"/>
          <w:sz w:val="28"/>
          <w:szCs w:val="28"/>
        </w:rPr>
        <w:t>0</w:t>
      </w:r>
      <w:r>
        <w:rPr>
          <w:rFonts w:hint="eastAsia" w:hAnsi="Cambria Math" w:eastAsia="仿宋_GB2312" w:cs="仿宋_GB2312"/>
          <w:sz w:val="28"/>
          <w:szCs w:val="28"/>
        </w:rPr>
        <w:t>。</w:t>
      </w:r>
    </w:p>
    <w:p w14:paraId="38F26565">
      <w:pPr>
        <w:spacing w:line="460" w:lineRule="exact"/>
        <w:jc w:val="center"/>
        <w:rPr>
          <w:b/>
          <w:bCs/>
        </w:rPr>
      </w:pPr>
      <w:r>
        <w:rPr>
          <w:rFonts w:hint="eastAsia" w:ascii="仿宋_GB2312" w:hAnsi="仿宋_GB2312" w:eastAsia="仿宋_GB2312" w:cs="仿宋_GB2312"/>
          <w:b/>
          <w:bCs/>
          <w:sz w:val="28"/>
          <w:szCs w:val="28"/>
        </w:rPr>
        <w:t>Q</w:t>
      </w:r>
      <w:r>
        <w:rPr>
          <w:rFonts w:hint="eastAsia" w:ascii="仿宋_GB2312" w:hAnsi="仿宋_GB2312" w:eastAsia="仿宋_GB2312" w:cs="仿宋_GB2312"/>
          <w:b/>
          <w:bCs/>
          <w:sz w:val="28"/>
          <w:szCs w:val="28"/>
          <w:vertAlign w:val="subscript"/>
        </w:rPr>
        <w:t>常</w:t>
      </w:r>
      <w:r>
        <w:rPr>
          <w:rFonts w:hint="eastAsia" w:ascii="楷体_GB2312" w:hAnsi="楷体_GB2312" w:eastAsia="楷体_GB2312" w:cs="楷体_GB2312"/>
          <w:b/>
          <w:bCs/>
          <w:sz w:val="28"/>
          <w:szCs w:val="28"/>
        </w:rPr>
        <w:t>＝</w:t>
      </w:r>
      <w:r>
        <w:rPr>
          <w:rFonts w:hint="eastAsia" w:ascii="仿宋_GB2312" w:hAnsi="仿宋_GB2312" w:eastAsia="仿宋_GB2312" w:cs="仿宋_GB2312"/>
          <w:b/>
          <w:bCs/>
          <w:sz w:val="28"/>
          <w:szCs w:val="28"/>
        </w:rPr>
        <w:t>Q</w:t>
      </w:r>
      <w:r>
        <w:rPr>
          <w:rFonts w:hint="eastAsia" w:ascii="仿宋_GB2312" w:hAnsi="仿宋_GB2312" w:eastAsia="仿宋_GB2312" w:cs="仿宋_GB2312"/>
          <w:b/>
          <w:bCs/>
          <w:sz w:val="28"/>
          <w:szCs w:val="28"/>
          <w:vertAlign w:val="subscript"/>
        </w:rPr>
        <w:t>合</w:t>
      </w:r>
      <w:r>
        <w:rPr>
          <w:rFonts w:hint="eastAsia" w:ascii="楷体_GB2312" w:hAnsi="楷体_GB2312" w:eastAsia="楷体_GB2312" w:cs="楷体_GB2312"/>
          <w:b/>
          <w:bCs/>
          <w:sz w:val="28"/>
          <w:szCs w:val="28"/>
        </w:rPr>
        <w:t>－</w:t>
      </w:r>
      <w:r>
        <w:rPr>
          <w:rFonts w:hint="eastAsia" w:ascii="仿宋_GB2312" w:hAnsi="仿宋_GB2312" w:eastAsia="仿宋_GB2312" w:cs="仿宋_GB2312"/>
          <w:b/>
          <w:bCs/>
          <w:sz w:val="28"/>
          <w:szCs w:val="28"/>
        </w:rPr>
        <w:t>Q</w:t>
      </w:r>
      <w:r>
        <w:rPr>
          <w:rFonts w:hint="eastAsia" w:ascii="仿宋_GB2312" w:hAnsi="仿宋_GB2312" w:eastAsia="仿宋_GB2312" w:cs="仿宋_GB2312"/>
          <w:b/>
          <w:bCs/>
          <w:sz w:val="28"/>
          <w:szCs w:val="28"/>
          <w:vertAlign w:val="subscript"/>
        </w:rPr>
        <w:t>绿</w:t>
      </w:r>
    </w:p>
    <w:p w14:paraId="7E569B3A">
      <w:pPr>
        <w:spacing w:line="460" w:lineRule="exact"/>
        <w:ind w:firstLine="562" w:firstLineChars="200"/>
        <w:rPr>
          <w:rFonts w:ascii="楷体_GB2312" w:hAnsi="楷体_GB2312" w:eastAsia="楷体_GB2312" w:cs="楷体_GB2312"/>
          <w:b/>
          <w:bCs/>
          <w:sz w:val="28"/>
          <w:szCs w:val="28"/>
        </w:rPr>
      </w:pPr>
      <w:r>
        <w:rPr>
          <w:rFonts w:hint="eastAsia" w:ascii="楷体_GB2312" w:hAnsi="楷体_GB2312" w:eastAsia="楷体_GB2312" w:cs="楷体_GB2312"/>
          <w:b/>
          <w:bCs/>
          <w:sz w:val="28"/>
          <w:szCs w:val="28"/>
        </w:rPr>
        <w:t>3.1.3价格参数</w:t>
      </w:r>
    </w:p>
    <w:p w14:paraId="2162D2ED">
      <w:pPr>
        <w:spacing w:line="4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P</w:t>
      </w:r>
      <w:r>
        <w:rPr>
          <w:rFonts w:hint="eastAsia" w:ascii="仿宋_GB2312" w:hAnsi="仿宋_GB2312" w:eastAsia="仿宋_GB2312" w:cs="仿宋_GB2312"/>
          <w:sz w:val="28"/>
          <w:szCs w:val="28"/>
          <w:vertAlign w:val="subscript"/>
        </w:rPr>
        <w:t>常批</w:t>
      </w:r>
      <w:r>
        <w:rPr>
          <w:rFonts w:hint="eastAsia" w:ascii="仿宋_GB2312" w:hAnsi="仿宋_GB2312" w:eastAsia="仿宋_GB2312" w:cs="仿宋_GB2312"/>
          <w:sz w:val="28"/>
          <w:szCs w:val="28"/>
        </w:rPr>
        <w:t>为履约月北京市全市场常规电力中长期交易批发合同的电能量加权平均价；P</w:t>
      </w:r>
      <w:r>
        <w:rPr>
          <w:rFonts w:hint="eastAsia" w:ascii="仿宋_GB2312" w:hAnsi="仿宋_GB2312" w:eastAsia="仿宋_GB2312" w:cs="仿宋_GB2312"/>
          <w:sz w:val="28"/>
          <w:szCs w:val="28"/>
          <w:vertAlign w:val="subscript"/>
        </w:rPr>
        <w:t>常售</w:t>
      </w:r>
      <w:r>
        <w:rPr>
          <w:rFonts w:hint="eastAsia" w:ascii="仿宋_GB2312" w:hAnsi="仿宋_GB2312" w:eastAsia="仿宋_GB2312" w:cs="仿宋_GB2312"/>
          <w:sz w:val="28"/>
          <w:szCs w:val="28"/>
        </w:rPr>
        <w:t>为履约月签约售电公司的常规电力中长期交易批发合同的电能量加权平均价；P</w:t>
      </w:r>
      <w:r>
        <w:rPr>
          <w:rFonts w:hint="eastAsia" w:ascii="仿宋_GB2312" w:hAnsi="仿宋_GB2312" w:eastAsia="仿宋_GB2312" w:cs="仿宋_GB2312"/>
          <w:sz w:val="28"/>
          <w:szCs w:val="28"/>
          <w:vertAlign w:val="subscript"/>
        </w:rPr>
        <w:t>常批</w:t>
      </w:r>
      <w:r>
        <w:rPr>
          <w:rFonts w:hint="eastAsia" w:ascii="仿宋_GB2312" w:hAnsi="仿宋_GB2312" w:eastAsia="仿宋_GB2312" w:cs="仿宋_GB2312"/>
          <w:sz w:val="28"/>
          <w:szCs w:val="28"/>
        </w:rPr>
        <w:t>、P</w:t>
      </w:r>
      <w:r>
        <w:rPr>
          <w:rFonts w:hint="eastAsia" w:ascii="仿宋_GB2312" w:hAnsi="仿宋_GB2312" w:eastAsia="仿宋_GB2312" w:cs="仿宋_GB2312"/>
          <w:sz w:val="28"/>
          <w:szCs w:val="28"/>
          <w:vertAlign w:val="subscript"/>
        </w:rPr>
        <w:t>常售</w:t>
      </w:r>
      <w:r>
        <w:rPr>
          <w:rFonts w:hint="eastAsia" w:ascii="仿宋_GB2312" w:hAnsi="仿宋_GB2312" w:eastAsia="仿宋_GB2312" w:cs="仿宋_GB2312"/>
          <w:sz w:val="28"/>
          <w:szCs w:val="28"/>
        </w:rPr>
        <w:t>价格构成中包括年度交易分月合同、月度合同、月内合同、用户侧合同电量转让交易合同。P</w:t>
      </w:r>
      <w:r>
        <w:rPr>
          <w:rFonts w:hint="eastAsia" w:ascii="仿宋_GB2312" w:hAnsi="仿宋_GB2312" w:eastAsia="仿宋_GB2312" w:cs="仿宋_GB2312"/>
          <w:sz w:val="28"/>
          <w:szCs w:val="28"/>
          <w:vertAlign w:val="subscript"/>
        </w:rPr>
        <w:t>常批</w:t>
      </w:r>
      <w:r>
        <w:rPr>
          <w:rFonts w:hint="eastAsia" w:ascii="仿宋_GB2312" w:hAnsi="仿宋_GB2312" w:eastAsia="仿宋_GB2312" w:cs="仿宋_GB2312"/>
          <w:sz w:val="28"/>
          <w:szCs w:val="28"/>
        </w:rPr>
        <w:t>由交易中心在履约月最后一日前在交易平台发布。</w:t>
      </w:r>
    </w:p>
    <w:p w14:paraId="17626C8A">
      <w:pPr>
        <w:spacing w:line="460" w:lineRule="exact"/>
        <w:ind w:left="630"/>
        <w:rPr>
          <w:rFonts w:ascii="黑体" w:hAnsi="黑体" w:eastAsia="黑体" w:cs="黑体"/>
          <w:b/>
          <w:bCs/>
          <w:sz w:val="28"/>
          <w:szCs w:val="28"/>
        </w:rPr>
      </w:pPr>
      <w:r>
        <w:rPr>
          <w:rFonts w:hint="eastAsia" w:ascii="黑体" w:hAnsi="黑体" w:eastAsia="黑体" w:cs="黑体"/>
          <w:b/>
          <w:bCs/>
          <w:sz w:val="28"/>
          <w:szCs w:val="28"/>
        </w:rPr>
        <w:t>3.2绿色电力合同电量电价</w:t>
      </w:r>
    </w:p>
    <w:p w14:paraId="33F79B44">
      <w:pPr>
        <w:spacing w:line="4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售电公司与零售用户须分别明确绿色电力电能量价格和环境价值。</w:t>
      </w:r>
    </w:p>
    <w:p w14:paraId="231291A9">
      <w:pPr>
        <w:spacing w:line="460" w:lineRule="exact"/>
        <w:ind w:firstLine="562" w:firstLineChars="200"/>
        <w:rPr>
          <w:rFonts w:ascii="楷体_GB2312" w:hAnsi="楷体_GB2312" w:eastAsia="楷体_GB2312" w:cs="楷体_GB2312"/>
          <w:b/>
          <w:bCs/>
          <w:sz w:val="28"/>
          <w:szCs w:val="28"/>
        </w:rPr>
      </w:pPr>
      <w:r>
        <w:rPr>
          <w:rFonts w:hint="eastAsia" w:ascii="楷体_GB2312" w:hAnsi="楷体_GB2312" w:eastAsia="楷体_GB2312" w:cs="楷体_GB2312"/>
          <w:b/>
          <w:bCs/>
          <w:sz w:val="28"/>
          <w:szCs w:val="28"/>
        </w:rPr>
        <w:t>3.2.1绿色电力电能量价格</w:t>
      </w:r>
    </w:p>
    <w:p w14:paraId="4FE077A4">
      <w:pPr>
        <w:spacing w:line="46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A固定价格套餐：</w:t>
      </w:r>
      <w:r>
        <w:rPr>
          <w:rFonts w:hint="eastAsia" w:ascii="仿宋_GB2312" w:hAnsi="仿宋_GB2312" w:eastAsia="仿宋_GB2312" w:cs="仿宋_GB2312"/>
          <w:sz w:val="28"/>
          <w:szCs w:val="28"/>
        </w:rPr>
        <w:t>双方约定，绿色电力电量Q</w:t>
      </w:r>
      <w:r>
        <w:rPr>
          <w:rFonts w:hint="eastAsia" w:ascii="仿宋_GB2312" w:hAnsi="仿宋_GB2312" w:eastAsia="仿宋_GB2312" w:cs="仿宋_GB2312"/>
          <w:sz w:val="28"/>
          <w:szCs w:val="28"/>
          <w:vertAlign w:val="subscript"/>
        </w:rPr>
        <w:t>绿</w:t>
      </w:r>
      <w:r>
        <w:rPr>
          <w:rFonts w:hint="eastAsia" w:ascii="仿宋_GB2312" w:hAnsi="仿宋_GB2312" w:eastAsia="仿宋_GB2312" w:cs="仿宋_GB2312"/>
          <w:sz w:val="28"/>
          <w:szCs w:val="28"/>
        </w:rPr>
        <w:t>按照固定价格P</w:t>
      </w:r>
      <w:r>
        <w:rPr>
          <w:rFonts w:hint="eastAsia" w:ascii="仿宋_GB2312" w:hAnsi="仿宋_GB2312" w:eastAsia="仿宋_GB2312" w:cs="仿宋_GB2312"/>
          <w:sz w:val="28"/>
          <w:szCs w:val="28"/>
          <w:vertAlign w:val="subscript"/>
        </w:rPr>
        <w:t>绿固</w:t>
      </w:r>
      <w:r>
        <w:rPr>
          <w:rFonts w:hint="eastAsia" w:ascii="仿宋_GB2312" w:hAnsi="仿宋_GB2312" w:eastAsia="仿宋_GB2312" w:cs="仿宋_GB2312"/>
          <w:sz w:val="28"/>
          <w:szCs w:val="28"/>
        </w:rPr>
        <w:t>结算,该价格不随市场价格变化。</w:t>
      </w:r>
    </w:p>
    <w:p w14:paraId="1D51DDFF">
      <w:pPr>
        <w:spacing w:line="460" w:lineRule="exact"/>
        <w:jc w:val="center"/>
        <w:rPr>
          <w:rFonts w:ascii="楷体_GB2312" w:hAnsi="楷体_GB2312" w:eastAsia="楷体_GB2312" w:cs="楷体_GB2312"/>
          <w:b/>
          <w:bCs/>
          <w:sz w:val="28"/>
          <w:szCs w:val="28"/>
        </w:rPr>
      </w:pPr>
      <w:r>
        <w:rPr>
          <w:rFonts w:hint="eastAsia" w:ascii="楷体_GB2312" w:hAnsi="楷体_GB2312" w:eastAsia="楷体_GB2312" w:cs="楷体_GB2312"/>
          <w:b/>
          <w:bCs/>
          <w:sz w:val="28"/>
          <w:szCs w:val="28"/>
        </w:rPr>
        <w:t>P</w:t>
      </w:r>
      <w:r>
        <w:rPr>
          <w:rFonts w:hint="eastAsia" w:ascii="楷体_GB2312" w:hAnsi="楷体_GB2312" w:eastAsia="楷体_GB2312" w:cs="楷体_GB2312"/>
          <w:b/>
          <w:bCs/>
          <w:sz w:val="28"/>
          <w:szCs w:val="28"/>
          <w:vertAlign w:val="subscript"/>
        </w:rPr>
        <w:t>绿</w:t>
      </w:r>
      <w:r>
        <w:rPr>
          <w:rFonts w:hint="eastAsia" w:ascii="楷体_GB2312" w:hAnsi="楷体_GB2312" w:eastAsia="楷体_GB2312" w:cs="楷体_GB2312"/>
          <w:b/>
          <w:bCs/>
          <w:sz w:val="28"/>
          <w:szCs w:val="28"/>
        </w:rPr>
        <w:t>＝P</w:t>
      </w:r>
      <w:r>
        <w:rPr>
          <w:rFonts w:hint="eastAsia" w:ascii="楷体_GB2312" w:hAnsi="楷体_GB2312" w:eastAsia="楷体_GB2312" w:cs="楷体_GB2312"/>
          <w:b/>
          <w:bCs/>
          <w:sz w:val="28"/>
          <w:szCs w:val="28"/>
          <w:vertAlign w:val="subscript"/>
        </w:rPr>
        <w:t>绿固</w:t>
      </w:r>
    </w:p>
    <w:p w14:paraId="218FA100">
      <w:pPr>
        <w:spacing w:line="460" w:lineRule="exact"/>
        <w:ind w:firstLine="562" w:firstLineChars="200"/>
        <w:rPr>
          <w:rFonts w:ascii="仿宋" w:hAnsi="仿宋" w:eastAsia="仿宋" w:cs="仿宋"/>
          <w:sz w:val="28"/>
          <w:szCs w:val="28"/>
        </w:rPr>
      </w:pPr>
      <w:r>
        <w:rPr>
          <w:rFonts w:hint="eastAsia" w:ascii="仿宋_GB2312" w:hAnsi="仿宋_GB2312" w:eastAsia="仿宋_GB2312" w:cs="仿宋_GB2312"/>
          <w:b/>
          <w:bCs/>
          <w:sz w:val="28"/>
          <w:szCs w:val="28"/>
        </w:rPr>
        <w:t>B联动价格套餐：</w:t>
      </w:r>
      <w:r>
        <w:rPr>
          <w:rFonts w:hint="eastAsia" w:ascii="仿宋_GB2312" w:hAnsi="仿宋_GB2312" w:eastAsia="仿宋_GB2312" w:cs="仿宋_GB2312"/>
          <w:sz w:val="28"/>
          <w:szCs w:val="28"/>
        </w:rPr>
        <w:t>双方约定，绿色电力电量Q</w:t>
      </w:r>
      <w:r>
        <w:rPr>
          <w:rFonts w:hint="eastAsia" w:ascii="仿宋_GB2312" w:hAnsi="仿宋_GB2312" w:eastAsia="仿宋_GB2312" w:cs="仿宋_GB2312"/>
          <w:sz w:val="28"/>
          <w:szCs w:val="28"/>
          <w:vertAlign w:val="subscript"/>
        </w:rPr>
        <w:t>绿</w:t>
      </w:r>
      <w:r>
        <w:rPr>
          <w:rFonts w:hint="eastAsia" w:ascii="仿宋_GB2312" w:hAnsi="仿宋_GB2312" w:eastAsia="仿宋_GB2312" w:cs="仿宋_GB2312"/>
          <w:sz w:val="28"/>
          <w:szCs w:val="28"/>
        </w:rPr>
        <w:t>按照绿色电力基准价格P</w:t>
      </w:r>
      <w:r>
        <w:rPr>
          <w:rFonts w:hint="eastAsia" w:ascii="仿宋_GB2312" w:hAnsi="仿宋_GB2312" w:eastAsia="仿宋_GB2312" w:cs="仿宋_GB2312"/>
          <w:sz w:val="28"/>
          <w:szCs w:val="28"/>
          <w:vertAlign w:val="subscript"/>
        </w:rPr>
        <w:t>绿基</w:t>
      </w:r>
      <w:r>
        <w:rPr>
          <w:rFonts w:hint="eastAsia" w:ascii="仿宋_GB2312" w:hAnsi="仿宋_GB2312" w:eastAsia="仿宋_GB2312" w:cs="仿宋_GB2312"/>
          <w:sz w:val="28"/>
          <w:szCs w:val="28"/>
        </w:rPr>
        <w:t>叠加浮动价格</w:t>
      </w:r>
      <w:r>
        <w:rPr>
          <w:rFonts w:hint="eastAsia" w:ascii="仿宋" w:hAnsi="仿宋" w:eastAsia="仿宋" w:cs="仿宋"/>
          <w:sz w:val="28"/>
          <w:szCs w:val="28"/>
        </w:rPr>
        <w:t>P</w:t>
      </w:r>
      <w:r>
        <w:rPr>
          <w:rFonts w:hint="eastAsia" w:ascii="仿宋" w:hAnsi="仿宋" w:eastAsia="仿宋" w:cs="仿宋"/>
          <w:sz w:val="28"/>
          <w:szCs w:val="28"/>
          <w:vertAlign w:val="subscript"/>
        </w:rPr>
        <w:t>绿浮</w:t>
      </w:r>
      <w:r>
        <w:rPr>
          <w:rFonts w:hint="eastAsia" w:ascii="仿宋_GB2312" w:hAnsi="仿宋_GB2312" w:eastAsia="仿宋_GB2312" w:cs="仿宋_GB2312"/>
          <w:sz w:val="28"/>
          <w:szCs w:val="28"/>
        </w:rPr>
        <w:t>结算。绿色电力基准价格P</w:t>
      </w:r>
      <w:r>
        <w:rPr>
          <w:rFonts w:hint="eastAsia" w:ascii="仿宋_GB2312" w:hAnsi="仿宋_GB2312" w:eastAsia="仿宋_GB2312" w:cs="仿宋_GB2312"/>
          <w:sz w:val="28"/>
          <w:szCs w:val="28"/>
          <w:vertAlign w:val="subscript"/>
        </w:rPr>
        <w:t>绿基</w:t>
      </w:r>
      <w:r>
        <w:rPr>
          <w:rFonts w:hint="eastAsia" w:ascii="仿宋_GB2312" w:hAnsi="仿宋_GB2312" w:eastAsia="仿宋_GB2312" w:cs="仿宋_GB2312"/>
          <w:sz w:val="28"/>
          <w:szCs w:val="28"/>
        </w:rPr>
        <w:t>可以选择绿色电力批发市场合同均价P</w:t>
      </w:r>
      <w:r>
        <w:rPr>
          <w:rFonts w:hint="eastAsia" w:ascii="仿宋_GB2312" w:hAnsi="仿宋_GB2312" w:eastAsia="仿宋_GB2312" w:cs="仿宋_GB2312"/>
          <w:sz w:val="28"/>
          <w:szCs w:val="28"/>
          <w:vertAlign w:val="subscript"/>
        </w:rPr>
        <w:t>绿批</w:t>
      </w:r>
      <w:r>
        <w:rPr>
          <w:rFonts w:hint="eastAsia" w:ascii="仿宋_GB2312" w:hAnsi="仿宋_GB2312" w:eastAsia="仿宋_GB2312" w:cs="仿宋_GB2312"/>
          <w:sz w:val="28"/>
          <w:szCs w:val="28"/>
        </w:rPr>
        <w:t>作为联动基准，也可以选择签约售电公司的绿色电力批发合同均价P</w:t>
      </w:r>
      <w:r>
        <w:rPr>
          <w:rFonts w:hint="eastAsia" w:ascii="仿宋_GB2312" w:hAnsi="仿宋_GB2312" w:eastAsia="仿宋_GB2312" w:cs="仿宋_GB2312"/>
          <w:sz w:val="28"/>
          <w:szCs w:val="28"/>
          <w:vertAlign w:val="subscript"/>
        </w:rPr>
        <w:t>绿售</w:t>
      </w:r>
      <w:r>
        <w:rPr>
          <w:rFonts w:hint="eastAsia" w:ascii="仿宋_GB2312" w:hAnsi="仿宋_GB2312" w:eastAsia="仿宋_GB2312" w:cs="仿宋_GB2312"/>
          <w:sz w:val="28"/>
          <w:szCs w:val="28"/>
        </w:rPr>
        <w:t>作为联动基准。</w:t>
      </w:r>
      <w:r>
        <w:rPr>
          <w:rFonts w:hint="eastAsia" w:ascii="仿宋" w:hAnsi="仿宋" w:eastAsia="仿宋" w:cs="仿宋"/>
          <w:sz w:val="28"/>
          <w:szCs w:val="28"/>
        </w:rPr>
        <w:t>P</w:t>
      </w:r>
      <w:r>
        <w:rPr>
          <w:rFonts w:hint="eastAsia" w:ascii="仿宋" w:hAnsi="仿宋" w:eastAsia="仿宋" w:cs="仿宋"/>
          <w:sz w:val="28"/>
          <w:szCs w:val="28"/>
          <w:vertAlign w:val="subscript"/>
        </w:rPr>
        <w:t>绿浮</w:t>
      </w:r>
      <w:r>
        <w:rPr>
          <w:rFonts w:hint="eastAsia" w:ascii="仿宋" w:hAnsi="仿宋" w:eastAsia="仿宋" w:cs="仿宋"/>
          <w:sz w:val="28"/>
          <w:szCs w:val="28"/>
        </w:rPr>
        <w:t>可以为正值、零、负值。当签约售电公司未签订绿色电力批发合同时，</w:t>
      </w:r>
      <w:r>
        <w:rPr>
          <w:rFonts w:hint="eastAsia" w:ascii="仿宋_GB2312" w:hAnsi="仿宋_GB2312" w:eastAsia="仿宋_GB2312" w:cs="仿宋_GB2312"/>
          <w:sz w:val="28"/>
          <w:szCs w:val="28"/>
        </w:rPr>
        <w:t>P</w:t>
      </w:r>
      <w:r>
        <w:rPr>
          <w:rFonts w:hint="eastAsia" w:ascii="仿宋_GB2312" w:hAnsi="仿宋_GB2312" w:eastAsia="仿宋_GB2312" w:cs="仿宋_GB2312"/>
          <w:sz w:val="28"/>
          <w:szCs w:val="28"/>
          <w:vertAlign w:val="subscript"/>
        </w:rPr>
        <w:t>绿基</w:t>
      </w:r>
      <w:r>
        <w:rPr>
          <w:rFonts w:hint="eastAsia" w:ascii="仿宋_GB2312" w:hAnsi="仿宋_GB2312" w:eastAsia="仿宋_GB2312" w:cs="仿宋_GB2312"/>
          <w:sz w:val="28"/>
          <w:szCs w:val="28"/>
        </w:rPr>
        <w:t>默认取值为P</w:t>
      </w:r>
      <w:r>
        <w:rPr>
          <w:rFonts w:hint="eastAsia" w:ascii="仿宋_GB2312" w:hAnsi="仿宋_GB2312" w:eastAsia="仿宋_GB2312" w:cs="仿宋_GB2312"/>
          <w:sz w:val="28"/>
          <w:szCs w:val="28"/>
          <w:vertAlign w:val="subscript"/>
        </w:rPr>
        <w:t>绿批</w:t>
      </w:r>
      <w:r>
        <w:rPr>
          <w:rFonts w:hint="eastAsia" w:hAnsi="Cambria Math" w:eastAsia="仿宋_GB2312" w:cs="仿宋_GB2312"/>
          <w:sz w:val="32"/>
          <w:szCs w:val="32"/>
        </w:rPr>
        <w:t>。</w:t>
      </w:r>
    </w:p>
    <w:p w14:paraId="52FF01AA">
      <w:pPr>
        <w:spacing w:line="460" w:lineRule="exact"/>
        <w:jc w:val="center"/>
        <w:rPr>
          <w:rFonts w:ascii="楷体_GB2312" w:hAnsi="楷体_GB2312" w:eastAsia="楷体_GB2312" w:cs="楷体_GB2312"/>
          <w:b/>
          <w:bCs/>
          <w:sz w:val="28"/>
          <w:szCs w:val="28"/>
        </w:rPr>
      </w:pPr>
      <w:r>
        <w:rPr>
          <w:rFonts w:hint="eastAsia" w:ascii="楷体_GB2312" w:hAnsi="楷体_GB2312" w:eastAsia="楷体_GB2312" w:cs="楷体_GB2312"/>
          <w:b/>
          <w:bCs/>
          <w:sz w:val="28"/>
          <w:szCs w:val="28"/>
        </w:rPr>
        <w:t>P</w:t>
      </w:r>
      <w:r>
        <w:rPr>
          <w:rFonts w:hint="eastAsia" w:ascii="楷体_GB2312" w:hAnsi="楷体_GB2312" w:eastAsia="楷体_GB2312" w:cs="楷体_GB2312"/>
          <w:b/>
          <w:bCs/>
          <w:sz w:val="28"/>
          <w:szCs w:val="28"/>
          <w:vertAlign w:val="subscript"/>
        </w:rPr>
        <w:t>绿</w:t>
      </w:r>
      <w:r>
        <w:rPr>
          <w:rFonts w:hint="eastAsia" w:ascii="楷体_GB2312" w:hAnsi="楷体_GB2312" w:eastAsia="楷体_GB2312" w:cs="楷体_GB2312"/>
          <w:b/>
          <w:bCs/>
          <w:sz w:val="28"/>
          <w:szCs w:val="28"/>
        </w:rPr>
        <w:t>＝P</w:t>
      </w:r>
      <w:r>
        <w:rPr>
          <w:rFonts w:hint="eastAsia" w:ascii="楷体_GB2312" w:hAnsi="楷体_GB2312" w:eastAsia="楷体_GB2312" w:cs="楷体_GB2312"/>
          <w:b/>
          <w:bCs/>
          <w:sz w:val="28"/>
          <w:szCs w:val="28"/>
          <w:vertAlign w:val="subscript"/>
        </w:rPr>
        <w:t>绿基</w:t>
      </w:r>
      <w:r>
        <w:rPr>
          <w:rFonts w:hint="eastAsia" w:ascii="楷体_GB2312" w:hAnsi="楷体_GB2312" w:eastAsia="楷体_GB2312" w:cs="楷体_GB2312"/>
          <w:b/>
          <w:bCs/>
          <w:sz w:val="28"/>
          <w:szCs w:val="28"/>
        </w:rPr>
        <w:t>＋P</w:t>
      </w:r>
      <w:r>
        <w:rPr>
          <w:rFonts w:hint="eastAsia" w:ascii="楷体_GB2312" w:hAnsi="楷体_GB2312" w:eastAsia="楷体_GB2312" w:cs="楷体_GB2312"/>
          <w:b/>
          <w:bCs/>
          <w:sz w:val="28"/>
          <w:szCs w:val="28"/>
          <w:vertAlign w:val="subscript"/>
        </w:rPr>
        <w:t>绿浮</w:t>
      </w:r>
    </w:p>
    <w:p w14:paraId="43115F78">
      <w:pPr>
        <w:spacing w:line="46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C比例分成套餐：</w:t>
      </w:r>
      <w:r>
        <w:rPr>
          <w:rFonts w:hint="eastAsia" w:ascii="仿宋_GB2312" w:hAnsi="仿宋_GB2312" w:eastAsia="仿宋_GB2312" w:cs="仿宋_GB2312"/>
          <w:sz w:val="28"/>
          <w:szCs w:val="28"/>
        </w:rPr>
        <w:t>双方约定，绿色电力电量Q</w:t>
      </w:r>
      <w:r>
        <w:rPr>
          <w:rFonts w:hint="eastAsia" w:ascii="仿宋_GB2312" w:hAnsi="仿宋_GB2312" w:eastAsia="仿宋_GB2312" w:cs="仿宋_GB2312"/>
          <w:sz w:val="28"/>
          <w:szCs w:val="28"/>
          <w:vertAlign w:val="subscript"/>
        </w:rPr>
        <w:t>绿</w:t>
      </w:r>
      <w:r>
        <w:rPr>
          <w:rFonts w:hint="eastAsia" w:ascii="仿宋_GB2312" w:hAnsi="仿宋_GB2312" w:eastAsia="仿宋_GB2312" w:cs="仿宋_GB2312"/>
          <w:sz w:val="28"/>
          <w:szCs w:val="28"/>
        </w:rPr>
        <w:t>在约定固定价格P</w:t>
      </w:r>
      <w:r>
        <w:rPr>
          <w:rFonts w:hint="eastAsia" w:ascii="仿宋_GB2312" w:hAnsi="仿宋_GB2312" w:eastAsia="仿宋_GB2312" w:cs="仿宋_GB2312"/>
          <w:sz w:val="28"/>
          <w:szCs w:val="28"/>
          <w:vertAlign w:val="subscript"/>
        </w:rPr>
        <w:t>绿固</w:t>
      </w:r>
      <w:r>
        <w:rPr>
          <w:rFonts w:hint="eastAsia" w:ascii="仿宋_GB2312" w:hAnsi="仿宋_GB2312" w:eastAsia="仿宋_GB2312" w:cs="仿宋_GB2312"/>
          <w:sz w:val="28"/>
          <w:szCs w:val="28"/>
        </w:rPr>
        <w:t>的基础上，将固定价格P</w:t>
      </w:r>
      <w:r>
        <w:rPr>
          <w:rFonts w:hint="eastAsia" w:ascii="仿宋_GB2312" w:hAnsi="仿宋_GB2312" w:eastAsia="仿宋_GB2312" w:cs="仿宋_GB2312"/>
          <w:sz w:val="28"/>
          <w:szCs w:val="28"/>
          <w:vertAlign w:val="subscript"/>
        </w:rPr>
        <w:t>绿固</w:t>
      </w:r>
      <w:r>
        <w:rPr>
          <w:rFonts w:hint="eastAsia" w:ascii="仿宋_GB2312" w:hAnsi="仿宋_GB2312" w:eastAsia="仿宋_GB2312" w:cs="仿宋_GB2312"/>
          <w:sz w:val="28"/>
          <w:szCs w:val="28"/>
        </w:rPr>
        <w:t>与绿色电力批发市场合同均价P</w:t>
      </w:r>
      <w:r>
        <w:rPr>
          <w:rFonts w:hint="eastAsia" w:ascii="仿宋_GB2312" w:hAnsi="仿宋_GB2312" w:eastAsia="仿宋_GB2312" w:cs="仿宋_GB2312"/>
          <w:sz w:val="28"/>
          <w:szCs w:val="28"/>
          <w:vertAlign w:val="subscript"/>
        </w:rPr>
        <w:t>绿批</w:t>
      </w:r>
      <w:r>
        <w:rPr>
          <w:rFonts w:hint="eastAsia" w:ascii="仿宋_GB2312" w:hAnsi="仿宋_GB2312" w:eastAsia="仿宋_GB2312" w:cs="仿宋_GB2312"/>
          <w:sz w:val="28"/>
          <w:szCs w:val="28"/>
        </w:rPr>
        <w:t>之间的差值，按照约定的分成比例K</w:t>
      </w:r>
      <w:r>
        <w:rPr>
          <w:rFonts w:hint="eastAsia" w:ascii="仿宋_GB2312" w:hAnsi="仿宋_GB2312" w:eastAsia="仿宋_GB2312" w:cs="仿宋_GB2312"/>
          <w:sz w:val="28"/>
          <w:szCs w:val="28"/>
          <w:vertAlign w:val="subscript"/>
        </w:rPr>
        <w:t>绿</w:t>
      </w:r>
      <w:r>
        <w:rPr>
          <w:rFonts w:hint="eastAsia" w:ascii="仿宋_GB2312" w:hAnsi="仿宋_GB2312" w:eastAsia="仿宋_GB2312" w:cs="仿宋_GB2312"/>
          <w:sz w:val="28"/>
          <w:szCs w:val="28"/>
        </w:rPr>
        <w:t>传导至零售用户。当上述差值为正时，比例K</w:t>
      </w:r>
      <w:r>
        <w:rPr>
          <w:rFonts w:hint="eastAsia" w:ascii="仿宋_GB2312" w:hAnsi="仿宋_GB2312" w:eastAsia="仿宋_GB2312" w:cs="仿宋_GB2312"/>
          <w:sz w:val="28"/>
          <w:szCs w:val="28"/>
          <w:vertAlign w:val="subscript"/>
        </w:rPr>
        <w:t>绿享</w:t>
      </w:r>
      <w:r>
        <w:rPr>
          <w:rFonts w:hint="eastAsia" w:ascii="仿宋_GB2312" w:hAnsi="仿宋_GB2312" w:eastAsia="仿宋_GB2312" w:cs="仿宋_GB2312"/>
          <w:sz w:val="28"/>
          <w:szCs w:val="28"/>
        </w:rPr>
        <w:t>部分由零售用户分享，差值为负时，比例K</w:t>
      </w:r>
      <w:r>
        <w:rPr>
          <w:rFonts w:hint="eastAsia" w:ascii="仿宋_GB2312" w:hAnsi="仿宋_GB2312" w:eastAsia="仿宋_GB2312" w:cs="仿宋_GB2312"/>
          <w:sz w:val="28"/>
          <w:szCs w:val="28"/>
          <w:vertAlign w:val="subscript"/>
        </w:rPr>
        <w:t>绿担</w:t>
      </w:r>
      <w:r>
        <w:rPr>
          <w:rFonts w:hint="eastAsia" w:ascii="仿宋_GB2312" w:hAnsi="仿宋_GB2312" w:eastAsia="仿宋_GB2312" w:cs="仿宋_GB2312"/>
          <w:sz w:val="28"/>
          <w:szCs w:val="28"/>
        </w:rPr>
        <w:t>部分由零售用户承担，K</w:t>
      </w:r>
      <w:r>
        <w:rPr>
          <w:rFonts w:hint="eastAsia" w:ascii="仿宋_GB2312" w:hAnsi="仿宋_GB2312" w:eastAsia="仿宋_GB2312" w:cs="仿宋_GB2312"/>
          <w:sz w:val="28"/>
          <w:szCs w:val="28"/>
          <w:vertAlign w:val="subscript"/>
        </w:rPr>
        <w:t>绿</w:t>
      </w:r>
      <w:r>
        <w:rPr>
          <w:rFonts w:hint="eastAsia" w:ascii="仿宋_GB2312" w:hAnsi="仿宋_GB2312" w:eastAsia="仿宋_GB2312" w:cs="仿宋_GB2312"/>
          <w:sz w:val="28"/>
          <w:szCs w:val="28"/>
        </w:rPr>
        <w:t>(包括K</w:t>
      </w:r>
      <w:r>
        <w:rPr>
          <w:rFonts w:hint="eastAsia" w:ascii="仿宋_GB2312" w:hAnsi="仿宋_GB2312" w:eastAsia="仿宋_GB2312" w:cs="仿宋_GB2312"/>
          <w:sz w:val="28"/>
          <w:szCs w:val="28"/>
          <w:vertAlign w:val="subscript"/>
        </w:rPr>
        <w:t>绿享</w:t>
      </w:r>
      <w:r>
        <w:rPr>
          <w:rFonts w:hint="eastAsia" w:ascii="仿宋_GB2312" w:hAnsi="仿宋_GB2312" w:eastAsia="仿宋_GB2312" w:cs="仿宋_GB2312"/>
          <w:sz w:val="28"/>
          <w:szCs w:val="28"/>
        </w:rPr>
        <w:t>、K</w:t>
      </w:r>
      <w:r>
        <w:rPr>
          <w:rFonts w:hint="eastAsia" w:ascii="仿宋_GB2312" w:hAnsi="仿宋_GB2312" w:eastAsia="仿宋_GB2312" w:cs="仿宋_GB2312"/>
          <w:sz w:val="28"/>
          <w:szCs w:val="28"/>
          <w:vertAlign w:val="subscript"/>
        </w:rPr>
        <w:t>绿担</w:t>
      </w:r>
      <w:r>
        <w:rPr>
          <w:rFonts w:hint="eastAsia" w:ascii="仿宋_GB2312" w:hAnsi="仿宋_GB2312" w:eastAsia="仿宋_GB2312" w:cs="仿宋_GB2312"/>
          <w:sz w:val="28"/>
          <w:szCs w:val="28"/>
        </w:rPr>
        <w:t>)取值范围为0至1。</w:t>
      </w:r>
    </w:p>
    <w:p w14:paraId="2569F6BB">
      <w:pPr>
        <w:spacing w:line="460" w:lineRule="exact"/>
        <w:jc w:val="center"/>
        <w:rPr>
          <w:rFonts w:ascii="楷体_GB2312" w:hAnsi="楷体_GB2312" w:eastAsia="楷体_GB2312" w:cs="楷体_GB2312"/>
          <w:b/>
          <w:bCs/>
          <w:sz w:val="28"/>
          <w:szCs w:val="28"/>
          <w:vertAlign w:val="subscript"/>
        </w:rPr>
      </w:pPr>
      <w:r>
        <w:rPr>
          <w:rFonts w:hint="eastAsia" w:ascii="楷体_GB2312" w:hAnsi="楷体_GB2312" w:eastAsia="楷体_GB2312" w:cs="楷体_GB2312"/>
          <w:b/>
          <w:bCs/>
          <w:sz w:val="28"/>
          <w:szCs w:val="28"/>
        </w:rPr>
        <w:t>P</w:t>
      </w:r>
      <w:r>
        <w:rPr>
          <w:rFonts w:hint="eastAsia" w:ascii="楷体_GB2312" w:hAnsi="楷体_GB2312" w:eastAsia="楷体_GB2312" w:cs="楷体_GB2312"/>
          <w:b/>
          <w:bCs/>
          <w:sz w:val="28"/>
          <w:szCs w:val="28"/>
          <w:vertAlign w:val="subscript"/>
        </w:rPr>
        <w:t>绿</w:t>
      </w:r>
      <w:r>
        <w:rPr>
          <w:rFonts w:hint="eastAsia" w:ascii="楷体_GB2312" w:hAnsi="楷体_GB2312" w:eastAsia="楷体_GB2312" w:cs="楷体_GB2312"/>
          <w:b/>
          <w:bCs/>
          <w:sz w:val="28"/>
          <w:szCs w:val="28"/>
        </w:rPr>
        <w:t>＝P</w:t>
      </w:r>
      <w:r>
        <w:rPr>
          <w:rFonts w:hint="eastAsia" w:ascii="楷体_GB2312" w:hAnsi="楷体_GB2312" w:eastAsia="楷体_GB2312" w:cs="楷体_GB2312"/>
          <w:b/>
          <w:bCs/>
          <w:sz w:val="28"/>
          <w:szCs w:val="28"/>
          <w:vertAlign w:val="subscript"/>
        </w:rPr>
        <w:t>绿固</w:t>
      </w:r>
      <w:r>
        <w:rPr>
          <w:rFonts w:hint="eastAsia" w:ascii="楷体_GB2312" w:hAnsi="楷体_GB2312" w:eastAsia="楷体_GB2312" w:cs="楷体_GB2312"/>
          <w:b/>
          <w:bCs/>
          <w:sz w:val="28"/>
          <w:szCs w:val="28"/>
        </w:rPr>
        <w:t>－（P</w:t>
      </w:r>
      <w:r>
        <w:rPr>
          <w:rFonts w:hint="eastAsia" w:ascii="楷体_GB2312" w:hAnsi="楷体_GB2312" w:eastAsia="楷体_GB2312" w:cs="楷体_GB2312"/>
          <w:b/>
          <w:bCs/>
          <w:sz w:val="28"/>
          <w:szCs w:val="28"/>
          <w:vertAlign w:val="subscript"/>
        </w:rPr>
        <w:t>绿固</w:t>
      </w:r>
      <w:r>
        <w:rPr>
          <w:rFonts w:hint="eastAsia" w:ascii="楷体_GB2312" w:hAnsi="楷体_GB2312" w:eastAsia="楷体_GB2312" w:cs="楷体_GB2312"/>
          <w:b/>
          <w:bCs/>
          <w:sz w:val="28"/>
          <w:szCs w:val="28"/>
        </w:rPr>
        <w:t>－P</w:t>
      </w:r>
      <w:r>
        <w:rPr>
          <w:rFonts w:hint="eastAsia" w:ascii="楷体_GB2312" w:hAnsi="楷体_GB2312" w:eastAsia="楷体_GB2312" w:cs="楷体_GB2312"/>
          <w:b/>
          <w:bCs/>
          <w:sz w:val="28"/>
          <w:szCs w:val="28"/>
          <w:vertAlign w:val="subscript"/>
        </w:rPr>
        <w:t>绿批</w:t>
      </w:r>
      <w:r>
        <w:rPr>
          <w:rFonts w:hint="eastAsia" w:ascii="楷体_GB2312" w:hAnsi="楷体_GB2312" w:eastAsia="楷体_GB2312" w:cs="楷体_GB2312"/>
          <w:b/>
          <w:bCs/>
          <w:sz w:val="28"/>
          <w:szCs w:val="28"/>
        </w:rPr>
        <w:t>）×K</w:t>
      </w:r>
      <w:r>
        <w:rPr>
          <w:rFonts w:hint="eastAsia" w:ascii="楷体_GB2312" w:hAnsi="楷体_GB2312" w:eastAsia="楷体_GB2312" w:cs="楷体_GB2312"/>
          <w:b/>
          <w:bCs/>
          <w:sz w:val="28"/>
          <w:szCs w:val="28"/>
          <w:vertAlign w:val="subscript"/>
        </w:rPr>
        <w:t>绿</w:t>
      </w:r>
    </w:p>
    <w:p w14:paraId="165E8089">
      <w:pPr>
        <w:numPr>
          <w:ilvl w:val="255"/>
          <w:numId w:val="0"/>
        </w:numPr>
        <w:spacing w:line="460" w:lineRule="exact"/>
        <w:ind w:firstLine="562" w:firstLineChars="200"/>
        <w:jc w:val="left"/>
        <w:rPr>
          <w:rFonts w:ascii="楷体_GB2312" w:hAnsi="楷体_GB2312" w:eastAsia="楷体_GB2312" w:cs="楷体_GB2312"/>
          <w:b/>
          <w:bCs/>
          <w:sz w:val="28"/>
          <w:szCs w:val="28"/>
        </w:rPr>
      </w:pPr>
      <w:r>
        <w:rPr>
          <w:rFonts w:hint="eastAsia" w:ascii="楷体_GB2312" w:hAnsi="楷体_GB2312" w:eastAsia="楷体_GB2312" w:cs="楷体_GB2312"/>
          <w:b/>
          <w:bCs/>
          <w:sz w:val="28"/>
          <w:szCs w:val="28"/>
        </w:rPr>
        <w:t>3.2.2绿色电力电量</w:t>
      </w:r>
    </w:p>
    <w:p w14:paraId="02C9C01F">
      <w:pPr>
        <w:spacing w:line="4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绿色电力电量Q</w:t>
      </w:r>
      <w:r>
        <w:rPr>
          <w:rFonts w:hint="eastAsia" w:ascii="仿宋_GB2312" w:hAnsi="仿宋_GB2312" w:eastAsia="仿宋_GB2312" w:cs="仿宋_GB2312"/>
          <w:sz w:val="28"/>
          <w:szCs w:val="28"/>
          <w:vertAlign w:val="subscript"/>
        </w:rPr>
        <w:t>绿</w:t>
      </w:r>
      <w:r>
        <w:rPr>
          <w:rFonts w:hint="eastAsia" w:ascii="仿宋_GB2312" w:hAnsi="仿宋_GB2312" w:eastAsia="仿宋_GB2312" w:cs="仿宋_GB2312"/>
          <w:sz w:val="28"/>
          <w:szCs w:val="28"/>
        </w:rPr>
        <w:t>为Q</w:t>
      </w:r>
      <w:r>
        <w:rPr>
          <w:rFonts w:hint="eastAsia" w:ascii="仿宋_GB2312" w:hAnsi="仿宋_GB2312" w:eastAsia="仿宋_GB2312" w:cs="仿宋_GB2312"/>
          <w:sz w:val="28"/>
          <w:szCs w:val="28"/>
          <w:vertAlign w:val="subscript"/>
        </w:rPr>
        <w:t>绿需</w:t>
      </w:r>
      <w:r>
        <w:rPr>
          <w:rFonts w:hint="eastAsia" w:ascii="仿宋_GB2312" w:hAnsi="仿宋_GB2312" w:eastAsia="仿宋_GB2312" w:cs="仿宋_GB2312"/>
          <w:sz w:val="28"/>
          <w:szCs w:val="28"/>
        </w:rPr>
        <w:t>与Q</w:t>
      </w:r>
      <w:r>
        <w:rPr>
          <w:rFonts w:hint="eastAsia" w:ascii="仿宋_GB2312" w:hAnsi="仿宋_GB2312" w:eastAsia="仿宋_GB2312" w:cs="仿宋_GB2312"/>
          <w:sz w:val="28"/>
          <w:szCs w:val="28"/>
          <w:vertAlign w:val="subscript"/>
        </w:rPr>
        <w:t>绿分</w:t>
      </w:r>
      <w:r>
        <w:rPr>
          <w:rFonts w:hint="eastAsia" w:ascii="仿宋_GB2312" w:hAnsi="仿宋_GB2312" w:eastAsia="仿宋_GB2312" w:cs="仿宋_GB2312"/>
          <w:sz w:val="28"/>
          <w:szCs w:val="28"/>
        </w:rPr>
        <w:t>中的较小值，Q</w:t>
      </w:r>
      <w:r>
        <w:rPr>
          <w:rFonts w:hint="eastAsia" w:ascii="仿宋_GB2312" w:hAnsi="仿宋_GB2312" w:eastAsia="仿宋_GB2312" w:cs="仿宋_GB2312"/>
          <w:sz w:val="28"/>
          <w:szCs w:val="28"/>
          <w:vertAlign w:val="subscript"/>
        </w:rPr>
        <w:t>绿需</w:t>
      </w:r>
      <w:r>
        <w:rPr>
          <w:rFonts w:hint="eastAsia" w:ascii="仿宋_GB2312" w:hAnsi="仿宋_GB2312" w:eastAsia="仿宋_GB2312" w:cs="仿宋_GB2312"/>
          <w:sz w:val="28"/>
          <w:szCs w:val="28"/>
        </w:rPr>
        <w:t>为双方约定的绿色电力需求电量，Q</w:t>
      </w:r>
      <w:r>
        <w:rPr>
          <w:rFonts w:hint="eastAsia" w:ascii="仿宋_GB2312" w:hAnsi="仿宋_GB2312" w:eastAsia="仿宋_GB2312" w:cs="仿宋_GB2312"/>
          <w:sz w:val="28"/>
          <w:szCs w:val="28"/>
          <w:vertAlign w:val="subscript"/>
        </w:rPr>
        <w:t>绿分</w:t>
      </w:r>
      <w:r>
        <w:rPr>
          <w:rFonts w:hint="eastAsia" w:ascii="仿宋_GB2312" w:hAnsi="仿宋_GB2312" w:eastAsia="仿宋_GB2312" w:cs="仿宋_GB2312"/>
          <w:sz w:val="28"/>
          <w:szCs w:val="28"/>
        </w:rPr>
        <w:t>为售电公司向零售用户关联的绿色电力分配电量。</w:t>
      </w:r>
    </w:p>
    <w:p w14:paraId="324725EF">
      <w:pPr>
        <w:spacing w:line="460" w:lineRule="exact"/>
        <w:jc w:val="center"/>
        <w:rPr>
          <w:rFonts w:eastAsia="仿宋_GB2312"/>
          <w:b/>
          <w:bCs/>
        </w:rPr>
      </w:pPr>
      <w:r>
        <w:rPr>
          <w:rFonts w:hint="eastAsia" w:ascii="仿宋_GB2312" w:hAnsi="仿宋_GB2312" w:eastAsia="仿宋_GB2312" w:cs="仿宋_GB2312"/>
          <w:b/>
          <w:bCs/>
          <w:sz w:val="28"/>
          <w:szCs w:val="28"/>
        </w:rPr>
        <w:t>Q</w:t>
      </w:r>
      <w:r>
        <w:rPr>
          <w:rFonts w:hint="eastAsia" w:ascii="仿宋_GB2312" w:hAnsi="仿宋_GB2312" w:eastAsia="仿宋_GB2312" w:cs="仿宋_GB2312"/>
          <w:b/>
          <w:bCs/>
          <w:sz w:val="28"/>
          <w:szCs w:val="28"/>
          <w:vertAlign w:val="subscript"/>
        </w:rPr>
        <w:t>绿</w:t>
      </w:r>
      <w:r>
        <w:rPr>
          <w:rFonts w:hint="eastAsia" w:ascii="楷体_GB2312" w:hAnsi="楷体_GB2312" w:eastAsia="楷体_GB2312" w:cs="楷体_GB2312"/>
          <w:b/>
          <w:bCs/>
          <w:sz w:val="28"/>
          <w:szCs w:val="28"/>
        </w:rPr>
        <w:t>＝min（</w:t>
      </w:r>
      <w:r>
        <w:rPr>
          <w:rFonts w:hint="eastAsia" w:ascii="仿宋_GB2312" w:hAnsi="仿宋_GB2312" w:eastAsia="仿宋_GB2312" w:cs="仿宋_GB2312"/>
          <w:b/>
          <w:bCs/>
          <w:sz w:val="28"/>
          <w:szCs w:val="28"/>
        </w:rPr>
        <w:t>Q</w:t>
      </w:r>
      <w:r>
        <w:rPr>
          <w:rFonts w:hint="eastAsia" w:ascii="仿宋_GB2312" w:hAnsi="仿宋_GB2312" w:eastAsia="仿宋_GB2312" w:cs="仿宋_GB2312"/>
          <w:b/>
          <w:bCs/>
          <w:sz w:val="28"/>
          <w:szCs w:val="28"/>
          <w:vertAlign w:val="subscript"/>
        </w:rPr>
        <w:t>绿需</w:t>
      </w:r>
      <w:r>
        <w:rPr>
          <w:rFonts w:hint="eastAsia" w:ascii="仿宋_GB2312" w:hAnsi="仿宋_GB2312" w:eastAsia="仿宋_GB2312" w:cs="仿宋_GB2312"/>
          <w:b/>
          <w:bCs/>
          <w:sz w:val="28"/>
          <w:szCs w:val="28"/>
        </w:rPr>
        <w:t>，Q</w:t>
      </w:r>
      <w:r>
        <w:rPr>
          <w:rFonts w:hint="eastAsia" w:ascii="仿宋_GB2312" w:hAnsi="仿宋_GB2312" w:eastAsia="仿宋_GB2312" w:cs="仿宋_GB2312"/>
          <w:b/>
          <w:bCs/>
          <w:sz w:val="28"/>
          <w:szCs w:val="28"/>
          <w:vertAlign w:val="subscript"/>
        </w:rPr>
        <w:t>绿分</w:t>
      </w:r>
      <w:r>
        <w:rPr>
          <w:rFonts w:hint="eastAsia" w:ascii="楷体_GB2312" w:hAnsi="楷体_GB2312" w:eastAsia="楷体_GB2312" w:cs="楷体_GB2312"/>
          <w:b/>
          <w:bCs/>
          <w:sz w:val="28"/>
          <w:szCs w:val="28"/>
        </w:rPr>
        <w:t>）</w:t>
      </w:r>
    </w:p>
    <w:p w14:paraId="7BC46487">
      <w:pPr>
        <w:spacing w:line="460" w:lineRule="exact"/>
        <w:ind w:firstLine="562" w:firstLineChars="200"/>
        <w:rPr>
          <w:rFonts w:ascii="楷体_GB2312" w:hAnsi="楷体_GB2312" w:eastAsia="楷体_GB2312" w:cs="楷体_GB2312"/>
          <w:b/>
          <w:bCs/>
          <w:sz w:val="28"/>
          <w:szCs w:val="28"/>
        </w:rPr>
      </w:pPr>
      <w:r>
        <w:rPr>
          <w:rFonts w:hint="eastAsia" w:ascii="楷体_GB2312" w:hAnsi="楷体_GB2312" w:eastAsia="楷体_GB2312" w:cs="楷体_GB2312"/>
          <w:b/>
          <w:bCs/>
          <w:sz w:val="28"/>
          <w:szCs w:val="28"/>
        </w:rPr>
        <w:t>3.2.3绿色电力环境价值</w:t>
      </w:r>
    </w:p>
    <w:p w14:paraId="76DDCD9A">
      <w:pPr>
        <w:spacing w:line="460" w:lineRule="exact"/>
        <w:ind w:firstLine="560" w:firstLineChars="200"/>
        <w:rPr>
          <w:rFonts w:ascii="Times New Roman" w:hAnsi="Times New Roman" w:eastAsia="仿宋_GB2312" w:cs="Times New Roman"/>
          <w:sz w:val="28"/>
          <w:szCs w:val="28"/>
        </w:rPr>
      </w:pPr>
      <w:r>
        <w:rPr>
          <w:rFonts w:hint="eastAsia" w:ascii="仿宋_GB2312" w:hAnsi="仿宋_GB2312" w:eastAsia="仿宋_GB2312" w:cs="仿宋_GB2312"/>
          <w:sz w:val="28"/>
          <w:szCs w:val="28"/>
        </w:rPr>
        <w:t>绿色电力零售交易中环境价值</w:t>
      </w:r>
      <w:r>
        <w:rPr>
          <w:rFonts w:ascii="仿宋_GB2312" w:hAnsi="仿宋_GB2312" w:eastAsia="仿宋_GB2312" w:cs="仿宋_GB2312"/>
          <w:sz w:val="28"/>
          <w:szCs w:val="28"/>
        </w:rPr>
        <w:t>P</w:t>
      </w:r>
      <w:r>
        <w:rPr>
          <w:rFonts w:hint="eastAsia" w:ascii="仿宋_GB2312" w:hAnsi="仿宋_GB2312" w:eastAsia="仿宋_GB2312" w:cs="仿宋_GB2312"/>
          <w:sz w:val="28"/>
          <w:szCs w:val="28"/>
          <w:vertAlign w:val="subscript"/>
        </w:rPr>
        <w:t>绿环</w:t>
      </w:r>
      <w:r>
        <w:rPr>
          <w:rFonts w:hint="eastAsia" w:ascii="仿宋_GB2312" w:hAnsi="仿宋_GB2312" w:eastAsia="仿宋_GB2312" w:cs="仿宋_GB2312"/>
          <w:sz w:val="28"/>
          <w:szCs w:val="28"/>
        </w:rPr>
        <w:t>按该零售用户对应绿色电力批发合同的环境价值传导形成。绿色电力批发合同与零售合同对应关系由售电公司提交，形成零售用户</w:t>
      </w:r>
      <w:r>
        <w:rPr>
          <w:rFonts w:hint="eastAsia" w:ascii="Times New Roman" w:hAnsi="Times New Roman" w:eastAsia="仿宋_GB2312" w:cs="仿宋_GB2312"/>
          <w:sz w:val="28"/>
          <w:szCs w:val="28"/>
        </w:rPr>
        <w:t>绿色电力分配电量</w:t>
      </w:r>
      <w:r>
        <w:rPr>
          <w:rFonts w:hint="eastAsia" w:ascii="仿宋_GB2312" w:hAnsi="仿宋_GB2312" w:eastAsia="仿宋_GB2312" w:cs="仿宋_GB2312"/>
          <w:sz w:val="28"/>
          <w:szCs w:val="28"/>
        </w:rPr>
        <w:t>。零售用户的环境价值结算电量取发</w:t>
      </w:r>
      <w:r>
        <w:rPr>
          <w:rFonts w:hint="eastAsia" w:ascii="Times New Roman" w:hAnsi="Times New Roman" w:eastAsia="仿宋_GB2312" w:cs="仿宋_GB2312"/>
          <w:sz w:val="28"/>
          <w:szCs w:val="28"/>
        </w:rPr>
        <w:t>电企业</w:t>
      </w:r>
      <w:r>
        <w:rPr>
          <w:rFonts w:hint="eastAsia" w:eastAsia="仿宋_GB2312" w:cs="仿宋_GB2312"/>
          <w:sz w:val="28"/>
          <w:szCs w:val="28"/>
        </w:rPr>
        <w:t>对应</w:t>
      </w:r>
      <w:r>
        <w:rPr>
          <w:rFonts w:hint="eastAsia" w:ascii="Times New Roman" w:hAnsi="Times New Roman" w:eastAsia="仿宋_GB2312" w:cs="仿宋_GB2312"/>
          <w:sz w:val="28"/>
          <w:szCs w:val="28"/>
        </w:rPr>
        <w:t>上网电量（机制外）、零售用户实际用电量、售电公司实际向零售用户关联的绿色电力分配电量三者的最小值。</w:t>
      </w:r>
    </w:p>
    <w:p w14:paraId="08BB4324">
      <w:pPr>
        <w:spacing w:line="460" w:lineRule="exact"/>
        <w:ind w:firstLine="562" w:firstLineChars="200"/>
        <w:rPr>
          <w:rFonts w:ascii="楷体_GB2312" w:hAnsi="楷体_GB2312" w:eastAsia="楷体_GB2312" w:cs="楷体_GB2312"/>
          <w:b/>
          <w:bCs/>
          <w:sz w:val="28"/>
          <w:szCs w:val="28"/>
        </w:rPr>
      </w:pPr>
      <w:r>
        <w:rPr>
          <w:rFonts w:hint="eastAsia" w:ascii="楷体_GB2312" w:hAnsi="楷体_GB2312" w:eastAsia="楷体_GB2312" w:cs="楷体_GB2312"/>
          <w:b/>
          <w:bCs/>
          <w:sz w:val="28"/>
          <w:szCs w:val="28"/>
        </w:rPr>
        <w:t>3.2.4绿色电力封顶总价</w:t>
      </w:r>
    </w:p>
    <w:p w14:paraId="4B206E77">
      <w:pPr>
        <w:spacing w:line="460" w:lineRule="exact"/>
        <w:ind w:firstLine="560" w:firstLineChars="200"/>
        <w:rPr>
          <w:sz w:val="28"/>
          <w:szCs w:val="28"/>
        </w:rPr>
      </w:pPr>
      <w:r>
        <w:rPr>
          <w:rFonts w:hint="eastAsia" w:ascii="仿宋_GB2312" w:hAnsi="仿宋_GB2312" w:eastAsia="仿宋_GB2312" w:cs="仿宋_GB2312"/>
          <w:sz w:val="28"/>
          <w:szCs w:val="28"/>
        </w:rPr>
        <w:t>双方须约定绿色电力零售合同封顶总价</w:t>
      </w:r>
      <w:r>
        <w:rPr>
          <w:rFonts w:ascii="仿宋_GB2312" w:hAnsi="仿宋_GB2312" w:eastAsia="仿宋_GB2312" w:cs="仿宋_GB2312"/>
          <w:sz w:val="28"/>
          <w:szCs w:val="28"/>
        </w:rPr>
        <w:t>P</w:t>
      </w:r>
      <w:r>
        <w:rPr>
          <w:rFonts w:hint="eastAsia" w:ascii="仿宋_GB2312" w:hAnsi="仿宋_GB2312" w:eastAsia="仿宋_GB2312" w:cs="仿宋_GB2312"/>
          <w:sz w:val="28"/>
          <w:szCs w:val="28"/>
          <w:vertAlign w:val="subscript"/>
        </w:rPr>
        <w:t>绿封总</w:t>
      </w:r>
      <w:r>
        <w:rPr>
          <w:rFonts w:hint="eastAsia" w:ascii="仿宋_GB2312" w:hAnsi="仿宋_GB2312" w:eastAsia="仿宋_GB2312" w:cs="仿宋_GB2312"/>
          <w:sz w:val="28"/>
          <w:szCs w:val="28"/>
        </w:rPr>
        <w:t>（即电能量价格与环境价值之和的上限），当零售用户按照绿色电力套餐计算的电能量价格与环境价值之和超过</w:t>
      </w:r>
      <w:r>
        <w:rPr>
          <w:rFonts w:ascii="仿宋_GB2312" w:hAnsi="仿宋_GB2312" w:eastAsia="仿宋_GB2312" w:cs="仿宋_GB2312"/>
          <w:sz w:val="28"/>
          <w:szCs w:val="28"/>
        </w:rPr>
        <w:t>P</w:t>
      </w:r>
      <w:r>
        <w:rPr>
          <w:rFonts w:hint="eastAsia" w:ascii="仿宋_GB2312" w:hAnsi="仿宋_GB2312" w:eastAsia="仿宋_GB2312" w:cs="仿宋_GB2312"/>
          <w:sz w:val="28"/>
          <w:szCs w:val="28"/>
          <w:vertAlign w:val="subscript"/>
        </w:rPr>
        <w:t>绿封总</w:t>
      </w:r>
      <w:r>
        <w:rPr>
          <w:rFonts w:hint="eastAsia" w:ascii="仿宋_GB2312" w:hAnsi="仿宋_GB2312" w:eastAsia="仿宋_GB2312" w:cs="仿宋_GB2312"/>
          <w:sz w:val="28"/>
          <w:szCs w:val="28"/>
        </w:rPr>
        <w:t>时，零售用户按照绿色电力套餐计算的电能量价格取值为</w:t>
      </w:r>
      <w:r>
        <w:rPr>
          <w:rFonts w:ascii="仿宋_GB2312" w:hAnsi="仿宋_GB2312" w:eastAsia="仿宋_GB2312" w:cs="仿宋_GB2312"/>
          <w:sz w:val="28"/>
          <w:szCs w:val="28"/>
        </w:rPr>
        <w:t>P</w:t>
      </w:r>
      <w:r>
        <w:rPr>
          <w:rFonts w:hint="eastAsia" w:ascii="仿宋_GB2312" w:hAnsi="仿宋_GB2312" w:eastAsia="仿宋_GB2312" w:cs="仿宋_GB2312"/>
          <w:sz w:val="28"/>
          <w:szCs w:val="28"/>
          <w:vertAlign w:val="subscript"/>
        </w:rPr>
        <w:t>绿封总</w:t>
      </w:r>
      <w:r>
        <w:rPr>
          <w:rFonts w:hint="eastAsia" w:ascii="仿宋_GB2312" w:hAnsi="仿宋_GB2312" w:eastAsia="仿宋_GB2312" w:cs="仿宋_GB2312"/>
          <w:sz w:val="28"/>
          <w:szCs w:val="28"/>
        </w:rPr>
        <w:t>减去环境价值</w:t>
      </w:r>
      <w:r>
        <w:rPr>
          <w:rFonts w:ascii="仿宋_GB2312" w:hAnsi="仿宋_GB2312" w:eastAsia="仿宋_GB2312" w:cs="仿宋_GB2312"/>
          <w:sz w:val="28"/>
          <w:szCs w:val="28"/>
        </w:rPr>
        <w:t>P</w:t>
      </w:r>
      <w:r>
        <w:rPr>
          <w:rFonts w:hint="eastAsia" w:ascii="仿宋_GB2312" w:hAnsi="仿宋_GB2312" w:eastAsia="仿宋_GB2312" w:cs="仿宋_GB2312"/>
          <w:sz w:val="28"/>
          <w:szCs w:val="28"/>
          <w:vertAlign w:val="subscript"/>
        </w:rPr>
        <w:t>绿环</w:t>
      </w:r>
      <w:r>
        <w:rPr>
          <w:rFonts w:hint="eastAsia" w:ascii="仿宋_GB2312" w:hAnsi="仿宋_GB2312" w:eastAsia="仿宋_GB2312" w:cs="仿宋_GB2312"/>
          <w:sz w:val="28"/>
          <w:szCs w:val="28"/>
        </w:rPr>
        <w:t>。绿色电力零售合同封顶总价</w:t>
      </w:r>
      <w:r>
        <w:rPr>
          <w:rFonts w:ascii="仿宋_GB2312" w:hAnsi="仿宋_GB2312" w:eastAsia="仿宋_GB2312" w:cs="仿宋_GB2312"/>
          <w:sz w:val="28"/>
          <w:szCs w:val="28"/>
        </w:rPr>
        <w:t>P</w:t>
      </w:r>
      <w:r>
        <w:rPr>
          <w:rFonts w:hint="eastAsia" w:ascii="仿宋_GB2312" w:hAnsi="仿宋_GB2312" w:eastAsia="仿宋_GB2312" w:cs="仿宋_GB2312"/>
          <w:sz w:val="28"/>
          <w:szCs w:val="28"/>
          <w:vertAlign w:val="subscript"/>
        </w:rPr>
        <w:t>绿封总</w:t>
      </w:r>
      <w:r>
        <w:rPr>
          <w:rFonts w:hint="eastAsia" w:ascii="仿宋_GB2312" w:hAnsi="仿宋_GB2312" w:eastAsia="仿宋_GB2312" w:cs="仿宋_GB2312"/>
          <w:sz w:val="28"/>
          <w:szCs w:val="28"/>
        </w:rPr>
        <w:t>须大于等于绿色电力电能量价格P</w:t>
      </w:r>
      <w:r>
        <w:rPr>
          <w:rFonts w:hint="eastAsia" w:ascii="仿宋_GB2312" w:hAnsi="仿宋_GB2312" w:eastAsia="仿宋_GB2312" w:cs="仿宋_GB2312"/>
          <w:sz w:val="28"/>
          <w:szCs w:val="28"/>
          <w:vertAlign w:val="subscript"/>
        </w:rPr>
        <w:t>绿</w:t>
      </w:r>
      <w:r>
        <w:rPr>
          <w:rFonts w:hint="eastAsia" w:ascii="仿宋_GB2312" w:hAnsi="仿宋_GB2312" w:eastAsia="仿宋_GB2312" w:cs="仿宋_GB2312"/>
          <w:sz w:val="28"/>
          <w:szCs w:val="28"/>
        </w:rPr>
        <w:t>。</w:t>
      </w:r>
    </w:p>
    <w:p w14:paraId="464AAA7A">
      <w:pPr>
        <w:spacing w:line="460" w:lineRule="exact"/>
        <w:ind w:firstLine="562" w:firstLineChars="200"/>
        <w:rPr>
          <w:rFonts w:ascii="楷体_GB2312" w:hAnsi="楷体_GB2312" w:eastAsia="楷体_GB2312" w:cs="楷体_GB2312"/>
          <w:b/>
          <w:bCs/>
          <w:sz w:val="28"/>
          <w:szCs w:val="28"/>
        </w:rPr>
      </w:pPr>
      <w:r>
        <w:rPr>
          <w:rFonts w:hint="eastAsia" w:ascii="楷体_GB2312" w:hAnsi="楷体_GB2312" w:eastAsia="楷体_GB2312" w:cs="楷体_GB2312"/>
          <w:b/>
          <w:bCs/>
          <w:sz w:val="28"/>
          <w:szCs w:val="28"/>
        </w:rPr>
        <w:t>3.2.5价格参数</w:t>
      </w:r>
    </w:p>
    <w:p w14:paraId="3C21DF28">
      <w:pPr>
        <w:spacing w:line="4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P</w:t>
      </w:r>
      <w:r>
        <w:rPr>
          <w:rFonts w:hint="eastAsia" w:ascii="仿宋_GB2312" w:hAnsi="仿宋_GB2312" w:eastAsia="仿宋_GB2312" w:cs="仿宋_GB2312"/>
          <w:sz w:val="28"/>
          <w:szCs w:val="28"/>
          <w:vertAlign w:val="subscript"/>
        </w:rPr>
        <w:t>绿批</w:t>
      </w:r>
      <w:r>
        <w:rPr>
          <w:rFonts w:hint="eastAsia" w:ascii="仿宋_GB2312" w:hAnsi="仿宋_GB2312" w:eastAsia="仿宋_GB2312" w:cs="仿宋_GB2312"/>
          <w:sz w:val="28"/>
          <w:szCs w:val="28"/>
        </w:rPr>
        <w:t>为履约月北京市全市场绿色电力中长期交易批发合同的电能量加权平均价；P</w:t>
      </w:r>
      <w:r>
        <w:rPr>
          <w:rFonts w:hint="eastAsia" w:ascii="仿宋_GB2312" w:hAnsi="仿宋_GB2312" w:eastAsia="仿宋_GB2312" w:cs="仿宋_GB2312"/>
          <w:sz w:val="28"/>
          <w:szCs w:val="28"/>
          <w:vertAlign w:val="subscript"/>
        </w:rPr>
        <w:t>绿售</w:t>
      </w:r>
      <w:r>
        <w:rPr>
          <w:rFonts w:hint="eastAsia" w:ascii="仿宋_GB2312" w:hAnsi="仿宋_GB2312" w:eastAsia="仿宋_GB2312" w:cs="仿宋_GB2312"/>
          <w:sz w:val="28"/>
          <w:szCs w:val="28"/>
        </w:rPr>
        <w:t>为履约月签约售电公司的绿色电力中长期交易批发合同的电能量加权平均价；P</w:t>
      </w:r>
      <w:r>
        <w:rPr>
          <w:rFonts w:hint="eastAsia" w:ascii="仿宋_GB2312" w:hAnsi="仿宋_GB2312" w:eastAsia="仿宋_GB2312" w:cs="仿宋_GB2312"/>
          <w:sz w:val="28"/>
          <w:szCs w:val="28"/>
          <w:vertAlign w:val="subscript"/>
        </w:rPr>
        <w:t>绿批</w:t>
      </w:r>
      <w:r>
        <w:rPr>
          <w:rFonts w:hint="eastAsia" w:ascii="仿宋_GB2312" w:hAnsi="仿宋_GB2312" w:eastAsia="仿宋_GB2312" w:cs="仿宋_GB2312"/>
          <w:sz w:val="28"/>
          <w:szCs w:val="28"/>
        </w:rPr>
        <w:t>、P</w:t>
      </w:r>
      <w:r>
        <w:rPr>
          <w:rFonts w:hint="eastAsia" w:ascii="仿宋_GB2312" w:hAnsi="仿宋_GB2312" w:eastAsia="仿宋_GB2312" w:cs="仿宋_GB2312"/>
          <w:sz w:val="28"/>
          <w:szCs w:val="28"/>
          <w:vertAlign w:val="subscript"/>
        </w:rPr>
        <w:t>绿售</w:t>
      </w:r>
      <w:r>
        <w:rPr>
          <w:rFonts w:hint="eastAsia" w:ascii="仿宋_GB2312" w:hAnsi="仿宋_GB2312" w:eastAsia="仿宋_GB2312" w:cs="仿宋_GB2312"/>
          <w:sz w:val="28"/>
          <w:szCs w:val="28"/>
        </w:rPr>
        <w:t>价格构成中包括多年PPA及年度交易分月合同、月度合同、月内合同，不含环境价值。P</w:t>
      </w:r>
      <w:r>
        <w:rPr>
          <w:rFonts w:hint="eastAsia" w:ascii="仿宋_GB2312" w:hAnsi="仿宋_GB2312" w:eastAsia="仿宋_GB2312" w:cs="仿宋_GB2312"/>
          <w:sz w:val="28"/>
          <w:szCs w:val="28"/>
          <w:vertAlign w:val="subscript"/>
        </w:rPr>
        <w:t>绿批</w:t>
      </w:r>
      <w:r>
        <w:rPr>
          <w:rFonts w:hint="eastAsia" w:ascii="仿宋_GB2312" w:hAnsi="仿宋_GB2312" w:eastAsia="仿宋_GB2312" w:cs="仿宋_GB2312"/>
          <w:sz w:val="28"/>
          <w:szCs w:val="28"/>
        </w:rPr>
        <w:t>由交易中心在履约月最后一日前在交易平台发布。</w:t>
      </w:r>
    </w:p>
    <w:p w14:paraId="22776A1D">
      <w:pPr>
        <w:spacing w:line="460" w:lineRule="exact"/>
        <w:ind w:left="630"/>
        <w:rPr>
          <w:rFonts w:ascii="黑体" w:hAnsi="黑体" w:eastAsia="黑体" w:cs="黑体"/>
          <w:b/>
          <w:bCs/>
          <w:sz w:val="28"/>
          <w:szCs w:val="28"/>
        </w:rPr>
      </w:pPr>
      <w:r>
        <w:rPr>
          <w:rFonts w:hint="eastAsia" w:ascii="黑体" w:hAnsi="黑体" w:eastAsia="黑体" w:cs="黑体"/>
          <w:b/>
          <w:bCs/>
          <w:sz w:val="28"/>
          <w:szCs w:val="28"/>
        </w:rPr>
        <w:t>3.3偏差电量电价</w:t>
      </w:r>
    </w:p>
    <w:p w14:paraId="3A55FDFB">
      <w:pPr>
        <w:spacing w:line="4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3.3.1零售用户实际用电量与零售合同电量的差值为偏差电量。实际用电量超出合同电量的部分为超用电量，记为正值，少于合同电量的部分为少用电量，记为负值。</w:t>
      </w:r>
    </w:p>
    <w:p w14:paraId="2E4BA531">
      <w:pPr>
        <w:spacing w:line="4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3.3.2零售用户偏差电量结算，可采用“售电公司全担”或“零售用户共担”偏差责任方式。零售用户偏差电量结算时，“售电公司全担”是指售电公司不对零售用户偏差电量进行考核，“零售用户共担”是指售电公司对零售用户偏差电量进行考核。</w:t>
      </w:r>
    </w:p>
    <w:p w14:paraId="2AB86BEB">
      <w:pPr>
        <w:spacing w:line="4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3.3.3当选择“售电公司全担”方式时，零售用户超用电量按照常规电力电能量价格P</w:t>
      </w:r>
      <w:r>
        <w:rPr>
          <w:rFonts w:hint="eastAsia" w:ascii="仿宋_GB2312" w:hAnsi="仿宋_GB2312" w:eastAsia="仿宋_GB2312" w:cs="仿宋_GB2312"/>
          <w:sz w:val="28"/>
          <w:szCs w:val="28"/>
          <w:vertAlign w:val="subscript"/>
        </w:rPr>
        <w:t>常</w:t>
      </w:r>
      <w:r>
        <w:rPr>
          <w:rFonts w:hint="eastAsia" w:ascii="仿宋_GB2312" w:hAnsi="仿宋_GB2312" w:eastAsia="仿宋_GB2312" w:cs="仿宋_GB2312"/>
          <w:sz w:val="28"/>
          <w:szCs w:val="28"/>
        </w:rPr>
        <w:t>结算，零售用户少用电量按照零售合同实际电能量均价P</w:t>
      </w:r>
      <w:r>
        <w:rPr>
          <w:rFonts w:hint="eastAsia" w:ascii="仿宋_GB2312" w:hAnsi="仿宋_GB2312" w:eastAsia="仿宋_GB2312" w:cs="仿宋_GB2312"/>
          <w:sz w:val="28"/>
          <w:szCs w:val="28"/>
          <w:vertAlign w:val="subscript"/>
        </w:rPr>
        <w:t>合</w:t>
      </w:r>
      <w:r>
        <w:rPr>
          <w:rFonts w:hint="eastAsia" w:ascii="仿宋_GB2312" w:hAnsi="仿宋_GB2312" w:eastAsia="仿宋_GB2312" w:cs="仿宋_GB2312"/>
          <w:sz w:val="28"/>
          <w:szCs w:val="28"/>
        </w:rPr>
        <w:t>结算。零售合同实际电能量均价P</w:t>
      </w:r>
      <w:r>
        <w:rPr>
          <w:rFonts w:hint="eastAsia" w:ascii="仿宋_GB2312" w:hAnsi="仿宋_GB2312" w:eastAsia="仿宋_GB2312" w:cs="仿宋_GB2312"/>
          <w:sz w:val="28"/>
          <w:szCs w:val="28"/>
          <w:vertAlign w:val="subscript"/>
        </w:rPr>
        <w:t>合</w:t>
      </w:r>
      <w:r>
        <w:rPr>
          <w:rFonts w:hint="eastAsia" w:ascii="仿宋_GB2312" w:hAnsi="仿宋_GB2312" w:eastAsia="仿宋_GB2312" w:cs="仿宋_GB2312"/>
          <w:sz w:val="28"/>
          <w:szCs w:val="28"/>
        </w:rPr>
        <w:t>为常规电力与绿色电力的电能量价格加权平均值。</w:t>
      </w:r>
    </w:p>
    <w:p w14:paraId="4ED0338A">
      <w:pPr>
        <w:spacing w:line="4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3.3.4当选择“零售用户共担”方式时，售电公司与零售用户约定偏差共担价格P</w:t>
      </w:r>
      <w:r>
        <w:rPr>
          <w:rFonts w:hint="eastAsia" w:ascii="仿宋_GB2312" w:hAnsi="仿宋_GB2312" w:eastAsia="仿宋_GB2312" w:cs="仿宋_GB2312"/>
          <w:sz w:val="28"/>
          <w:szCs w:val="28"/>
          <w:vertAlign w:val="subscript"/>
        </w:rPr>
        <w:t>共担</w:t>
      </w:r>
      <w:r>
        <w:rPr>
          <w:rFonts w:hint="eastAsia" w:ascii="仿宋_GB2312" w:hAnsi="仿宋_GB2312" w:eastAsia="仿宋_GB2312" w:cs="仿宋_GB2312"/>
          <w:sz w:val="28"/>
          <w:szCs w:val="28"/>
        </w:rPr>
        <w:t>，P</w:t>
      </w:r>
      <w:r>
        <w:rPr>
          <w:rFonts w:hint="eastAsia" w:ascii="仿宋_GB2312" w:hAnsi="仿宋_GB2312" w:eastAsia="仿宋_GB2312" w:cs="仿宋_GB2312"/>
          <w:sz w:val="28"/>
          <w:szCs w:val="28"/>
          <w:vertAlign w:val="subscript"/>
        </w:rPr>
        <w:t>共担</w:t>
      </w:r>
      <w:r>
        <w:rPr>
          <w:rFonts w:hint="eastAsia" w:ascii="仿宋_GB2312" w:hAnsi="仿宋_GB2312" w:eastAsia="仿宋_GB2312" w:cs="仿宋_GB2312"/>
          <w:sz w:val="28"/>
          <w:szCs w:val="28"/>
        </w:rPr>
        <w:t>取值范围为0-5元/兆瓦时；零售用户超用电量按照P</w:t>
      </w:r>
      <w:r>
        <w:rPr>
          <w:rFonts w:hint="eastAsia" w:ascii="仿宋_GB2312" w:hAnsi="仿宋_GB2312" w:eastAsia="仿宋_GB2312" w:cs="仿宋_GB2312"/>
          <w:sz w:val="28"/>
          <w:szCs w:val="28"/>
          <w:vertAlign w:val="subscript"/>
        </w:rPr>
        <w:t>常</w:t>
      </w:r>
      <w:r>
        <w:rPr>
          <w:rFonts w:hint="eastAsia" w:ascii="仿宋_GB2312" w:hAnsi="仿宋_GB2312" w:eastAsia="仿宋_GB2312" w:cs="仿宋_GB2312"/>
          <w:sz w:val="28"/>
          <w:szCs w:val="28"/>
        </w:rPr>
        <w:t>与P</w:t>
      </w:r>
      <w:r>
        <w:rPr>
          <w:rFonts w:hint="eastAsia" w:ascii="仿宋_GB2312" w:hAnsi="仿宋_GB2312" w:eastAsia="仿宋_GB2312" w:cs="仿宋_GB2312"/>
          <w:sz w:val="28"/>
          <w:szCs w:val="28"/>
          <w:vertAlign w:val="subscript"/>
        </w:rPr>
        <w:t>共担</w:t>
      </w:r>
      <w:r>
        <w:rPr>
          <w:rFonts w:hint="eastAsia" w:ascii="仿宋_GB2312" w:hAnsi="仿宋_GB2312" w:eastAsia="仿宋_GB2312" w:cs="仿宋_GB2312"/>
          <w:sz w:val="28"/>
          <w:szCs w:val="28"/>
        </w:rPr>
        <w:t>之和结算，少用电量按照P</w:t>
      </w:r>
      <w:r>
        <w:rPr>
          <w:rFonts w:hint="eastAsia" w:ascii="仿宋_GB2312" w:hAnsi="仿宋_GB2312" w:eastAsia="仿宋_GB2312" w:cs="仿宋_GB2312"/>
          <w:sz w:val="28"/>
          <w:szCs w:val="28"/>
          <w:vertAlign w:val="subscript"/>
        </w:rPr>
        <w:t>合</w:t>
      </w:r>
      <w:r>
        <w:rPr>
          <w:rFonts w:hint="eastAsia" w:ascii="仿宋_GB2312" w:hAnsi="仿宋_GB2312" w:eastAsia="仿宋_GB2312" w:cs="仿宋_GB2312"/>
          <w:sz w:val="28"/>
          <w:szCs w:val="28"/>
        </w:rPr>
        <w:t>与P</w:t>
      </w:r>
      <w:r>
        <w:rPr>
          <w:rFonts w:hint="eastAsia" w:ascii="仿宋_GB2312" w:hAnsi="仿宋_GB2312" w:eastAsia="仿宋_GB2312" w:cs="仿宋_GB2312"/>
          <w:sz w:val="28"/>
          <w:szCs w:val="28"/>
          <w:vertAlign w:val="subscript"/>
        </w:rPr>
        <w:t>共担</w:t>
      </w:r>
      <w:r>
        <w:rPr>
          <w:rFonts w:hint="eastAsia" w:ascii="仿宋_GB2312" w:hAnsi="仿宋_GB2312" w:eastAsia="仿宋_GB2312" w:cs="仿宋_GB2312"/>
          <w:sz w:val="28"/>
          <w:szCs w:val="28"/>
        </w:rPr>
        <w:t>之差结算。售电公司与零售用户可约定允许偏差范围[-U%,U%]，U取值应大于等于5，取整数；对于允许偏差范围内的偏差电量，P</w:t>
      </w:r>
      <w:r>
        <w:rPr>
          <w:rFonts w:hint="eastAsia" w:ascii="仿宋_GB2312" w:hAnsi="仿宋_GB2312" w:eastAsia="仿宋_GB2312" w:cs="仿宋_GB2312"/>
          <w:sz w:val="28"/>
          <w:szCs w:val="28"/>
          <w:vertAlign w:val="subscript"/>
        </w:rPr>
        <w:t>共担</w:t>
      </w:r>
      <w:r>
        <w:rPr>
          <w:rFonts w:hint="eastAsia" w:ascii="仿宋_GB2312" w:hAnsi="仿宋_GB2312" w:eastAsia="仿宋_GB2312" w:cs="仿宋_GB2312"/>
          <w:sz w:val="28"/>
          <w:szCs w:val="28"/>
        </w:rPr>
        <w:t>取值为零，对于超出允许偏差范围的对应偏差电量，P</w:t>
      </w:r>
      <w:r>
        <w:rPr>
          <w:rFonts w:hint="eastAsia" w:ascii="仿宋_GB2312" w:hAnsi="仿宋_GB2312" w:eastAsia="仿宋_GB2312" w:cs="仿宋_GB2312"/>
          <w:sz w:val="28"/>
          <w:szCs w:val="28"/>
          <w:vertAlign w:val="subscript"/>
        </w:rPr>
        <w:t>共担</w:t>
      </w:r>
      <w:r>
        <w:rPr>
          <w:rFonts w:hint="eastAsia" w:ascii="仿宋_GB2312" w:hAnsi="仿宋_GB2312" w:eastAsia="仿宋_GB2312" w:cs="仿宋_GB2312"/>
          <w:sz w:val="28"/>
          <w:szCs w:val="28"/>
        </w:rPr>
        <w:t>取值为约定值。</w:t>
      </w:r>
    </w:p>
    <w:p w14:paraId="5AB6E3BD">
      <w:pPr>
        <w:spacing w:line="4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3.3.5因偏差免责等政策减免售电公司偏差考核费用的，相应零售合同约定的偏差共担价格P</w:t>
      </w:r>
      <w:r>
        <w:rPr>
          <w:rFonts w:hint="eastAsia" w:ascii="仿宋_GB2312" w:hAnsi="仿宋_GB2312" w:eastAsia="仿宋_GB2312" w:cs="仿宋_GB2312"/>
          <w:sz w:val="28"/>
          <w:szCs w:val="28"/>
          <w:vertAlign w:val="subscript"/>
        </w:rPr>
        <w:t>共担</w:t>
      </w:r>
      <w:r>
        <w:rPr>
          <w:rFonts w:hint="eastAsia" w:ascii="仿宋_GB2312" w:hAnsi="仿宋_GB2312" w:eastAsia="仿宋_GB2312" w:cs="仿宋_GB2312"/>
          <w:sz w:val="28"/>
          <w:szCs w:val="28"/>
        </w:rPr>
        <w:t>取值为零。</w:t>
      </w:r>
    </w:p>
    <w:p w14:paraId="469FD4AE">
      <w:pPr>
        <w:spacing w:line="460" w:lineRule="exact"/>
        <w:ind w:firstLine="562" w:firstLineChars="200"/>
        <w:rPr>
          <w:rFonts w:ascii="黑体" w:hAnsi="黑体" w:eastAsia="黑体" w:cs="黑体"/>
          <w:b/>
          <w:bCs/>
          <w:sz w:val="28"/>
          <w:szCs w:val="28"/>
        </w:rPr>
      </w:pPr>
      <w:r>
        <w:rPr>
          <w:rFonts w:hint="eastAsia" w:ascii="黑体" w:hAnsi="黑体" w:eastAsia="黑体" w:cs="黑体"/>
          <w:b/>
          <w:bCs/>
          <w:sz w:val="28"/>
          <w:szCs w:val="28"/>
        </w:rPr>
        <w:t>3.4售电公司收益分享</w:t>
      </w:r>
    </w:p>
    <w:p w14:paraId="34B4F051">
      <w:pPr>
        <w:spacing w:line="4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3.4.1零售用户向售电公司结算的费用包括电能量电费、绿色电力环境价值费用，其中电能量电费包括常规电力合同电量电费、绿色电力合同电量电费、偏差电量电费。零售用户按零售套餐计算的电能量均价P</w:t>
      </w:r>
      <w:r>
        <w:rPr>
          <w:rFonts w:hint="eastAsia" w:ascii="仿宋_GB2312" w:hAnsi="仿宋_GB2312" w:eastAsia="仿宋_GB2312" w:cs="仿宋_GB2312"/>
          <w:sz w:val="28"/>
          <w:szCs w:val="28"/>
          <w:vertAlign w:val="subscript"/>
        </w:rPr>
        <w:t>计算</w:t>
      </w:r>
      <w:r>
        <w:rPr>
          <w:rFonts w:hint="eastAsia" w:ascii="仿宋_GB2312" w:hAnsi="仿宋_GB2312" w:eastAsia="仿宋_GB2312" w:cs="仿宋_GB2312"/>
          <w:sz w:val="28"/>
          <w:szCs w:val="28"/>
        </w:rPr>
        <w:t>为电能量电费除以用电量。</w:t>
      </w:r>
    </w:p>
    <w:p w14:paraId="401B0371">
      <w:pPr>
        <w:spacing w:line="4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3.4.2零售用户按零售套餐计算的电能量均价P</w:t>
      </w:r>
      <w:r>
        <w:rPr>
          <w:rFonts w:hint="eastAsia" w:ascii="仿宋_GB2312" w:hAnsi="仿宋_GB2312" w:eastAsia="仿宋_GB2312" w:cs="仿宋_GB2312"/>
          <w:sz w:val="28"/>
          <w:szCs w:val="28"/>
          <w:vertAlign w:val="subscript"/>
        </w:rPr>
        <w:t>计算</w:t>
      </w:r>
      <w:r>
        <w:rPr>
          <w:rFonts w:hint="eastAsia" w:ascii="仿宋_GB2312" w:hAnsi="仿宋_GB2312" w:eastAsia="仿宋_GB2312" w:cs="仿宋_GB2312"/>
          <w:kern w:val="0"/>
          <w:sz w:val="28"/>
          <w:szCs w:val="28"/>
        </w:rPr>
        <w:t>在“北京燃煤基准价±20%”范围内形成，上限为431.76元/兆瓦时，下限为287.84元/兆瓦时，当</w:t>
      </w:r>
      <w:r>
        <w:rPr>
          <w:rFonts w:hint="eastAsia" w:ascii="仿宋_GB2312" w:hAnsi="仿宋_GB2312" w:eastAsia="仿宋_GB2312" w:cs="仿宋_GB2312"/>
          <w:sz w:val="28"/>
          <w:szCs w:val="28"/>
        </w:rPr>
        <w:t>P</w:t>
      </w:r>
      <w:r>
        <w:rPr>
          <w:rFonts w:hint="eastAsia" w:ascii="仿宋_GB2312" w:hAnsi="仿宋_GB2312" w:eastAsia="仿宋_GB2312" w:cs="仿宋_GB2312"/>
          <w:sz w:val="28"/>
          <w:szCs w:val="28"/>
          <w:vertAlign w:val="subscript"/>
        </w:rPr>
        <w:t>计算</w:t>
      </w:r>
      <w:r>
        <w:rPr>
          <w:rFonts w:hint="eastAsia" w:ascii="仿宋_GB2312" w:hAnsi="仿宋_GB2312" w:eastAsia="仿宋_GB2312" w:cs="仿宋_GB2312"/>
          <w:sz w:val="28"/>
          <w:szCs w:val="28"/>
        </w:rPr>
        <w:t>超过上限时，取值为</w:t>
      </w:r>
      <w:r>
        <w:rPr>
          <w:rFonts w:hint="eastAsia" w:ascii="仿宋_GB2312" w:hAnsi="仿宋_GB2312" w:eastAsia="仿宋_GB2312" w:cs="仿宋_GB2312"/>
          <w:kern w:val="0"/>
          <w:sz w:val="28"/>
          <w:szCs w:val="28"/>
        </w:rPr>
        <w:t>431.76元/兆瓦时</w:t>
      </w:r>
      <w:r>
        <w:rPr>
          <w:rFonts w:hint="eastAsia" w:ascii="仿宋_GB2312" w:hAnsi="仿宋_GB2312" w:eastAsia="仿宋_GB2312" w:cs="仿宋_GB2312"/>
          <w:sz w:val="28"/>
          <w:szCs w:val="28"/>
        </w:rPr>
        <w:t>，</w:t>
      </w:r>
      <w:r>
        <w:rPr>
          <w:rFonts w:hint="eastAsia" w:ascii="仿宋_GB2312" w:hAnsi="仿宋_GB2312" w:eastAsia="仿宋_GB2312" w:cs="仿宋_GB2312"/>
          <w:kern w:val="0"/>
          <w:sz w:val="28"/>
          <w:szCs w:val="28"/>
        </w:rPr>
        <w:t>当</w:t>
      </w:r>
      <w:r>
        <w:rPr>
          <w:rFonts w:hint="eastAsia" w:ascii="仿宋_GB2312" w:hAnsi="仿宋_GB2312" w:eastAsia="仿宋_GB2312" w:cs="仿宋_GB2312"/>
          <w:sz w:val="28"/>
          <w:szCs w:val="28"/>
        </w:rPr>
        <w:t>P</w:t>
      </w:r>
      <w:r>
        <w:rPr>
          <w:rFonts w:hint="eastAsia" w:ascii="仿宋_GB2312" w:hAnsi="仿宋_GB2312" w:eastAsia="仿宋_GB2312" w:cs="仿宋_GB2312"/>
          <w:sz w:val="28"/>
          <w:szCs w:val="28"/>
          <w:vertAlign w:val="subscript"/>
        </w:rPr>
        <w:t>计算</w:t>
      </w:r>
      <w:r>
        <w:rPr>
          <w:rFonts w:hint="eastAsia" w:ascii="仿宋_GB2312" w:hAnsi="仿宋_GB2312" w:eastAsia="仿宋_GB2312" w:cs="仿宋_GB2312"/>
          <w:sz w:val="28"/>
          <w:szCs w:val="28"/>
        </w:rPr>
        <w:t>低于下限时，取值为</w:t>
      </w:r>
      <w:r>
        <w:rPr>
          <w:rFonts w:hint="eastAsia" w:ascii="仿宋_GB2312" w:hAnsi="仿宋_GB2312" w:eastAsia="仿宋_GB2312" w:cs="仿宋_GB2312"/>
          <w:kern w:val="0"/>
          <w:sz w:val="28"/>
          <w:szCs w:val="28"/>
        </w:rPr>
        <w:t>287.84元/兆瓦时</w:t>
      </w:r>
      <w:r>
        <w:rPr>
          <w:rFonts w:hint="eastAsia" w:ascii="仿宋_GB2312" w:hAnsi="仿宋_GB2312" w:eastAsia="仿宋_GB2312" w:cs="仿宋_GB2312"/>
          <w:sz w:val="28"/>
          <w:szCs w:val="28"/>
        </w:rPr>
        <w:t>。</w:t>
      </w:r>
    </w:p>
    <w:p w14:paraId="6C09E2B1">
      <w:pPr>
        <w:pStyle w:val="8"/>
        <w:widowControl/>
        <w:spacing w:line="460" w:lineRule="exact"/>
        <w:ind w:firstLine="560" w:firstLineChars="200"/>
        <w:jc w:val="both"/>
        <w:outlineLvl w:val="0"/>
        <w:rPr>
          <w:rFonts w:hint="default" w:ascii="仿宋_GB2312" w:hAnsi="仿宋_GB2312" w:eastAsia="仿宋_GB2312" w:cs="仿宋_GB2312"/>
          <w:kern w:val="2"/>
          <w:sz w:val="28"/>
          <w:szCs w:val="28"/>
        </w:rPr>
      </w:pPr>
      <w:r>
        <w:rPr>
          <w:rFonts w:ascii="仿宋_GB2312" w:hAnsi="仿宋_GB2312" w:eastAsia="仿宋_GB2312" w:cs="仿宋_GB2312"/>
          <w:sz w:val="28"/>
          <w:szCs w:val="28"/>
        </w:rPr>
        <w:t>3.4.3</w:t>
      </w:r>
      <w:r>
        <w:rPr>
          <w:rFonts w:ascii="仿宋_GB2312" w:hAnsi="仿宋_GB2312" w:eastAsia="仿宋_GB2312" w:cs="仿宋_GB2312"/>
          <w:kern w:val="2"/>
          <w:sz w:val="28"/>
          <w:szCs w:val="28"/>
        </w:rPr>
        <w:t>当售电公司月度批零价差（Δ）满足Δ﹥1.2×(2025年度市场平均批零价差)时，超额部分金额（Δ-1.2×年度平均价差）按照售电公司与零售用户协商确定的比例进行分享，分享比例应大幅向零售用户倾斜。售电公司月度批发购电均价计算时包括合同电费和偏差电费，不包括差额资金。</w:t>
      </w:r>
    </w:p>
    <w:p w14:paraId="196260FB">
      <w:pPr>
        <w:pStyle w:val="8"/>
        <w:widowControl/>
        <w:spacing w:line="460" w:lineRule="exact"/>
        <w:ind w:firstLine="560" w:firstLineChars="200"/>
        <w:rPr>
          <w:rFonts w:hint="default" w:ascii="仿宋_GB2312" w:hAnsi="仿宋_GB2312" w:eastAsia="仿宋_GB2312" w:cs="仿宋_GB2312"/>
          <w:sz w:val="28"/>
          <w:szCs w:val="28"/>
        </w:rPr>
      </w:pPr>
      <w:r>
        <w:rPr>
          <w:rFonts w:ascii="仿宋_GB2312" w:hAnsi="仿宋_GB2312" w:eastAsia="仿宋_GB2312" w:cs="仿宋_GB2312"/>
          <w:sz w:val="28"/>
          <w:szCs w:val="28"/>
        </w:rPr>
        <w:t>3.4.4双方约定收益分享比例F</w:t>
      </w:r>
      <w:r>
        <w:rPr>
          <w:rFonts w:ascii="仿宋_GB2312" w:hAnsi="仿宋_GB2312" w:eastAsia="仿宋_GB2312" w:cs="仿宋_GB2312"/>
          <w:sz w:val="28"/>
          <w:szCs w:val="28"/>
          <w:vertAlign w:val="subscript"/>
        </w:rPr>
        <w:t>分享</w:t>
      </w:r>
      <w:r>
        <w:rPr>
          <w:rFonts w:ascii="仿宋_GB2312" w:hAnsi="仿宋_GB2312" w:eastAsia="仿宋_GB2312" w:cs="仿宋_GB2312"/>
          <w:sz w:val="28"/>
          <w:szCs w:val="28"/>
        </w:rPr>
        <w:t>,取值可选为100%、90%、80%，向零售用户分享电价为售电公司超额部分收益折价与F</w:t>
      </w:r>
      <w:r>
        <w:rPr>
          <w:rFonts w:ascii="仿宋_GB2312" w:hAnsi="仿宋_GB2312" w:eastAsia="仿宋_GB2312" w:cs="仿宋_GB2312"/>
          <w:sz w:val="28"/>
          <w:szCs w:val="28"/>
          <w:vertAlign w:val="subscript"/>
        </w:rPr>
        <w:t>分享</w:t>
      </w:r>
      <w:r>
        <w:rPr>
          <w:rFonts w:ascii="仿宋_GB2312" w:hAnsi="仿宋_GB2312" w:eastAsia="仿宋_GB2312" w:cs="仿宋_GB2312"/>
          <w:sz w:val="28"/>
          <w:szCs w:val="28"/>
        </w:rPr>
        <w:t>的乘积。</w:t>
      </w:r>
    </w:p>
    <w:p w14:paraId="6E2CD525">
      <w:pPr>
        <w:pStyle w:val="8"/>
        <w:widowControl/>
        <w:spacing w:line="460" w:lineRule="exact"/>
        <w:ind w:firstLine="560" w:firstLineChars="200"/>
        <w:rPr>
          <w:rFonts w:hint="default" w:ascii="仿宋_GB2312" w:hAnsi="仿宋_GB2312" w:eastAsia="仿宋_GB2312" w:cs="仿宋_GB2312"/>
          <w:sz w:val="28"/>
          <w:szCs w:val="28"/>
        </w:rPr>
      </w:pPr>
      <w:r>
        <w:rPr>
          <w:rFonts w:ascii="仿宋_GB2312" w:hAnsi="仿宋_GB2312" w:eastAsia="仿宋_GB2312" w:cs="仿宋_GB2312"/>
          <w:sz w:val="28"/>
          <w:szCs w:val="28"/>
        </w:rPr>
        <w:t>3.4.5零售用户向售电公司支付的电能量费用为</w:t>
      </w:r>
      <w:r>
        <w:rPr>
          <w:rFonts w:ascii="仿宋_GB2312" w:hAnsi="仿宋_GB2312" w:eastAsia="仿宋_GB2312" w:cs="仿宋_GB2312"/>
          <w:sz w:val="28"/>
          <w:szCs w:val="28"/>
          <w:lang w:bidi="ar"/>
        </w:rPr>
        <w:t>零售套餐计算的电能量均价</w:t>
      </w:r>
      <w:r>
        <w:rPr>
          <w:rFonts w:ascii="仿宋_GB2312" w:hAnsi="仿宋_GB2312" w:eastAsia="仿宋_GB2312" w:cs="仿宋_GB2312"/>
          <w:sz w:val="28"/>
          <w:szCs w:val="28"/>
        </w:rPr>
        <w:t>P</w:t>
      </w:r>
      <w:r>
        <w:rPr>
          <w:rFonts w:ascii="仿宋_GB2312" w:hAnsi="仿宋_GB2312" w:eastAsia="仿宋_GB2312" w:cs="仿宋_GB2312"/>
          <w:sz w:val="28"/>
          <w:szCs w:val="28"/>
          <w:vertAlign w:val="subscript"/>
        </w:rPr>
        <w:t>计算</w:t>
      </w:r>
      <w:r>
        <w:rPr>
          <w:rFonts w:ascii="仿宋_GB2312" w:hAnsi="仿宋_GB2312" w:eastAsia="仿宋_GB2312" w:cs="仿宋_GB2312"/>
          <w:sz w:val="28"/>
          <w:szCs w:val="28"/>
        </w:rPr>
        <w:t>与向零售用户分享电价P</w:t>
      </w:r>
      <w:r>
        <w:rPr>
          <w:rFonts w:ascii="仿宋_GB2312" w:hAnsi="仿宋_GB2312" w:eastAsia="仿宋_GB2312" w:cs="仿宋_GB2312"/>
          <w:sz w:val="28"/>
          <w:szCs w:val="28"/>
          <w:vertAlign w:val="subscript"/>
        </w:rPr>
        <w:t>分享</w:t>
      </w:r>
      <w:r>
        <w:rPr>
          <w:rFonts w:ascii="仿宋_GB2312" w:hAnsi="仿宋_GB2312" w:eastAsia="仿宋_GB2312" w:cs="仿宋_GB2312"/>
          <w:sz w:val="28"/>
          <w:szCs w:val="28"/>
        </w:rPr>
        <w:t>之差与实际用电量的乘积。</w:t>
      </w:r>
    </w:p>
    <w:p w14:paraId="047B8AAA">
      <w:pPr>
        <w:pStyle w:val="8"/>
        <w:widowControl/>
        <w:spacing w:line="460" w:lineRule="exact"/>
        <w:ind w:firstLine="560" w:firstLineChars="200"/>
        <w:rPr>
          <w:rFonts w:hint="default" w:ascii="仿宋_GB2312" w:hAnsi="仿宋_GB2312" w:eastAsia="仿宋_GB2312" w:cs="仿宋_GB2312"/>
          <w:sz w:val="28"/>
          <w:szCs w:val="28"/>
        </w:rPr>
      </w:pPr>
      <w:r>
        <w:rPr>
          <w:rFonts w:ascii="仿宋_GB2312" w:hAnsi="仿宋_GB2312" w:eastAsia="仿宋_GB2312" w:cs="仿宋_GB2312"/>
          <w:sz w:val="28"/>
          <w:szCs w:val="28"/>
        </w:rPr>
        <w:t>3.4.6收益分享后的月度零售市场均价、2025年度市场平均批零价差由交易中心在交易平台发布。</w:t>
      </w:r>
    </w:p>
    <w:p w14:paraId="266DCC89">
      <w:pPr>
        <w:pStyle w:val="2"/>
        <w:rPr>
          <w:rFonts w:asciiTheme="minorEastAsia" w:hAnsiTheme="minorEastAsia" w:cstheme="minorEastAsia"/>
          <w:szCs w:val="21"/>
        </w:rPr>
      </w:pPr>
    </w:p>
    <w:p w14:paraId="49379FD6">
      <w:pPr>
        <w:numPr>
          <w:ilvl w:val="0"/>
          <w:numId w:val="1"/>
        </w:numPr>
        <w:spacing w:line="460" w:lineRule="exact"/>
        <w:jc w:val="center"/>
        <w:rPr>
          <w:rFonts w:ascii="黑体" w:hAnsi="黑体" w:eastAsia="黑体" w:cs="黑体"/>
          <w:b/>
          <w:bCs/>
          <w:sz w:val="32"/>
          <w:szCs w:val="32"/>
        </w:rPr>
      </w:pPr>
      <w:r>
        <w:rPr>
          <w:rFonts w:hint="eastAsia" w:ascii="黑体" w:hAnsi="黑体" w:eastAsia="黑体" w:cs="黑体"/>
          <w:b/>
          <w:bCs/>
          <w:sz w:val="32"/>
          <w:szCs w:val="32"/>
        </w:rPr>
        <w:t>零售结算</w:t>
      </w:r>
    </w:p>
    <w:p w14:paraId="78EE1B2D">
      <w:pPr>
        <w:spacing w:line="46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4.1甲方实际用电量以电网企业抄录并推送至交易中心的电量为准。本合同履行期间，若电能计量点（或营销户号）发生变更，甲方应自主及时完成营销业务系统以及交易平台的信息变更。</w:t>
      </w:r>
    </w:p>
    <w:p w14:paraId="7A16762E">
      <w:pPr>
        <w:spacing w:line="46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4.2交易中心根据相关交易规则、政府主管部门文件要求及</w:t>
      </w:r>
      <w:r>
        <w:rPr>
          <w:rFonts w:hint="eastAsia" w:ascii="仿宋_GB2312" w:hAnsi="仿宋_GB2312" w:eastAsia="仿宋_GB2312" w:cs="仿宋_GB2312"/>
          <w:sz w:val="28"/>
          <w:szCs w:val="28"/>
        </w:rPr>
        <w:t>《北京市电力市场化直接交易结算指引（2026年）》</w:t>
      </w:r>
      <w:r>
        <w:rPr>
          <w:rFonts w:hint="eastAsia" w:ascii="仿宋_GB2312" w:hAnsi="仿宋_GB2312" w:eastAsia="仿宋_GB2312" w:cs="仿宋_GB2312"/>
          <w:kern w:val="0"/>
          <w:sz w:val="28"/>
          <w:szCs w:val="28"/>
        </w:rPr>
        <w:t>要求，按照甲乙双方协商签订的零售套餐结算参数，按月开展零售市场线上结算并出具结算依据。</w:t>
      </w:r>
    </w:p>
    <w:p w14:paraId="1506C786">
      <w:pPr>
        <w:spacing w:line="46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4.3按照北京市2026年年度交易方案，零售合同的电能量价格在“北京燃煤基准价±20%”范围内形成，即287.84至431.76元/兆瓦时之间。</w:t>
      </w:r>
      <w:r>
        <w:rPr>
          <w:rFonts w:hint="eastAsia" w:ascii="仿宋_GB2312" w:hAnsi="仿宋_GB2312" w:eastAsia="仿宋_GB2312" w:cs="仿宋_GB2312"/>
          <w:sz w:val="28"/>
          <w:szCs w:val="28"/>
        </w:rPr>
        <w:t>零售用户与售电公司按套餐</w:t>
      </w:r>
      <w:r>
        <w:rPr>
          <w:rFonts w:hint="eastAsia" w:ascii="仿宋_GB2312" w:hAnsi="仿宋_GB2312" w:eastAsia="仿宋_GB2312" w:cs="仿宋_GB2312"/>
          <w:kern w:val="0"/>
          <w:sz w:val="28"/>
          <w:szCs w:val="28"/>
        </w:rPr>
        <w:t>形成的常规电力电能量价格P</w:t>
      </w:r>
      <w:r>
        <w:rPr>
          <w:rFonts w:hint="eastAsia" w:ascii="仿宋_GB2312" w:hAnsi="仿宋_GB2312" w:eastAsia="仿宋_GB2312" w:cs="仿宋_GB2312"/>
          <w:kern w:val="0"/>
          <w:sz w:val="28"/>
          <w:szCs w:val="28"/>
          <w:vertAlign w:val="subscript"/>
        </w:rPr>
        <w:t>常</w:t>
      </w:r>
      <w:r>
        <w:rPr>
          <w:rFonts w:hint="eastAsia" w:ascii="仿宋_GB2312" w:hAnsi="仿宋_GB2312" w:eastAsia="仿宋_GB2312" w:cs="仿宋_GB2312"/>
          <w:kern w:val="0"/>
          <w:sz w:val="28"/>
          <w:szCs w:val="28"/>
        </w:rPr>
        <w:t>及P</w:t>
      </w:r>
      <w:r>
        <w:rPr>
          <w:rFonts w:hint="eastAsia" w:ascii="仿宋_GB2312" w:hAnsi="仿宋_GB2312" w:eastAsia="仿宋_GB2312" w:cs="仿宋_GB2312"/>
          <w:kern w:val="0"/>
          <w:sz w:val="28"/>
          <w:szCs w:val="28"/>
          <w:vertAlign w:val="subscript"/>
        </w:rPr>
        <w:t>常固</w:t>
      </w:r>
      <w:r>
        <w:rPr>
          <w:rFonts w:hint="eastAsia" w:ascii="仿宋_GB2312" w:hAnsi="仿宋_GB2312" w:eastAsia="仿宋_GB2312" w:cs="仿宋_GB2312"/>
          <w:kern w:val="0"/>
          <w:sz w:val="28"/>
          <w:szCs w:val="28"/>
        </w:rPr>
        <w:t>，绿色电力电能量价格P</w:t>
      </w:r>
      <w:r>
        <w:rPr>
          <w:rFonts w:hint="eastAsia" w:ascii="仿宋_GB2312" w:hAnsi="仿宋_GB2312" w:eastAsia="仿宋_GB2312" w:cs="仿宋_GB2312"/>
          <w:kern w:val="0"/>
          <w:sz w:val="28"/>
          <w:szCs w:val="28"/>
          <w:vertAlign w:val="subscript"/>
        </w:rPr>
        <w:t>绿</w:t>
      </w:r>
      <w:r>
        <w:rPr>
          <w:rFonts w:hint="eastAsia" w:ascii="仿宋_GB2312" w:hAnsi="仿宋_GB2312" w:eastAsia="仿宋_GB2312" w:cs="仿宋_GB2312"/>
          <w:kern w:val="0"/>
          <w:sz w:val="28"/>
          <w:szCs w:val="28"/>
        </w:rPr>
        <w:t>及P</w:t>
      </w:r>
      <w:r>
        <w:rPr>
          <w:rFonts w:hint="eastAsia" w:ascii="仿宋_GB2312" w:hAnsi="仿宋_GB2312" w:eastAsia="仿宋_GB2312" w:cs="仿宋_GB2312"/>
          <w:kern w:val="0"/>
          <w:sz w:val="28"/>
          <w:szCs w:val="28"/>
          <w:vertAlign w:val="subscript"/>
        </w:rPr>
        <w:t>绿固</w:t>
      </w:r>
      <w:r>
        <w:rPr>
          <w:rFonts w:hint="eastAsia" w:ascii="仿宋_GB2312" w:hAnsi="仿宋_GB2312" w:eastAsia="仿宋_GB2312" w:cs="仿宋_GB2312"/>
          <w:kern w:val="0"/>
          <w:sz w:val="28"/>
          <w:szCs w:val="28"/>
        </w:rPr>
        <w:t>，按零售套餐计算的电能量均价P</w:t>
      </w:r>
      <w:r>
        <w:rPr>
          <w:rFonts w:hint="eastAsia" w:ascii="仿宋_GB2312" w:hAnsi="仿宋_GB2312" w:eastAsia="仿宋_GB2312" w:cs="仿宋_GB2312"/>
          <w:kern w:val="0"/>
          <w:sz w:val="28"/>
          <w:szCs w:val="28"/>
          <w:vertAlign w:val="subscript"/>
        </w:rPr>
        <w:t>计算</w:t>
      </w:r>
      <w:r>
        <w:rPr>
          <w:rFonts w:hint="eastAsia" w:ascii="仿宋_GB2312" w:hAnsi="仿宋_GB2312" w:eastAsia="仿宋_GB2312" w:cs="仿宋_GB2312"/>
          <w:kern w:val="0"/>
          <w:sz w:val="28"/>
          <w:szCs w:val="28"/>
        </w:rPr>
        <w:t>均应在上述范围内。</w:t>
      </w:r>
    </w:p>
    <w:p w14:paraId="66CFD9B9">
      <w:pPr>
        <w:spacing w:line="46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4.4本合同约定的零售价格非用户最终到户价格。甲方（各时段）用电到户价格由电能量价格（以此作为平段价格参与峰谷浮动）、绿色电力环境价值费用、北京电网输配电价、上网环节线损费用、系统运行费用、政府性基金及附加、新增损益等构成。电能量价格按双方约定的零售结算模式计算得出，为零售用户最终向售电公司支付的电能量价格。</w:t>
      </w:r>
    </w:p>
    <w:p w14:paraId="1A204C40">
      <w:pPr>
        <w:spacing w:line="46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4.5零售用户峰谷分时浮动、北京电网输配电价、上网环节线损费用、系统运行费用、政府性基金及附加、新增损益、基本电价、功率因数调整电费等事宜由国网北京市电力公司按照国家和北京市价格主管部门相关文件执行。</w:t>
      </w:r>
    </w:p>
    <w:p w14:paraId="2F5C81E8">
      <w:pPr>
        <w:spacing w:line="46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4.6绿色电力零售交易在保证环境价值可追踪溯源的前提下，电能量部分按照“合同电量照付不议、偏差电量偏差结算”开展结算。环境价值按取小原则优先结算，以兆瓦时为单位取整数。</w:t>
      </w:r>
    </w:p>
    <w:p w14:paraId="6F30C41D">
      <w:pPr>
        <w:spacing w:line="46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4.7乙方向甲方关联的绿色电力分配电量应等于本合同约定的绿色电力需求电量</w:t>
      </w:r>
      <w:r>
        <w:rPr>
          <w:rFonts w:hint="eastAsia" w:ascii="仿宋_GB2312" w:hAnsi="仿宋_GB2312" w:eastAsia="仿宋_GB2312" w:cs="仿宋_GB2312"/>
          <w:sz w:val="28"/>
          <w:szCs w:val="28"/>
        </w:rPr>
        <w:t>Q</w:t>
      </w:r>
      <w:r>
        <w:rPr>
          <w:rFonts w:hint="eastAsia" w:ascii="仿宋_GB2312" w:hAnsi="仿宋_GB2312" w:eastAsia="仿宋_GB2312" w:cs="仿宋_GB2312"/>
          <w:sz w:val="28"/>
          <w:szCs w:val="28"/>
          <w:vertAlign w:val="subscript"/>
        </w:rPr>
        <w:t>绿需</w:t>
      </w:r>
      <w:r>
        <w:rPr>
          <w:rFonts w:hint="eastAsia" w:ascii="仿宋_GB2312" w:hAnsi="仿宋_GB2312" w:eastAsia="仿宋_GB2312" w:cs="仿宋_GB2312"/>
          <w:kern w:val="0"/>
          <w:sz w:val="28"/>
          <w:szCs w:val="28"/>
        </w:rPr>
        <w:t>，当绿色电力分配电量大于绿色电力需求电量时，在结算时乙方向甲方关联的对应电量等比例削减（取整数），直至二者相等。合同双方若与发电企业签订多年PPA购电协议，乙方须将相应合同定向等量分配至甲方，不得分配给其他零售用户。</w:t>
      </w:r>
    </w:p>
    <w:p w14:paraId="122F1516">
      <w:pPr>
        <w:spacing w:line="46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4.8售电公司依据零售用户实际用电量以平段电价方式计算零售收入。售电公司收益为零售市场收入减去批发市场支出。</w:t>
      </w:r>
    </w:p>
    <w:p w14:paraId="6315B7AD">
      <w:pPr>
        <w:pStyle w:val="2"/>
        <w:rPr>
          <w:rFonts w:asciiTheme="minorEastAsia" w:hAnsiTheme="minorEastAsia" w:cstheme="minorEastAsia"/>
        </w:rPr>
      </w:pPr>
    </w:p>
    <w:p w14:paraId="4CF8C5A3">
      <w:pPr>
        <w:numPr>
          <w:ilvl w:val="0"/>
          <w:numId w:val="1"/>
        </w:numPr>
        <w:spacing w:line="460" w:lineRule="exact"/>
        <w:jc w:val="center"/>
        <w:rPr>
          <w:rFonts w:ascii="黑体" w:hAnsi="黑体" w:eastAsia="黑体" w:cs="黑体"/>
          <w:b/>
          <w:bCs/>
          <w:sz w:val="32"/>
          <w:szCs w:val="32"/>
        </w:rPr>
      </w:pPr>
      <w:r>
        <w:rPr>
          <w:rFonts w:hint="eastAsia" w:ascii="黑体" w:hAnsi="黑体" w:eastAsia="黑体" w:cs="黑体"/>
          <w:b/>
          <w:bCs/>
          <w:sz w:val="32"/>
          <w:szCs w:val="32"/>
        </w:rPr>
        <w:t>合同生效、变更和解除</w:t>
      </w:r>
    </w:p>
    <w:p w14:paraId="04A5369D">
      <w:pPr>
        <w:spacing w:line="4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5.1本合同经甲乙双方签订并加盖印章后生效。甲乙双方须将签订的纸质合同提交至交易中心登记备案，并在交易平台完成零售结算参数双方确认、上传本合同扫描件，作为双方建立代理关系的依据。甲乙双方须保证纸质文件、扫描件、平台录入参数一致。交易中心将以本合同为依据进行零售市场月度结算，如纸质合同和平台录入结算参数两者有差异，交易中心以交易平台录入数据为准开展结算。</w:t>
      </w:r>
    </w:p>
    <w:p w14:paraId="4F2F695C">
      <w:pPr>
        <w:spacing w:line="4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5.2甲乙双方可对本合同中尚未履约月份的零售结算参数进行变更，须在交易平台进行零售结算参数的调整，并同步将变更后的《北京市电力零售交易结算参数变更表（2026年）》提交至交易中心备案。在未同步完成平台调整、纸质文件备案前，仍按照调整前的合同履行。当甲方更换售电公司时，须重新签订《北京市电力零售市场购售电合同》并完成登记备案，新合同于备案次月生效。</w:t>
      </w:r>
    </w:p>
    <w:p w14:paraId="15076969">
      <w:pPr>
        <w:spacing w:line="4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5.3因国家法律、法规发生变化或者政府有关部门、能源监管机构出台有关规定、规则，导致双方不能正常履行合同约定时，双方依据法律法规妥善解决。</w:t>
      </w:r>
    </w:p>
    <w:p w14:paraId="6CB848E7">
      <w:pPr>
        <w:spacing w:line="4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5.4任何一方发生下列事件，另一方有权在发出书面解除通知后解除本合同：</w:t>
      </w:r>
    </w:p>
    <w:p w14:paraId="777D5752">
      <w:pPr>
        <w:spacing w:line="4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5.4.1一方不具备法律法规、电力交易规则确定的参与电力市场的准入条件或退出电力市场。</w:t>
      </w:r>
    </w:p>
    <w:p w14:paraId="5B5E7F6E">
      <w:pPr>
        <w:spacing w:line="4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5.4.2一方被申请破产、清算或被吊销营业执照。</w:t>
      </w:r>
    </w:p>
    <w:p w14:paraId="28B069A5">
      <w:pPr>
        <w:spacing w:line="4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5.4.3一方与另一实体联合、合并或将其所有或大部分资产转移给另一实体，而该存续的企业不能合理地承担其在本合同项下的所有义务。</w:t>
      </w:r>
    </w:p>
    <w:p w14:paraId="17598296">
      <w:pPr>
        <w:spacing w:line="4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5.4.4被行政机关、行政机关授权的单位、司法机关列入不良信用单位。</w:t>
      </w:r>
    </w:p>
    <w:p w14:paraId="5E3182DE">
      <w:pPr>
        <w:pStyle w:val="2"/>
      </w:pPr>
    </w:p>
    <w:p w14:paraId="3B40DC8D">
      <w:pPr>
        <w:numPr>
          <w:ilvl w:val="0"/>
          <w:numId w:val="1"/>
        </w:numPr>
        <w:spacing w:line="460" w:lineRule="exact"/>
        <w:jc w:val="center"/>
        <w:rPr>
          <w:rFonts w:ascii="黑体" w:hAnsi="黑体" w:eastAsia="黑体" w:cs="黑体"/>
          <w:b/>
          <w:bCs/>
          <w:sz w:val="32"/>
          <w:szCs w:val="32"/>
        </w:rPr>
      </w:pPr>
      <w:r>
        <w:rPr>
          <w:rFonts w:hint="eastAsia" w:ascii="黑体" w:hAnsi="黑体" w:eastAsia="黑体" w:cs="黑体"/>
          <w:b/>
          <w:bCs/>
          <w:sz w:val="32"/>
          <w:szCs w:val="32"/>
        </w:rPr>
        <w:t>违约和赔偿</w:t>
      </w:r>
    </w:p>
    <w:p w14:paraId="04E90837">
      <w:pPr>
        <w:pStyle w:val="2"/>
        <w:spacing w:after="0" w:line="4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6.1任一方违反本合同约定条款视为违约，合同守约方有权要求违约方赔偿违约造成的经济损失。</w:t>
      </w:r>
    </w:p>
    <w:p w14:paraId="7AE577C0">
      <w:pPr>
        <w:pStyle w:val="2"/>
        <w:spacing w:after="0" w:line="4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6.2违约的处理原则：</w:t>
      </w:r>
    </w:p>
    <w:p w14:paraId="6F70EBCA">
      <w:pPr>
        <w:pStyle w:val="2"/>
        <w:spacing w:after="0" w:line="4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在本合同履行期限届满前，任何一方明确表示或以自己的行为表明不履行合同义务的，另一方可在履行期限届满前解除合同并要求其承担相应的违约责任，因不可抗力导致的除外。</w:t>
      </w:r>
    </w:p>
    <w:p w14:paraId="686930AC">
      <w:pPr>
        <w:pStyle w:val="2"/>
        <w:spacing w:after="0" w:line="4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6.3违约赔偿：</w:t>
      </w:r>
    </w:p>
    <w:p w14:paraId="00EBC706">
      <w:pPr>
        <w:pStyle w:val="2"/>
        <w:spacing w:after="0" w:line="4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如发生提交虚假信息、停产、变更、退市等行为，影响企业（单位）履行合同义务的情形，违约方给守约方造成的一切直接及间接损失，由违约方承担违约赔偿责任。</w:t>
      </w:r>
    </w:p>
    <w:p w14:paraId="32066583">
      <w:pPr>
        <w:pStyle w:val="2"/>
        <w:spacing w:after="0" w:line="4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6.4违约金计算及支付方式</w:t>
      </w:r>
    </w:p>
    <w:p w14:paraId="7E1185AA">
      <w:pPr>
        <w:spacing w:line="540" w:lineRule="exact"/>
        <w:ind w:firstLine="560" w:firstLineChars="200"/>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违约方应向守约方支付违约造成的经济损失，违约金由双方自行结算赔偿。具体如下：</w:t>
      </w:r>
      <w:r>
        <w:rPr>
          <w:rFonts w:hint="eastAsia" w:ascii="仿宋_GB2312" w:hAnsi="仿宋_GB2312" w:eastAsia="仿宋_GB2312" w:cs="仿宋_GB2312"/>
          <w:sz w:val="28"/>
          <w:szCs w:val="28"/>
          <w:u w:val="single"/>
        </w:rPr>
        <w:t xml:space="preserve"> 无                                             </w:t>
      </w:r>
    </w:p>
    <w:p w14:paraId="5418CCBA">
      <w:pPr>
        <w:spacing w:line="54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 xml:space="preserve">                                                                </w:t>
      </w:r>
    </w:p>
    <w:p w14:paraId="2D2221E5">
      <w:pPr>
        <w:spacing w:line="54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 xml:space="preserve">                                                                </w:t>
      </w:r>
    </w:p>
    <w:p w14:paraId="01786B12">
      <w:pPr>
        <w:spacing w:line="54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 xml:space="preserve">                                                                </w:t>
      </w:r>
    </w:p>
    <w:p w14:paraId="40A2756D">
      <w:pPr>
        <w:rPr>
          <w:rFonts w:asciiTheme="minorEastAsia" w:hAnsiTheme="minorEastAsia" w:cstheme="minorEastAsia"/>
          <w:b/>
          <w:bCs/>
          <w:szCs w:val="21"/>
        </w:rPr>
      </w:pPr>
    </w:p>
    <w:p w14:paraId="697CBB7D">
      <w:pPr>
        <w:numPr>
          <w:ilvl w:val="0"/>
          <w:numId w:val="1"/>
        </w:numPr>
        <w:spacing w:line="460" w:lineRule="exact"/>
        <w:jc w:val="center"/>
        <w:rPr>
          <w:rFonts w:ascii="黑体" w:hAnsi="黑体" w:eastAsia="黑体" w:cs="黑体"/>
          <w:b/>
          <w:bCs/>
          <w:sz w:val="32"/>
          <w:szCs w:val="32"/>
        </w:rPr>
      </w:pPr>
      <w:r>
        <w:rPr>
          <w:rFonts w:hint="eastAsia" w:ascii="黑体" w:hAnsi="黑体" w:eastAsia="黑体" w:cs="黑体"/>
          <w:b/>
          <w:bCs/>
          <w:sz w:val="32"/>
          <w:szCs w:val="32"/>
        </w:rPr>
        <w:t>争议的解决</w:t>
      </w:r>
    </w:p>
    <w:p w14:paraId="24609219">
      <w:pPr>
        <w:pStyle w:val="2"/>
        <w:spacing w:after="0" w:line="4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7.1凡因执行本合同所发生的与本合同有关的一切争议，双方应协商解决，也可提请政府相关部门进行调解。协商或调解不成的，按</w:t>
      </w:r>
      <w:r>
        <w:rPr>
          <w:rFonts w:hint="eastAsia" w:ascii="仿宋_GB2312" w:hAnsi="仿宋_GB2312" w:eastAsia="仿宋_GB2312" w:cs="仿宋_GB2312"/>
          <w:sz w:val="28"/>
          <w:szCs w:val="28"/>
          <w:u w:val="single"/>
        </w:rPr>
        <w:t xml:space="preserve"> 方式二 </w:t>
      </w:r>
      <w:r>
        <w:rPr>
          <w:rFonts w:hint="eastAsia" w:ascii="仿宋_GB2312" w:hAnsi="仿宋_GB2312" w:eastAsia="仿宋_GB2312" w:cs="仿宋_GB2312"/>
          <w:sz w:val="28"/>
          <w:szCs w:val="28"/>
        </w:rPr>
        <w:t>（方式一或方式二）解决：</w:t>
      </w:r>
    </w:p>
    <w:p w14:paraId="17155D56">
      <w:pPr>
        <w:pStyle w:val="2"/>
        <w:spacing w:after="0" w:line="4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方式一：双方同意提请北京仲裁委员会，请求按照其仲裁规则进行仲裁，仲裁裁决是终局的，对各方均具有法律约束力。</w:t>
      </w:r>
    </w:p>
    <w:p w14:paraId="46123245">
      <w:pPr>
        <w:pStyle w:val="2"/>
        <w:spacing w:after="0" w:line="4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方式二：双方依法提请任意一方所在地人民法院通过民事诉讼程序解决。</w:t>
      </w:r>
    </w:p>
    <w:p w14:paraId="57B2EC38">
      <w:pPr>
        <w:pStyle w:val="2"/>
      </w:pPr>
    </w:p>
    <w:p w14:paraId="15545E9C">
      <w:pPr>
        <w:numPr>
          <w:ilvl w:val="0"/>
          <w:numId w:val="1"/>
        </w:numPr>
        <w:spacing w:line="460" w:lineRule="exact"/>
        <w:jc w:val="center"/>
        <w:rPr>
          <w:rFonts w:ascii="黑体" w:hAnsi="黑体" w:eastAsia="黑体" w:cs="黑体"/>
          <w:b/>
          <w:bCs/>
          <w:sz w:val="32"/>
          <w:szCs w:val="32"/>
        </w:rPr>
      </w:pPr>
      <w:r>
        <w:rPr>
          <w:rFonts w:hint="eastAsia" w:ascii="黑体" w:hAnsi="黑体" w:eastAsia="黑体" w:cs="黑体"/>
          <w:b/>
          <w:bCs/>
          <w:sz w:val="32"/>
          <w:szCs w:val="32"/>
        </w:rPr>
        <w:t>附则</w:t>
      </w:r>
    </w:p>
    <w:p w14:paraId="6FC5016D">
      <w:pPr>
        <w:pStyle w:val="2"/>
        <w:spacing w:after="0" w:line="4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8.1甲乙双方对交易信息须履行保密义务，不得泄露商业机密。甲乙双方均保证其从另一方取得的所有无法自公开渠道获得的资料和文件（包括财务、技术等内容）予以保密。未经该资料和文件的原提供方书面同意，不得向任何第三方透露该资料和文件的全部或任何部分，但按照法律、法规规定可做出披露的情况除外，政府监管部门、市场交易机构等具备查阅资格的单位除外。</w:t>
      </w:r>
    </w:p>
    <w:p w14:paraId="5C055563">
      <w:pPr>
        <w:pStyle w:val="2"/>
        <w:spacing w:after="0" w:line="4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8.2本合同中保密的条款在本合同解除后仍然有效。</w:t>
      </w:r>
    </w:p>
    <w:p w14:paraId="41418B6E">
      <w:pPr>
        <w:pStyle w:val="2"/>
        <w:spacing w:after="0" w:line="4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8.3本合同及其附件构成双方就本合同标的达成的全部内容，应视为构成合同文件不可分割的部分。交易中心按本合同约定的结算模式出具结算依据。</w:t>
      </w:r>
    </w:p>
    <w:p w14:paraId="01A8CA1E">
      <w:pPr>
        <w:pStyle w:val="2"/>
        <w:spacing w:after="0" w:line="4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8.4本合同的订立、效力、解释、履行和争议解决均适用中华人民共和国法律。</w:t>
      </w:r>
    </w:p>
    <w:p w14:paraId="5FA59371">
      <w:pPr>
        <w:pStyle w:val="2"/>
        <w:spacing w:after="0" w:line="4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8.5本合同签署页及附件一、附件二须由甲乙双方法定代表人或授权代理人签署并加盖公章或合同专用章后生效，合同正文及附件须加盖骑缝章。合同签订日期以双方中最后一方签署并加盖公章或合同专用章的日期为准。</w:t>
      </w:r>
    </w:p>
    <w:p w14:paraId="66C3B10E">
      <w:pPr>
        <w:pStyle w:val="2"/>
        <w:spacing w:after="0" w:line="4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8.6本合同一式</w:t>
      </w:r>
      <w:r>
        <w:rPr>
          <w:rFonts w:hint="eastAsia" w:ascii="仿宋_GB2312" w:hAnsi="仿宋_GB2312" w:eastAsia="仿宋_GB2312" w:cs="仿宋_GB2312"/>
          <w:sz w:val="28"/>
          <w:szCs w:val="28"/>
          <w:u w:val="single"/>
        </w:rPr>
        <w:t xml:space="preserve"> 三 </w:t>
      </w:r>
      <w:r>
        <w:rPr>
          <w:rFonts w:hint="eastAsia" w:ascii="仿宋_GB2312" w:hAnsi="仿宋_GB2312" w:eastAsia="仿宋_GB2312" w:cs="仿宋_GB2312"/>
          <w:sz w:val="28"/>
          <w:szCs w:val="28"/>
        </w:rPr>
        <w:t>份，甲、乙双方各执</w:t>
      </w:r>
      <w:r>
        <w:rPr>
          <w:rFonts w:hint="eastAsia" w:ascii="仿宋_GB2312" w:hAnsi="仿宋_GB2312" w:eastAsia="仿宋_GB2312" w:cs="仿宋_GB2312"/>
          <w:sz w:val="28"/>
          <w:szCs w:val="28"/>
          <w:u w:val="single"/>
        </w:rPr>
        <w:t xml:space="preserve"> 一 </w:t>
      </w:r>
      <w:r>
        <w:rPr>
          <w:rFonts w:hint="eastAsia" w:ascii="仿宋_GB2312" w:hAnsi="仿宋_GB2312" w:eastAsia="仿宋_GB2312" w:cs="仿宋_GB2312"/>
          <w:sz w:val="28"/>
          <w:szCs w:val="28"/>
        </w:rPr>
        <w:t>份，报首都电力交易中心备案一份，具有同等法律效力。</w:t>
      </w:r>
    </w:p>
    <w:p w14:paraId="76AF73EB">
      <w:pPr>
        <w:pStyle w:val="2"/>
        <w:spacing w:after="0" w:line="4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（以下无正文，为签署页）</w:t>
      </w:r>
    </w:p>
    <w:p w14:paraId="6C74CEDF">
      <w:pPr>
        <w:pStyle w:val="2"/>
        <w:spacing w:after="0" w:line="460" w:lineRule="exact"/>
        <w:ind w:firstLine="560" w:firstLineChars="200"/>
        <w:rPr>
          <w:rFonts w:ascii="仿宋_GB2312" w:hAnsi="仿宋_GB2312" w:eastAsia="仿宋_GB2312" w:cs="仿宋_GB2312"/>
          <w:sz w:val="28"/>
          <w:szCs w:val="28"/>
        </w:rPr>
      </w:pPr>
    </w:p>
    <w:p w14:paraId="4D1DBC65">
      <w:pPr>
        <w:pStyle w:val="2"/>
        <w:spacing w:after="0" w:line="4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附件一：《煤电容量电价政策知情书》</w:t>
      </w:r>
    </w:p>
    <w:p w14:paraId="6252CDEB">
      <w:pPr>
        <w:pStyle w:val="2"/>
        <w:spacing w:after="0" w:line="4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附件二：《北京市电力零售交易结算参数表（2026年）》</w:t>
      </w:r>
    </w:p>
    <w:p w14:paraId="1FA6ACD8">
      <w:pPr>
        <w:pStyle w:val="2"/>
        <w:spacing w:after="0" w:line="4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br w:type="page"/>
      </w:r>
    </w:p>
    <w:p w14:paraId="584B2D3B">
      <w:pPr>
        <w:spacing w:line="460" w:lineRule="exact"/>
        <w:jc w:val="center"/>
        <w:rPr>
          <w:rFonts w:ascii="黑体" w:hAnsi="黑体" w:eastAsia="黑体" w:cs="黑体"/>
          <w:b/>
          <w:bCs/>
          <w:sz w:val="32"/>
          <w:szCs w:val="32"/>
        </w:rPr>
      </w:pPr>
      <w:r>
        <w:rPr>
          <w:rFonts w:hint="eastAsia" w:ascii="黑体" w:hAnsi="黑体" w:eastAsia="黑体" w:cs="黑体"/>
          <w:b/>
          <w:bCs/>
          <w:sz w:val="32"/>
          <w:szCs w:val="32"/>
        </w:rPr>
        <w:t>签署页</w:t>
      </w:r>
    </w:p>
    <w:p w14:paraId="5CFBA6CF">
      <w:pPr>
        <w:pStyle w:val="2"/>
        <w:spacing w:line="460" w:lineRule="exact"/>
        <w:rPr>
          <w:rFonts w:ascii="仿宋_GB2312" w:hAnsi="仿宋_GB2312" w:eastAsia="仿宋_GB2312" w:cs="仿宋_GB2312"/>
        </w:rPr>
      </w:pPr>
    </w:p>
    <w:p w14:paraId="4E47146E">
      <w:pPr>
        <w:spacing w:line="460" w:lineRule="exact"/>
        <w:rPr>
          <w:rFonts w:ascii="仿宋_GB2312" w:hAnsi="仿宋_GB2312" w:eastAsia="仿宋_GB2312" w:cs="仿宋_GB2312"/>
        </w:rPr>
      </w:pPr>
    </w:p>
    <w:p w14:paraId="67DD0AE2">
      <w:pPr>
        <w:pStyle w:val="2"/>
        <w:spacing w:line="460" w:lineRule="exact"/>
        <w:rPr>
          <w:rFonts w:ascii="仿宋_GB2312" w:hAnsi="仿宋_GB2312" w:eastAsia="仿宋_GB2312" w:cs="仿宋_GB2312"/>
        </w:rPr>
        <w:sectPr>
          <w:footerReference r:id="rId5" w:type="default"/>
          <w:pgSz w:w="11906" w:h="16838"/>
          <w:pgMar w:top="1440" w:right="1440" w:bottom="1440" w:left="1440" w:header="851" w:footer="992" w:gutter="0"/>
          <w:cols w:space="425" w:num="1"/>
          <w:docGrid w:type="lines" w:linePitch="312" w:charSpace="0"/>
        </w:sectPr>
      </w:pPr>
    </w:p>
    <w:p w14:paraId="5FF3FF28">
      <w:pPr>
        <w:spacing w:line="460" w:lineRule="exact"/>
        <w:jc w:val="left"/>
        <w:rPr>
          <w:rFonts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rPr>
        <w:t>甲方（零售用户）：北京市石景山区市场监督管理局</w:t>
      </w:r>
    </w:p>
    <w:p w14:paraId="0DB1DB92">
      <w:pPr>
        <w:spacing w:line="460" w:lineRule="exact"/>
        <w:jc w:val="left"/>
        <w:rPr>
          <w:rFonts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rPr>
        <w:t>（盖章）</w:t>
      </w:r>
    </w:p>
    <w:p w14:paraId="3E93921E">
      <w:pPr>
        <w:spacing w:line="460" w:lineRule="exact"/>
        <w:jc w:val="left"/>
        <w:rPr>
          <w:rFonts w:hint="eastAsia" w:ascii="仿宋_GB2312" w:hAnsi="仿宋_GB2312" w:eastAsia="仿宋_GB2312" w:cs="仿宋_GB2312"/>
          <w:spacing w:val="-5"/>
          <w:sz w:val="28"/>
          <w:szCs w:val="28"/>
        </w:rPr>
      </w:pPr>
      <w:bookmarkStart w:id="0" w:name="_GoBack"/>
      <w:r>
        <w:rPr>
          <w:rFonts w:hint="eastAsia" w:ascii="仿宋_GB2312" w:hAnsi="仿宋_GB2312" w:eastAsia="仿宋_GB2312" w:cs="仿宋_GB2312"/>
          <w:spacing w:val="-5"/>
          <w:sz w:val="28"/>
          <w:szCs w:val="28"/>
        </w:rPr>
        <w:t>统一社会信用代码：</w:t>
      </w:r>
    </w:p>
    <w:p w14:paraId="593E96A4">
      <w:pPr>
        <w:spacing w:line="460" w:lineRule="exact"/>
        <w:jc w:val="left"/>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rPr>
        <w:t>11110000000067862H</w:t>
      </w:r>
    </w:p>
    <w:p w14:paraId="771E5E56">
      <w:pPr>
        <w:spacing w:line="460" w:lineRule="exact"/>
        <w:jc w:val="left"/>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rPr>
        <w:t>法定代表人（负责人）或</w:t>
      </w:r>
    </w:p>
    <w:p w14:paraId="79425524">
      <w:pPr>
        <w:spacing w:line="460" w:lineRule="exact"/>
        <w:jc w:val="left"/>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rPr>
        <w:t>授权代表（签字）：</w:t>
      </w:r>
    </w:p>
    <w:p w14:paraId="32C7CBF9">
      <w:pPr>
        <w:spacing w:line="460" w:lineRule="exact"/>
        <w:jc w:val="left"/>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rPr>
        <w:t>签订日期：</w:t>
      </w:r>
    </w:p>
    <w:bookmarkEnd w:id="0"/>
    <w:p w14:paraId="117F2586">
      <w:pPr>
        <w:spacing w:line="460" w:lineRule="exact"/>
        <w:jc w:val="left"/>
        <w:rPr>
          <w:rFonts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rPr>
        <w:t>地址：北京市石景山区实兴大街64号</w:t>
      </w:r>
    </w:p>
    <w:p w14:paraId="324E60C6">
      <w:pPr>
        <w:spacing w:line="460" w:lineRule="exact"/>
        <w:jc w:val="left"/>
        <w:rPr>
          <w:rFonts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rPr>
        <w:t>邮编：100041</w:t>
      </w:r>
    </w:p>
    <w:p w14:paraId="7200884E">
      <w:pPr>
        <w:spacing w:line="460" w:lineRule="exact"/>
        <w:jc w:val="left"/>
        <w:rPr>
          <w:rFonts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rPr>
        <w:t>联系人：梁文璐</w:t>
      </w:r>
    </w:p>
    <w:p w14:paraId="63CFDB24">
      <w:pPr>
        <w:spacing w:line="460" w:lineRule="exact"/>
        <w:jc w:val="left"/>
        <w:rPr>
          <w:rFonts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rPr>
        <w:t>电话：16601034490</w:t>
      </w:r>
    </w:p>
    <w:p w14:paraId="33D9D1B7">
      <w:pPr>
        <w:spacing w:line="460" w:lineRule="exact"/>
        <w:jc w:val="left"/>
        <w:rPr>
          <w:rFonts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rPr>
        <w:br w:type="column"/>
      </w:r>
      <w:r>
        <w:rPr>
          <w:rFonts w:hint="eastAsia" w:ascii="仿宋_GB2312" w:hAnsi="仿宋_GB2312" w:eastAsia="仿宋_GB2312" w:cs="仿宋_GB2312"/>
          <w:spacing w:val="-5"/>
          <w:sz w:val="28"/>
          <w:szCs w:val="28"/>
        </w:rPr>
        <w:t>乙方（售电公司）：北京京能电力股份有限公司</w:t>
      </w:r>
    </w:p>
    <w:p w14:paraId="69798B66">
      <w:pPr>
        <w:spacing w:line="460" w:lineRule="exact"/>
        <w:jc w:val="left"/>
        <w:rPr>
          <w:rFonts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rPr>
        <w:t>（盖章）</w:t>
      </w:r>
    </w:p>
    <w:p w14:paraId="0EDDFF16">
      <w:pPr>
        <w:spacing w:line="460" w:lineRule="exact"/>
        <w:jc w:val="left"/>
      </w:pPr>
      <w:r>
        <w:rPr>
          <w:rFonts w:hint="eastAsia" w:ascii="仿宋_GB2312" w:hAnsi="仿宋_GB2312" w:eastAsia="仿宋_GB2312" w:cs="仿宋_GB2312"/>
          <w:spacing w:val="-5"/>
          <w:sz w:val="28"/>
          <w:szCs w:val="28"/>
        </w:rPr>
        <w:t>统一社会信用代码：91110000722601879M</w:t>
      </w:r>
    </w:p>
    <w:p w14:paraId="4D012FD7">
      <w:pPr>
        <w:spacing w:line="460" w:lineRule="exact"/>
        <w:jc w:val="left"/>
        <w:rPr>
          <w:rFonts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rPr>
        <w:t>法定代表人（负责人）或</w:t>
      </w:r>
    </w:p>
    <w:p w14:paraId="430B6383">
      <w:pPr>
        <w:spacing w:line="460" w:lineRule="exact"/>
        <w:jc w:val="left"/>
        <w:rPr>
          <w:rFonts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rPr>
        <w:t>授权代表（签字）：</w:t>
      </w:r>
    </w:p>
    <w:p w14:paraId="70F3ADB4">
      <w:pPr>
        <w:spacing w:line="460" w:lineRule="exact"/>
        <w:jc w:val="left"/>
        <w:rPr>
          <w:rFonts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rPr>
        <w:t>签订日期：</w:t>
      </w:r>
    </w:p>
    <w:p w14:paraId="797FDA27">
      <w:pPr>
        <w:spacing w:line="460" w:lineRule="exact"/>
        <w:jc w:val="left"/>
        <w:rPr>
          <w:rFonts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rPr>
        <w:t>地址：北京市石景山中海时代广场B座8层综合能源分公司</w:t>
      </w:r>
    </w:p>
    <w:p w14:paraId="13D78B8E">
      <w:pPr>
        <w:spacing w:line="460" w:lineRule="exact"/>
        <w:jc w:val="left"/>
        <w:rPr>
          <w:rFonts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rPr>
        <w:t>邮编：100043</w:t>
      </w:r>
    </w:p>
    <w:p w14:paraId="3ED3AC15">
      <w:pPr>
        <w:spacing w:line="460" w:lineRule="exact"/>
        <w:jc w:val="left"/>
        <w:rPr>
          <w:rFonts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rPr>
        <w:t>联系人：连江</w:t>
      </w:r>
    </w:p>
    <w:p w14:paraId="47B9D96B">
      <w:pPr>
        <w:spacing w:line="460" w:lineRule="exact"/>
        <w:jc w:val="left"/>
        <w:rPr>
          <w:rFonts w:ascii="仿宋_GB2312" w:hAnsi="仿宋_GB2312" w:eastAsia="仿宋_GB2312" w:cs="仿宋_GB2312"/>
          <w:spacing w:val="-5"/>
          <w:sz w:val="28"/>
          <w:szCs w:val="28"/>
        </w:rPr>
        <w:sectPr>
          <w:type w:val="continuous"/>
          <w:pgSz w:w="11906" w:h="16838"/>
          <w:pgMar w:top="1440" w:right="1800" w:bottom="1440" w:left="1800" w:header="851" w:footer="992" w:gutter="0"/>
          <w:cols w:equalWidth="0" w:num="2">
            <w:col w:w="4200" w:space="427"/>
            <w:col w:w="3679"/>
          </w:cols>
          <w:docGrid w:type="lines" w:linePitch="312" w:charSpace="0"/>
        </w:sectPr>
      </w:pPr>
      <w:r>
        <w:rPr>
          <w:rFonts w:hint="eastAsia" w:ascii="仿宋_GB2312" w:hAnsi="仿宋_GB2312" w:eastAsia="仿宋_GB2312" w:cs="仿宋_GB2312"/>
          <w:spacing w:val="-5"/>
          <w:sz w:val="28"/>
          <w:szCs w:val="28"/>
        </w:rPr>
        <w:t>电话：18504742860</w:t>
      </w:r>
    </w:p>
    <w:p w14:paraId="69C54DCF">
      <w:pPr>
        <w:spacing w:line="580" w:lineRule="exact"/>
        <w:rPr>
          <w:rFonts w:ascii="黑体" w:hAnsi="黑体" w:eastAsia="黑体" w:cs="黑体"/>
          <w:sz w:val="32"/>
          <w:szCs w:val="32"/>
        </w:rPr>
        <w:sectPr>
          <w:type w:val="continuous"/>
          <w:pgSz w:w="11906" w:h="16838"/>
          <w:pgMar w:top="1440" w:right="1800" w:bottom="1440" w:left="1800" w:header="851" w:footer="992" w:gutter="0"/>
          <w:cols w:space="425" w:num="1"/>
          <w:docGrid w:type="lines" w:linePitch="312" w:charSpace="0"/>
        </w:sectPr>
      </w:pPr>
    </w:p>
    <w:p w14:paraId="2DB86CDF">
      <w:pPr>
        <w:spacing w:line="580" w:lineRule="exact"/>
        <w:rPr>
          <w:rFonts w:ascii="黑体" w:hAnsi="黑体" w:eastAsia="黑体" w:cs="黑体"/>
          <w:sz w:val="32"/>
          <w:szCs w:val="32"/>
        </w:rPr>
      </w:pPr>
      <w:r>
        <w:rPr>
          <w:rFonts w:hint="eastAsia" w:ascii="黑体" w:hAnsi="黑体" w:eastAsia="黑体" w:cs="黑体"/>
          <w:sz w:val="32"/>
          <w:szCs w:val="32"/>
        </w:rPr>
        <w:t>附件一：</w:t>
      </w:r>
    </w:p>
    <w:p w14:paraId="43726243">
      <w:pPr>
        <w:spacing w:line="580" w:lineRule="exact"/>
        <w:jc w:val="center"/>
        <w:rPr>
          <w:rFonts w:asciiTheme="majorEastAsia" w:hAnsiTheme="majorEastAsia" w:eastAsiaTheme="majorEastAsia" w:cstheme="majorEastAsia"/>
          <w:b/>
          <w:bCs/>
          <w:sz w:val="36"/>
          <w:szCs w:val="36"/>
        </w:rPr>
      </w:pPr>
      <w:r>
        <w:rPr>
          <w:rFonts w:hint="eastAsia" w:asciiTheme="majorEastAsia" w:hAnsiTheme="majorEastAsia" w:eastAsiaTheme="majorEastAsia" w:cstheme="majorEastAsia"/>
          <w:b/>
          <w:bCs/>
          <w:sz w:val="36"/>
          <w:szCs w:val="36"/>
        </w:rPr>
        <w:t>煤电容量电价政策知情书</w:t>
      </w:r>
    </w:p>
    <w:p w14:paraId="25AC9218">
      <w:pPr>
        <w:pStyle w:val="2"/>
      </w:pPr>
    </w:p>
    <w:p w14:paraId="4C898B3E">
      <w:pPr>
        <w:pStyle w:val="2"/>
        <w:spacing w:after="0" w:line="4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零售合同中约定的电能量电价，非用户最终到户电价（详见合同文本4.4条）。根据《国家发展改革委国家能源局关于建立煤电容量电价机制的通知》（发改价格〔2023〕1501号）要求，自2024年1月1日起，煤电机组发电价格由单一制电价调整为两部制电价，即“电量电价+容量电价”，其中电量电价通过市场化方式形成，本零售合同中约定的电能量价格即为电量电价，容量电价根据煤电功能转型情况等因素逐步调整，容量电价由全体工商业用户按月分摊，北京地区工商业用户目前统一通过“系统运行费用—煤电容量电费”收取。</w:t>
      </w:r>
    </w:p>
    <w:p w14:paraId="04B6F576">
      <w:pPr>
        <w:pStyle w:val="2"/>
        <w:spacing w:after="0" w:line="4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零售用户可通过电费账单“系统运行费用—煤电容量电费”中查看各月容量电价实际分摊执行水平，也可通过“网上国网”的“电力市场服务专区-代理购电价格公示”查看，或者通过首都电力交易平台信息披露模块“市场运营—电网代理购电信息—代理购电价格公示表”中“系统运行费用—煤电容量电费折合度电水平”查看。</w:t>
      </w:r>
    </w:p>
    <w:p w14:paraId="58BE66E4">
      <w:pPr>
        <w:pStyle w:val="2"/>
        <w:rPr>
          <w:rFonts w:ascii="仿宋_GB2312" w:hAnsi="仿宋_GB2312" w:eastAsia="仿宋_GB2312" w:cs="仿宋_GB2312"/>
          <w:sz w:val="28"/>
          <w:szCs w:val="28"/>
        </w:rPr>
      </w:pPr>
    </w:p>
    <w:p w14:paraId="2E559970">
      <w:pPr>
        <w:rPr>
          <w:rFonts w:ascii="仿宋_GB2312" w:hAnsi="仿宋_GB2312" w:eastAsia="仿宋_GB2312" w:cs="仿宋_GB2312"/>
          <w:sz w:val="28"/>
          <w:szCs w:val="28"/>
        </w:rPr>
      </w:pPr>
    </w:p>
    <w:p w14:paraId="5CACEAB2">
      <w:pPr>
        <w:spacing w:line="460" w:lineRule="exact"/>
        <w:jc w:val="left"/>
        <w:rPr>
          <w:rFonts w:ascii="仿宋_GB2312" w:hAnsi="仿宋_GB2312" w:eastAsia="仿宋_GB2312" w:cs="仿宋_GB2312"/>
          <w:spacing w:val="-5"/>
          <w:sz w:val="28"/>
          <w:szCs w:val="28"/>
        </w:rPr>
        <w:sectPr>
          <w:footerReference r:id="rId6" w:type="default"/>
          <w:pgSz w:w="11906" w:h="16838"/>
          <w:pgMar w:top="1440" w:right="1800" w:bottom="1440" w:left="1800" w:header="851" w:footer="992" w:gutter="0"/>
          <w:cols w:space="425" w:num="1"/>
          <w:docGrid w:type="lines" w:linePitch="312" w:charSpace="0"/>
        </w:sectPr>
      </w:pPr>
    </w:p>
    <w:p w14:paraId="5562C786">
      <w:pPr>
        <w:spacing w:line="460" w:lineRule="exact"/>
        <w:jc w:val="left"/>
        <w:rPr>
          <w:rFonts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rPr>
        <w:t>甲方（零售用户）：北京市石景山区市场监督管理局</w:t>
      </w:r>
    </w:p>
    <w:p w14:paraId="4392A1FD">
      <w:pPr>
        <w:spacing w:line="460" w:lineRule="exact"/>
        <w:jc w:val="left"/>
        <w:rPr>
          <w:rFonts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rPr>
        <w:t>（盖章）</w:t>
      </w:r>
    </w:p>
    <w:p w14:paraId="16BCA08E">
      <w:pPr>
        <w:spacing w:line="460" w:lineRule="exact"/>
        <w:jc w:val="left"/>
        <w:rPr>
          <w:rFonts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rPr>
        <w:t>法定代表人（负责人）或</w:t>
      </w:r>
    </w:p>
    <w:p w14:paraId="563ED8B5">
      <w:pPr>
        <w:spacing w:line="460" w:lineRule="exact"/>
        <w:jc w:val="left"/>
        <w:rPr>
          <w:rFonts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rPr>
        <w:t>授权代表（签字）：</w:t>
      </w:r>
    </w:p>
    <w:p w14:paraId="47520E46">
      <w:pPr>
        <w:spacing w:line="460" w:lineRule="exact"/>
        <w:jc w:val="left"/>
        <w:rPr>
          <w:rFonts w:ascii="仿宋_GB2312" w:hAnsi="仿宋_GB2312" w:eastAsia="仿宋_GB2312" w:cs="仿宋_GB2312"/>
          <w:spacing w:val="-5"/>
          <w:sz w:val="28"/>
          <w:szCs w:val="28"/>
        </w:rPr>
      </w:pPr>
    </w:p>
    <w:p w14:paraId="581A19F7">
      <w:pPr>
        <w:spacing w:line="460" w:lineRule="exact"/>
        <w:jc w:val="left"/>
        <w:rPr>
          <w:rFonts w:ascii="仿宋_GB2312" w:hAnsi="仿宋_GB2312" w:eastAsia="仿宋_GB2312" w:cs="仿宋_GB2312"/>
          <w:sz w:val="28"/>
          <w:szCs w:val="28"/>
        </w:rPr>
      </w:pPr>
      <w:r>
        <w:rPr>
          <w:rFonts w:hint="eastAsia" w:ascii="仿宋_GB2312" w:hAnsi="仿宋_GB2312" w:eastAsia="仿宋_GB2312" w:cs="仿宋_GB2312"/>
          <w:spacing w:val="-5"/>
          <w:sz w:val="28"/>
          <w:szCs w:val="28"/>
        </w:rPr>
        <w:t>乙方（售电公司）：北京京能电力股份有限公司</w:t>
      </w:r>
    </w:p>
    <w:p w14:paraId="1289576B">
      <w:pPr>
        <w:spacing w:line="460" w:lineRule="exact"/>
        <w:jc w:val="left"/>
        <w:rPr>
          <w:rFonts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rPr>
        <w:t>（盖章）</w:t>
      </w:r>
    </w:p>
    <w:p w14:paraId="31BD428E">
      <w:pPr>
        <w:spacing w:line="460" w:lineRule="exact"/>
        <w:jc w:val="left"/>
        <w:rPr>
          <w:rFonts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rPr>
        <w:t>法定代表人（负责人）或</w:t>
      </w:r>
    </w:p>
    <w:p w14:paraId="7296C4C9">
      <w:pPr>
        <w:spacing w:line="460" w:lineRule="exact"/>
        <w:jc w:val="left"/>
        <w:rPr>
          <w:rFonts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rPr>
        <w:t>授权代表（签字）：</w:t>
      </w:r>
    </w:p>
    <w:p w14:paraId="46425D9C">
      <w:pPr>
        <w:pStyle w:val="2"/>
      </w:pPr>
    </w:p>
    <w:p w14:paraId="7A2FF369">
      <w:pPr>
        <w:rPr>
          <w:rFonts w:ascii="仿宋_GB2312" w:hAnsi="仿宋_GB2312" w:eastAsia="仿宋_GB2312" w:cs="仿宋_GB2312"/>
          <w:sz w:val="28"/>
          <w:szCs w:val="28"/>
        </w:rPr>
        <w:sectPr>
          <w:type w:val="continuous"/>
          <w:pgSz w:w="11906" w:h="16838"/>
          <w:pgMar w:top="1440" w:right="1800" w:bottom="1440" w:left="1800" w:header="851" w:footer="992" w:gutter="0"/>
          <w:cols w:equalWidth="0" w:num="2">
            <w:col w:w="3940" w:space="425"/>
            <w:col w:w="3940"/>
          </w:cols>
          <w:docGrid w:type="lines" w:linePitch="312" w:charSpace="0"/>
        </w:sectPr>
      </w:pPr>
    </w:p>
    <w:p w14:paraId="40390C65">
      <w:pPr>
        <w:rPr>
          <w:rFonts w:ascii="黑体" w:hAnsi="黑体" w:eastAsia="黑体" w:cs="黑体"/>
          <w:sz w:val="32"/>
          <w:szCs w:val="32"/>
        </w:rPr>
      </w:pPr>
      <w:r>
        <w:rPr>
          <w:rFonts w:hint="eastAsia" w:ascii="黑体" w:hAnsi="黑体" w:eastAsia="黑体" w:cs="黑体"/>
          <w:sz w:val="32"/>
          <w:szCs w:val="32"/>
        </w:rPr>
        <w:br w:type="page"/>
      </w:r>
    </w:p>
    <w:p w14:paraId="5B60C28C">
      <w:pPr>
        <w:wordWrap w:val="0"/>
        <w:spacing w:line="580" w:lineRule="exact"/>
        <w:rPr>
          <w:rFonts w:ascii="黑体" w:hAnsi="黑体" w:eastAsia="黑体" w:cs="黑体"/>
          <w:sz w:val="32"/>
          <w:szCs w:val="32"/>
        </w:rPr>
      </w:pPr>
      <w:r>
        <w:rPr>
          <w:rFonts w:hint="eastAsia" w:ascii="黑体" w:hAnsi="黑体" w:eastAsia="黑体" w:cs="黑体"/>
          <w:sz w:val="32"/>
          <w:szCs w:val="32"/>
        </w:rPr>
        <w:t>附件二：</w:t>
      </w:r>
    </w:p>
    <w:p w14:paraId="10C67DE9">
      <w:pPr>
        <w:widowControl/>
        <w:kinsoku w:val="0"/>
        <w:autoSpaceDE w:val="0"/>
        <w:autoSpaceDN w:val="0"/>
        <w:spacing w:line="580" w:lineRule="exact"/>
        <w:jc w:val="center"/>
        <w:textAlignment w:val="baseline"/>
        <w:rPr>
          <w:rFonts w:asciiTheme="majorEastAsia" w:hAnsiTheme="majorEastAsia" w:eastAsiaTheme="majorEastAsia" w:cstheme="majorEastAsia"/>
          <w:b/>
          <w:bCs/>
          <w:sz w:val="36"/>
          <w:szCs w:val="36"/>
        </w:rPr>
      </w:pPr>
      <w:r>
        <w:rPr>
          <w:rFonts w:hint="eastAsia" w:asciiTheme="majorEastAsia" w:hAnsiTheme="majorEastAsia" w:eastAsiaTheme="majorEastAsia" w:cstheme="majorEastAsia"/>
          <w:b/>
          <w:bCs/>
          <w:sz w:val="36"/>
          <w:szCs w:val="36"/>
        </w:rPr>
        <w:t>北京市电力零售交易结算参数表（2026年）</w:t>
      </w:r>
    </w:p>
    <w:tbl>
      <w:tblPr>
        <w:tblStyle w:val="14"/>
        <w:tblpPr w:leftFromText="180" w:rightFromText="180" w:vertAnchor="text" w:horzAnchor="page" w:tblpXSpec="center" w:tblpY="158"/>
        <w:tblOverlap w:val="never"/>
        <w:tblW w:w="987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67"/>
        <w:gridCol w:w="1535"/>
        <w:gridCol w:w="1536"/>
        <w:gridCol w:w="624"/>
        <w:gridCol w:w="2179"/>
        <w:gridCol w:w="2136"/>
      </w:tblGrid>
      <w:tr w14:paraId="41728E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9877" w:type="dxa"/>
            <w:gridSpan w:val="6"/>
            <w:tcBorders>
              <w:top w:val="single" w:color="000000" w:sz="2" w:space="0"/>
              <w:left w:val="single" w:color="000000" w:sz="2" w:space="0"/>
              <w:bottom w:val="single" w:color="000000" w:sz="2" w:space="0"/>
              <w:right w:val="single" w:color="000000" w:sz="2" w:space="0"/>
            </w:tcBorders>
            <w:vAlign w:val="center"/>
          </w:tcPr>
          <w:p w14:paraId="7D9A2823">
            <w:pPr>
              <w:widowControl/>
              <w:kinsoku w:val="0"/>
              <w:autoSpaceDE w:val="0"/>
              <w:autoSpaceDN w:val="0"/>
              <w:adjustRightInd w:val="0"/>
              <w:snapToGrid w:val="0"/>
              <w:spacing w:line="223" w:lineRule="auto"/>
              <w:ind w:firstLine="225" w:firstLineChars="100"/>
              <w:jc w:val="left"/>
              <w:textAlignment w:val="baseline"/>
              <w:rPr>
                <w:rFonts w:ascii="黑体" w:hAnsi="黑体" w:eastAsia="黑体" w:cs="黑体"/>
                <w:spacing w:val="-7"/>
                <w:sz w:val="24"/>
                <w:u w:val="single"/>
              </w:rPr>
            </w:pPr>
            <w:r>
              <w:rPr>
                <w:rFonts w:hint="eastAsia" w:ascii="黑体" w:hAnsi="黑体" w:eastAsia="黑体" w:cs="黑体"/>
                <w:b/>
                <w:bCs/>
                <w:spacing w:val="-8"/>
                <w:sz w:val="24"/>
              </w:rPr>
              <w:t>甲方（零售用户）：</w:t>
            </w:r>
            <w:r>
              <w:rPr>
                <w:rFonts w:hint="eastAsia" w:ascii="楷体" w:hAnsi="楷体" w:eastAsia="楷体" w:cs="楷体"/>
                <w:spacing w:val="-6"/>
                <w:sz w:val="24"/>
              </w:rPr>
              <w:t>北京市石景山区市场监督管理局（盖章）</w:t>
            </w:r>
          </w:p>
        </w:tc>
      </w:tr>
      <w:tr w14:paraId="47E733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9877" w:type="dxa"/>
            <w:gridSpan w:val="6"/>
            <w:tcBorders>
              <w:top w:val="single" w:color="000000" w:sz="2" w:space="0"/>
              <w:left w:val="single" w:color="000000" w:sz="2" w:space="0"/>
              <w:bottom w:val="single" w:color="000000" w:sz="2" w:space="0"/>
              <w:right w:val="single" w:color="000000" w:sz="2" w:space="0"/>
            </w:tcBorders>
            <w:vAlign w:val="center"/>
          </w:tcPr>
          <w:p w14:paraId="7134164E">
            <w:pPr>
              <w:widowControl/>
              <w:kinsoku w:val="0"/>
              <w:autoSpaceDE w:val="0"/>
              <w:autoSpaceDN w:val="0"/>
              <w:adjustRightInd w:val="0"/>
              <w:snapToGrid w:val="0"/>
              <w:spacing w:line="223" w:lineRule="auto"/>
              <w:ind w:firstLine="225" w:firstLineChars="100"/>
              <w:jc w:val="left"/>
              <w:textAlignment w:val="baseline"/>
              <w:rPr>
                <w:rFonts w:ascii="黑体" w:hAnsi="黑体" w:eastAsia="黑体" w:cs="黑体"/>
                <w:spacing w:val="-7"/>
                <w:sz w:val="24"/>
                <w:u w:val="single"/>
              </w:rPr>
            </w:pPr>
            <w:r>
              <w:rPr>
                <w:rFonts w:hint="eastAsia" w:ascii="黑体" w:hAnsi="黑体" w:eastAsia="黑体" w:cs="黑体"/>
                <w:b/>
                <w:bCs/>
                <w:spacing w:val="-8"/>
                <w:sz w:val="24"/>
              </w:rPr>
              <w:t>乙方（售电公司）：</w:t>
            </w:r>
            <w:r>
              <w:rPr>
                <w:rFonts w:hint="eastAsia" w:ascii="楷体" w:hAnsi="楷体" w:eastAsia="楷体" w:cs="楷体"/>
                <w:spacing w:val="-6"/>
                <w:sz w:val="24"/>
              </w:rPr>
              <w:t>北京京能电力股份有限公司（盖章）</w:t>
            </w:r>
          </w:p>
        </w:tc>
      </w:tr>
      <w:tr w14:paraId="0ADACC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938" w:type="dxa"/>
            <w:gridSpan w:val="3"/>
            <w:tcBorders>
              <w:top w:val="single" w:color="000000" w:sz="2" w:space="0"/>
              <w:left w:val="single" w:color="000000" w:sz="2" w:space="0"/>
              <w:bottom w:val="single" w:color="000000" w:sz="2" w:space="0"/>
              <w:right w:val="single" w:color="000000" w:sz="2" w:space="0"/>
            </w:tcBorders>
            <w:vAlign w:val="center"/>
          </w:tcPr>
          <w:p w14:paraId="7E6BB6FD">
            <w:pPr>
              <w:widowControl/>
              <w:kinsoku w:val="0"/>
              <w:autoSpaceDE w:val="0"/>
              <w:autoSpaceDN w:val="0"/>
              <w:adjustRightInd w:val="0"/>
              <w:snapToGrid w:val="0"/>
              <w:spacing w:line="222" w:lineRule="auto"/>
              <w:ind w:firstLine="225" w:firstLineChars="100"/>
              <w:jc w:val="left"/>
              <w:textAlignment w:val="baseline"/>
              <w:rPr>
                <w:rFonts w:ascii="黑体" w:hAnsi="黑体" w:eastAsia="黑体" w:cs="黑体"/>
                <w:spacing w:val="-7"/>
                <w:sz w:val="24"/>
              </w:rPr>
            </w:pPr>
            <w:r>
              <w:rPr>
                <w:rFonts w:hint="eastAsia" w:ascii="黑体" w:hAnsi="黑体" w:eastAsia="黑体" w:cs="黑体"/>
                <w:b/>
                <w:bCs/>
                <w:spacing w:val="-8"/>
                <w:sz w:val="24"/>
              </w:rPr>
              <w:t>交易周期 ：2026 年 1 月  至 2026 年 12 月</w:t>
            </w:r>
          </w:p>
        </w:tc>
        <w:tc>
          <w:tcPr>
            <w:tcW w:w="4939" w:type="dxa"/>
            <w:gridSpan w:val="3"/>
            <w:tcBorders>
              <w:top w:val="single" w:color="000000" w:sz="2" w:space="0"/>
              <w:left w:val="single" w:color="000000" w:sz="2" w:space="0"/>
              <w:bottom w:val="single" w:color="000000" w:sz="2" w:space="0"/>
              <w:right w:val="single" w:color="000000" w:sz="2" w:space="0"/>
            </w:tcBorders>
            <w:vAlign w:val="center"/>
          </w:tcPr>
          <w:p w14:paraId="696930B2">
            <w:pPr>
              <w:widowControl/>
              <w:kinsoku w:val="0"/>
              <w:autoSpaceDE w:val="0"/>
              <w:autoSpaceDN w:val="0"/>
              <w:adjustRightInd w:val="0"/>
              <w:snapToGrid w:val="0"/>
              <w:spacing w:line="222" w:lineRule="auto"/>
              <w:ind w:firstLine="225" w:firstLineChars="100"/>
              <w:jc w:val="left"/>
              <w:textAlignment w:val="baseline"/>
              <w:rPr>
                <w:rFonts w:ascii="黑体" w:hAnsi="黑体" w:eastAsia="黑体" w:cs="黑体"/>
                <w:b/>
                <w:bCs/>
                <w:spacing w:val="-8"/>
                <w:sz w:val="24"/>
              </w:rPr>
            </w:pPr>
            <w:r>
              <w:rPr>
                <w:rFonts w:hint="eastAsia" w:ascii="黑体" w:hAnsi="黑体" w:eastAsia="黑体" w:cs="黑体"/>
                <w:b/>
                <w:bCs/>
                <w:spacing w:val="-8"/>
                <w:sz w:val="24"/>
              </w:rPr>
              <w:t>签约日期 ：    年     月     日</w:t>
            </w:r>
          </w:p>
        </w:tc>
      </w:tr>
      <w:tr w14:paraId="1EA727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9877" w:type="dxa"/>
            <w:gridSpan w:val="6"/>
            <w:tcBorders>
              <w:top w:val="single" w:color="000000" w:sz="2" w:space="0"/>
              <w:left w:val="single" w:color="000000" w:sz="2" w:space="0"/>
              <w:bottom w:val="single" w:color="000000" w:sz="2" w:space="0"/>
              <w:right w:val="single" w:color="000000" w:sz="2" w:space="0"/>
            </w:tcBorders>
            <w:vAlign w:val="center"/>
          </w:tcPr>
          <w:p w14:paraId="068A45E9">
            <w:pPr>
              <w:widowControl/>
              <w:kinsoku w:val="0"/>
              <w:autoSpaceDE w:val="0"/>
              <w:autoSpaceDN w:val="0"/>
              <w:adjustRightInd w:val="0"/>
              <w:snapToGrid w:val="0"/>
              <w:spacing w:line="223" w:lineRule="auto"/>
              <w:jc w:val="center"/>
              <w:textAlignment w:val="baseline"/>
              <w:rPr>
                <w:rFonts w:ascii="黑体" w:hAnsi="黑体" w:eastAsia="黑体" w:cs="黑体"/>
                <w:b/>
                <w:bCs/>
                <w:spacing w:val="-7"/>
                <w:sz w:val="24"/>
              </w:rPr>
            </w:pPr>
            <w:r>
              <w:rPr>
                <w:rFonts w:hint="eastAsia" w:ascii="黑体" w:hAnsi="黑体" w:eastAsia="黑体" w:cs="黑体"/>
                <w:b/>
                <w:bCs/>
                <w:spacing w:val="-7"/>
                <w:sz w:val="28"/>
                <w:szCs w:val="28"/>
              </w:rPr>
              <w:t xml:space="preserve">                             1.零售套餐价格参数    </w:t>
            </w:r>
            <w:r>
              <w:rPr>
                <w:rFonts w:hint="eastAsia" w:ascii="黑体" w:hAnsi="黑体" w:eastAsia="黑体" w:cs="黑体"/>
                <w:spacing w:val="-7"/>
                <w:sz w:val="22"/>
                <w:szCs w:val="22"/>
              </w:rPr>
              <w:t>（单位：元/兆瓦时，保留2位小数）</w:t>
            </w:r>
          </w:p>
        </w:tc>
      </w:tr>
      <w:tr w14:paraId="164D4A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1867" w:type="dxa"/>
            <w:tcBorders>
              <w:top w:val="single" w:color="000000" w:sz="2" w:space="0"/>
              <w:left w:val="single" w:color="000000" w:sz="2" w:space="0"/>
              <w:bottom w:val="single" w:color="000000" w:sz="2" w:space="0"/>
              <w:right w:val="single" w:color="000000" w:sz="2" w:space="0"/>
            </w:tcBorders>
            <w:vAlign w:val="center"/>
          </w:tcPr>
          <w:p w14:paraId="798B005F">
            <w:pPr>
              <w:widowControl/>
              <w:kinsoku w:val="0"/>
              <w:autoSpaceDE w:val="0"/>
              <w:autoSpaceDN w:val="0"/>
              <w:adjustRightInd w:val="0"/>
              <w:snapToGrid w:val="0"/>
              <w:spacing w:line="222" w:lineRule="auto"/>
              <w:jc w:val="center"/>
              <w:textAlignment w:val="baseline"/>
              <w:rPr>
                <w:rFonts w:ascii="黑体" w:hAnsi="黑体" w:eastAsia="黑体" w:cs="黑体"/>
                <w:b/>
                <w:bCs/>
                <w:sz w:val="24"/>
              </w:rPr>
            </w:pPr>
            <w:r>
              <w:rPr>
                <w:rFonts w:hint="eastAsia" w:ascii="黑体" w:hAnsi="黑体" w:eastAsia="黑体" w:cs="黑体"/>
                <w:b/>
                <w:bCs/>
                <w:spacing w:val="-8"/>
                <w:sz w:val="24"/>
              </w:rPr>
              <w:t>类别</w:t>
            </w:r>
          </w:p>
        </w:tc>
        <w:tc>
          <w:tcPr>
            <w:tcW w:w="3695" w:type="dxa"/>
            <w:gridSpan w:val="3"/>
            <w:tcBorders>
              <w:top w:val="single" w:color="000000" w:sz="2" w:space="0"/>
              <w:left w:val="single" w:color="000000" w:sz="2" w:space="0"/>
              <w:bottom w:val="single" w:color="000000" w:sz="2" w:space="0"/>
              <w:right w:val="single" w:color="000000" w:sz="2" w:space="0"/>
            </w:tcBorders>
            <w:vAlign w:val="center"/>
          </w:tcPr>
          <w:p w14:paraId="49FF5D72">
            <w:pPr>
              <w:widowControl/>
              <w:kinsoku w:val="0"/>
              <w:autoSpaceDE w:val="0"/>
              <w:autoSpaceDN w:val="0"/>
              <w:adjustRightInd w:val="0"/>
              <w:snapToGrid w:val="0"/>
              <w:spacing w:line="222" w:lineRule="auto"/>
              <w:jc w:val="center"/>
              <w:textAlignment w:val="baseline"/>
              <w:rPr>
                <w:rFonts w:ascii="黑体" w:hAnsi="黑体" w:eastAsia="黑体" w:cs="黑体"/>
                <w:b/>
                <w:bCs/>
                <w:sz w:val="24"/>
              </w:rPr>
            </w:pPr>
            <w:r>
              <w:rPr>
                <w:rFonts w:hint="eastAsia" w:ascii="黑体" w:hAnsi="黑体" w:eastAsia="黑体" w:cs="黑体"/>
                <w:b/>
                <w:bCs/>
                <w:spacing w:val="-2"/>
                <w:sz w:val="24"/>
              </w:rPr>
              <w:t>参数名称</w:t>
            </w:r>
          </w:p>
        </w:tc>
        <w:tc>
          <w:tcPr>
            <w:tcW w:w="2179" w:type="dxa"/>
            <w:tcBorders>
              <w:top w:val="single" w:color="000000" w:sz="2" w:space="0"/>
              <w:left w:val="single" w:color="000000" w:sz="2" w:space="0"/>
              <w:bottom w:val="single" w:color="000000" w:sz="2" w:space="0"/>
              <w:right w:val="single" w:color="000000" w:sz="2" w:space="0"/>
            </w:tcBorders>
            <w:vAlign w:val="center"/>
          </w:tcPr>
          <w:p w14:paraId="774B569A">
            <w:pPr>
              <w:widowControl/>
              <w:kinsoku w:val="0"/>
              <w:autoSpaceDE w:val="0"/>
              <w:autoSpaceDN w:val="0"/>
              <w:adjustRightInd w:val="0"/>
              <w:snapToGrid w:val="0"/>
              <w:spacing w:line="222" w:lineRule="auto"/>
              <w:jc w:val="center"/>
              <w:textAlignment w:val="baseline"/>
              <w:rPr>
                <w:rFonts w:ascii="黑体" w:hAnsi="黑体" w:eastAsia="黑体" w:cs="黑体"/>
                <w:b/>
                <w:bCs/>
                <w:sz w:val="24"/>
              </w:rPr>
            </w:pPr>
            <w:r>
              <w:rPr>
                <w:rFonts w:hint="eastAsia" w:ascii="黑体" w:hAnsi="黑体" w:eastAsia="黑体" w:cs="黑体"/>
                <w:b/>
                <w:bCs/>
                <w:spacing w:val="-4"/>
                <w:sz w:val="24"/>
              </w:rPr>
              <w:t>约定取值</w:t>
            </w:r>
          </w:p>
        </w:tc>
        <w:tc>
          <w:tcPr>
            <w:tcW w:w="2136" w:type="dxa"/>
            <w:tcBorders>
              <w:top w:val="single" w:color="000000" w:sz="2" w:space="0"/>
              <w:left w:val="single" w:color="000000" w:sz="2" w:space="0"/>
              <w:bottom w:val="single" w:color="000000" w:sz="2" w:space="0"/>
              <w:right w:val="single" w:color="000000" w:sz="2" w:space="0"/>
            </w:tcBorders>
            <w:vAlign w:val="center"/>
          </w:tcPr>
          <w:p w14:paraId="0B5D6D0C">
            <w:pPr>
              <w:widowControl/>
              <w:kinsoku w:val="0"/>
              <w:autoSpaceDE w:val="0"/>
              <w:autoSpaceDN w:val="0"/>
              <w:adjustRightInd w:val="0"/>
              <w:snapToGrid w:val="0"/>
              <w:spacing w:line="223" w:lineRule="auto"/>
              <w:jc w:val="center"/>
              <w:textAlignment w:val="baseline"/>
              <w:rPr>
                <w:rFonts w:ascii="黑体" w:hAnsi="黑体" w:eastAsia="黑体" w:cs="黑体"/>
                <w:b/>
                <w:bCs/>
                <w:sz w:val="24"/>
              </w:rPr>
            </w:pPr>
            <w:r>
              <w:rPr>
                <w:rFonts w:hint="eastAsia" w:ascii="黑体" w:hAnsi="黑体" w:eastAsia="黑体" w:cs="黑体"/>
                <w:b/>
                <w:bCs/>
                <w:spacing w:val="-4"/>
                <w:sz w:val="24"/>
              </w:rPr>
              <w:t>取值范围</w:t>
            </w:r>
          </w:p>
        </w:tc>
      </w:tr>
      <w:tr w14:paraId="7F9407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1867" w:type="dxa"/>
            <w:vMerge w:val="restart"/>
            <w:tcBorders>
              <w:top w:val="single" w:color="000000" w:sz="2" w:space="0"/>
              <w:bottom w:val="nil"/>
            </w:tcBorders>
            <w:vAlign w:val="center"/>
          </w:tcPr>
          <w:p w14:paraId="5DF8A61A">
            <w:pPr>
              <w:pStyle w:val="15"/>
              <w:widowControl/>
              <w:kinsoku w:val="0"/>
              <w:autoSpaceDE w:val="0"/>
              <w:autoSpaceDN w:val="0"/>
              <w:adjustRightInd w:val="0"/>
              <w:snapToGrid w:val="0"/>
              <w:jc w:val="center"/>
              <w:textAlignment w:val="baseline"/>
              <w:rPr>
                <w:b/>
                <w:bCs/>
                <w:sz w:val="24"/>
                <w:szCs w:val="24"/>
                <w:lang w:eastAsia="zh-CN"/>
              </w:rPr>
            </w:pPr>
            <w:r>
              <w:rPr>
                <w:rFonts w:hint="eastAsia"/>
                <w:b/>
                <w:bCs/>
                <w:sz w:val="24"/>
                <w:szCs w:val="24"/>
                <w:lang w:eastAsia="zh-CN"/>
              </w:rPr>
              <w:t>1.1常规电力电价</w:t>
            </w:r>
          </w:p>
          <w:p w14:paraId="08294BFA">
            <w:pPr>
              <w:pStyle w:val="15"/>
              <w:widowControl/>
              <w:kinsoku w:val="0"/>
              <w:autoSpaceDE w:val="0"/>
              <w:autoSpaceDN w:val="0"/>
              <w:adjustRightInd w:val="0"/>
              <w:snapToGrid w:val="0"/>
              <w:spacing w:line="227" w:lineRule="auto"/>
              <w:jc w:val="center"/>
              <w:textAlignment w:val="baseline"/>
              <w:rPr>
                <w:b/>
                <w:bCs/>
                <w:sz w:val="24"/>
                <w:szCs w:val="24"/>
                <w:lang w:eastAsia="zh-CN"/>
              </w:rPr>
            </w:pPr>
            <w:r>
              <w:rPr>
                <w:rFonts w:hint="eastAsia"/>
                <w:b/>
                <w:bCs/>
                <w:sz w:val="24"/>
                <w:szCs w:val="24"/>
                <w:lang w:eastAsia="zh-CN"/>
              </w:rPr>
              <w:t>（必填,ABC三选一）</w:t>
            </w:r>
          </w:p>
        </w:tc>
        <w:tc>
          <w:tcPr>
            <w:tcW w:w="1535" w:type="dxa"/>
            <w:tcBorders>
              <w:top w:val="single" w:color="000000" w:sz="2" w:space="0"/>
            </w:tcBorders>
            <w:vAlign w:val="center"/>
          </w:tcPr>
          <w:p w14:paraId="7501A013">
            <w:pPr>
              <w:pStyle w:val="15"/>
              <w:widowControl/>
              <w:kinsoku w:val="0"/>
              <w:autoSpaceDE w:val="0"/>
              <w:autoSpaceDN w:val="0"/>
              <w:adjustRightInd w:val="0"/>
              <w:snapToGrid w:val="0"/>
              <w:spacing w:line="231" w:lineRule="auto"/>
              <w:jc w:val="center"/>
              <w:textAlignment w:val="baseline"/>
              <w:rPr>
                <w:spacing w:val="-6"/>
                <w:sz w:val="24"/>
                <w:szCs w:val="24"/>
                <w:lang w:eastAsia="zh-CN"/>
              </w:rPr>
            </w:pPr>
            <w:r>
              <w:rPr>
                <w:rFonts w:hint="eastAsia"/>
                <w:spacing w:val="-6"/>
                <w:sz w:val="24"/>
                <w:szCs w:val="24"/>
                <w:lang w:eastAsia="zh-CN"/>
              </w:rPr>
              <w:t>A固定价格</w:t>
            </w:r>
          </w:p>
        </w:tc>
        <w:tc>
          <w:tcPr>
            <w:tcW w:w="2160" w:type="dxa"/>
            <w:gridSpan w:val="2"/>
            <w:tcBorders>
              <w:top w:val="single" w:color="000000" w:sz="2" w:space="0"/>
            </w:tcBorders>
            <w:vAlign w:val="center"/>
          </w:tcPr>
          <w:p w14:paraId="737B7B6D">
            <w:pPr>
              <w:pStyle w:val="15"/>
              <w:widowControl/>
              <w:kinsoku w:val="0"/>
              <w:autoSpaceDE w:val="0"/>
              <w:autoSpaceDN w:val="0"/>
              <w:adjustRightInd w:val="0"/>
              <w:snapToGrid w:val="0"/>
              <w:spacing w:line="231" w:lineRule="auto"/>
              <w:jc w:val="center"/>
              <w:textAlignment w:val="baseline"/>
              <w:rPr>
                <w:sz w:val="24"/>
                <w:szCs w:val="24"/>
              </w:rPr>
            </w:pPr>
            <w:r>
              <w:rPr>
                <w:rFonts w:hint="eastAsia"/>
                <w:spacing w:val="-6"/>
                <w:sz w:val="24"/>
                <w:szCs w:val="24"/>
              </w:rPr>
              <w:t>固定</w:t>
            </w:r>
            <w:r>
              <w:rPr>
                <w:rFonts w:hint="eastAsia"/>
                <w:spacing w:val="-6"/>
                <w:sz w:val="24"/>
                <w:szCs w:val="24"/>
                <w:lang w:eastAsia="zh-CN"/>
              </w:rPr>
              <w:t>价格P</w:t>
            </w:r>
            <w:r>
              <w:rPr>
                <w:rFonts w:hint="eastAsia"/>
                <w:spacing w:val="-6"/>
                <w:sz w:val="32"/>
                <w:szCs w:val="32"/>
                <w:vertAlign w:val="subscript"/>
                <w:lang w:eastAsia="zh-CN"/>
              </w:rPr>
              <w:t>常固</w:t>
            </w:r>
          </w:p>
        </w:tc>
        <w:tc>
          <w:tcPr>
            <w:tcW w:w="2179" w:type="dxa"/>
            <w:tcBorders>
              <w:top w:val="single" w:color="000000" w:sz="2" w:space="0"/>
            </w:tcBorders>
            <w:vAlign w:val="center"/>
          </w:tcPr>
          <w:p w14:paraId="1EEE1039">
            <w:pPr>
              <w:keepNext w:val="0"/>
              <w:keepLines w:val="0"/>
              <w:pageBreakBefore w:val="0"/>
              <w:widowControl/>
              <w:kinsoku w:val="0"/>
              <w:wordWrap/>
              <w:overflowPunct/>
              <w:topLinePunct w:val="0"/>
              <w:autoSpaceDE w:val="0"/>
              <w:autoSpaceDN w:val="0"/>
              <w:bidi w:val="0"/>
              <w:adjustRightInd w:val="0"/>
              <w:snapToGrid w:val="0"/>
              <w:ind w:left="0" w:leftChars="0" w:right="0" w:rightChars="0" w:firstLine="0" w:firstLineChars="0"/>
              <w:jc w:val="center"/>
              <w:textAlignment w:val="baseline"/>
              <w:rPr>
                <w:rFonts w:ascii="楷体" w:hAnsi="楷体" w:eastAsia="楷体" w:cs="楷体"/>
                <w:sz w:val="24"/>
              </w:rPr>
            </w:pPr>
            <w:r>
              <w:rPr>
                <w:rFonts w:hint="eastAsia" w:ascii="楷体" w:hAnsi="楷体" w:eastAsia="楷体" w:cs="楷体"/>
                <w:color w:val="auto"/>
                <w:sz w:val="24"/>
                <w:szCs w:val="24"/>
                <w:highlight w:val="none"/>
                <w:lang w:val="en-US" w:eastAsia="zh-CN"/>
              </w:rPr>
              <w:t>无</w:t>
            </w:r>
          </w:p>
        </w:tc>
        <w:tc>
          <w:tcPr>
            <w:tcW w:w="2136" w:type="dxa"/>
            <w:tcBorders>
              <w:top w:val="single" w:color="000000" w:sz="2" w:space="0"/>
            </w:tcBorders>
            <w:vAlign w:val="center"/>
          </w:tcPr>
          <w:p w14:paraId="527ACFD3">
            <w:pPr>
              <w:pStyle w:val="15"/>
              <w:widowControl/>
              <w:kinsoku w:val="0"/>
              <w:autoSpaceDE w:val="0"/>
              <w:autoSpaceDN w:val="0"/>
              <w:adjustRightInd w:val="0"/>
              <w:snapToGrid w:val="0"/>
              <w:jc w:val="center"/>
              <w:textAlignment w:val="baseline"/>
              <w:rPr>
                <w:sz w:val="24"/>
                <w:szCs w:val="24"/>
              </w:rPr>
            </w:pPr>
            <w:r>
              <w:rPr>
                <w:rFonts w:hint="eastAsia"/>
                <w:spacing w:val="3"/>
                <w:sz w:val="19"/>
                <w:szCs w:val="19"/>
                <w:lang w:eastAsia="zh-CN"/>
              </w:rPr>
              <w:t>287.84</w:t>
            </w:r>
            <w:r>
              <w:rPr>
                <w:rFonts w:hint="eastAsia"/>
                <w:spacing w:val="3"/>
                <w:sz w:val="19"/>
                <w:szCs w:val="19"/>
              </w:rPr>
              <w:t>≤</w:t>
            </w:r>
            <w:r>
              <w:rPr>
                <w:rFonts w:hint="eastAsia"/>
                <w:spacing w:val="-6"/>
                <w:sz w:val="19"/>
                <w:szCs w:val="19"/>
                <w:lang w:eastAsia="zh-CN"/>
              </w:rPr>
              <w:t>P</w:t>
            </w:r>
            <w:r>
              <w:rPr>
                <w:rFonts w:hint="eastAsia"/>
                <w:spacing w:val="-6"/>
                <w:sz w:val="32"/>
                <w:szCs w:val="32"/>
                <w:vertAlign w:val="subscript"/>
                <w:lang w:eastAsia="zh-CN"/>
              </w:rPr>
              <w:t>常固</w:t>
            </w:r>
            <w:r>
              <w:rPr>
                <w:rFonts w:hint="eastAsia"/>
                <w:spacing w:val="3"/>
                <w:sz w:val="19"/>
                <w:szCs w:val="19"/>
              </w:rPr>
              <w:t>≤</w:t>
            </w:r>
            <w:r>
              <w:rPr>
                <w:rFonts w:hint="eastAsia"/>
                <w:spacing w:val="3"/>
                <w:sz w:val="19"/>
                <w:szCs w:val="19"/>
                <w:lang w:eastAsia="zh-CN"/>
              </w:rPr>
              <w:t>431.76</w:t>
            </w:r>
          </w:p>
        </w:tc>
      </w:tr>
      <w:tr w14:paraId="000A07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1867" w:type="dxa"/>
            <w:vMerge w:val="continue"/>
            <w:tcBorders>
              <w:top w:val="nil"/>
              <w:bottom w:val="nil"/>
            </w:tcBorders>
            <w:vAlign w:val="center"/>
          </w:tcPr>
          <w:p w14:paraId="205FAD46">
            <w:pPr>
              <w:widowControl/>
              <w:kinsoku w:val="0"/>
              <w:autoSpaceDE w:val="0"/>
              <w:autoSpaceDN w:val="0"/>
              <w:adjustRightInd w:val="0"/>
              <w:snapToGrid w:val="0"/>
              <w:jc w:val="center"/>
              <w:textAlignment w:val="baseline"/>
              <w:rPr>
                <w:rFonts w:ascii="楷体" w:hAnsi="楷体" w:eastAsia="楷体" w:cs="楷体"/>
                <w:b/>
                <w:bCs/>
                <w:sz w:val="24"/>
              </w:rPr>
            </w:pPr>
          </w:p>
        </w:tc>
        <w:tc>
          <w:tcPr>
            <w:tcW w:w="1535" w:type="dxa"/>
            <w:vMerge w:val="restart"/>
            <w:vAlign w:val="center"/>
          </w:tcPr>
          <w:p w14:paraId="76C11152">
            <w:pPr>
              <w:pStyle w:val="15"/>
              <w:widowControl/>
              <w:kinsoku w:val="0"/>
              <w:autoSpaceDE w:val="0"/>
              <w:autoSpaceDN w:val="0"/>
              <w:adjustRightInd w:val="0"/>
              <w:snapToGrid w:val="0"/>
              <w:spacing w:line="221" w:lineRule="auto"/>
              <w:jc w:val="center"/>
              <w:textAlignment w:val="baseline"/>
              <w:rPr>
                <w:spacing w:val="-3"/>
                <w:sz w:val="24"/>
                <w:szCs w:val="24"/>
                <w:lang w:eastAsia="zh-CN"/>
              </w:rPr>
            </w:pPr>
            <w:r>
              <w:rPr>
                <w:rFonts w:hint="eastAsia"/>
                <w:spacing w:val="-3"/>
                <w:sz w:val="24"/>
                <w:szCs w:val="24"/>
                <w:lang w:eastAsia="zh-CN"/>
              </w:rPr>
              <w:t>B联动价格</w:t>
            </w:r>
          </w:p>
        </w:tc>
        <w:tc>
          <w:tcPr>
            <w:tcW w:w="2160" w:type="dxa"/>
            <w:gridSpan w:val="2"/>
            <w:vAlign w:val="center"/>
          </w:tcPr>
          <w:p w14:paraId="3E66DE40">
            <w:pPr>
              <w:pStyle w:val="15"/>
              <w:widowControl/>
              <w:kinsoku w:val="0"/>
              <w:autoSpaceDE w:val="0"/>
              <w:autoSpaceDN w:val="0"/>
              <w:adjustRightInd w:val="0"/>
              <w:snapToGrid w:val="0"/>
              <w:spacing w:line="221" w:lineRule="auto"/>
              <w:jc w:val="center"/>
              <w:textAlignment w:val="baseline"/>
              <w:rPr>
                <w:spacing w:val="-6"/>
                <w:sz w:val="24"/>
                <w:szCs w:val="24"/>
                <w:lang w:eastAsia="zh-CN"/>
              </w:rPr>
            </w:pPr>
            <w:r>
              <w:rPr>
                <w:rFonts w:hint="eastAsia"/>
                <w:spacing w:val="-6"/>
                <w:sz w:val="24"/>
                <w:szCs w:val="24"/>
                <w:lang w:eastAsia="zh-CN"/>
              </w:rPr>
              <w:t>基准价格P</w:t>
            </w:r>
            <w:r>
              <w:rPr>
                <w:rFonts w:hint="eastAsia"/>
                <w:spacing w:val="-6"/>
                <w:sz w:val="32"/>
                <w:szCs w:val="32"/>
                <w:vertAlign w:val="subscript"/>
                <w:lang w:eastAsia="zh-CN"/>
              </w:rPr>
              <w:t>常基</w:t>
            </w:r>
          </w:p>
        </w:tc>
        <w:tc>
          <w:tcPr>
            <w:tcW w:w="2179" w:type="dxa"/>
            <w:vAlign w:val="center"/>
          </w:tcPr>
          <w:p w14:paraId="35E63846">
            <w:pPr>
              <w:keepNext w:val="0"/>
              <w:keepLines w:val="0"/>
              <w:pageBreakBefore w:val="0"/>
              <w:widowControl/>
              <w:kinsoku w:val="0"/>
              <w:wordWrap/>
              <w:overflowPunct/>
              <w:topLinePunct w:val="0"/>
              <w:autoSpaceDE w:val="0"/>
              <w:autoSpaceDN w:val="0"/>
              <w:bidi w:val="0"/>
              <w:adjustRightInd w:val="0"/>
              <w:snapToGrid w:val="0"/>
              <w:ind w:left="0" w:leftChars="0" w:right="0" w:rightChars="0" w:firstLine="0" w:firstLineChars="0"/>
              <w:jc w:val="center"/>
              <w:textAlignment w:val="baseline"/>
              <w:rPr>
                <w:rFonts w:ascii="楷体" w:hAnsi="楷体" w:eastAsia="楷体" w:cs="楷体"/>
                <w:sz w:val="24"/>
              </w:rPr>
            </w:pPr>
            <w:r>
              <w:rPr>
                <w:rFonts w:hint="eastAsia" w:ascii="楷体" w:hAnsi="楷体" w:eastAsia="楷体" w:cs="楷体"/>
                <w:color w:val="auto"/>
                <w:spacing w:val="-6"/>
                <w:sz w:val="24"/>
                <w:szCs w:val="24"/>
                <w:highlight w:val="none"/>
                <w:lang w:val="en-US" w:eastAsia="zh-CN"/>
              </w:rPr>
              <w:t>P</w:t>
            </w:r>
            <w:r>
              <w:rPr>
                <w:rFonts w:hint="eastAsia" w:ascii="楷体" w:hAnsi="楷体" w:eastAsia="楷体" w:cs="楷体"/>
                <w:color w:val="auto"/>
                <w:spacing w:val="-6"/>
                <w:sz w:val="32"/>
                <w:szCs w:val="32"/>
                <w:highlight w:val="none"/>
                <w:vertAlign w:val="subscript"/>
                <w:lang w:val="en-US" w:eastAsia="zh-CN"/>
              </w:rPr>
              <w:t>常</w:t>
            </w:r>
            <w:r>
              <w:rPr>
                <w:rFonts w:hint="eastAsia" w:cs="楷体"/>
                <w:color w:val="auto"/>
                <w:spacing w:val="-6"/>
                <w:sz w:val="32"/>
                <w:szCs w:val="32"/>
                <w:highlight w:val="none"/>
                <w:vertAlign w:val="subscript"/>
                <w:lang w:val="en-US" w:eastAsia="zh-CN"/>
              </w:rPr>
              <w:t>批</w:t>
            </w:r>
          </w:p>
        </w:tc>
        <w:tc>
          <w:tcPr>
            <w:tcW w:w="2136" w:type="dxa"/>
            <w:vAlign w:val="center"/>
          </w:tcPr>
          <w:p w14:paraId="64786A0D">
            <w:pPr>
              <w:pStyle w:val="15"/>
              <w:widowControl/>
              <w:kinsoku w:val="0"/>
              <w:autoSpaceDE w:val="0"/>
              <w:autoSpaceDN w:val="0"/>
              <w:adjustRightInd w:val="0"/>
              <w:snapToGrid w:val="0"/>
              <w:jc w:val="center"/>
              <w:textAlignment w:val="baseline"/>
              <w:rPr>
                <w:spacing w:val="3"/>
                <w:sz w:val="16"/>
                <w:szCs w:val="16"/>
                <w:lang w:eastAsia="zh-CN"/>
              </w:rPr>
            </w:pPr>
            <w:r>
              <w:rPr>
                <w:rFonts w:hint="eastAsia"/>
                <w:spacing w:val="-6"/>
                <w:sz w:val="24"/>
                <w:szCs w:val="24"/>
                <w:lang w:eastAsia="zh-CN"/>
              </w:rPr>
              <w:t>P</w:t>
            </w:r>
            <w:r>
              <w:rPr>
                <w:rFonts w:hint="eastAsia"/>
                <w:spacing w:val="-6"/>
                <w:sz w:val="32"/>
                <w:szCs w:val="32"/>
                <w:vertAlign w:val="subscript"/>
                <w:lang w:eastAsia="zh-CN"/>
              </w:rPr>
              <w:t>常批</w:t>
            </w:r>
            <w:r>
              <w:rPr>
                <w:rFonts w:hint="eastAsia"/>
                <w:spacing w:val="-6"/>
                <w:sz w:val="24"/>
                <w:szCs w:val="24"/>
                <w:lang w:eastAsia="zh-CN"/>
              </w:rPr>
              <w:t>或P</w:t>
            </w:r>
            <w:r>
              <w:rPr>
                <w:rFonts w:hint="eastAsia"/>
                <w:spacing w:val="-6"/>
                <w:sz w:val="32"/>
                <w:szCs w:val="32"/>
                <w:vertAlign w:val="subscript"/>
                <w:lang w:eastAsia="zh-CN"/>
              </w:rPr>
              <w:t>常售</w:t>
            </w:r>
          </w:p>
        </w:tc>
      </w:tr>
      <w:tr w14:paraId="58EF5C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1867" w:type="dxa"/>
            <w:vMerge w:val="continue"/>
            <w:tcBorders>
              <w:top w:val="nil"/>
              <w:bottom w:val="nil"/>
            </w:tcBorders>
            <w:vAlign w:val="center"/>
          </w:tcPr>
          <w:p w14:paraId="4406C605">
            <w:pPr>
              <w:widowControl/>
              <w:kinsoku w:val="0"/>
              <w:autoSpaceDE w:val="0"/>
              <w:autoSpaceDN w:val="0"/>
              <w:adjustRightInd w:val="0"/>
              <w:snapToGrid w:val="0"/>
              <w:jc w:val="center"/>
              <w:textAlignment w:val="baseline"/>
              <w:rPr>
                <w:rFonts w:ascii="楷体" w:hAnsi="楷体" w:eastAsia="楷体" w:cs="楷体"/>
                <w:b/>
                <w:bCs/>
                <w:sz w:val="24"/>
              </w:rPr>
            </w:pPr>
          </w:p>
        </w:tc>
        <w:tc>
          <w:tcPr>
            <w:tcW w:w="1535" w:type="dxa"/>
            <w:vMerge w:val="continue"/>
            <w:vAlign w:val="center"/>
          </w:tcPr>
          <w:p w14:paraId="0C5D5EA6">
            <w:pPr>
              <w:pStyle w:val="15"/>
              <w:widowControl/>
              <w:kinsoku w:val="0"/>
              <w:autoSpaceDE w:val="0"/>
              <w:autoSpaceDN w:val="0"/>
              <w:adjustRightInd w:val="0"/>
              <w:snapToGrid w:val="0"/>
              <w:spacing w:line="221" w:lineRule="auto"/>
              <w:jc w:val="center"/>
              <w:textAlignment w:val="baseline"/>
              <w:rPr>
                <w:spacing w:val="-3"/>
                <w:sz w:val="24"/>
                <w:szCs w:val="24"/>
                <w:lang w:eastAsia="zh-CN"/>
              </w:rPr>
            </w:pPr>
          </w:p>
        </w:tc>
        <w:tc>
          <w:tcPr>
            <w:tcW w:w="2160" w:type="dxa"/>
            <w:gridSpan w:val="2"/>
            <w:vAlign w:val="center"/>
          </w:tcPr>
          <w:p w14:paraId="2D716F59">
            <w:pPr>
              <w:pStyle w:val="15"/>
              <w:widowControl/>
              <w:kinsoku w:val="0"/>
              <w:autoSpaceDE w:val="0"/>
              <w:autoSpaceDN w:val="0"/>
              <w:adjustRightInd w:val="0"/>
              <w:snapToGrid w:val="0"/>
              <w:spacing w:line="221" w:lineRule="auto"/>
              <w:jc w:val="center"/>
              <w:textAlignment w:val="baseline"/>
              <w:rPr>
                <w:sz w:val="24"/>
                <w:szCs w:val="24"/>
              </w:rPr>
            </w:pPr>
            <w:r>
              <w:rPr>
                <w:rFonts w:hint="eastAsia"/>
                <w:spacing w:val="-6"/>
                <w:sz w:val="24"/>
                <w:szCs w:val="24"/>
                <w:lang w:eastAsia="zh-CN"/>
              </w:rPr>
              <w:t>浮动价格P</w:t>
            </w:r>
            <w:r>
              <w:rPr>
                <w:rFonts w:hint="eastAsia"/>
                <w:spacing w:val="-6"/>
                <w:sz w:val="32"/>
                <w:szCs w:val="32"/>
                <w:vertAlign w:val="subscript"/>
                <w:lang w:eastAsia="zh-CN"/>
              </w:rPr>
              <w:t>常浮</w:t>
            </w:r>
          </w:p>
        </w:tc>
        <w:tc>
          <w:tcPr>
            <w:tcW w:w="2179" w:type="dxa"/>
            <w:vAlign w:val="center"/>
          </w:tcPr>
          <w:p w14:paraId="2F7D3542">
            <w:pPr>
              <w:keepNext w:val="0"/>
              <w:keepLines w:val="0"/>
              <w:pageBreakBefore w:val="0"/>
              <w:widowControl/>
              <w:kinsoku w:val="0"/>
              <w:wordWrap/>
              <w:overflowPunct/>
              <w:topLinePunct w:val="0"/>
              <w:autoSpaceDE w:val="0"/>
              <w:autoSpaceDN w:val="0"/>
              <w:bidi w:val="0"/>
              <w:adjustRightInd w:val="0"/>
              <w:snapToGrid w:val="0"/>
              <w:ind w:left="0" w:leftChars="0" w:right="0" w:rightChars="0" w:firstLine="0" w:firstLineChars="0"/>
              <w:jc w:val="center"/>
              <w:textAlignment w:val="baseline"/>
              <w:rPr>
                <w:rFonts w:ascii="楷体" w:hAnsi="楷体" w:eastAsia="楷体" w:cs="楷体"/>
                <w:sz w:val="24"/>
              </w:rPr>
            </w:pPr>
            <w:r>
              <w:rPr>
                <w:rFonts w:hint="eastAsia" w:cs="宋体"/>
                <w:color w:val="auto"/>
                <w:sz w:val="24"/>
                <w:szCs w:val="24"/>
                <w:highlight w:val="none"/>
                <w:lang w:val="en-US" w:eastAsia="zh-CN"/>
              </w:rPr>
              <w:t>8.28</w:t>
            </w:r>
          </w:p>
        </w:tc>
        <w:tc>
          <w:tcPr>
            <w:tcW w:w="2136" w:type="dxa"/>
            <w:vAlign w:val="center"/>
          </w:tcPr>
          <w:p w14:paraId="1A44ACFB">
            <w:pPr>
              <w:pStyle w:val="15"/>
              <w:widowControl/>
              <w:kinsoku w:val="0"/>
              <w:autoSpaceDE w:val="0"/>
              <w:autoSpaceDN w:val="0"/>
              <w:adjustRightInd w:val="0"/>
              <w:snapToGrid w:val="0"/>
              <w:jc w:val="center"/>
              <w:textAlignment w:val="baseline"/>
              <w:rPr>
                <w:sz w:val="24"/>
                <w:szCs w:val="24"/>
              </w:rPr>
            </w:pPr>
            <w:r>
              <w:rPr>
                <w:rFonts w:hint="eastAsia"/>
                <w:spacing w:val="3"/>
                <w:sz w:val="16"/>
                <w:szCs w:val="16"/>
                <w:lang w:eastAsia="zh-CN"/>
              </w:rPr>
              <w:t>287.84</w:t>
            </w:r>
            <w:r>
              <w:rPr>
                <w:rFonts w:hint="eastAsia"/>
                <w:spacing w:val="3"/>
                <w:sz w:val="16"/>
                <w:szCs w:val="16"/>
              </w:rPr>
              <w:t>≤</w:t>
            </w:r>
            <w:r>
              <w:rPr>
                <w:rFonts w:hint="eastAsia"/>
                <w:spacing w:val="-6"/>
                <w:sz w:val="19"/>
                <w:szCs w:val="19"/>
                <w:lang w:eastAsia="zh-CN"/>
              </w:rPr>
              <w:t>P</w:t>
            </w:r>
            <w:r>
              <w:rPr>
                <w:rFonts w:hint="eastAsia"/>
                <w:spacing w:val="-6"/>
                <w:sz w:val="24"/>
                <w:szCs w:val="24"/>
                <w:vertAlign w:val="subscript"/>
                <w:lang w:eastAsia="zh-CN"/>
              </w:rPr>
              <w:t>常基</w:t>
            </w:r>
            <w:r>
              <w:rPr>
                <w:rFonts w:hint="eastAsia"/>
                <w:spacing w:val="3"/>
                <w:sz w:val="16"/>
                <w:szCs w:val="16"/>
              </w:rPr>
              <w:t>＋</w:t>
            </w:r>
            <w:r>
              <w:rPr>
                <w:rFonts w:hint="eastAsia"/>
                <w:spacing w:val="-6"/>
                <w:sz w:val="19"/>
                <w:szCs w:val="19"/>
                <w:lang w:eastAsia="zh-CN"/>
              </w:rPr>
              <w:t>P</w:t>
            </w:r>
            <w:r>
              <w:rPr>
                <w:rFonts w:hint="eastAsia"/>
                <w:spacing w:val="-6"/>
                <w:sz w:val="24"/>
                <w:szCs w:val="24"/>
                <w:vertAlign w:val="subscript"/>
                <w:lang w:eastAsia="zh-CN"/>
              </w:rPr>
              <w:t>常浮</w:t>
            </w:r>
            <w:r>
              <w:rPr>
                <w:rFonts w:hint="eastAsia"/>
                <w:spacing w:val="3"/>
                <w:sz w:val="16"/>
                <w:szCs w:val="16"/>
              </w:rPr>
              <w:t>≤</w:t>
            </w:r>
            <w:r>
              <w:rPr>
                <w:rFonts w:hint="eastAsia"/>
                <w:spacing w:val="3"/>
                <w:sz w:val="16"/>
                <w:szCs w:val="16"/>
                <w:lang w:eastAsia="zh-CN"/>
              </w:rPr>
              <w:t>431.76</w:t>
            </w:r>
          </w:p>
        </w:tc>
      </w:tr>
      <w:tr w14:paraId="783CA4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1867" w:type="dxa"/>
            <w:vMerge w:val="continue"/>
            <w:tcBorders>
              <w:top w:val="nil"/>
              <w:bottom w:val="nil"/>
            </w:tcBorders>
            <w:vAlign w:val="center"/>
          </w:tcPr>
          <w:p w14:paraId="3B010630">
            <w:pPr>
              <w:widowControl/>
              <w:kinsoku w:val="0"/>
              <w:autoSpaceDE w:val="0"/>
              <w:autoSpaceDN w:val="0"/>
              <w:adjustRightInd w:val="0"/>
              <w:snapToGrid w:val="0"/>
              <w:jc w:val="center"/>
              <w:textAlignment w:val="baseline"/>
              <w:rPr>
                <w:rFonts w:ascii="楷体" w:hAnsi="楷体" w:eastAsia="楷体" w:cs="楷体"/>
                <w:b/>
                <w:bCs/>
                <w:sz w:val="24"/>
              </w:rPr>
            </w:pPr>
          </w:p>
        </w:tc>
        <w:tc>
          <w:tcPr>
            <w:tcW w:w="1535" w:type="dxa"/>
            <w:vMerge w:val="restart"/>
            <w:vAlign w:val="center"/>
          </w:tcPr>
          <w:p w14:paraId="1E29D3C6">
            <w:pPr>
              <w:pStyle w:val="15"/>
              <w:widowControl/>
              <w:kinsoku w:val="0"/>
              <w:autoSpaceDE w:val="0"/>
              <w:autoSpaceDN w:val="0"/>
              <w:adjustRightInd w:val="0"/>
              <w:snapToGrid w:val="0"/>
              <w:spacing w:line="224" w:lineRule="auto"/>
              <w:jc w:val="center"/>
              <w:textAlignment w:val="baseline"/>
              <w:rPr>
                <w:spacing w:val="-3"/>
                <w:sz w:val="24"/>
                <w:szCs w:val="24"/>
                <w:lang w:eastAsia="zh-CN"/>
              </w:rPr>
            </w:pPr>
            <w:r>
              <w:rPr>
                <w:rFonts w:hint="eastAsia"/>
                <w:spacing w:val="-3"/>
                <w:sz w:val="24"/>
                <w:szCs w:val="24"/>
                <w:lang w:eastAsia="zh-CN"/>
              </w:rPr>
              <w:t>C比例分成</w:t>
            </w:r>
          </w:p>
        </w:tc>
        <w:tc>
          <w:tcPr>
            <w:tcW w:w="2160" w:type="dxa"/>
            <w:gridSpan w:val="2"/>
            <w:vAlign w:val="center"/>
          </w:tcPr>
          <w:p w14:paraId="15B3B13F">
            <w:pPr>
              <w:pStyle w:val="15"/>
              <w:widowControl/>
              <w:kinsoku w:val="0"/>
              <w:autoSpaceDE w:val="0"/>
              <w:autoSpaceDN w:val="0"/>
              <w:adjustRightInd w:val="0"/>
              <w:snapToGrid w:val="0"/>
              <w:spacing w:line="224" w:lineRule="auto"/>
              <w:jc w:val="center"/>
              <w:textAlignment w:val="baseline"/>
              <w:rPr>
                <w:sz w:val="24"/>
                <w:szCs w:val="24"/>
              </w:rPr>
            </w:pPr>
            <w:r>
              <w:rPr>
                <w:rFonts w:hint="eastAsia"/>
                <w:spacing w:val="-3"/>
                <w:sz w:val="24"/>
                <w:szCs w:val="24"/>
                <w:lang w:eastAsia="zh-CN"/>
              </w:rPr>
              <w:t>固定价格</w:t>
            </w:r>
            <w:r>
              <w:rPr>
                <w:rFonts w:hint="eastAsia"/>
                <w:spacing w:val="-6"/>
                <w:sz w:val="24"/>
                <w:szCs w:val="24"/>
                <w:lang w:eastAsia="zh-CN"/>
              </w:rPr>
              <w:t>P</w:t>
            </w:r>
            <w:r>
              <w:rPr>
                <w:rFonts w:hint="eastAsia"/>
                <w:spacing w:val="-6"/>
                <w:sz w:val="32"/>
                <w:szCs w:val="32"/>
                <w:vertAlign w:val="subscript"/>
                <w:lang w:eastAsia="zh-CN"/>
              </w:rPr>
              <w:t>常固</w:t>
            </w:r>
          </w:p>
        </w:tc>
        <w:tc>
          <w:tcPr>
            <w:tcW w:w="2179" w:type="dxa"/>
            <w:vAlign w:val="center"/>
          </w:tcPr>
          <w:p w14:paraId="387B2CB6">
            <w:pPr>
              <w:keepNext w:val="0"/>
              <w:keepLines w:val="0"/>
              <w:pageBreakBefore w:val="0"/>
              <w:widowControl/>
              <w:kinsoku w:val="0"/>
              <w:wordWrap/>
              <w:overflowPunct/>
              <w:topLinePunct w:val="0"/>
              <w:autoSpaceDE w:val="0"/>
              <w:autoSpaceDN w:val="0"/>
              <w:bidi w:val="0"/>
              <w:adjustRightInd w:val="0"/>
              <w:snapToGrid w:val="0"/>
              <w:ind w:left="0" w:leftChars="0" w:right="0" w:rightChars="0" w:firstLine="0" w:firstLineChars="0"/>
              <w:jc w:val="center"/>
              <w:textAlignment w:val="baseline"/>
              <w:rPr>
                <w:rFonts w:ascii="楷体" w:hAnsi="楷体" w:eastAsia="楷体" w:cs="楷体"/>
                <w:sz w:val="24"/>
              </w:rPr>
            </w:pPr>
            <w:r>
              <w:rPr>
                <w:rFonts w:hint="eastAsia" w:ascii="楷体" w:hAnsi="楷体" w:eastAsia="楷体" w:cs="楷体"/>
                <w:color w:val="auto"/>
                <w:sz w:val="24"/>
                <w:szCs w:val="24"/>
                <w:highlight w:val="none"/>
                <w:lang w:val="en-US" w:eastAsia="zh-CN"/>
              </w:rPr>
              <w:t>无</w:t>
            </w:r>
          </w:p>
        </w:tc>
        <w:tc>
          <w:tcPr>
            <w:tcW w:w="2136" w:type="dxa"/>
            <w:vAlign w:val="center"/>
          </w:tcPr>
          <w:p w14:paraId="56BD14D1">
            <w:pPr>
              <w:widowControl/>
              <w:kinsoku w:val="0"/>
              <w:autoSpaceDE w:val="0"/>
              <w:autoSpaceDN w:val="0"/>
              <w:adjustRightInd w:val="0"/>
              <w:snapToGrid w:val="0"/>
              <w:jc w:val="center"/>
              <w:textAlignment w:val="baseline"/>
              <w:rPr>
                <w:rFonts w:ascii="楷体" w:hAnsi="楷体" w:eastAsia="楷体" w:cs="楷体"/>
                <w:snapToGrid w:val="0"/>
                <w:spacing w:val="-4"/>
                <w:kern w:val="0"/>
                <w:sz w:val="24"/>
                <w:lang w:eastAsia="en-US"/>
              </w:rPr>
            </w:pPr>
            <w:r>
              <w:rPr>
                <w:rFonts w:hint="eastAsia" w:ascii="楷体" w:hAnsi="楷体" w:eastAsia="楷体" w:cs="楷体"/>
                <w:spacing w:val="3"/>
                <w:sz w:val="19"/>
                <w:szCs w:val="19"/>
              </w:rPr>
              <w:t>287.84≤</w:t>
            </w:r>
            <w:r>
              <w:rPr>
                <w:rFonts w:hint="eastAsia" w:ascii="楷体" w:hAnsi="楷体" w:eastAsia="楷体" w:cs="楷体"/>
                <w:spacing w:val="-6"/>
                <w:sz w:val="19"/>
                <w:szCs w:val="19"/>
              </w:rPr>
              <w:t>P</w:t>
            </w:r>
            <w:r>
              <w:rPr>
                <w:rFonts w:hint="eastAsia" w:ascii="楷体" w:hAnsi="楷体" w:eastAsia="楷体" w:cs="楷体"/>
                <w:spacing w:val="-6"/>
                <w:sz w:val="32"/>
                <w:szCs w:val="32"/>
                <w:vertAlign w:val="subscript"/>
              </w:rPr>
              <w:t>常固</w:t>
            </w:r>
            <w:r>
              <w:rPr>
                <w:rFonts w:hint="eastAsia" w:ascii="楷体" w:hAnsi="楷体" w:eastAsia="楷体" w:cs="楷体"/>
                <w:spacing w:val="3"/>
                <w:sz w:val="19"/>
                <w:szCs w:val="19"/>
              </w:rPr>
              <w:t>≤431.76</w:t>
            </w:r>
          </w:p>
        </w:tc>
      </w:tr>
      <w:tr w14:paraId="6C6998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1867" w:type="dxa"/>
            <w:vMerge w:val="continue"/>
            <w:tcBorders>
              <w:top w:val="nil"/>
            </w:tcBorders>
            <w:vAlign w:val="center"/>
          </w:tcPr>
          <w:p w14:paraId="1F9FB6DA">
            <w:pPr>
              <w:widowControl/>
              <w:kinsoku w:val="0"/>
              <w:autoSpaceDE w:val="0"/>
              <w:autoSpaceDN w:val="0"/>
              <w:adjustRightInd w:val="0"/>
              <w:snapToGrid w:val="0"/>
              <w:jc w:val="center"/>
              <w:textAlignment w:val="baseline"/>
              <w:rPr>
                <w:rFonts w:ascii="楷体" w:hAnsi="楷体" w:eastAsia="楷体" w:cs="楷体"/>
                <w:b/>
                <w:bCs/>
                <w:sz w:val="24"/>
              </w:rPr>
            </w:pPr>
          </w:p>
        </w:tc>
        <w:tc>
          <w:tcPr>
            <w:tcW w:w="1535" w:type="dxa"/>
            <w:vMerge w:val="continue"/>
            <w:vAlign w:val="center"/>
          </w:tcPr>
          <w:p w14:paraId="59F057D8">
            <w:pPr>
              <w:pStyle w:val="15"/>
              <w:widowControl/>
              <w:kinsoku w:val="0"/>
              <w:autoSpaceDE w:val="0"/>
              <w:autoSpaceDN w:val="0"/>
              <w:adjustRightInd w:val="0"/>
              <w:snapToGrid w:val="0"/>
              <w:spacing w:line="224" w:lineRule="auto"/>
              <w:jc w:val="center"/>
              <w:textAlignment w:val="baseline"/>
              <w:rPr>
                <w:spacing w:val="-3"/>
                <w:sz w:val="24"/>
                <w:szCs w:val="24"/>
              </w:rPr>
            </w:pPr>
          </w:p>
        </w:tc>
        <w:tc>
          <w:tcPr>
            <w:tcW w:w="2160" w:type="dxa"/>
            <w:gridSpan w:val="2"/>
            <w:vAlign w:val="center"/>
          </w:tcPr>
          <w:p w14:paraId="79C98840">
            <w:pPr>
              <w:pStyle w:val="15"/>
              <w:widowControl/>
              <w:kinsoku w:val="0"/>
              <w:autoSpaceDE w:val="0"/>
              <w:autoSpaceDN w:val="0"/>
              <w:adjustRightInd w:val="0"/>
              <w:snapToGrid w:val="0"/>
              <w:spacing w:line="224" w:lineRule="auto"/>
              <w:jc w:val="center"/>
              <w:textAlignment w:val="baseline"/>
              <w:rPr>
                <w:spacing w:val="-3"/>
                <w:sz w:val="24"/>
                <w:szCs w:val="24"/>
                <w:lang w:eastAsia="zh-CN"/>
              </w:rPr>
            </w:pPr>
            <w:r>
              <w:rPr>
                <w:rFonts w:hint="eastAsia"/>
                <w:spacing w:val="-3"/>
                <w:sz w:val="24"/>
                <w:szCs w:val="24"/>
                <w:lang w:eastAsia="zh-CN"/>
              </w:rPr>
              <w:t>分成比例</w:t>
            </w:r>
            <w:r>
              <w:rPr>
                <w:rFonts w:hint="eastAsia"/>
                <w:spacing w:val="-6"/>
                <w:sz w:val="24"/>
                <w:szCs w:val="24"/>
                <w:lang w:eastAsia="zh-CN"/>
              </w:rPr>
              <w:t>K</w:t>
            </w:r>
            <w:r>
              <w:rPr>
                <w:rFonts w:hint="eastAsia"/>
                <w:spacing w:val="-6"/>
                <w:sz w:val="32"/>
                <w:szCs w:val="32"/>
                <w:vertAlign w:val="subscript"/>
                <w:lang w:eastAsia="zh-CN"/>
              </w:rPr>
              <w:t>常享</w:t>
            </w:r>
          </w:p>
        </w:tc>
        <w:tc>
          <w:tcPr>
            <w:tcW w:w="2179" w:type="dxa"/>
            <w:vAlign w:val="center"/>
          </w:tcPr>
          <w:p w14:paraId="6F1A6115">
            <w:pPr>
              <w:keepNext w:val="0"/>
              <w:keepLines w:val="0"/>
              <w:pageBreakBefore w:val="0"/>
              <w:widowControl/>
              <w:kinsoku w:val="0"/>
              <w:wordWrap/>
              <w:overflowPunct/>
              <w:topLinePunct w:val="0"/>
              <w:autoSpaceDE w:val="0"/>
              <w:autoSpaceDN w:val="0"/>
              <w:bidi w:val="0"/>
              <w:adjustRightInd w:val="0"/>
              <w:snapToGrid w:val="0"/>
              <w:ind w:left="0" w:leftChars="0" w:right="0" w:rightChars="0" w:firstLine="0" w:firstLineChars="0"/>
              <w:jc w:val="center"/>
              <w:textAlignment w:val="baseline"/>
              <w:rPr>
                <w:rFonts w:ascii="楷体" w:hAnsi="楷体" w:eastAsia="楷体" w:cs="楷体"/>
                <w:sz w:val="24"/>
              </w:rPr>
            </w:pPr>
            <w:r>
              <w:rPr>
                <w:rFonts w:hint="eastAsia" w:ascii="楷体" w:hAnsi="楷体" w:eastAsia="楷体" w:cs="楷体"/>
                <w:color w:val="auto"/>
                <w:sz w:val="24"/>
                <w:szCs w:val="24"/>
                <w:highlight w:val="none"/>
                <w:lang w:val="en-US" w:eastAsia="zh-CN"/>
              </w:rPr>
              <w:t>无</w:t>
            </w:r>
          </w:p>
        </w:tc>
        <w:tc>
          <w:tcPr>
            <w:tcW w:w="2136" w:type="dxa"/>
            <w:vAlign w:val="center"/>
          </w:tcPr>
          <w:p w14:paraId="0D181DD0">
            <w:pPr>
              <w:widowControl/>
              <w:kinsoku w:val="0"/>
              <w:autoSpaceDE w:val="0"/>
              <w:autoSpaceDN w:val="0"/>
              <w:adjustRightInd w:val="0"/>
              <w:snapToGrid w:val="0"/>
              <w:jc w:val="center"/>
              <w:textAlignment w:val="baseline"/>
              <w:rPr>
                <w:rFonts w:ascii="楷体" w:hAnsi="楷体" w:eastAsia="楷体" w:cs="楷体"/>
                <w:sz w:val="24"/>
              </w:rPr>
            </w:pPr>
            <w:r>
              <w:rPr>
                <w:rFonts w:hint="eastAsia" w:ascii="楷体" w:hAnsi="楷体" w:eastAsia="楷体" w:cs="楷体"/>
                <w:spacing w:val="3"/>
                <w:sz w:val="19"/>
                <w:szCs w:val="19"/>
              </w:rPr>
              <w:t>0≤K</w:t>
            </w:r>
            <w:r>
              <w:rPr>
                <w:rFonts w:hint="eastAsia" w:ascii="楷体" w:hAnsi="楷体" w:eastAsia="楷体" w:cs="楷体"/>
                <w:spacing w:val="-6"/>
                <w:sz w:val="32"/>
                <w:szCs w:val="32"/>
                <w:vertAlign w:val="subscript"/>
              </w:rPr>
              <w:t>常享</w:t>
            </w:r>
            <w:r>
              <w:rPr>
                <w:rFonts w:hint="eastAsia" w:ascii="楷体" w:hAnsi="楷体" w:eastAsia="楷体" w:cs="楷体"/>
                <w:spacing w:val="3"/>
                <w:sz w:val="19"/>
                <w:szCs w:val="19"/>
              </w:rPr>
              <w:t>≤1</w:t>
            </w:r>
          </w:p>
        </w:tc>
      </w:tr>
      <w:tr w14:paraId="01963D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1867" w:type="dxa"/>
            <w:vMerge w:val="continue"/>
            <w:tcBorders>
              <w:top w:val="nil"/>
            </w:tcBorders>
            <w:vAlign w:val="center"/>
          </w:tcPr>
          <w:p w14:paraId="0C7CB276">
            <w:pPr>
              <w:widowControl/>
              <w:kinsoku w:val="0"/>
              <w:autoSpaceDE w:val="0"/>
              <w:autoSpaceDN w:val="0"/>
              <w:adjustRightInd w:val="0"/>
              <w:snapToGrid w:val="0"/>
              <w:jc w:val="center"/>
              <w:textAlignment w:val="baseline"/>
              <w:rPr>
                <w:rFonts w:ascii="楷体" w:hAnsi="楷体" w:eastAsia="楷体" w:cs="楷体"/>
                <w:b/>
                <w:bCs/>
                <w:sz w:val="24"/>
              </w:rPr>
            </w:pPr>
          </w:p>
        </w:tc>
        <w:tc>
          <w:tcPr>
            <w:tcW w:w="1535" w:type="dxa"/>
            <w:vMerge w:val="continue"/>
            <w:vAlign w:val="center"/>
          </w:tcPr>
          <w:p w14:paraId="69686C19">
            <w:pPr>
              <w:pStyle w:val="15"/>
              <w:widowControl/>
              <w:kinsoku w:val="0"/>
              <w:autoSpaceDE w:val="0"/>
              <w:autoSpaceDN w:val="0"/>
              <w:adjustRightInd w:val="0"/>
              <w:snapToGrid w:val="0"/>
              <w:spacing w:line="224" w:lineRule="auto"/>
              <w:jc w:val="center"/>
              <w:textAlignment w:val="baseline"/>
              <w:rPr>
                <w:spacing w:val="-3"/>
                <w:sz w:val="24"/>
                <w:szCs w:val="24"/>
              </w:rPr>
            </w:pPr>
          </w:p>
        </w:tc>
        <w:tc>
          <w:tcPr>
            <w:tcW w:w="2160" w:type="dxa"/>
            <w:gridSpan w:val="2"/>
            <w:vAlign w:val="center"/>
          </w:tcPr>
          <w:p w14:paraId="3D8F6B17">
            <w:pPr>
              <w:pStyle w:val="15"/>
              <w:widowControl/>
              <w:kinsoku w:val="0"/>
              <w:autoSpaceDE w:val="0"/>
              <w:autoSpaceDN w:val="0"/>
              <w:adjustRightInd w:val="0"/>
              <w:snapToGrid w:val="0"/>
              <w:spacing w:line="224" w:lineRule="auto"/>
              <w:jc w:val="center"/>
              <w:textAlignment w:val="baseline"/>
              <w:rPr>
                <w:sz w:val="24"/>
                <w:szCs w:val="24"/>
              </w:rPr>
            </w:pPr>
            <w:r>
              <w:rPr>
                <w:rFonts w:hint="eastAsia"/>
                <w:spacing w:val="-3"/>
                <w:sz w:val="24"/>
                <w:szCs w:val="24"/>
                <w:lang w:eastAsia="zh-CN"/>
              </w:rPr>
              <w:t>分成比例</w:t>
            </w:r>
            <w:r>
              <w:rPr>
                <w:rFonts w:hint="eastAsia"/>
                <w:spacing w:val="-6"/>
                <w:sz w:val="24"/>
                <w:szCs w:val="24"/>
                <w:lang w:eastAsia="zh-CN"/>
              </w:rPr>
              <w:t>K</w:t>
            </w:r>
            <w:r>
              <w:rPr>
                <w:rFonts w:hint="eastAsia"/>
                <w:spacing w:val="-6"/>
                <w:sz w:val="32"/>
                <w:szCs w:val="32"/>
                <w:vertAlign w:val="subscript"/>
                <w:lang w:eastAsia="zh-CN"/>
              </w:rPr>
              <w:t>常担</w:t>
            </w:r>
          </w:p>
        </w:tc>
        <w:tc>
          <w:tcPr>
            <w:tcW w:w="2179" w:type="dxa"/>
            <w:vAlign w:val="center"/>
          </w:tcPr>
          <w:p w14:paraId="4F773C1A">
            <w:pPr>
              <w:keepNext w:val="0"/>
              <w:keepLines w:val="0"/>
              <w:pageBreakBefore w:val="0"/>
              <w:widowControl/>
              <w:kinsoku w:val="0"/>
              <w:wordWrap/>
              <w:overflowPunct/>
              <w:topLinePunct w:val="0"/>
              <w:autoSpaceDE w:val="0"/>
              <w:autoSpaceDN w:val="0"/>
              <w:bidi w:val="0"/>
              <w:adjustRightInd w:val="0"/>
              <w:snapToGrid w:val="0"/>
              <w:ind w:left="0" w:leftChars="0" w:right="0" w:rightChars="0" w:firstLine="0" w:firstLineChars="0"/>
              <w:jc w:val="center"/>
              <w:textAlignment w:val="baseline"/>
              <w:rPr>
                <w:rFonts w:ascii="楷体" w:hAnsi="楷体" w:eastAsia="楷体" w:cs="楷体"/>
                <w:sz w:val="24"/>
              </w:rPr>
            </w:pPr>
            <w:r>
              <w:rPr>
                <w:rFonts w:hint="eastAsia" w:ascii="楷体" w:hAnsi="楷体" w:eastAsia="楷体" w:cs="楷体"/>
                <w:color w:val="auto"/>
                <w:sz w:val="24"/>
                <w:szCs w:val="24"/>
                <w:highlight w:val="none"/>
                <w:lang w:val="en-US" w:eastAsia="zh-CN"/>
              </w:rPr>
              <w:t>无</w:t>
            </w:r>
          </w:p>
        </w:tc>
        <w:tc>
          <w:tcPr>
            <w:tcW w:w="2136" w:type="dxa"/>
            <w:vAlign w:val="center"/>
          </w:tcPr>
          <w:p w14:paraId="6D37400F">
            <w:pPr>
              <w:widowControl/>
              <w:kinsoku w:val="0"/>
              <w:autoSpaceDE w:val="0"/>
              <w:autoSpaceDN w:val="0"/>
              <w:adjustRightInd w:val="0"/>
              <w:snapToGrid w:val="0"/>
              <w:jc w:val="center"/>
              <w:textAlignment w:val="baseline"/>
              <w:rPr>
                <w:rFonts w:ascii="楷体" w:hAnsi="楷体" w:eastAsia="楷体" w:cs="楷体"/>
                <w:sz w:val="24"/>
              </w:rPr>
            </w:pPr>
            <w:r>
              <w:rPr>
                <w:rFonts w:hint="eastAsia" w:ascii="楷体" w:hAnsi="楷体" w:eastAsia="楷体" w:cs="楷体"/>
                <w:spacing w:val="3"/>
                <w:sz w:val="19"/>
                <w:szCs w:val="19"/>
              </w:rPr>
              <w:t>0≤K</w:t>
            </w:r>
            <w:r>
              <w:rPr>
                <w:rFonts w:hint="eastAsia" w:ascii="楷体" w:hAnsi="楷体" w:eastAsia="楷体" w:cs="楷体"/>
                <w:spacing w:val="-6"/>
                <w:sz w:val="32"/>
                <w:szCs w:val="32"/>
                <w:vertAlign w:val="subscript"/>
              </w:rPr>
              <w:t>常担</w:t>
            </w:r>
            <w:r>
              <w:rPr>
                <w:rFonts w:hint="eastAsia" w:ascii="楷体" w:hAnsi="楷体" w:eastAsia="楷体" w:cs="楷体"/>
                <w:spacing w:val="3"/>
                <w:sz w:val="19"/>
                <w:szCs w:val="19"/>
              </w:rPr>
              <w:t>≤1</w:t>
            </w:r>
          </w:p>
        </w:tc>
      </w:tr>
      <w:tr w14:paraId="74D91F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1867" w:type="dxa"/>
            <w:vMerge w:val="restart"/>
            <w:vAlign w:val="center"/>
          </w:tcPr>
          <w:p w14:paraId="28EE9068">
            <w:pPr>
              <w:pStyle w:val="15"/>
              <w:widowControl/>
              <w:kinsoku w:val="0"/>
              <w:autoSpaceDE w:val="0"/>
              <w:autoSpaceDN w:val="0"/>
              <w:adjustRightInd w:val="0"/>
              <w:snapToGrid w:val="0"/>
              <w:spacing w:line="227" w:lineRule="auto"/>
              <w:jc w:val="center"/>
              <w:textAlignment w:val="baseline"/>
              <w:rPr>
                <w:b/>
                <w:bCs/>
                <w:sz w:val="24"/>
                <w:szCs w:val="24"/>
                <w:lang w:eastAsia="zh-CN"/>
              </w:rPr>
            </w:pPr>
            <w:r>
              <w:rPr>
                <w:rFonts w:hint="eastAsia"/>
                <w:b/>
                <w:bCs/>
                <w:sz w:val="24"/>
                <w:szCs w:val="24"/>
                <w:lang w:eastAsia="zh-CN"/>
              </w:rPr>
              <w:t>1.2绿色电力电价</w:t>
            </w:r>
          </w:p>
          <w:p w14:paraId="4E0BA4F9">
            <w:pPr>
              <w:pStyle w:val="15"/>
              <w:widowControl/>
              <w:kinsoku w:val="0"/>
              <w:autoSpaceDE w:val="0"/>
              <w:autoSpaceDN w:val="0"/>
              <w:adjustRightInd w:val="0"/>
              <w:snapToGrid w:val="0"/>
              <w:spacing w:line="227" w:lineRule="auto"/>
              <w:jc w:val="center"/>
              <w:textAlignment w:val="baseline"/>
              <w:rPr>
                <w:b/>
                <w:bCs/>
                <w:sz w:val="24"/>
                <w:szCs w:val="24"/>
                <w:lang w:eastAsia="zh-CN"/>
              </w:rPr>
            </w:pPr>
            <w:r>
              <w:rPr>
                <w:rFonts w:hint="eastAsia"/>
                <w:b/>
                <w:bCs/>
                <w:sz w:val="24"/>
                <w:szCs w:val="24"/>
                <w:lang w:eastAsia="zh-CN"/>
              </w:rPr>
              <w:t>（有绿电需求的必填，ABC三选一,且须与常规电力套餐一致）</w:t>
            </w:r>
          </w:p>
        </w:tc>
        <w:tc>
          <w:tcPr>
            <w:tcW w:w="1535" w:type="dxa"/>
            <w:vAlign w:val="center"/>
          </w:tcPr>
          <w:p w14:paraId="31770DF9">
            <w:pPr>
              <w:pStyle w:val="15"/>
              <w:widowControl/>
              <w:kinsoku w:val="0"/>
              <w:autoSpaceDE w:val="0"/>
              <w:autoSpaceDN w:val="0"/>
              <w:adjustRightInd w:val="0"/>
              <w:snapToGrid w:val="0"/>
              <w:spacing w:line="231" w:lineRule="auto"/>
              <w:jc w:val="center"/>
              <w:textAlignment w:val="baseline"/>
              <w:rPr>
                <w:snapToGrid w:val="0"/>
                <w:spacing w:val="-6"/>
                <w:kern w:val="0"/>
                <w:sz w:val="24"/>
                <w:szCs w:val="24"/>
                <w:lang w:eastAsia="zh-CN"/>
              </w:rPr>
            </w:pPr>
            <w:r>
              <w:rPr>
                <w:rFonts w:hint="eastAsia"/>
                <w:spacing w:val="-6"/>
                <w:sz w:val="24"/>
                <w:szCs w:val="24"/>
                <w:lang w:eastAsia="zh-CN"/>
              </w:rPr>
              <w:t>A固定价格</w:t>
            </w:r>
          </w:p>
        </w:tc>
        <w:tc>
          <w:tcPr>
            <w:tcW w:w="2160" w:type="dxa"/>
            <w:gridSpan w:val="2"/>
            <w:vAlign w:val="center"/>
          </w:tcPr>
          <w:p w14:paraId="1FC82148">
            <w:pPr>
              <w:pStyle w:val="15"/>
              <w:widowControl/>
              <w:kinsoku w:val="0"/>
              <w:autoSpaceDE w:val="0"/>
              <w:autoSpaceDN w:val="0"/>
              <w:adjustRightInd w:val="0"/>
              <w:snapToGrid w:val="0"/>
              <w:spacing w:line="231" w:lineRule="auto"/>
              <w:jc w:val="center"/>
              <w:textAlignment w:val="baseline"/>
              <w:rPr>
                <w:snapToGrid w:val="0"/>
                <w:kern w:val="0"/>
                <w:sz w:val="24"/>
                <w:szCs w:val="24"/>
              </w:rPr>
            </w:pPr>
            <w:r>
              <w:rPr>
                <w:rFonts w:hint="eastAsia"/>
                <w:spacing w:val="-6"/>
                <w:sz w:val="24"/>
                <w:szCs w:val="24"/>
              </w:rPr>
              <w:t>固定</w:t>
            </w:r>
            <w:r>
              <w:rPr>
                <w:rFonts w:hint="eastAsia"/>
                <w:spacing w:val="-6"/>
                <w:sz w:val="24"/>
                <w:szCs w:val="24"/>
                <w:lang w:eastAsia="zh-CN"/>
              </w:rPr>
              <w:t>价格P</w:t>
            </w:r>
            <w:r>
              <w:rPr>
                <w:rFonts w:hint="eastAsia"/>
                <w:spacing w:val="-6"/>
                <w:sz w:val="32"/>
                <w:szCs w:val="32"/>
                <w:vertAlign w:val="subscript"/>
                <w:lang w:eastAsia="zh-CN"/>
              </w:rPr>
              <w:t>绿固</w:t>
            </w:r>
          </w:p>
        </w:tc>
        <w:tc>
          <w:tcPr>
            <w:tcW w:w="2179" w:type="dxa"/>
            <w:vAlign w:val="center"/>
          </w:tcPr>
          <w:p w14:paraId="7A732C0D">
            <w:pPr>
              <w:keepNext w:val="0"/>
              <w:keepLines w:val="0"/>
              <w:pageBreakBefore w:val="0"/>
              <w:widowControl/>
              <w:kinsoku w:val="0"/>
              <w:wordWrap/>
              <w:overflowPunct/>
              <w:topLinePunct w:val="0"/>
              <w:autoSpaceDE w:val="0"/>
              <w:autoSpaceDN w:val="0"/>
              <w:bidi w:val="0"/>
              <w:adjustRightInd w:val="0"/>
              <w:snapToGrid w:val="0"/>
              <w:ind w:left="0" w:leftChars="0" w:right="0" w:rightChars="0" w:firstLine="0" w:firstLineChars="0"/>
              <w:jc w:val="center"/>
              <w:textAlignment w:val="baseline"/>
              <w:rPr>
                <w:rFonts w:ascii="楷体" w:hAnsi="楷体" w:eastAsia="楷体" w:cs="楷体"/>
                <w:sz w:val="24"/>
              </w:rPr>
            </w:pPr>
            <w:r>
              <w:rPr>
                <w:rFonts w:hint="eastAsia" w:ascii="楷体" w:hAnsi="楷体" w:eastAsia="楷体" w:cs="楷体"/>
                <w:color w:val="auto"/>
                <w:sz w:val="24"/>
                <w:szCs w:val="24"/>
                <w:highlight w:val="none"/>
                <w:lang w:val="en-US" w:eastAsia="zh-CN"/>
              </w:rPr>
              <w:t>无</w:t>
            </w:r>
          </w:p>
        </w:tc>
        <w:tc>
          <w:tcPr>
            <w:tcW w:w="2136" w:type="dxa"/>
            <w:vAlign w:val="center"/>
          </w:tcPr>
          <w:p w14:paraId="745E6DFB">
            <w:pPr>
              <w:pStyle w:val="15"/>
              <w:widowControl/>
              <w:kinsoku w:val="0"/>
              <w:autoSpaceDE w:val="0"/>
              <w:autoSpaceDN w:val="0"/>
              <w:adjustRightInd w:val="0"/>
              <w:snapToGrid w:val="0"/>
              <w:jc w:val="center"/>
              <w:textAlignment w:val="baseline"/>
              <w:rPr>
                <w:snapToGrid w:val="0"/>
                <w:kern w:val="0"/>
                <w:sz w:val="24"/>
                <w:szCs w:val="24"/>
              </w:rPr>
            </w:pPr>
            <w:r>
              <w:rPr>
                <w:rFonts w:hint="eastAsia"/>
                <w:spacing w:val="3"/>
                <w:sz w:val="19"/>
                <w:szCs w:val="19"/>
                <w:lang w:eastAsia="zh-CN"/>
              </w:rPr>
              <w:t>287.84</w:t>
            </w:r>
            <w:r>
              <w:rPr>
                <w:rFonts w:hint="eastAsia"/>
                <w:spacing w:val="3"/>
                <w:sz w:val="19"/>
                <w:szCs w:val="19"/>
              </w:rPr>
              <w:t>≤</w:t>
            </w:r>
            <w:r>
              <w:rPr>
                <w:rFonts w:hint="eastAsia"/>
                <w:spacing w:val="-6"/>
                <w:sz w:val="19"/>
                <w:szCs w:val="19"/>
                <w:lang w:eastAsia="zh-CN"/>
              </w:rPr>
              <w:t>P</w:t>
            </w:r>
            <w:r>
              <w:rPr>
                <w:rFonts w:hint="eastAsia"/>
                <w:spacing w:val="-6"/>
                <w:sz w:val="32"/>
                <w:szCs w:val="32"/>
                <w:vertAlign w:val="subscript"/>
                <w:lang w:eastAsia="zh-CN"/>
              </w:rPr>
              <w:t>绿固</w:t>
            </w:r>
            <w:r>
              <w:rPr>
                <w:rFonts w:hint="eastAsia"/>
                <w:spacing w:val="3"/>
                <w:sz w:val="19"/>
                <w:szCs w:val="19"/>
              </w:rPr>
              <w:t>≤</w:t>
            </w:r>
            <w:r>
              <w:rPr>
                <w:rFonts w:hint="eastAsia"/>
                <w:spacing w:val="3"/>
                <w:sz w:val="19"/>
                <w:szCs w:val="19"/>
                <w:lang w:eastAsia="zh-CN"/>
              </w:rPr>
              <w:t>431.76</w:t>
            </w:r>
          </w:p>
        </w:tc>
      </w:tr>
      <w:tr w14:paraId="1297A9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1867" w:type="dxa"/>
            <w:vMerge w:val="continue"/>
            <w:vAlign w:val="center"/>
          </w:tcPr>
          <w:p w14:paraId="656A1512">
            <w:pPr>
              <w:pStyle w:val="15"/>
              <w:widowControl/>
              <w:kinsoku w:val="0"/>
              <w:autoSpaceDE w:val="0"/>
              <w:autoSpaceDN w:val="0"/>
              <w:adjustRightInd w:val="0"/>
              <w:snapToGrid w:val="0"/>
              <w:spacing w:line="227" w:lineRule="auto"/>
              <w:jc w:val="center"/>
              <w:textAlignment w:val="baseline"/>
              <w:rPr>
                <w:b/>
                <w:bCs/>
                <w:sz w:val="24"/>
                <w:szCs w:val="24"/>
              </w:rPr>
            </w:pPr>
          </w:p>
        </w:tc>
        <w:tc>
          <w:tcPr>
            <w:tcW w:w="1535" w:type="dxa"/>
            <w:vMerge w:val="restart"/>
            <w:vAlign w:val="center"/>
          </w:tcPr>
          <w:p w14:paraId="267A50B6">
            <w:pPr>
              <w:pStyle w:val="15"/>
              <w:widowControl/>
              <w:kinsoku w:val="0"/>
              <w:autoSpaceDE w:val="0"/>
              <w:autoSpaceDN w:val="0"/>
              <w:adjustRightInd w:val="0"/>
              <w:snapToGrid w:val="0"/>
              <w:spacing w:line="221" w:lineRule="auto"/>
              <w:jc w:val="center"/>
              <w:textAlignment w:val="baseline"/>
              <w:rPr>
                <w:snapToGrid w:val="0"/>
                <w:spacing w:val="-3"/>
                <w:kern w:val="0"/>
                <w:sz w:val="24"/>
                <w:szCs w:val="24"/>
                <w:lang w:eastAsia="zh-CN"/>
              </w:rPr>
            </w:pPr>
            <w:r>
              <w:rPr>
                <w:rFonts w:hint="eastAsia"/>
                <w:spacing w:val="-3"/>
                <w:sz w:val="24"/>
                <w:szCs w:val="24"/>
                <w:lang w:eastAsia="zh-CN"/>
              </w:rPr>
              <w:t>B联动价格</w:t>
            </w:r>
          </w:p>
        </w:tc>
        <w:tc>
          <w:tcPr>
            <w:tcW w:w="2160" w:type="dxa"/>
            <w:gridSpan w:val="2"/>
            <w:vAlign w:val="center"/>
          </w:tcPr>
          <w:p w14:paraId="4ADF8CA2">
            <w:pPr>
              <w:pStyle w:val="15"/>
              <w:widowControl/>
              <w:kinsoku w:val="0"/>
              <w:autoSpaceDE w:val="0"/>
              <w:autoSpaceDN w:val="0"/>
              <w:adjustRightInd w:val="0"/>
              <w:snapToGrid w:val="0"/>
              <w:spacing w:line="221" w:lineRule="auto"/>
              <w:jc w:val="center"/>
              <w:textAlignment w:val="baseline"/>
              <w:rPr>
                <w:spacing w:val="-6"/>
                <w:sz w:val="24"/>
                <w:szCs w:val="24"/>
                <w:lang w:eastAsia="zh-CN"/>
              </w:rPr>
            </w:pPr>
            <w:r>
              <w:rPr>
                <w:rFonts w:hint="eastAsia"/>
                <w:spacing w:val="-6"/>
                <w:sz w:val="24"/>
                <w:szCs w:val="24"/>
                <w:lang w:eastAsia="zh-CN"/>
              </w:rPr>
              <w:t>基准价格P</w:t>
            </w:r>
            <w:r>
              <w:rPr>
                <w:rFonts w:hint="eastAsia"/>
                <w:spacing w:val="-6"/>
                <w:sz w:val="32"/>
                <w:szCs w:val="32"/>
                <w:vertAlign w:val="subscript"/>
                <w:lang w:eastAsia="zh-CN"/>
              </w:rPr>
              <w:t>绿基</w:t>
            </w:r>
          </w:p>
        </w:tc>
        <w:tc>
          <w:tcPr>
            <w:tcW w:w="2179" w:type="dxa"/>
            <w:vAlign w:val="center"/>
          </w:tcPr>
          <w:p w14:paraId="204C9DC9">
            <w:pPr>
              <w:keepNext w:val="0"/>
              <w:keepLines w:val="0"/>
              <w:pageBreakBefore w:val="0"/>
              <w:widowControl/>
              <w:kinsoku w:val="0"/>
              <w:wordWrap/>
              <w:overflowPunct/>
              <w:topLinePunct w:val="0"/>
              <w:autoSpaceDE w:val="0"/>
              <w:autoSpaceDN w:val="0"/>
              <w:bidi w:val="0"/>
              <w:adjustRightInd w:val="0"/>
              <w:snapToGrid w:val="0"/>
              <w:ind w:left="0" w:leftChars="0" w:right="0" w:rightChars="0" w:firstLine="0" w:firstLineChars="0"/>
              <w:jc w:val="center"/>
              <w:textAlignment w:val="baseline"/>
              <w:rPr>
                <w:rFonts w:ascii="楷体" w:hAnsi="楷体" w:eastAsia="楷体" w:cs="楷体"/>
                <w:sz w:val="24"/>
              </w:rPr>
            </w:pPr>
            <w:r>
              <w:rPr>
                <w:rFonts w:hint="eastAsia" w:ascii="楷体" w:hAnsi="楷体" w:eastAsia="楷体" w:cs="楷体"/>
                <w:color w:val="auto"/>
                <w:spacing w:val="-6"/>
                <w:sz w:val="24"/>
                <w:szCs w:val="24"/>
                <w:highlight w:val="none"/>
                <w:lang w:val="en-US" w:eastAsia="zh-CN"/>
              </w:rPr>
              <w:t>P</w:t>
            </w:r>
            <w:r>
              <w:rPr>
                <w:rFonts w:hint="eastAsia" w:cs="楷体"/>
                <w:color w:val="auto"/>
                <w:spacing w:val="-6"/>
                <w:sz w:val="32"/>
                <w:szCs w:val="32"/>
                <w:highlight w:val="none"/>
                <w:vertAlign w:val="subscript"/>
                <w:lang w:val="en-US" w:eastAsia="zh-CN"/>
              </w:rPr>
              <w:t>绿批</w:t>
            </w:r>
          </w:p>
        </w:tc>
        <w:tc>
          <w:tcPr>
            <w:tcW w:w="2136" w:type="dxa"/>
            <w:vAlign w:val="center"/>
          </w:tcPr>
          <w:p w14:paraId="26162128">
            <w:pPr>
              <w:pStyle w:val="15"/>
              <w:widowControl/>
              <w:kinsoku w:val="0"/>
              <w:autoSpaceDE w:val="0"/>
              <w:autoSpaceDN w:val="0"/>
              <w:adjustRightInd w:val="0"/>
              <w:snapToGrid w:val="0"/>
              <w:jc w:val="center"/>
              <w:textAlignment w:val="baseline"/>
              <w:rPr>
                <w:spacing w:val="3"/>
                <w:sz w:val="16"/>
                <w:szCs w:val="16"/>
                <w:lang w:eastAsia="zh-CN"/>
              </w:rPr>
            </w:pPr>
            <w:r>
              <w:rPr>
                <w:rFonts w:hint="eastAsia"/>
                <w:spacing w:val="-6"/>
                <w:sz w:val="24"/>
                <w:szCs w:val="24"/>
                <w:lang w:eastAsia="zh-CN"/>
              </w:rPr>
              <w:t>P</w:t>
            </w:r>
            <w:r>
              <w:rPr>
                <w:rFonts w:hint="eastAsia"/>
                <w:spacing w:val="-6"/>
                <w:sz w:val="32"/>
                <w:szCs w:val="32"/>
                <w:vertAlign w:val="subscript"/>
                <w:lang w:eastAsia="zh-CN"/>
              </w:rPr>
              <w:t>绿批</w:t>
            </w:r>
            <w:r>
              <w:rPr>
                <w:rFonts w:hint="eastAsia"/>
                <w:spacing w:val="-6"/>
                <w:sz w:val="24"/>
                <w:szCs w:val="24"/>
                <w:lang w:eastAsia="zh-CN"/>
              </w:rPr>
              <w:t>或P</w:t>
            </w:r>
            <w:r>
              <w:rPr>
                <w:rFonts w:hint="eastAsia"/>
                <w:spacing w:val="-6"/>
                <w:sz w:val="32"/>
                <w:szCs w:val="32"/>
                <w:vertAlign w:val="subscript"/>
                <w:lang w:eastAsia="zh-CN"/>
              </w:rPr>
              <w:t>绿售</w:t>
            </w:r>
          </w:p>
        </w:tc>
      </w:tr>
      <w:tr w14:paraId="5ED16A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1867" w:type="dxa"/>
            <w:vMerge w:val="continue"/>
            <w:vAlign w:val="center"/>
          </w:tcPr>
          <w:p w14:paraId="3679823E">
            <w:pPr>
              <w:pStyle w:val="15"/>
              <w:widowControl/>
              <w:kinsoku w:val="0"/>
              <w:autoSpaceDE w:val="0"/>
              <w:autoSpaceDN w:val="0"/>
              <w:adjustRightInd w:val="0"/>
              <w:snapToGrid w:val="0"/>
              <w:spacing w:line="227" w:lineRule="auto"/>
              <w:jc w:val="center"/>
              <w:textAlignment w:val="baseline"/>
              <w:rPr>
                <w:b/>
                <w:bCs/>
                <w:sz w:val="24"/>
                <w:szCs w:val="24"/>
              </w:rPr>
            </w:pPr>
          </w:p>
        </w:tc>
        <w:tc>
          <w:tcPr>
            <w:tcW w:w="1535" w:type="dxa"/>
            <w:vMerge w:val="continue"/>
            <w:vAlign w:val="center"/>
          </w:tcPr>
          <w:p w14:paraId="42DA55E9">
            <w:pPr>
              <w:pStyle w:val="15"/>
              <w:widowControl/>
              <w:kinsoku w:val="0"/>
              <w:autoSpaceDE w:val="0"/>
              <w:autoSpaceDN w:val="0"/>
              <w:adjustRightInd w:val="0"/>
              <w:snapToGrid w:val="0"/>
              <w:spacing w:line="221" w:lineRule="auto"/>
              <w:jc w:val="center"/>
              <w:textAlignment w:val="baseline"/>
              <w:rPr>
                <w:snapToGrid w:val="0"/>
                <w:spacing w:val="-3"/>
                <w:kern w:val="0"/>
                <w:sz w:val="24"/>
                <w:szCs w:val="24"/>
                <w:lang w:eastAsia="zh-CN"/>
              </w:rPr>
            </w:pPr>
          </w:p>
        </w:tc>
        <w:tc>
          <w:tcPr>
            <w:tcW w:w="2160" w:type="dxa"/>
            <w:gridSpan w:val="2"/>
            <w:vAlign w:val="center"/>
          </w:tcPr>
          <w:p w14:paraId="7AF293A6">
            <w:pPr>
              <w:pStyle w:val="15"/>
              <w:widowControl/>
              <w:kinsoku w:val="0"/>
              <w:autoSpaceDE w:val="0"/>
              <w:autoSpaceDN w:val="0"/>
              <w:adjustRightInd w:val="0"/>
              <w:snapToGrid w:val="0"/>
              <w:spacing w:line="221" w:lineRule="auto"/>
              <w:jc w:val="center"/>
              <w:textAlignment w:val="baseline"/>
              <w:rPr>
                <w:snapToGrid w:val="0"/>
                <w:kern w:val="0"/>
                <w:sz w:val="24"/>
                <w:szCs w:val="24"/>
              </w:rPr>
            </w:pPr>
            <w:r>
              <w:rPr>
                <w:rFonts w:hint="eastAsia"/>
                <w:spacing w:val="-6"/>
                <w:sz w:val="24"/>
                <w:szCs w:val="24"/>
                <w:lang w:eastAsia="zh-CN"/>
              </w:rPr>
              <w:t>浮动价格P</w:t>
            </w:r>
            <w:r>
              <w:rPr>
                <w:rFonts w:hint="eastAsia"/>
                <w:spacing w:val="-6"/>
                <w:sz w:val="32"/>
                <w:szCs w:val="32"/>
                <w:vertAlign w:val="subscript"/>
                <w:lang w:eastAsia="zh-CN"/>
              </w:rPr>
              <w:t>绿浮</w:t>
            </w:r>
          </w:p>
        </w:tc>
        <w:tc>
          <w:tcPr>
            <w:tcW w:w="2179" w:type="dxa"/>
            <w:vAlign w:val="center"/>
          </w:tcPr>
          <w:p w14:paraId="500CD8D8">
            <w:pPr>
              <w:keepNext w:val="0"/>
              <w:keepLines w:val="0"/>
              <w:pageBreakBefore w:val="0"/>
              <w:widowControl/>
              <w:kinsoku w:val="0"/>
              <w:wordWrap/>
              <w:overflowPunct/>
              <w:topLinePunct w:val="0"/>
              <w:autoSpaceDE w:val="0"/>
              <w:autoSpaceDN w:val="0"/>
              <w:bidi w:val="0"/>
              <w:adjustRightInd w:val="0"/>
              <w:snapToGrid w:val="0"/>
              <w:ind w:left="0" w:leftChars="0" w:right="0" w:rightChars="0" w:firstLine="0" w:firstLineChars="0"/>
              <w:jc w:val="center"/>
              <w:textAlignment w:val="baseline"/>
              <w:rPr>
                <w:rFonts w:ascii="楷体" w:hAnsi="楷体" w:eastAsia="楷体" w:cs="楷体"/>
                <w:sz w:val="24"/>
              </w:rPr>
            </w:pPr>
            <w:r>
              <w:rPr>
                <w:rFonts w:hint="eastAsia" w:cs="宋体"/>
                <w:color w:val="auto"/>
                <w:sz w:val="24"/>
                <w:szCs w:val="24"/>
                <w:highlight w:val="none"/>
                <w:lang w:val="en-US" w:eastAsia="zh-CN"/>
              </w:rPr>
              <w:t>7.73</w:t>
            </w:r>
          </w:p>
        </w:tc>
        <w:tc>
          <w:tcPr>
            <w:tcW w:w="2136" w:type="dxa"/>
            <w:vAlign w:val="center"/>
          </w:tcPr>
          <w:p w14:paraId="34EE4185">
            <w:pPr>
              <w:pStyle w:val="15"/>
              <w:widowControl/>
              <w:kinsoku w:val="0"/>
              <w:autoSpaceDE w:val="0"/>
              <w:autoSpaceDN w:val="0"/>
              <w:adjustRightInd w:val="0"/>
              <w:snapToGrid w:val="0"/>
              <w:jc w:val="center"/>
              <w:textAlignment w:val="baseline"/>
              <w:rPr>
                <w:sz w:val="24"/>
                <w:szCs w:val="24"/>
              </w:rPr>
            </w:pPr>
            <w:r>
              <w:rPr>
                <w:rFonts w:hint="eastAsia"/>
                <w:spacing w:val="3"/>
                <w:sz w:val="16"/>
                <w:szCs w:val="16"/>
                <w:lang w:eastAsia="zh-CN"/>
              </w:rPr>
              <w:t>287.84</w:t>
            </w:r>
            <w:r>
              <w:rPr>
                <w:rFonts w:hint="eastAsia"/>
                <w:spacing w:val="3"/>
                <w:sz w:val="16"/>
                <w:szCs w:val="16"/>
              </w:rPr>
              <w:t>≤</w:t>
            </w:r>
            <w:r>
              <w:rPr>
                <w:rFonts w:hint="eastAsia"/>
                <w:spacing w:val="-6"/>
                <w:sz w:val="19"/>
                <w:szCs w:val="19"/>
                <w:lang w:eastAsia="zh-CN"/>
              </w:rPr>
              <w:t>P</w:t>
            </w:r>
            <w:r>
              <w:rPr>
                <w:rFonts w:hint="eastAsia"/>
                <w:spacing w:val="-6"/>
                <w:sz w:val="24"/>
                <w:szCs w:val="24"/>
                <w:vertAlign w:val="subscript"/>
                <w:lang w:eastAsia="zh-CN"/>
              </w:rPr>
              <w:t>绿基</w:t>
            </w:r>
            <w:r>
              <w:rPr>
                <w:rFonts w:hint="eastAsia"/>
                <w:spacing w:val="3"/>
                <w:sz w:val="16"/>
                <w:szCs w:val="16"/>
              </w:rPr>
              <w:t>＋</w:t>
            </w:r>
            <w:r>
              <w:rPr>
                <w:rFonts w:hint="eastAsia"/>
                <w:spacing w:val="-6"/>
                <w:sz w:val="19"/>
                <w:szCs w:val="19"/>
                <w:lang w:eastAsia="zh-CN"/>
              </w:rPr>
              <w:t>P</w:t>
            </w:r>
            <w:r>
              <w:rPr>
                <w:rFonts w:hint="eastAsia"/>
                <w:spacing w:val="-6"/>
                <w:sz w:val="24"/>
                <w:szCs w:val="24"/>
                <w:vertAlign w:val="subscript"/>
                <w:lang w:eastAsia="zh-CN"/>
              </w:rPr>
              <w:t>绿浮</w:t>
            </w:r>
            <w:r>
              <w:rPr>
                <w:rFonts w:hint="eastAsia"/>
                <w:spacing w:val="3"/>
                <w:sz w:val="16"/>
                <w:szCs w:val="16"/>
              </w:rPr>
              <w:t>≤</w:t>
            </w:r>
            <w:r>
              <w:rPr>
                <w:rFonts w:hint="eastAsia"/>
                <w:spacing w:val="3"/>
                <w:sz w:val="16"/>
                <w:szCs w:val="16"/>
                <w:lang w:eastAsia="zh-CN"/>
              </w:rPr>
              <w:t>431.76</w:t>
            </w:r>
          </w:p>
        </w:tc>
      </w:tr>
      <w:tr w14:paraId="46301C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1867" w:type="dxa"/>
            <w:vMerge w:val="continue"/>
            <w:vAlign w:val="center"/>
          </w:tcPr>
          <w:p w14:paraId="454EF924">
            <w:pPr>
              <w:pStyle w:val="15"/>
              <w:widowControl/>
              <w:kinsoku w:val="0"/>
              <w:autoSpaceDE w:val="0"/>
              <w:autoSpaceDN w:val="0"/>
              <w:adjustRightInd w:val="0"/>
              <w:snapToGrid w:val="0"/>
              <w:spacing w:line="227" w:lineRule="auto"/>
              <w:jc w:val="center"/>
              <w:textAlignment w:val="baseline"/>
              <w:rPr>
                <w:b/>
                <w:bCs/>
                <w:sz w:val="24"/>
                <w:szCs w:val="24"/>
              </w:rPr>
            </w:pPr>
          </w:p>
        </w:tc>
        <w:tc>
          <w:tcPr>
            <w:tcW w:w="1535" w:type="dxa"/>
            <w:vMerge w:val="restart"/>
            <w:vAlign w:val="center"/>
          </w:tcPr>
          <w:p w14:paraId="6EBA18B1">
            <w:pPr>
              <w:pStyle w:val="15"/>
              <w:widowControl/>
              <w:kinsoku w:val="0"/>
              <w:autoSpaceDE w:val="0"/>
              <w:autoSpaceDN w:val="0"/>
              <w:adjustRightInd w:val="0"/>
              <w:snapToGrid w:val="0"/>
              <w:spacing w:line="224" w:lineRule="auto"/>
              <w:jc w:val="center"/>
              <w:textAlignment w:val="baseline"/>
              <w:rPr>
                <w:snapToGrid w:val="0"/>
                <w:spacing w:val="-3"/>
                <w:kern w:val="0"/>
                <w:sz w:val="24"/>
                <w:szCs w:val="24"/>
                <w:lang w:eastAsia="zh-CN"/>
              </w:rPr>
            </w:pPr>
            <w:r>
              <w:rPr>
                <w:rFonts w:hint="eastAsia"/>
                <w:spacing w:val="-3"/>
                <w:sz w:val="24"/>
                <w:szCs w:val="24"/>
                <w:lang w:eastAsia="zh-CN"/>
              </w:rPr>
              <w:t>C比例分成</w:t>
            </w:r>
          </w:p>
        </w:tc>
        <w:tc>
          <w:tcPr>
            <w:tcW w:w="2160" w:type="dxa"/>
            <w:gridSpan w:val="2"/>
            <w:vAlign w:val="center"/>
          </w:tcPr>
          <w:p w14:paraId="51BB266C">
            <w:pPr>
              <w:pStyle w:val="15"/>
              <w:widowControl/>
              <w:kinsoku w:val="0"/>
              <w:autoSpaceDE w:val="0"/>
              <w:autoSpaceDN w:val="0"/>
              <w:adjustRightInd w:val="0"/>
              <w:snapToGrid w:val="0"/>
              <w:spacing w:line="224" w:lineRule="auto"/>
              <w:jc w:val="center"/>
              <w:textAlignment w:val="baseline"/>
              <w:rPr>
                <w:snapToGrid w:val="0"/>
                <w:kern w:val="0"/>
                <w:sz w:val="24"/>
                <w:szCs w:val="24"/>
              </w:rPr>
            </w:pPr>
            <w:r>
              <w:rPr>
                <w:rFonts w:hint="eastAsia"/>
                <w:spacing w:val="-3"/>
                <w:sz w:val="24"/>
                <w:szCs w:val="24"/>
                <w:lang w:eastAsia="zh-CN"/>
              </w:rPr>
              <w:t>固定价格</w:t>
            </w:r>
            <w:r>
              <w:rPr>
                <w:rFonts w:hint="eastAsia"/>
                <w:spacing w:val="-6"/>
                <w:sz w:val="24"/>
                <w:szCs w:val="24"/>
                <w:lang w:eastAsia="zh-CN"/>
              </w:rPr>
              <w:t>P</w:t>
            </w:r>
            <w:r>
              <w:rPr>
                <w:rFonts w:hint="eastAsia"/>
                <w:spacing w:val="-6"/>
                <w:sz w:val="32"/>
                <w:szCs w:val="32"/>
                <w:vertAlign w:val="subscript"/>
                <w:lang w:eastAsia="zh-CN"/>
              </w:rPr>
              <w:t>绿固</w:t>
            </w:r>
          </w:p>
        </w:tc>
        <w:tc>
          <w:tcPr>
            <w:tcW w:w="2179" w:type="dxa"/>
            <w:vAlign w:val="center"/>
          </w:tcPr>
          <w:p w14:paraId="317E3916">
            <w:pPr>
              <w:keepNext w:val="0"/>
              <w:keepLines w:val="0"/>
              <w:pageBreakBefore w:val="0"/>
              <w:widowControl/>
              <w:kinsoku w:val="0"/>
              <w:wordWrap/>
              <w:overflowPunct/>
              <w:topLinePunct w:val="0"/>
              <w:autoSpaceDE w:val="0"/>
              <w:autoSpaceDN w:val="0"/>
              <w:bidi w:val="0"/>
              <w:adjustRightInd w:val="0"/>
              <w:snapToGrid w:val="0"/>
              <w:ind w:left="0" w:leftChars="0" w:right="0" w:rightChars="0" w:firstLine="0" w:firstLineChars="0"/>
              <w:jc w:val="center"/>
              <w:textAlignment w:val="baseline"/>
              <w:rPr>
                <w:rFonts w:ascii="楷体" w:hAnsi="楷体" w:eastAsia="楷体" w:cs="楷体"/>
                <w:sz w:val="24"/>
              </w:rPr>
            </w:pPr>
            <w:r>
              <w:rPr>
                <w:rFonts w:hint="eastAsia" w:ascii="楷体" w:hAnsi="楷体" w:eastAsia="楷体" w:cs="楷体"/>
                <w:color w:val="auto"/>
                <w:sz w:val="24"/>
                <w:szCs w:val="24"/>
                <w:highlight w:val="none"/>
                <w:lang w:val="en-US" w:eastAsia="zh-CN"/>
              </w:rPr>
              <w:t>无</w:t>
            </w:r>
          </w:p>
        </w:tc>
        <w:tc>
          <w:tcPr>
            <w:tcW w:w="2136" w:type="dxa"/>
            <w:vAlign w:val="center"/>
          </w:tcPr>
          <w:p w14:paraId="67CF5389">
            <w:pPr>
              <w:widowControl/>
              <w:kinsoku w:val="0"/>
              <w:autoSpaceDE w:val="0"/>
              <w:autoSpaceDN w:val="0"/>
              <w:adjustRightInd w:val="0"/>
              <w:snapToGrid w:val="0"/>
              <w:jc w:val="center"/>
              <w:textAlignment w:val="baseline"/>
              <w:rPr>
                <w:rFonts w:ascii="楷体" w:hAnsi="楷体" w:eastAsia="楷体" w:cs="楷体"/>
                <w:snapToGrid w:val="0"/>
                <w:spacing w:val="-4"/>
                <w:kern w:val="0"/>
                <w:sz w:val="24"/>
                <w:lang w:eastAsia="en-US"/>
              </w:rPr>
            </w:pPr>
            <w:r>
              <w:rPr>
                <w:rFonts w:hint="eastAsia" w:ascii="楷体" w:hAnsi="楷体" w:eastAsia="楷体" w:cs="楷体"/>
                <w:spacing w:val="3"/>
                <w:sz w:val="19"/>
                <w:szCs w:val="19"/>
              </w:rPr>
              <w:t>287.84≤</w:t>
            </w:r>
            <w:r>
              <w:rPr>
                <w:rFonts w:hint="eastAsia" w:ascii="楷体" w:hAnsi="楷体" w:eastAsia="楷体" w:cs="楷体"/>
                <w:spacing w:val="-6"/>
                <w:sz w:val="19"/>
                <w:szCs w:val="19"/>
              </w:rPr>
              <w:t>P</w:t>
            </w:r>
            <w:r>
              <w:rPr>
                <w:rFonts w:hint="eastAsia" w:ascii="楷体" w:hAnsi="楷体" w:eastAsia="楷体" w:cs="楷体"/>
                <w:spacing w:val="-6"/>
                <w:sz w:val="32"/>
                <w:szCs w:val="32"/>
                <w:vertAlign w:val="subscript"/>
              </w:rPr>
              <w:t>绿固</w:t>
            </w:r>
            <w:r>
              <w:rPr>
                <w:rFonts w:hint="eastAsia" w:ascii="楷体" w:hAnsi="楷体" w:eastAsia="楷体" w:cs="楷体"/>
                <w:spacing w:val="3"/>
                <w:sz w:val="19"/>
                <w:szCs w:val="19"/>
              </w:rPr>
              <w:t>≤431.76</w:t>
            </w:r>
          </w:p>
        </w:tc>
      </w:tr>
      <w:tr w14:paraId="36A203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1867" w:type="dxa"/>
            <w:vMerge w:val="continue"/>
            <w:vAlign w:val="center"/>
          </w:tcPr>
          <w:p w14:paraId="752F3D08">
            <w:pPr>
              <w:pStyle w:val="15"/>
              <w:widowControl/>
              <w:kinsoku w:val="0"/>
              <w:autoSpaceDE w:val="0"/>
              <w:autoSpaceDN w:val="0"/>
              <w:adjustRightInd w:val="0"/>
              <w:snapToGrid w:val="0"/>
              <w:spacing w:line="227" w:lineRule="auto"/>
              <w:jc w:val="center"/>
              <w:textAlignment w:val="baseline"/>
              <w:rPr>
                <w:b/>
                <w:bCs/>
                <w:sz w:val="24"/>
                <w:szCs w:val="24"/>
              </w:rPr>
            </w:pPr>
          </w:p>
        </w:tc>
        <w:tc>
          <w:tcPr>
            <w:tcW w:w="1535" w:type="dxa"/>
            <w:vMerge w:val="continue"/>
            <w:vAlign w:val="center"/>
          </w:tcPr>
          <w:p w14:paraId="7BB275E0">
            <w:pPr>
              <w:pStyle w:val="15"/>
              <w:widowControl/>
              <w:kinsoku w:val="0"/>
              <w:autoSpaceDE w:val="0"/>
              <w:autoSpaceDN w:val="0"/>
              <w:adjustRightInd w:val="0"/>
              <w:snapToGrid w:val="0"/>
              <w:spacing w:line="225" w:lineRule="auto"/>
              <w:jc w:val="center"/>
              <w:textAlignment w:val="baseline"/>
              <w:rPr>
                <w:spacing w:val="-1"/>
                <w:sz w:val="24"/>
                <w:szCs w:val="24"/>
              </w:rPr>
            </w:pPr>
          </w:p>
        </w:tc>
        <w:tc>
          <w:tcPr>
            <w:tcW w:w="2160" w:type="dxa"/>
            <w:gridSpan w:val="2"/>
            <w:vAlign w:val="center"/>
          </w:tcPr>
          <w:p w14:paraId="7C2E82BC">
            <w:pPr>
              <w:pStyle w:val="15"/>
              <w:widowControl/>
              <w:kinsoku w:val="0"/>
              <w:autoSpaceDE w:val="0"/>
              <w:autoSpaceDN w:val="0"/>
              <w:adjustRightInd w:val="0"/>
              <w:snapToGrid w:val="0"/>
              <w:spacing w:line="224" w:lineRule="auto"/>
              <w:jc w:val="center"/>
              <w:textAlignment w:val="baseline"/>
              <w:rPr>
                <w:snapToGrid w:val="0"/>
                <w:spacing w:val="-3"/>
                <w:kern w:val="0"/>
                <w:sz w:val="24"/>
                <w:szCs w:val="24"/>
                <w:lang w:eastAsia="zh-CN"/>
              </w:rPr>
            </w:pPr>
            <w:r>
              <w:rPr>
                <w:rFonts w:hint="eastAsia"/>
                <w:spacing w:val="-3"/>
                <w:sz w:val="24"/>
                <w:szCs w:val="24"/>
                <w:lang w:eastAsia="zh-CN"/>
              </w:rPr>
              <w:t>分成比例</w:t>
            </w:r>
            <w:r>
              <w:rPr>
                <w:rFonts w:hint="eastAsia"/>
                <w:spacing w:val="-6"/>
                <w:sz w:val="24"/>
                <w:szCs w:val="24"/>
                <w:lang w:eastAsia="zh-CN"/>
              </w:rPr>
              <w:t>K</w:t>
            </w:r>
            <w:r>
              <w:rPr>
                <w:rFonts w:hint="eastAsia"/>
                <w:spacing w:val="-6"/>
                <w:sz w:val="32"/>
                <w:szCs w:val="32"/>
                <w:vertAlign w:val="subscript"/>
                <w:lang w:eastAsia="zh-CN"/>
              </w:rPr>
              <w:t>绿享</w:t>
            </w:r>
          </w:p>
        </w:tc>
        <w:tc>
          <w:tcPr>
            <w:tcW w:w="2179" w:type="dxa"/>
            <w:vAlign w:val="center"/>
          </w:tcPr>
          <w:p w14:paraId="36B9AEA8">
            <w:pPr>
              <w:keepNext w:val="0"/>
              <w:keepLines w:val="0"/>
              <w:pageBreakBefore w:val="0"/>
              <w:widowControl/>
              <w:kinsoku w:val="0"/>
              <w:wordWrap/>
              <w:overflowPunct/>
              <w:topLinePunct w:val="0"/>
              <w:autoSpaceDE w:val="0"/>
              <w:autoSpaceDN w:val="0"/>
              <w:bidi w:val="0"/>
              <w:adjustRightInd w:val="0"/>
              <w:snapToGrid w:val="0"/>
              <w:ind w:left="0" w:leftChars="0" w:right="0" w:rightChars="0" w:firstLine="0" w:firstLineChars="0"/>
              <w:jc w:val="center"/>
              <w:textAlignment w:val="baseline"/>
              <w:rPr>
                <w:rFonts w:ascii="楷体" w:hAnsi="楷体" w:eastAsia="楷体" w:cs="楷体"/>
                <w:sz w:val="24"/>
              </w:rPr>
            </w:pPr>
            <w:r>
              <w:rPr>
                <w:rFonts w:hint="eastAsia" w:ascii="楷体" w:hAnsi="楷体" w:eastAsia="楷体" w:cs="楷体"/>
                <w:color w:val="auto"/>
                <w:sz w:val="24"/>
                <w:szCs w:val="24"/>
                <w:highlight w:val="none"/>
                <w:lang w:val="en-US" w:eastAsia="zh-CN"/>
              </w:rPr>
              <w:t>无</w:t>
            </w:r>
          </w:p>
        </w:tc>
        <w:tc>
          <w:tcPr>
            <w:tcW w:w="2136" w:type="dxa"/>
            <w:vAlign w:val="center"/>
          </w:tcPr>
          <w:p w14:paraId="1AC14626">
            <w:pPr>
              <w:widowControl/>
              <w:kinsoku w:val="0"/>
              <w:autoSpaceDE w:val="0"/>
              <w:autoSpaceDN w:val="0"/>
              <w:adjustRightInd w:val="0"/>
              <w:snapToGrid w:val="0"/>
              <w:jc w:val="center"/>
              <w:textAlignment w:val="baseline"/>
              <w:rPr>
                <w:rFonts w:ascii="楷体" w:hAnsi="楷体" w:eastAsia="楷体" w:cs="楷体"/>
                <w:snapToGrid w:val="0"/>
                <w:kern w:val="0"/>
                <w:sz w:val="24"/>
                <w:lang w:eastAsia="en-US"/>
              </w:rPr>
            </w:pPr>
            <w:r>
              <w:rPr>
                <w:rFonts w:hint="eastAsia" w:ascii="楷体" w:hAnsi="楷体" w:eastAsia="楷体" w:cs="楷体"/>
                <w:spacing w:val="3"/>
                <w:sz w:val="19"/>
                <w:szCs w:val="19"/>
              </w:rPr>
              <w:t>0≤K</w:t>
            </w:r>
            <w:r>
              <w:rPr>
                <w:rFonts w:hint="eastAsia" w:ascii="楷体" w:hAnsi="楷体" w:eastAsia="楷体" w:cs="楷体"/>
                <w:spacing w:val="-6"/>
                <w:sz w:val="32"/>
                <w:szCs w:val="32"/>
                <w:vertAlign w:val="subscript"/>
              </w:rPr>
              <w:t>绿享</w:t>
            </w:r>
            <w:r>
              <w:rPr>
                <w:rFonts w:hint="eastAsia" w:ascii="楷体" w:hAnsi="楷体" w:eastAsia="楷体" w:cs="楷体"/>
                <w:spacing w:val="3"/>
                <w:sz w:val="19"/>
                <w:szCs w:val="19"/>
              </w:rPr>
              <w:t>≤1</w:t>
            </w:r>
          </w:p>
        </w:tc>
      </w:tr>
      <w:tr w14:paraId="683A49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1867" w:type="dxa"/>
            <w:vMerge w:val="continue"/>
            <w:vAlign w:val="center"/>
          </w:tcPr>
          <w:p w14:paraId="1F8AA2C0">
            <w:pPr>
              <w:pStyle w:val="15"/>
              <w:widowControl/>
              <w:kinsoku w:val="0"/>
              <w:autoSpaceDE w:val="0"/>
              <w:autoSpaceDN w:val="0"/>
              <w:adjustRightInd w:val="0"/>
              <w:snapToGrid w:val="0"/>
              <w:spacing w:line="227" w:lineRule="auto"/>
              <w:jc w:val="center"/>
              <w:textAlignment w:val="baseline"/>
              <w:rPr>
                <w:b/>
                <w:bCs/>
                <w:sz w:val="24"/>
                <w:szCs w:val="24"/>
              </w:rPr>
            </w:pPr>
          </w:p>
        </w:tc>
        <w:tc>
          <w:tcPr>
            <w:tcW w:w="1535" w:type="dxa"/>
            <w:vMerge w:val="continue"/>
            <w:vAlign w:val="center"/>
          </w:tcPr>
          <w:p w14:paraId="7EC4C3E9">
            <w:pPr>
              <w:pStyle w:val="15"/>
              <w:widowControl/>
              <w:kinsoku w:val="0"/>
              <w:autoSpaceDE w:val="0"/>
              <w:autoSpaceDN w:val="0"/>
              <w:adjustRightInd w:val="0"/>
              <w:snapToGrid w:val="0"/>
              <w:spacing w:line="225" w:lineRule="auto"/>
              <w:jc w:val="center"/>
              <w:textAlignment w:val="baseline"/>
              <w:rPr>
                <w:spacing w:val="-1"/>
                <w:sz w:val="24"/>
                <w:szCs w:val="24"/>
              </w:rPr>
            </w:pPr>
          </w:p>
        </w:tc>
        <w:tc>
          <w:tcPr>
            <w:tcW w:w="2160" w:type="dxa"/>
            <w:gridSpan w:val="2"/>
            <w:vAlign w:val="center"/>
          </w:tcPr>
          <w:p w14:paraId="2EE64D49">
            <w:pPr>
              <w:pStyle w:val="15"/>
              <w:widowControl/>
              <w:kinsoku w:val="0"/>
              <w:autoSpaceDE w:val="0"/>
              <w:autoSpaceDN w:val="0"/>
              <w:adjustRightInd w:val="0"/>
              <w:snapToGrid w:val="0"/>
              <w:spacing w:line="224" w:lineRule="auto"/>
              <w:jc w:val="center"/>
              <w:textAlignment w:val="baseline"/>
              <w:rPr>
                <w:snapToGrid w:val="0"/>
                <w:kern w:val="0"/>
                <w:sz w:val="24"/>
                <w:szCs w:val="24"/>
              </w:rPr>
            </w:pPr>
            <w:r>
              <w:rPr>
                <w:rFonts w:hint="eastAsia"/>
                <w:spacing w:val="-3"/>
                <w:sz w:val="24"/>
                <w:szCs w:val="24"/>
                <w:lang w:eastAsia="zh-CN"/>
              </w:rPr>
              <w:t>分成比例</w:t>
            </w:r>
            <w:r>
              <w:rPr>
                <w:rFonts w:hint="eastAsia"/>
                <w:spacing w:val="-6"/>
                <w:sz w:val="24"/>
                <w:szCs w:val="24"/>
                <w:lang w:eastAsia="zh-CN"/>
              </w:rPr>
              <w:t>K</w:t>
            </w:r>
            <w:r>
              <w:rPr>
                <w:rFonts w:hint="eastAsia"/>
                <w:spacing w:val="-6"/>
                <w:sz w:val="32"/>
                <w:szCs w:val="32"/>
                <w:vertAlign w:val="subscript"/>
                <w:lang w:eastAsia="zh-CN"/>
              </w:rPr>
              <w:t>绿担</w:t>
            </w:r>
          </w:p>
        </w:tc>
        <w:tc>
          <w:tcPr>
            <w:tcW w:w="2179" w:type="dxa"/>
            <w:vAlign w:val="center"/>
          </w:tcPr>
          <w:p w14:paraId="42218E7D">
            <w:pPr>
              <w:keepNext w:val="0"/>
              <w:keepLines w:val="0"/>
              <w:pageBreakBefore w:val="0"/>
              <w:widowControl/>
              <w:kinsoku w:val="0"/>
              <w:wordWrap/>
              <w:overflowPunct/>
              <w:topLinePunct w:val="0"/>
              <w:autoSpaceDE w:val="0"/>
              <w:autoSpaceDN w:val="0"/>
              <w:bidi w:val="0"/>
              <w:adjustRightInd w:val="0"/>
              <w:snapToGrid w:val="0"/>
              <w:ind w:left="0" w:leftChars="0" w:right="0" w:rightChars="0" w:firstLine="0" w:firstLineChars="0"/>
              <w:jc w:val="center"/>
              <w:textAlignment w:val="baseline"/>
              <w:rPr>
                <w:rFonts w:ascii="楷体" w:hAnsi="楷体" w:eastAsia="楷体" w:cs="楷体"/>
                <w:sz w:val="24"/>
              </w:rPr>
            </w:pPr>
            <w:r>
              <w:rPr>
                <w:rFonts w:hint="eastAsia" w:ascii="楷体" w:hAnsi="楷体" w:eastAsia="楷体" w:cs="楷体"/>
                <w:color w:val="auto"/>
                <w:sz w:val="24"/>
                <w:szCs w:val="24"/>
                <w:highlight w:val="none"/>
                <w:lang w:val="en-US" w:eastAsia="zh-CN"/>
              </w:rPr>
              <w:t>无</w:t>
            </w:r>
          </w:p>
        </w:tc>
        <w:tc>
          <w:tcPr>
            <w:tcW w:w="2136" w:type="dxa"/>
            <w:vAlign w:val="center"/>
          </w:tcPr>
          <w:p w14:paraId="0B4E3F59">
            <w:pPr>
              <w:widowControl/>
              <w:kinsoku w:val="0"/>
              <w:autoSpaceDE w:val="0"/>
              <w:autoSpaceDN w:val="0"/>
              <w:adjustRightInd w:val="0"/>
              <w:snapToGrid w:val="0"/>
              <w:jc w:val="center"/>
              <w:textAlignment w:val="baseline"/>
              <w:rPr>
                <w:rFonts w:ascii="楷体" w:hAnsi="楷体" w:eastAsia="楷体" w:cs="楷体"/>
                <w:snapToGrid w:val="0"/>
                <w:kern w:val="0"/>
                <w:sz w:val="24"/>
                <w:lang w:eastAsia="en-US"/>
              </w:rPr>
            </w:pPr>
            <w:r>
              <w:rPr>
                <w:rFonts w:hint="eastAsia" w:ascii="楷体" w:hAnsi="楷体" w:eastAsia="楷体" w:cs="楷体"/>
                <w:spacing w:val="3"/>
                <w:sz w:val="19"/>
                <w:szCs w:val="19"/>
              </w:rPr>
              <w:t>0≤K</w:t>
            </w:r>
            <w:r>
              <w:rPr>
                <w:rFonts w:hint="eastAsia" w:ascii="楷体" w:hAnsi="楷体" w:eastAsia="楷体" w:cs="楷体"/>
                <w:spacing w:val="-6"/>
                <w:sz w:val="32"/>
                <w:szCs w:val="32"/>
                <w:vertAlign w:val="subscript"/>
              </w:rPr>
              <w:t>绿担</w:t>
            </w:r>
            <w:r>
              <w:rPr>
                <w:rFonts w:hint="eastAsia" w:ascii="楷体" w:hAnsi="楷体" w:eastAsia="楷体" w:cs="楷体"/>
                <w:spacing w:val="3"/>
                <w:sz w:val="19"/>
                <w:szCs w:val="19"/>
              </w:rPr>
              <w:t>≤1</w:t>
            </w:r>
          </w:p>
        </w:tc>
      </w:tr>
      <w:tr w14:paraId="63B1A0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7" w:hRule="exact"/>
          <w:jc w:val="center"/>
        </w:trPr>
        <w:tc>
          <w:tcPr>
            <w:tcW w:w="1867" w:type="dxa"/>
            <w:vMerge w:val="continue"/>
            <w:vAlign w:val="center"/>
          </w:tcPr>
          <w:p w14:paraId="1EEB510E">
            <w:pPr>
              <w:pStyle w:val="15"/>
              <w:widowControl/>
              <w:kinsoku w:val="0"/>
              <w:autoSpaceDE w:val="0"/>
              <w:autoSpaceDN w:val="0"/>
              <w:adjustRightInd w:val="0"/>
              <w:snapToGrid w:val="0"/>
              <w:spacing w:line="227" w:lineRule="auto"/>
              <w:jc w:val="center"/>
              <w:textAlignment w:val="baseline"/>
              <w:rPr>
                <w:b/>
                <w:bCs/>
                <w:sz w:val="24"/>
                <w:szCs w:val="24"/>
              </w:rPr>
            </w:pPr>
          </w:p>
        </w:tc>
        <w:tc>
          <w:tcPr>
            <w:tcW w:w="3695" w:type="dxa"/>
            <w:gridSpan w:val="3"/>
            <w:vAlign w:val="center"/>
          </w:tcPr>
          <w:p w14:paraId="74264978">
            <w:pPr>
              <w:pStyle w:val="15"/>
              <w:widowControl/>
              <w:kinsoku w:val="0"/>
              <w:autoSpaceDE w:val="0"/>
              <w:autoSpaceDN w:val="0"/>
              <w:adjustRightInd w:val="0"/>
              <w:snapToGrid w:val="0"/>
              <w:jc w:val="center"/>
              <w:textAlignment w:val="baseline"/>
              <w:rPr>
                <w:spacing w:val="-1"/>
                <w:sz w:val="24"/>
                <w:szCs w:val="24"/>
                <w:lang w:eastAsia="zh-CN"/>
              </w:rPr>
            </w:pPr>
            <w:r>
              <w:rPr>
                <w:rFonts w:hint="eastAsia"/>
                <w:spacing w:val="-1"/>
                <w:sz w:val="24"/>
                <w:szCs w:val="24"/>
                <w:lang w:eastAsia="zh-CN"/>
              </w:rPr>
              <w:t>绿色电力零售合同</w:t>
            </w:r>
          </w:p>
          <w:p w14:paraId="41F7A115">
            <w:pPr>
              <w:pStyle w:val="15"/>
              <w:widowControl/>
              <w:kinsoku w:val="0"/>
              <w:autoSpaceDE w:val="0"/>
              <w:autoSpaceDN w:val="0"/>
              <w:adjustRightInd w:val="0"/>
              <w:snapToGrid w:val="0"/>
              <w:jc w:val="center"/>
              <w:textAlignment w:val="baseline"/>
              <w:rPr>
                <w:spacing w:val="-6"/>
                <w:sz w:val="32"/>
                <w:szCs w:val="32"/>
                <w:vertAlign w:val="subscript"/>
                <w:lang w:eastAsia="zh-CN"/>
              </w:rPr>
            </w:pPr>
            <w:r>
              <w:rPr>
                <w:rFonts w:hint="eastAsia"/>
                <w:spacing w:val="-1"/>
                <w:sz w:val="24"/>
                <w:szCs w:val="24"/>
                <w:lang w:eastAsia="zh-CN"/>
              </w:rPr>
              <w:t>封顶总价</w:t>
            </w:r>
            <w:r>
              <w:rPr>
                <w:rFonts w:hint="eastAsia"/>
                <w:spacing w:val="-6"/>
                <w:sz w:val="24"/>
                <w:szCs w:val="24"/>
                <w:lang w:eastAsia="zh-CN"/>
              </w:rPr>
              <w:t>P</w:t>
            </w:r>
            <w:r>
              <w:rPr>
                <w:rFonts w:hint="eastAsia"/>
                <w:spacing w:val="-6"/>
                <w:sz w:val="32"/>
                <w:szCs w:val="32"/>
                <w:vertAlign w:val="subscript"/>
                <w:lang w:eastAsia="zh-CN"/>
              </w:rPr>
              <w:t>绿封总</w:t>
            </w:r>
          </w:p>
        </w:tc>
        <w:tc>
          <w:tcPr>
            <w:tcW w:w="2179" w:type="dxa"/>
            <w:vAlign w:val="center"/>
          </w:tcPr>
          <w:p w14:paraId="4DB149BF">
            <w:pPr>
              <w:keepNext w:val="0"/>
              <w:keepLines w:val="0"/>
              <w:pageBreakBefore w:val="0"/>
              <w:widowControl/>
              <w:kinsoku w:val="0"/>
              <w:wordWrap/>
              <w:overflowPunct/>
              <w:topLinePunct w:val="0"/>
              <w:autoSpaceDE w:val="0"/>
              <w:autoSpaceDN w:val="0"/>
              <w:bidi w:val="0"/>
              <w:adjustRightInd w:val="0"/>
              <w:snapToGrid w:val="0"/>
              <w:ind w:left="0" w:leftChars="0" w:right="0" w:rightChars="0" w:firstLine="0" w:firstLineChars="0"/>
              <w:jc w:val="center"/>
              <w:textAlignment w:val="baseline"/>
              <w:rPr>
                <w:rFonts w:ascii="楷体" w:hAnsi="楷体" w:eastAsia="楷体" w:cs="楷体"/>
                <w:sz w:val="24"/>
              </w:rPr>
            </w:pPr>
            <w:r>
              <w:rPr>
                <w:rFonts w:hint="eastAsia" w:cs="宋体"/>
                <w:color w:val="auto"/>
                <w:sz w:val="24"/>
                <w:szCs w:val="24"/>
                <w:highlight w:val="none"/>
                <w:lang w:val="en-US" w:eastAsia="zh-CN"/>
              </w:rPr>
              <w:t>411.40</w:t>
            </w:r>
          </w:p>
        </w:tc>
        <w:tc>
          <w:tcPr>
            <w:tcW w:w="2136" w:type="dxa"/>
            <w:vAlign w:val="center"/>
          </w:tcPr>
          <w:p w14:paraId="3807D5B9">
            <w:pPr>
              <w:pStyle w:val="15"/>
              <w:widowControl/>
              <w:kinsoku w:val="0"/>
              <w:autoSpaceDE w:val="0"/>
              <w:autoSpaceDN w:val="0"/>
              <w:adjustRightInd w:val="0"/>
              <w:snapToGrid w:val="0"/>
              <w:spacing w:line="240" w:lineRule="exact"/>
              <w:jc w:val="center"/>
              <w:textAlignment w:val="baseline"/>
              <w:rPr>
                <w:snapToGrid w:val="0"/>
                <w:spacing w:val="-6"/>
                <w:kern w:val="0"/>
                <w:sz w:val="19"/>
                <w:szCs w:val="19"/>
                <w:lang w:eastAsia="zh-CN"/>
              </w:rPr>
            </w:pPr>
            <w:r>
              <w:rPr>
                <w:rFonts w:hint="eastAsia"/>
                <w:spacing w:val="-6"/>
                <w:sz w:val="19"/>
                <w:szCs w:val="19"/>
                <w:lang w:eastAsia="zh-CN"/>
              </w:rPr>
              <w:t>P</w:t>
            </w:r>
            <w:r>
              <w:rPr>
                <w:rFonts w:hint="eastAsia"/>
                <w:snapToGrid w:val="0"/>
                <w:spacing w:val="-6"/>
                <w:kern w:val="0"/>
                <w:sz w:val="32"/>
                <w:szCs w:val="32"/>
                <w:vertAlign w:val="subscript"/>
                <w:lang w:eastAsia="zh-CN"/>
              </w:rPr>
              <w:t>绿封总</w:t>
            </w:r>
            <w:r>
              <w:rPr>
                <w:rFonts w:hint="eastAsia"/>
                <w:snapToGrid w:val="0"/>
                <w:spacing w:val="-6"/>
                <w:kern w:val="0"/>
                <w:sz w:val="19"/>
                <w:szCs w:val="19"/>
                <w:lang w:eastAsia="zh-CN"/>
              </w:rPr>
              <w:t>＝电能量价格＋环境价值</w:t>
            </w:r>
          </w:p>
          <w:p w14:paraId="223EA494">
            <w:pPr>
              <w:pStyle w:val="15"/>
              <w:widowControl/>
              <w:kinsoku w:val="0"/>
              <w:autoSpaceDE w:val="0"/>
              <w:autoSpaceDN w:val="0"/>
              <w:adjustRightInd w:val="0"/>
              <w:snapToGrid w:val="0"/>
              <w:spacing w:line="240" w:lineRule="exact"/>
              <w:jc w:val="center"/>
              <w:textAlignment w:val="baseline"/>
              <w:rPr>
                <w:spacing w:val="-4"/>
                <w:sz w:val="24"/>
                <w:szCs w:val="24"/>
              </w:rPr>
            </w:pPr>
            <w:r>
              <w:rPr>
                <w:rFonts w:hint="eastAsia"/>
                <w:spacing w:val="-6"/>
                <w:sz w:val="19"/>
                <w:szCs w:val="19"/>
                <w:lang w:eastAsia="zh-CN"/>
              </w:rPr>
              <w:t>P</w:t>
            </w:r>
            <w:r>
              <w:rPr>
                <w:rFonts w:hint="eastAsia"/>
                <w:snapToGrid w:val="0"/>
                <w:spacing w:val="-6"/>
                <w:kern w:val="0"/>
                <w:sz w:val="32"/>
                <w:szCs w:val="32"/>
                <w:vertAlign w:val="subscript"/>
                <w:lang w:eastAsia="zh-CN"/>
              </w:rPr>
              <w:t>绿封总</w:t>
            </w:r>
            <w:r>
              <w:rPr>
                <w:rFonts w:hint="eastAsia"/>
                <w:snapToGrid w:val="0"/>
                <w:spacing w:val="3"/>
                <w:kern w:val="0"/>
                <w:sz w:val="19"/>
                <w:szCs w:val="19"/>
                <w:lang w:eastAsia="zh-CN"/>
              </w:rPr>
              <w:t>≥</w:t>
            </w:r>
            <w:r>
              <w:rPr>
                <w:rFonts w:hint="eastAsia"/>
                <w:spacing w:val="-6"/>
                <w:sz w:val="19"/>
                <w:szCs w:val="19"/>
                <w:lang w:eastAsia="zh-CN"/>
              </w:rPr>
              <w:t>P</w:t>
            </w:r>
            <w:r>
              <w:rPr>
                <w:rFonts w:hint="eastAsia"/>
                <w:spacing w:val="-6"/>
                <w:sz w:val="32"/>
                <w:szCs w:val="32"/>
                <w:vertAlign w:val="subscript"/>
                <w:lang w:eastAsia="zh-CN"/>
              </w:rPr>
              <w:t>绿</w:t>
            </w:r>
          </w:p>
        </w:tc>
      </w:tr>
      <w:tr w14:paraId="209205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1867" w:type="dxa"/>
            <w:vMerge w:val="restart"/>
            <w:vAlign w:val="center"/>
          </w:tcPr>
          <w:p w14:paraId="22ACB533">
            <w:pPr>
              <w:pStyle w:val="15"/>
              <w:widowControl/>
              <w:kinsoku w:val="0"/>
              <w:autoSpaceDE w:val="0"/>
              <w:autoSpaceDN w:val="0"/>
              <w:adjustRightInd w:val="0"/>
              <w:snapToGrid w:val="0"/>
              <w:jc w:val="center"/>
              <w:textAlignment w:val="baseline"/>
              <w:rPr>
                <w:b/>
                <w:bCs/>
                <w:sz w:val="24"/>
                <w:szCs w:val="24"/>
                <w:lang w:eastAsia="zh-CN"/>
              </w:rPr>
            </w:pPr>
            <w:r>
              <w:rPr>
                <w:rFonts w:hint="eastAsia"/>
                <w:b/>
                <w:bCs/>
                <w:sz w:val="24"/>
                <w:szCs w:val="24"/>
                <w:lang w:eastAsia="zh-CN"/>
              </w:rPr>
              <w:t>1.3偏差电量电价</w:t>
            </w:r>
          </w:p>
          <w:p w14:paraId="1CD3DE0C">
            <w:pPr>
              <w:pStyle w:val="15"/>
              <w:widowControl/>
              <w:kinsoku w:val="0"/>
              <w:autoSpaceDE w:val="0"/>
              <w:autoSpaceDN w:val="0"/>
              <w:adjustRightInd w:val="0"/>
              <w:snapToGrid w:val="0"/>
              <w:jc w:val="center"/>
              <w:textAlignment w:val="baseline"/>
              <w:rPr>
                <w:b/>
                <w:bCs/>
                <w:sz w:val="24"/>
                <w:szCs w:val="24"/>
                <w:lang w:eastAsia="zh-CN"/>
              </w:rPr>
            </w:pPr>
            <w:r>
              <w:rPr>
                <w:rFonts w:hint="eastAsia"/>
                <w:b/>
                <w:bCs/>
                <w:sz w:val="24"/>
                <w:szCs w:val="24"/>
                <w:lang w:eastAsia="zh-CN"/>
              </w:rPr>
              <w:t>（必填）</w:t>
            </w:r>
          </w:p>
        </w:tc>
        <w:tc>
          <w:tcPr>
            <w:tcW w:w="3695" w:type="dxa"/>
            <w:gridSpan w:val="3"/>
            <w:vAlign w:val="center"/>
          </w:tcPr>
          <w:p w14:paraId="6A9DC77C">
            <w:pPr>
              <w:pStyle w:val="15"/>
              <w:widowControl/>
              <w:kinsoku w:val="0"/>
              <w:autoSpaceDE w:val="0"/>
              <w:autoSpaceDN w:val="0"/>
              <w:adjustRightInd w:val="0"/>
              <w:snapToGrid w:val="0"/>
              <w:spacing w:line="230" w:lineRule="auto"/>
              <w:jc w:val="center"/>
              <w:textAlignment w:val="baseline"/>
              <w:rPr>
                <w:spacing w:val="-4"/>
                <w:sz w:val="24"/>
                <w:szCs w:val="24"/>
                <w:lang w:eastAsia="zh-CN"/>
              </w:rPr>
            </w:pPr>
            <w:r>
              <w:rPr>
                <w:rFonts w:hint="eastAsia"/>
                <w:spacing w:val="-4"/>
                <w:sz w:val="24"/>
                <w:szCs w:val="24"/>
                <w:lang w:eastAsia="zh-CN"/>
              </w:rPr>
              <w:t>售电公司全担偏差责任</w:t>
            </w:r>
          </w:p>
        </w:tc>
        <w:tc>
          <w:tcPr>
            <w:tcW w:w="2179" w:type="dxa"/>
            <w:vAlign w:val="center"/>
          </w:tcPr>
          <w:p w14:paraId="08A7EBCA">
            <w:pPr>
              <w:keepNext w:val="0"/>
              <w:keepLines w:val="0"/>
              <w:pageBreakBefore w:val="0"/>
              <w:widowControl/>
              <w:kinsoku w:val="0"/>
              <w:wordWrap/>
              <w:overflowPunct/>
              <w:topLinePunct w:val="0"/>
              <w:autoSpaceDE w:val="0"/>
              <w:autoSpaceDN w:val="0"/>
              <w:bidi w:val="0"/>
              <w:adjustRightInd w:val="0"/>
              <w:snapToGrid w:val="0"/>
              <w:ind w:left="0" w:leftChars="0" w:right="0" w:rightChars="0" w:firstLine="0" w:firstLineChars="0"/>
              <w:jc w:val="center"/>
              <w:textAlignment w:val="baseline"/>
              <w:rPr>
                <w:rFonts w:ascii="楷体" w:hAnsi="楷体" w:eastAsia="楷体" w:cs="楷体"/>
                <w:sz w:val="24"/>
              </w:rPr>
            </w:pPr>
            <w:r>
              <w:rPr>
                <w:rFonts w:hint="eastAsia" w:ascii="楷体" w:hAnsi="楷体" w:eastAsia="楷体" w:cs="楷体"/>
                <w:color w:val="auto"/>
                <w:sz w:val="24"/>
                <w:szCs w:val="24"/>
                <w:highlight w:val="none"/>
                <w:lang w:eastAsia="zh-CN"/>
              </w:rPr>
              <w:t>是</w:t>
            </w:r>
          </w:p>
        </w:tc>
        <w:tc>
          <w:tcPr>
            <w:tcW w:w="2136" w:type="dxa"/>
            <w:vAlign w:val="center"/>
          </w:tcPr>
          <w:p w14:paraId="538B843C">
            <w:pPr>
              <w:widowControl/>
              <w:tabs>
                <w:tab w:val="left" w:pos="730"/>
              </w:tabs>
              <w:kinsoku w:val="0"/>
              <w:autoSpaceDE w:val="0"/>
              <w:autoSpaceDN w:val="0"/>
              <w:adjustRightInd w:val="0"/>
              <w:snapToGrid w:val="0"/>
              <w:jc w:val="center"/>
              <w:textAlignment w:val="baseline"/>
              <w:rPr>
                <w:rFonts w:ascii="楷体" w:hAnsi="楷体" w:eastAsia="楷体" w:cs="楷体"/>
                <w:spacing w:val="3"/>
                <w:sz w:val="19"/>
                <w:szCs w:val="19"/>
              </w:rPr>
            </w:pPr>
            <w:r>
              <w:rPr>
                <w:rFonts w:hint="eastAsia" w:ascii="楷体" w:hAnsi="楷体" w:eastAsia="楷体" w:cs="楷体"/>
                <w:spacing w:val="3"/>
                <w:sz w:val="19"/>
                <w:szCs w:val="19"/>
              </w:rPr>
              <w:t>选择全担填“是”</w:t>
            </w:r>
          </w:p>
          <w:p w14:paraId="20CAB98C">
            <w:pPr>
              <w:widowControl/>
              <w:tabs>
                <w:tab w:val="left" w:pos="730"/>
              </w:tabs>
              <w:kinsoku w:val="0"/>
              <w:autoSpaceDE w:val="0"/>
              <w:autoSpaceDN w:val="0"/>
              <w:adjustRightInd w:val="0"/>
              <w:snapToGrid w:val="0"/>
              <w:jc w:val="center"/>
              <w:textAlignment w:val="baseline"/>
              <w:rPr>
                <w:rFonts w:ascii="楷体" w:hAnsi="楷体" w:eastAsia="楷体" w:cs="楷体"/>
                <w:sz w:val="24"/>
              </w:rPr>
            </w:pPr>
            <w:r>
              <w:rPr>
                <w:rFonts w:hint="eastAsia" w:ascii="楷体" w:hAnsi="楷体" w:eastAsia="楷体" w:cs="楷体"/>
                <w:spacing w:val="3"/>
                <w:sz w:val="19"/>
                <w:szCs w:val="19"/>
              </w:rPr>
              <w:t>选择共担填“否”</w:t>
            </w:r>
          </w:p>
        </w:tc>
      </w:tr>
      <w:tr w14:paraId="316A97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1867" w:type="dxa"/>
            <w:vMerge w:val="continue"/>
            <w:vAlign w:val="center"/>
          </w:tcPr>
          <w:p w14:paraId="768DF1F6">
            <w:pPr>
              <w:pStyle w:val="15"/>
              <w:widowControl/>
              <w:kinsoku w:val="0"/>
              <w:autoSpaceDE w:val="0"/>
              <w:autoSpaceDN w:val="0"/>
              <w:adjustRightInd w:val="0"/>
              <w:snapToGrid w:val="0"/>
              <w:spacing w:line="203" w:lineRule="auto"/>
              <w:jc w:val="center"/>
              <w:textAlignment w:val="baseline"/>
              <w:rPr>
                <w:b/>
                <w:bCs/>
                <w:sz w:val="24"/>
                <w:szCs w:val="24"/>
                <w:lang w:eastAsia="zh-CN"/>
              </w:rPr>
            </w:pPr>
          </w:p>
        </w:tc>
        <w:tc>
          <w:tcPr>
            <w:tcW w:w="1535" w:type="dxa"/>
            <w:vMerge w:val="restart"/>
            <w:vAlign w:val="center"/>
          </w:tcPr>
          <w:p w14:paraId="39FD8A34">
            <w:pPr>
              <w:pStyle w:val="15"/>
              <w:widowControl/>
              <w:kinsoku w:val="0"/>
              <w:autoSpaceDE w:val="0"/>
              <w:autoSpaceDN w:val="0"/>
              <w:adjustRightInd w:val="0"/>
              <w:snapToGrid w:val="0"/>
              <w:spacing w:line="230" w:lineRule="auto"/>
              <w:jc w:val="center"/>
              <w:textAlignment w:val="baseline"/>
              <w:rPr>
                <w:spacing w:val="-4"/>
                <w:sz w:val="24"/>
                <w:szCs w:val="24"/>
                <w:lang w:eastAsia="zh-CN"/>
              </w:rPr>
            </w:pPr>
            <w:r>
              <w:rPr>
                <w:rFonts w:hint="eastAsia"/>
                <w:spacing w:val="-4"/>
                <w:sz w:val="24"/>
                <w:szCs w:val="24"/>
                <w:lang w:eastAsia="zh-CN"/>
              </w:rPr>
              <w:t>零售用户共担偏差责任</w:t>
            </w:r>
          </w:p>
        </w:tc>
        <w:tc>
          <w:tcPr>
            <w:tcW w:w="2160" w:type="dxa"/>
            <w:gridSpan w:val="2"/>
            <w:vAlign w:val="center"/>
          </w:tcPr>
          <w:p w14:paraId="79FF6405">
            <w:pPr>
              <w:pStyle w:val="15"/>
              <w:widowControl/>
              <w:kinsoku w:val="0"/>
              <w:autoSpaceDE w:val="0"/>
              <w:autoSpaceDN w:val="0"/>
              <w:adjustRightInd w:val="0"/>
              <w:snapToGrid w:val="0"/>
              <w:spacing w:line="230" w:lineRule="auto"/>
              <w:jc w:val="center"/>
              <w:textAlignment w:val="baseline"/>
              <w:rPr>
                <w:spacing w:val="-4"/>
                <w:sz w:val="24"/>
                <w:szCs w:val="24"/>
                <w:lang w:eastAsia="zh-CN"/>
              </w:rPr>
            </w:pPr>
            <w:r>
              <w:rPr>
                <w:rFonts w:hint="eastAsia"/>
                <w:spacing w:val="-4"/>
                <w:sz w:val="24"/>
                <w:szCs w:val="24"/>
                <w:lang w:eastAsia="zh-CN"/>
              </w:rPr>
              <w:t>偏差共担价格</w:t>
            </w:r>
            <w:r>
              <w:rPr>
                <w:rFonts w:hint="eastAsia"/>
                <w:spacing w:val="-6"/>
                <w:sz w:val="24"/>
                <w:szCs w:val="24"/>
                <w:lang w:eastAsia="zh-CN"/>
              </w:rPr>
              <w:t>P</w:t>
            </w:r>
            <w:r>
              <w:rPr>
                <w:rFonts w:hint="eastAsia"/>
                <w:spacing w:val="-6"/>
                <w:sz w:val="32"/>
                <w:szCs w:val="32"/>
                <w:vertAlign w:val="subscript"/>
                <w:lang w:eastAsia="zh-CN"/>
              </w:rPr>
              <w:t>共担</w:t>
            </w:r>
          </w:p>
        </w:tc>
        <w:tc>
          <w:tcPr>
            <w:tcW w:w="2179" w:type="dxa"/>
            <w:vAlign w:val="center"/>
          </w:tcPr>
          <w:p w14:paraId="19EE9E88">
            <w:pPr>
              <w:keepNext w:val="0"/>
              <w:keepLines w:val="0"/>
              <w:pageBreakBefore w:val="0"/>
              <w:widowControl/>
              <w:kinsoku w:val="0"/>
              <w:wordWrap/>
              <w:overflowPunct/>
              <w:topLinePunct w:val="0"/>
              <w:autoSpaceDE w:val="0"/>
              <w:autoSpaceDN w:val="0"/>
              <w:bidi w:val="0"/>
              <w:adjustRightInd w:val="0"/>
              <w:snapToGrid w:val="0"/>
              <w:ind w:left="0" w:leftChars="0" w:right="0" w:rightChars="0" w:firstLine="0" w:firstLineChars="0"/>
              <w:jc w:val="center"/>
              <w:textAlignment w:val="baseline"/>
              <w:rPr>
                <w:rFonts w:ascii="楷体" w:hAnsi="楷体" w:eastAsia="楷体" w:cs="楷体"/>
                <w:sz w:val="24"/>
              </w:rPr>
            </w:pPr>
            <w:r>
              <w:rPr>
                <w:rFonts w:hint="eastAsia" w:ascii="楷体" w:hAnsi="楷体" w:eastAsia="楷体" w:cs="楷体"/>
                <w:color w:val="auto"/>
                <w:sz w:val="24"/>
                <w:szCs w:val="24"/>
                <w:highlight w:val="none"/>
                <w:lang w:val="en-US" w:eastAsia="zh-CN"/>
              </w:rPr>
              <w:t>无</w:t>
            </w:r>
          </w:p>
        </w:tc>
        <w:tc>
          <w:tcPr>
            <w:tcW w:w="2136" w:type="dxa"/>
            <w:vAlign w:val="center"/>
          </w:tcPr>
          <w:p w14:paraId="157FBAAB">
            <w:pPr>
              <w:widowControl/>
              <w:tabs>
                <w:tab w:val="left" w:pos="730"/>
              </w:tabs>
              <w:kinsoku w:val="0"/>
              <w:autoSpaceDE w:val="0"/>
              <w:autoSpaceDN w:val="0"/>
              <w:adjustRightInd w:val="0"/>
              <w:snapToGrid w:val="0"/>
              <w:jc w:val="center"/>
              <w:textAlignment w:val="baseline"/>
              <w:rPr>
                <w:rFonts w:ascii="楷体" w:hAnsi="楷体" w:eastAsia="楷体" w:cs="楷体"/>
                <w:spacing w:val="3"/>
                <w:sz w:val="19"/>
                <w:szCs w:val="19"/>
              </w:rPr>
            </w:pPr>
            <w:r>
              <w:rPr>
                <w:rFonts w:hint="eastAsia" w:ascii="楷体" w:hAnsi="楷体" w:eastAsia="楷体" w:cs="楷体"/>
                <w:spacing w:val="3"/>
                <w:sz w:val="19"/>
                <w:szCs w:val="19"/>
              </w:rPr>
              <w:t>0≤</w:t>
            </w:r>
            <w:r>
              <w:rPr>
                <w:rFonts w:hint="eastAsia" w:ascii="楷体" w:hAnsi="楷体" w:eastAsia="楷体" w:cs="楷体"/>
                <w:spacing w:val="-6"/>
                <w:sz w:val="19"/>
                <w:szCs w:val="19"/>
              </w:rPr>
              <w:t>P</w:t>
            </w:r>
            <w:r>
              <w:rPr>
                <w:rFonts w:hint="eastAsia" w:ascii="楷体" w:hAnsi="楷体" w:eastAsia="楷体" w:cs="楷体"/>
                <w:spacing w:val="-6"/>
                <w:sz w:val="32"/>
                <w:szCs w:val="32"/>
                <w:vertAlign w:val="subscript"/>
              </w:rPr>
              <w:t>共担</w:t>
            </w:r>
            <w:r>
              <w:rPr>
                <w:rFonts w:hint="eastAsia" w:ascii="楷体" w:hAnsi="楷体" w:eastAsia="楷体" w:cs="楷体"/>
                <w:spacing w:val="3"/>
                <w:sz w:val="19"/>
                <w:szCs w:val="19"/>
              </w:rPr>
              <w:t>≤5</w:t>
            </w:r>
          </w:p>
        </w:tc>
      </w:tr>
      <w:tr w14:paraId="759865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1867" w:type="dxa"/>
            <w:vMerge w:val="continue"/>
            <w:vAlign w:val="center"/>
          </w:tcPr>
          <w:p w14:paraId="5A14C7CB">
            <w:pPr>
              <w:pStyle w:val="15"/>
              <w:widowControl/>
              <w:kinsoku w:val="0"/>
              <w:autoSpaceDE w:val="0"/>
              <w:autoSpaceDN w:val="0"/>
              <w:adjustRightInd w:val="0"/>
              <w:snapToGrid w:val="0"/>
              <w:spacing w:line="203" w:lineRule="auto"/>
              <w:jc w:val="center"/>
              <w:textAlignment w:val="baseline"/>
              <w:rPr>
                <w:b/>
                <w:bCs/>
                <w:sz w:val="24"/>
                <w:szCs w:val="24"/>
              </w:rPr>
            </w:pPr>
          </w:p>
        </w:tc>
        <w:tc>
          <w:tcPr>
            <w:tcW w:w="1535" w:type="dxa"/>
            <w:vMerge w:val="continue"/>
            <w:vAlign w:val="center"/>
          </w:tcPr>
          <w:p w14:paraId="428670AD">
            <w:pPr>
              <w:pStyle w:val="15"/>
              <w:widowControl/>
              <w:kinsoku w:val="0"/>
              <w:autoSpaceDE w:val="0"/>
              <w:autoSpaceDN w:val="0"/>
              <w:adjustRightInd w:val="0"/>
              <w:snapToGrid w:val="0"/>
              <w:spacing w:line="230" w:lineRule="auto"/>
              <w:jc w:val="center"/>
              <w:textAlignment w:val="baseline"/>
              <w:rPr>
                <w:spacing w:val="-4"/>
                <w:sz w:val="24"/>
                <w:szCs w:val="24"/>
              </w:rPr>
            </w:pPr>
          </w:p>
        </w:tc>
        <w:tc>
          <w:tcPr>
            <w:tcW w:w="2160" w:type="dxa"/>
            <w:gridSpan w:val="2"/>
            <w:vAlign w:val="center"/>
          </w:tcPr>
          <w:p w14:paraId="0E046BA1">
            <w:pPr>
              <w:pStyle w:val="15"/>
              <w:widowControl/>
              <w:kinsoku w:val="0"/>
              <w:autoSpaceDE w:val="0"/>
              <w:autoSpaceDN w:val="0"/>
              <w:adjustRightInd w:val="0"/>
              <w:snapToGrid w:val="0"/>
              <w:spacing w:line="230" w:lineRule="auto"/>
              <w:jc w:val="center"/>
              <w:textAlignment w:val="baseline"/>
              <w:rPr>
                <w:spacing w:val="-4"/>
                <w:sz w:val="24"/>
                <w:szCs w:val="24"/>
                <w:lang w:eastAsia="zh-CN"/>
              </w:rPr>
            </w:pPr>
            <w:r>
              <w:rPr>
                <w:rFonts w:hint="eastAsia"/>
                <w:spacing w:val="-4"/>
                <w:sz w:val="24"/>
                <w:szCs w:val="24"/>
                <w:lang w:eastAsia="zh-CN"/>
              </w:rPr>
              <w:t>偏差允许范围U</w:t>
            </w:r>
          </w:p>
        </w:tc>
        <w:tc>
          <w:tcPr>
            <w:tcW w:w="2179" w:type="dxa"/>
            <w:vAlign w:val="center"/>
          </w:tcPr>
          <w:p w14:paraId="2E1DC037">
            <w:pPr>
              <w:keepNext w:val="0"/>
              <w:keepLines w:val="0"/>
              <w:pageBreakBefore w:val="0"/>
              <w:widowControl/>
              <w:kinsoku w:val="0"/>
              <w:wordWrap/>
              <w:overflowPunct/>
              <w:topLinePunct w:val="0"/>
              <w:autoSpaceDE w:val="0"/>
              <w:autoSpaceDN w:val="0"/>
              <w:bidi w:val="0"/>
              <w:adjustRightInd w:val="0"/>
              <w:snapToGrid w:val="0"/>
              <w:ind w:left="0" w:leftChars="0" w:right="0" w:rightChars="0" w:firstLine="0" w:firstLineChars="0"/>
              <w:jc w:val="center"/>
              <w:textAlignment w:val="baseline"/>
              <w:rPr>
                <w:rFonts w:ascii="楷体" w:hAnsi="楷体" w:eastAsia="楷体" w:cs="楷体"/>
                <w:sz w:val="24"/>
              </w:rPr>
            </w:pPr>
            <w:r>
              <w:rPr>
                <w:rFonts w:hint="eastAsia" w:ascii="楷体" w:hAnsi="楷体" w:eastAsia="楷体" w:cs="楷体"/>
                <w:color w:val="auto"/>
                <w:sz w:val="24"/>
                <w:szCs w:val="24"/>
                <w:highlight w:val="none"/>
                <w:lang w:val="en-US" w:eastAsia="zh-CN"/>
              </w:rPr>
              <w:t>无</w:t>
            </w:r>
          </w:p>
        </w:tc>
        <w:tc>
          <w:tcPr>
            <w:tcW w:w="2136" w:type="dxa"/>
            <w:vAlign w:val="center"/>
          </w:tcPr>
          <w:p w14:paraId="1C5665D9">
            <w:pPr>
              <w:widowControl/>
              <w:tabs>
                <w:tab w:val="left" w:pos="730"/>
              </w:tabs>
              <w:kinsoku w:val="0"/>
              <w:autoSpaceDE w:val="0"/>
              <w:autoSpaceDN w:val="0"/>
              <w:adjustRightInd w:val="0"/>
              <w:snapToGrid w:val="0"/>
              <w:jc w:val="center"/>
              <w:textAlignment w:val="baseline"/>
              <w:rPr>
                <w:rFonts w:ascii="楷体" w:hAnsi="楷体" w:eastAsia="楷体" w:cs="楷体"/>
                <w:spacing w:val="3"/>
                <w:sz w:val="19"/>
                <w:szCs w:val="19"/>
              </w:rPr>
            </w:pPr>
            <w:r>
              <w:rPr>
                <w:rFonts w:hint="eastAsia" w:ascii="楷体" w:hAnsi="楷体" w:eastAsia="楷体" w:cs="楷体"/>
                <w:spacing w:val="3"/>
                <w:sz w:val="19"/>
                <w:szCs w:val="19"/>
              </w:rPr>
              <w:t>-U%≤偏差率≤U%</w:t>
            </w:r>
          </w:p>
          <w:p w14:paraId="3B5D0042">
            <w:pPr>
              <w:widowControl/>
              <w:tabs>
                <w:tab w:val="left" w:pos="730"/>
              </w:tabs>
              <w:kinsoku w:val="0"/>
              <w:autoSpaceDE w:val="0"/>
              <w:autoSpaceDN w:val="0"/>
              <w:adjustRightInd w:val="0"/>
              <w:snapToGrid w:val="0"/>
              <w:jc w:val="center"/>
              <w:textAlignment w:val="baseline"/>
            </w:pPr>
            <w:r>
              <w:rPr>
                <w:rFonts w:hint="eastAsia" w:ascii="楷体" w:hAnsi="楷体" w:eastAsia="楷体" w:cs="楷体"/>
                <w:spacing w:val="3"/>
                <w:sz w:val="19"/>
                <w:szCs w:val="19"/>
              </w:rPr>
              <w:t>U≥5,（U须填整数）</w:t>
            </w:r>
          </w:p>
        </w:tc>
      </w:tr>
      <w:tr w14:paraId="737657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0" w:hRule="exact"/>
          <w:jc w:val="center"/>
        </w:trPr>
        <w:tc>
          <w:tcPr>
            <w:tcW w:w="1867" w:type="dxa"/>
            <w:vAlign w:val="center"/>
          </w:tcPr>
          <w:p w14:paraId="75D5D09A">
            <w:pPr>
              <w:pStyle w:val="15"/>
              <w:widowControl/>
              <w:kinsoku w:val="0"/>
              <w:autoSpaceDE w:val="0"/>
              <w:autoSpaceDN w:val="0"/>
              <w:adjustRightInd w:val="0"/>
              <w:snapToGrid w:val="0"/>
              <w:spacing w:line="203" w:lineRule="auto"/>
              <w:jc w:val="center"/>
              <w:textAlignment w:val="baseline"/>
              <w:rPr>
                <w:b/>
                <w:bCs/>
                <w:sz w:val="24"/>
                <w:szCs w:val="24"/>
                <w:lang w:eastAsia="zh-CN"/>
              </w:rPr>
            </w:pPr>
            <w:r>
              <w:rPr>
                <w:rFonts w:hint="eastAsia"/>
                <w:b/>
                <w:bCs/>
                <w:sz w:val="24"/>
                <w:szCs w:val="24"/>
                <w:lang w:eastAsia="zh-CN"/>
              </w:rPr>
              <w:t>1.4售电公司收益分享</w:t>
            </w:r>
          </w:p>
          <w:p w14:paraId="02C97796">
            <w:pPr>
              <w:pStyle w:val="15"/>
              <w:widowControl/>
              <w:kinsoku w:val="0"/>
              <w:autoSpaceDE w:val="0"/>
              <w:autoSpaceDN w:val="0"/>
              <w:adjustRightInd w:val="0"/>
              <w:snapToGrid w:val="0"/>
              <w:spacing w:line="203" w:lineRule="auto"/>
              <w:jc w:val="center"/>
              <w:textAlignment w:val="baseline"/>
              <w:rPr>
                <w:b/>
                <w:bCs/>
                <w:sz w:val="24"/>
                <w:szCs w:val="24"/>
                <w:lang w:eastAsia="zh-CN"/>
              </w:rPr>
            </w:pPr>
            <w:r>
              <w:rPr>
                <w:rFonts w:hint="eastAsia"/>
                <w:b/>
                <w:bCs/>
                <w:sz w:val="24"/>
                <w:szCs w:val="24"/>
                <w:lang w:eastAsia="zh-CN"/>
              </w:rPr>
              <w:t>（三选一；必填）</w:t>
            </w:r>
          </w:p>
        </w:tc>
        <w:tc>
          <w:tcPr>
            <w:tcW w:w="3695" w:type="dxa"/>
            <w:gridSpan w:val="3"/>
            <w:vAlign w:val="center"/>
          </w:tcPr>
          <w:p w14:paraId="708F7DAB">
            <w:pPr>
              <w:pStyle w:val="15"/>
              <w:widowControl/>
              <w:kinsoku w:val="0"/>
              <w:autoSpaceDE w:val="0"/>
              <w:autoSpaceDN w:val="0"/>
              <w:adjustRightInd w:val="0"/>
              <w:snapToGrid w:val="0"/>
              <w:spacing w:line="223" w:lineRule="auto"/>
              <w:jc w:val="center"/>
              <w:textAlignment w:val="baseline"/>
              <w:rPr>
                <w:spacing w:val="-4"/>
                <w:sz w:val="24"/>
                <w:szCs w:val="24"/>
                <w:lang w:eastAsia="zh-CN"/>
              </w:rPr>
            </w:pPr>
            <w:r>
              <w:rPr>
                <w:rFonts w:hint="eastAsia"/>
                <w:spacing w:val="-4"/>
                <w:sz w:val="24"/>
                <w:szCs w:val="24"/>
                <w:lang w:eastAsia="zh-CN"/>
              </w:rPr>
              <w:t>售电公司向零售用户分享比例F</w:t>
            </w:r>
            <w:r>
              <w:rPr>
                <w:rFonts w:hint="eastAsia"/>
                <w:spacing w:val="-6"/>
                <w:sz w:val="32"/>
                <w:szCs w:val="32"/>
                <w:vertAlign w:val="subscript"/>
                <w:lang w:eastAsia="zh-CN"/>
              </w:rPr>
              <w:t>分享</w:t>
            </w:r>
          </w:p>
        </w:tc>
        <w:tc>
          <w:tcPr>
            <w:tcW w:w="2179" w:type="dxa"/>
            <w:vAlign w:val="center"/>
          </w:tcPr>
          <w:p w14:paraId="4104EBED">
            <w:pPr>
              <w:keepNext w:val="0"/>
              <w:keepLines w:val="0"/>
              <w:pageBreakBefore w:val="0"/>
              <w:widowControl/>
              <w:kinsoku w:val="0"/>
              <w:wordWrap/>
              <w:overflowPunct/>
              <w:topLinePunct w:val="0"/>
              <w:autoSpaceDE w:val="0"/>
              <w:autoSpaceDN w:val="0"/>
              <w:bidi w:val="0"/>
              <w:adjustRightInd w:val="0"/>
              <w:snapToGrid w:val="0"/>
              <w:ind w:left="0" w:leftChars="0" w:right="0" w:rightChars="0" w:firstLine="0" w:firstLineChars="0"/>
              <w:jc w:val="center"/>
              <w:textAlignment w:val="baseline"/>
              <w:rPr>
                <w:rFonts w:ascii="楷体" w:hAnsi="楷体" w:eastAsia="楷体" w:cs="楷体"/>
                <w:sz w:val="24"/>
              </w:rPr>
            </w:pPr>
            <w:r>
              <w:rPr>
                <w:rFonts w:hint="eastAsia" w:ascii="楷体" w:hAnsi="楷体" w:eastAsia="楷体" w:cs="楷体"/>
                <w:color w:val="auto"/>
                <w:sz w:val="24"/>
                <w:szCs w:val="24"/>
                <w:highlight w:val="none"/>
                <w:lang w:val="en-US" w:eastAsia="zh-CN"/>
              </w:rPr>
              <w:t>100%</w:t>
            </w:r>
          </w:p>
        </w:tc>
        <w:tc>
          <w:tcPr>
            <w:tcW w:w="2136" w:type="dxa"/>
            <w:vAlign w:val="center"/>
          </w:tcPr>
          <w:p w14:paraId="1695D3B9">
            <w:pPr>
              <w:pStyle w:val="15"/>
              <w:widowControl/>
              <w:kinsoku w:val="0"/>
              <w:autoSpaceDE w:val="0"/>
              <w:autoSpaceDN w:val="0"/>
              <w:adjustRightInd w:val="0"/>
              <w:snapToGrid w:val="0"/>
              <w:jc w:val="center"/>
              <w:textAlignment w:val="baseline"/>
              <w:rPr>
                <w:spacing w:val="3"/>
                <w:sz w:val="19"/>
                <w:szCs w:val="19"/>
                <w:lang w:eastAsia="zh-CN"/>
              </w:rPr>
            </w:pPr>
            <w:r>
              <w:rPr>
                <w:rFonts w:hint="eastAsia"/>
                <w:spacing w:val="3"/>
                <w:sz w:val="19"/>
                <w:szCs w:val="19"/>
                <w:lang w:eastAsia="zh-CN"/>
              </w:rPr>
              <w:t>在100%/90%/80%中</w:t>
            </w:r>
          </w:p>
          <w:p w14:paraId="5FB22C2D">
            <w:pPr>
              <w:pStyle w:val="15"/>
              <w:widowControl/>
              <w:kinsoku w:val="0"/>
              <w:autoSpaceDE w:val="0"/>
              <w:autoSpaceDN w:val="0"/>
              <w:adjustRightInd w:val="0"/>
              <w:snapToGrid w:val="0"/>
              <w:jc w:val="center"/>
              <w:textAlignment w:val="baseline"/>
              <w:rPr>
                <w:spacing w:val="3"/>
                <w:sz w:val="24"/>
                <w:szCs w:val="24"/>
                <w:lang w:eastAsia="zh-CN"/>
              </w:rPr>
            </w:pPr>
            <w:r>
              <w:rPr>
                <w:rFonts w:hint="eastAsia"/>
                <w:spacing w:val="3"/>
                <w:sz w:val="19"/>
                <w:szCs w:val="19"/>
                <w:lang w:eastAsia="zh-CN"/>
              </w:rPr>
              <w:t>三选一</w:t>
            </w:r>
          </w:p>
        </w:tc>
      </w:tr>
    </w:tbl>
    <w:p w14:paraId="231A22AE">
      <w:pPr>
        <w:rPr>
          <w:rFonts w:ascii="黑体" w:hAnsi="黑体" w:eastAsia="黑体" w:cs="黑体"/>
          <w:sz w:val="32"/>
          <w:szCs w:val="32"/>
        </w:rPr>
      </w:pPr>
    </w:p>
    <w:tbl>
      <w:tblPr>
        <w:tblStyle w:val="14"/>
        <w:tblpPr w:leftFromText="180" w:rightFromText="180" w:vertAnchor="text" w:horzAnchor="page" w:tblpXSpec="center" w:tblpY="74"/>
        <w:tblOverlap w:val="never"/>
        <w:tblW w:w="1003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6"/>
        <w:gridCol w:w="1236"/>
        <w:gridCol w:w="1242"/>
        <w:gridCol w:w="936"/>
        <w:gridCol w:w="1242"/>
        <w:gridCol w:w="1242"/>
        <w:gridCol w:w="939"/>
        <w:gridCol w:w="1258"/>
        <w:gridCol w:w="1171"/>
      </w:tblGrid>
      <w:tr w14:paraId="16A0D5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7" w:hRule="exact"/>
          <w:jc w:val="center"/>
        </w:trPr>
        <w:tc>
          <w:tcPr>
            <w:tcW w:w="10032" w:type="dxa"/>
            <w:gridSpan w:val="9"/>
            <w:tcBorders>
              <w:top w:val="single" w:color="auto" w:sz="4" w:space="0"/>
              <w:left w:val="single" w:color="auto" w:sz="4" w:space="0"/>
              <w:bottom w:val="single" w:color="auto" w:sz="4" w:space="0"/>
              <w:right w:val="single" w:color="auto" w:sz="4" w:space="0"/>
            </w:tcBorders>
            <w:vAlign w:val="center"/>
          </w:tcPr>
          <w:p w14:paraId="13F8AE27">
            <w:pPr>
              <w:widowControl/>
              <w:kinsoku w:val="0"/>
              <w:autoSpaceDE w:val="0"/>
              <w:autoSpaceDN w:val="0"/>
              <w:jc w:val="center"/>
              <w:textAlignment w:val="baseline"/>
              <w:rPr>
                <w:rFonts w:ascii="黑体" w:hAnsi="黑体" w:eastAsia="黑体" w:cs="黑体"/>
                <w:b/>
                <w:bCs/>
                <w:spacing w:val="-3"/>
                <w:sz w:val="24"/>
              </w:rPr>
            </w:pPr>
            <w:r>
              <w:rPr>
                <w:rFonts w:hint="eastAsia" w:ascii="黑体" w:hAnsi="黑体" w:eastAsia="黑体" w:cs="黑体"/>
                <w:b/>
                <w:bCs/>
                <w:spacing w:val="-7"/>
                <w:sz w:val="28"/>
                <w:szCs w:val="28"/>
              </w:rPr>
              <w:t xml:space="preserve">                              2.零售套餐电量参数                 </w:t>
            </w:r>
            <w:r>
              <w:rPr>
                <w:rFonts w:hint="eastAsia" w:ascii="黑体" w:hAnsi="黑体" w:eastAsia="黑体" w:cs="黑体"/>
                <w:spacing w:val="-7"/>
                <w:sz w:val="22"/>
                <w:szCs w:val="22"/>
              </w:rPr>
              <w:t>（单位：兆瓦时）</w:t>
            </w:r>
          </w:p>
        </w:tc>
      </w:tr>
      <w:tr w14:paraId="1C3558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7" w:hRule="exact"/>
          <w:jc w:val="center"/>
        </w:trPr>
        <w:tc>
          <w:tcPr>
            <w:tcW w:w="766" w:type="dxa"/>
            <w:tcBorders>
              <w:top w:val="single" w:color="auto" w:sz="4" w:space="0"/>
              <w:left w:val="single" w:color="auto" w:sz="4" w:space="0"/>
              <w:bottom w:val="single" w:color="auto" w:sz="4" w:space="0"/>
              <w:right w:val="single" w:color="auto" w:sz="4" w:space="0"/>
            </w:tcBorders>
            <w:vAlign w:val="center"/>
          </w:tcPr>
          <w:p w14:paraId="0AD1DD62">
            <w:pPr>
              <w:widowControl/>
              <w:kinsoku w:val="0"/>
              <w:autoSpaceDE w:val="0"/>
              <w:autoSpaceDN w:val="0"/>
              <w:jc w:val="center"/>
              <w:textAlignment w:val="baseline"/>
              <w:rPr>
                <w:rFonts w:ascii="黑体" w:hAnsi="黑体" w:eastAsia="黑体" w:cs="黑体"/>
                <w:b/>
                <w:bCs/>
                <w:sz w:val="24"/>
              </w:rPr>
            </w:pPr>
            <w:r>
              <w:rPr>
                <w:rFonts w:hint="eastAsia" w:ascii="黑体" w:hAnsi="黑体" w:eastAsia="黑体" w:cs="黑体"/>
                <w:b/>
                <w:bCs/>
                <w:sz w:val="24"/>
              </w:rPr>
              <w:t>月份</w:t>
            </w:r>
          </w:p>
        </w:tc>
        <w:tc>
          <w:tcPr>
            <w:tcW w:w="1236" w:type="dxa"/>
            <w:tcBorders>
              <w:top w:val="single" w:color="auto" w:sz="4" w:space="0"/>
              <w:left w:val="single" w:color="auto" w:sz="4" w:space="0"/>
              <w:bottom w:val="single" w:color="auto" w:sz="4" w:space="0"/>
              <w:right w:val="single" w:color="auto" w:sz="4" w:space="0"/>
            </w:tcBorders>
            <w:vAlign w:val="center"/>
          </w:tcPr>
          <w:p w14:paraId="672B7480">
            <w:pPr>
              <w:widowControl/>
              <w:kinsoku w:val="0"/>
              <w:autoSpaceDE w:val="0"/>
              <w:autoSpaceDN w:val="0"/>
              <w:jc w:val="center"/>
              <w:textAlignment w:val="baseline"/>
              <w:rPr>
                <w:rFonts w:ascii="黑体" w:hAnsi="黑体" w:eastAsia="黑体" w:cs="黑体"/>
                <w:b/>
                <w:bCs/>
                <w:spacing w:val="-3"/>
                <w:sz w:val="24"/>
              </w:rPr>
            </w:pPr>
            <w:r>
              <w:rPr>
                <w:rFonts w:ascii="黑体" w:hAnsi="黑体" w:eastAsia="黑体" w:cs="黑体"/>
                <w:b/>
                <w:bCs/>
                <w:spacing w:val="-3"/>
                <w:sz w:val="24"/>
              </w:rPr>
              <w:t>合同</w:t>
            </w:r>
            <w:r>
              <w:rPr>
                <w:rFonts w:hint="eastAsia" w:ascii="黑体" w:hAnsi="黑体" w:eastAsia="黑体" w:cs="黑体"/>
                <w:b/>
                <w:bCs/>
                <w:spacing w:val="-3"/>
                <w:sz w:val="24"/>
              </w:rPr>
              <w:t>电</w:t>
            </w:r>
            <w:r>
              <w:rPr>
                <w:rFonts w:ascii="黑体" w:hAnsi="黑体" w:eastAsia="黑体" w:cs="黑体"/>
                <w:b/>
                <w:bCs/>
                <w:spacing w:val="-3"/>
                <w:sz w:val="24"/>
              </w:rPr>
              <w:t>量</w:t>
            </w:r>
          </w:p>
          <w:p w14:paraId="2B531C5B">
            <w:pPr>
              <w:widowControl/>
              <w:kinsoku w:val="0"/>
              <w:autoSpaceDE w:val="0"/>
              <w:autoSpaceDN w:val="0"/>
              <w:jc w:val="center"/>
              <w:textAlignment w:val="baseline"/>
              <w:rPr>
                <w:rFonts w:ascii="黑体" w:hAnsi="黑体" w:eastAsia="黑体" w:cs="黑体"/>
                <w:b/>
                <w:bCs/>
                <w:sz w:val="24"/>
              </w:rPr>
            </w:pPr>
            <w:r>
              <w:rPr>
                <w:rFonts w:hint="eastAsia" w:ascii="黑体" w:hAnsi="黑体" w:eastAsia="黑体" w:cs="黑体"/>
                <w:b/>
                <w:bCs/>
                <w:spacing w:val="-3"/>
                <w:sz w:val="24"/>
              </w:rPr>
              <w:t>Q</w:t>
            </w:r>
            <w:r>
              <w:rPr>
                <w:rFonts w:hint="eastAsia" w:ascii="黑体" w:hAnsi="黑体" w:eastAsia="黑体" w:cs="黑体"/>
                <w:b/>
                <w:bCs/>
                <w:spacing w:val="-3"/>
                <w:sz w:val="24"/>
                <w:vertAlign w:val="subscript"/>
              </w:rPr>
              <w:t>合</w:t>
            </w:r>
          </w:p>
        </w:tc>
        <w:tc>
          <w:tcPr>
            <w:tcW w:w="1242" w:type="dxa"/>
            <w:tcBorders>
              <w:top w:val="single" w:color="auto" w:sz="4" w:space="0"/>
              <w:left w:val="single" w:color="auto" w:sz="4" w:space="0"/>
              <w:bottom w:val="single" w:color="auto" w:sz="4" w:space="0"/>
              <w:right w:val="single" w:color="auto" w:sz="4" w:space="0"/>
            </w:tcBorders>
            <w:vAlign w:val="center"/>
          </w:tcPr>
          <w:p w14:paraId="2B8E990D">
            <w:pPr>
              <w:widowControl/>
              <w:kinsoku w:val="0"/>
              <w:autoSpaceDE w:val="0"/>
              <w:autoSpaceDN w:val="0"/>
              <w:jc w:val="center"/>
              <w:textAlignment w:val="baseline"/>
              <w:rPr>
                <w:rFonts w:ascii="黑体" w:hAnsi="黑体" w:eastAsia="黑体" w:cs="黑体"/>
                <w:b/>
                <w:bCs/>
                <w:spacing w:val="-3"/>
                <w:sz w:val="24"/>
              </w:rPr>
            </w:pPr>
            <w:r>
              <w:rPr>
                <w:rFonts w:hint="eastAsia" w:ascii="黑体" w:hAnsi="黑体" w:eastAsia="黑体" w:cs="黑体"/>
                <w:b/>
                <w:bCs/>
                <w:spacing w:val="-3"/>
                <w:sz w:val="24"/>
              </w:rPr>
              <w:t>绿电需求</w:t>
            </w:r>
          </w:p>
          <w:p w14:paraId="0363868C">
            <w:pPr>
              <w:widowControl/>
              <w:kinsoku w:val="0"/>
              <w:autoSpaceDE w:val="0"/>
              <w:autoSpaceDN w:val="0"/>
              <w:jc w:val="center"/>
              <w:textAlignment w:val="baseline"/>
              <w:rPr>
                <w:rFonts w:ascii="黑体" w:hAnsi="黑体" w:eastAsia="黑体" w:cs="黑体"/>
                <w:b/>
                <w:bCs/>
                <w:spacing w:val="-3"/>
                <w:sz w:val="24"/>
              </w:rPr>
            </w:pPr>
            <w:r>
              <w:rPr>
                <w:rFonts w:hint="eastAsia" w:ascii="黑体" w:hAnsi="黑体" w:eastAsia="黑体" w:cs="黑体"/>
                <w:b/>
                <w:bCs/>
                <w:spacing w:val="-3"/>
                <w:sz w:val="24"/>
              </w:rPr>
              <w:t>Q</w:t>
            </w:r>
            <w:r>
              <w:rPr>
                <w:rFonts w:hint="eastAsia" w:ascii="黑体" w:hAnsi="黑体" w:eastAsia="黑体" w:cs="黑体"/>
                <w:b/>
                <w:bCs/>
                <w:spacing w:val="-3"/>
                <w:sz w:val="24"/>
                <w:vertAlign w:val="subscript"/>
              </w:rPr>
              <w:t>绿需</w:t>
            </w:r>
          </w:p>
        </w:tc>
        <w:tc>
          <w:tcPr>
            <w:tcW w:w="936" w:type="dxa"/>
            <w:tcBorders>
              <w:top w:val="single" w:color="auto" w:sz="4" w:space="0"/>
              <w:left w:val="single" w:color="auto" w:sz="4" w:space="0"/>
              <w:bottom w:val="single" w:color="auto" w:sz="4" w:space="0"/>
              <w:right w:val="single" w:color="auto" w:sz="4" w:space="0"/>
            </w:tcBorders>
            <w:vAlign w:val="center"/>
          </w:tcPr>
          <w:p w14:paraId="73DF41C5">
            <w:pPr>
              <w:widowControl/>
              <w:kinsoku w:val="0"/>
              <w:autoSpaceDE w:val="0"/>
              <w:autoSpaceDN w:val="0"/>
              <w:jc w:val="center"/>
              <w:textAlignment w:val="baseline"/>
              <w:rPr>
                <w:rFonts w:ascii="黑体" w:hAnsi="黑体" w:eastAsia="黑体" w:cs="黑体"/>
                <w:b/>
                <w:bCs/>
                <w:sz w:val="24"/>
              </w:rPr>
            </w:pPr>
            <w:r>
              <w:rPr>
                <w:rFonts w:hint="eastAsia" w:ascii="黑体" w:hAnsi="黑体" w:eastAsia="黑体" w:cs="黑体"/>
                <w:b/>
                <w:bCs/>
                <w:sz w:val="24"/>
              </w:rPr>
              <w:t>月份</w:t>
            </w:r>
          </w:p>
        </w:tc>
        <w:tc>
          <w:tcPr>
            <w:tcW w:w="1242" w:type="dxa"/>
            <w:tcBorders>
              <w:top w:val="single" w:color="auto" w:sz="4" w:space="0"/>
              <w:left w:val="single" w:color="auto" w:sz="4" w:space="0"/>
              <w:bottom w:val="single" w:color="auto" w:sz="4" w:space="0"/>
              <w:right w:val="single" w:color="auto" w:sz="4" w:space="0"/>
            </w:tcBorders>
            <w:vAlign w:val="center"/>
          </w:tcPr>
          <w:p w14:paraId="1C6EDE96">
            <w:pPr>
              <w:widowControl/>
              <w:kinsoku w:val="0"/>
              <w:autoSpaceDE w:val="0"/>
              <w:autoSpaceDN w:val="0"/>
              <w:jc w:val="center"/>
              <w:textAlignment w:val="baseline"/>
              <w:rPr>
                <w:rFonts w:ascii="黑体" w:hAnsi="黑体" w:eastAsia="黑体" w:cs="黑体"/>
                <w:b/>
                <w:bCs/>
                <w:spacing w:val="-3"/>
                <w:sz w:val="24"/>
              </w:rPr>
            </w:pPr>
            <w:r>
              <w:rPr>
                <w:rFonts w:ascii="黑体" w:hAnsi="黑体" w:eastAsia="黑体" w:cs="黑体"/>
                <w:b/>
                <w:bCs/>
                <w:spacing w:val="-3"/>
                <w:sz w:val="24"/>
              </w:rPr>
              <w:t>合同</w:t>
            </w:r>
            <w:r>
              <w:rPr>
                <w:rFonts w:hint="eastAsia" w:ascii="黑体" w:hAnsi="黑体" w:eastAsia="黑体" w:cs="黑体"/>
                <w:b/>
                <w:bCs/>
                <w:spacing w:val="-3"/>
                <w:sz w:val="24"/>
              </w:rPr>
              <w:t>电</w:t>
            </w:r>
            <w:r>
              <w:rPr>
                <w:rFonts w:ascii="黑体" w:hAnsi="黑体" w:eastAsia="黑体" w:cs="黑体"/>
                <w:b/>
                <w:bCs/>
                <w:spacing w:val="-3"/>
                <w:sz w:val="24"/>
              </w:rPr>
              <w:t>量</w:t>
            </w:r>
          </w:p>
          <w:p w14:paraId="02CD1EE2">
            <w:pPr>
              <w:widowControl/>
              <w:kinsoku w:val="0"/>
              <w:autoSpaceDE w:val="0"/>
              <w:autoSpaceDN w:val="0"/>
              <w:jc w:val="center"/>
              <w:textAlignment w:val="baseline"/>
              <w:rPr>
                <w:rFonts w:ascii="黑体" w:hAnsi="黑体" w:eastAsia="黑体" w:cs="黑体"/>
                <w:b/>
                <w:bCs/>
                <w:snapToGrid w:val="0"/>
                <w:kern w:val="0"/>
                <w:sz w:val="24"/>
              </w:rPr>
            </w:pPr>
            <w:r>
              <w:rPr>
                <w:rFonts w:hint="eastAsia" w:ascii="黑体" w:hAnsi="黑体" w:eastAsia="黑体" w:cs="黑体"/>
                <w:b/>
                <w:bCs/>
                <w:spacing w:val="-3"/>
                <w:sz w:val="24"/>
              </w:rPr>
              <w:t>Q</w:t>
            </w:r>
            <w:r>
              <w:rPr>
                <w:rFonts w:hint="eastAsia" w:ascii="黑体" w:hAnsi="黑体" w:eastAsia="黑体" w:cs="黑体"/>
                <w:b/>
                <w:bCs/>
                <w:spacing w:val="-3"/>
                <w:sz w:val="24"/>
                <w:vertAlign w:val="subscript"/>
              </w:rPr>
              <w:t>合</w:t>
            </w:r>
          </w:p>
        </w:tc>
        <w:tc>
          <w:tcPr>
            <w:tcW w:w="1242" w:type="dxa"/>
            <w:tcBorders>
              <w:top w:val="single" w:color="auto" w:sz="4" w:space="0"/>
              <w:left w:val="single" w:color="auto" w:sz="4" w:space="0"/>
              <w:bottom w:val="single" w:color="auto" w:sz="4" w:space="0"/>
              <w:right w:val="single" w:color="auto" w:sz="4" w:space="0"/>
            </w:tcBorders>
            <w:vAlign w:val="center"/>
          </w:tcPr>
          <w:p w14:paraId="095C4642">
            <w:pPr>
              <w:widowControl/>
              <w:kinsoku w:val="0"/>
              <w:autoSpaceDE w:val="0"/>
              <w:autoSpaceDN w:val="0"/>
              <w:jc w:val="center"/>
              <w:textAlignment w:val="baseline"/>
              <w:rPr>
                <w:rFonts w:ascii="黑体" w:hAnsi="黑体" w:eastAsia="黑体" w:cs="黑体"/>
                <w:b/>
                <w:bCs/>
                <w:spacing w:val="-3"/>
                <w:sz w:val="24"/>
              </w:rPr>
            </w:pPr>
            <w:r>
              <w:rPr>
                <w:rFonts w:hint="eastAsia" w:ascii="黑体" w:hAnsi="黑体" w:eastAsia="黑体" w:cs="黑体"/>
                <w:b/>
                <w:bCs/>
                <w:spacing w:val="-3"/>
                <w:sz w:val="24"/>
              </w:rPr>
              <w:t>绿电需求</w:t>
            </w:r>
          </w:p>
          <w:p w14:paraId="5BDC195A">
            <w:pPr>
              <w:widowControl/>
              <w:kinsoku w:val="0"/>
              <w:autoSpaceDE w:val="0"/>
              <w:autoSpaceDN w:val="0"/>
              <w:jc w:val="center"/>
              <w:textAlignment w:val="baseline"/>
              <w:rPr>
                <w:rFonts w:ascii="黑体" w:hAnsi="黑体" w:eastAsia="黑体" w:cs="黑体"/>
                <w:b/>
                <w:bCs/>
                <w:snapToGrid w:val="0"/>
                <w:spacing w:val="-3"/>
                <w:kern w:val="0"/>
                <w:sz w:val="24"/>
              </w:rPr>
            </w:pPr>
            <w:r>
              <w:rPr>
                <w:rFonts w:hint="eastAsia" w:ascii="黑体" w:hAnsi="黑体" w:eastAsia="黑体" w:cs="黑体"/>
                <w:b/>
                <w:bCs/>
                <w:spacing w:val="-3"/>
                <w:sz w:val="24"/>
              </w:rPr>
              <w:t>Q</w:t>
            </w:r>
            <w:r>
              <w:rPr>
                <w:rFonts w:hint="eastAsia" w:ascii="黑体" w:hAnsi="黑体" w:eastAsia="黑体" w:cs="黑体"/>
                <w:b/>
                <w:bCs/>
                <w:spacing w:val="-3"/>
                <w:sz w:val="24"/>
                <w:vertAlign w:val="subscript"/>
              </w:rPr>
              <w:t>绿需</w:t>
            </w:r>
          </w:p>
        </w:tc>
        <w:tc>
          <w:tcPr>
            <w:tcW w:w="939" w:type="dxa"/>
            <w:tcBorders>
              <w:top w:val="single" w:color="auto" w:sz="4" w:space="0"/>
              <w:left w:val="single" w:color="auto" w:sz="4" w:space="0"/>
              <w:bottom w:val="single" w:color="auto" w:sz="4" w:space="0"/>
              <w:right w:val="single" w:color="auto" w:sz="4" w:space="0"/>
            </w:tcBorders>
            <w:vAlign w:val="center"/>
          </w:tcPr>
          <w:p w14:paraId="3B73342E">
            <w:pPr>
              <w:widowControl/>
              <w:kinsoku w:val="0"/>
              <w:autoSpaceDE w:val="0"/>
              <w:autoSpaceDN w:val="0"/>
              <w:jc w:val="center"/>
              <w:textAlignment w:val="baseline"/>
              <w:rPr>
                <w:rFonts w:ascii="黑体" w:hAnsi="黑体" w:eastAsia="黑体" w:cs="黑体"/>
                <w:b/>
                <w:bCs/>
                <w:sz w:val="24"/>
              </w:rPr>
            </w:pPr>
            <w:r>
              <w:rPr>
                <w:rFonts w:hint="eastAsia" w:ascii="黑体" w:hAnsi="黑体" w:eastAsia="黑体" w:cs="黑体"/>
                <w:b/>
                <w:bCs/>
                <w:sz w:val="24"/>
              </w:rPr>
              <w:t>月份</w:t>
            </w:r>
          </w:p>
        </w:tc>
        <w:tc>
          <w:tcPr>
            <w:tcW w:w="1258" w:type="dxa"/>
            <w:tcBorders>
              <w:top w:val="single" w:color="auto" w:sz="4" w:space="0"/>
              <w:left w:val="single" w:color="auto" w:sz="4" w:space="0"/>
              <w:bottom w:val="single" w:color="auto" w:sz="4" w:space="0"/>
              <w:right w:val="single" w:color="auto" w:sz="4" w:space="0"/>
            </w:tcBorders>
            <w:vAlign w:val="center"/>
          </w:tcPr>
          <w:p w14:paraId="02067432">
            <w:pPr>
              <w:widowControl/>
              <w:kinsoku w:val="0"/>
              <w:autoSpaceDE w:val="0"/>
              <w:autoSpaceDN w:val="0"/>
              <w:jc w:val="center"/>
              <w:textAlignment w:val="baseline"/>
              <w:rPr>
                <w:rFonts w:ascii="黑体" w:hAnsi="黑体" w:eastAsia="黑体" w:cs="黑体"/>
                <w:b/>
                <w:bCs/>
                <w:spacing w:val="-3"/>
                <w:sz w:val="24"/>
              </w:rPr>
            </w:pPr>
            <w:r>
              <w:rPr>
                <w:rFonts w:ascii="黑体" w:hAnsi="黑体" w:eastAsia="黑体" w:cs="黑体"/>
                <w:b/>
                <w:bCs/>
                <w:spacing w:val="-3"/>
                <w:sz w:val="24"/>
              </w:rPr>
              <w:t>合同</w:t>
            </w:r>
            <w:r>
              <w:rPr>
                <w:rFonts w:hint="eastAsia" w:ascii="黑体" w:hAnsi="黑体" w:eastAsia="黑体" w:cs="黑体"/>
                <w:b/>
                <w:bCs/>
                <w:spacing w:val="-3"/>
                <w:sz w:val="24"/>
              </w:rPr>
              <w:t>电</w:t>
            </w:r>
            <w:r>
              <w:rPr>
                <w:rFonts w:ascii="黑体" w:hAnsi="黑体" w:eastAsia="黑体" w:cs="黑体"/>
                <w:b/>
                <w:bCs/>
                <w:spacing w:val="-3"/>
                <w:sz w:val="24"/>
              </w:rPr>
              <w:t>量</w:t>
            </w:r>
          </w:p>
          <w:p w14:paraId="4EBBED42">
            <w:pPr>
              <w:widowControl/>
              <w:kinsoku w:val="0"/>
              <w:autoSpaceDE w:val="0"/>
              <w:autoSpaceDN w:val="0"/>
              <w:jc w:val="center"/>
              <w:textAlignment w:val="baseline"/>
              <w:rPr>
                <w:rFonts w:ascii="黑体" w:hAnsi="黑体" w:eastAsia="黑体" w:cs="黑体"/>
                <w:b/>
                <w:bCs/>
                <w:sz w:val="24"/>
              </w:rPr>
            </w:pPr>
            <w:r>
              <w:rPr>
                <w:rFonts w:hint="eastAsia" w:ascii="黑体" w:hAnsi="黑体" w:eastAsia="黑体" w:cs="黑体"/>
                <w:b/>
                <w:bCs/>
                <w:spacing w:val="-3"/>
                <w:sz w:val="24"/>
              </w:rPr>
              <w:t>Q</w:t>
            </w:r>
            <w:r>
              <w:rPr>
                <w:rFonts w:hint="eastAsia" w:ascii="黑体" w:hAnsi="黑体" w:eastAsia="黑体" w:cs="黑体"/>
                <w:b/>
                <w:bCs/>
                <w:spacing w:val="-3"/>
                <w:sz w:val="24"/>
                <w:vertAlign w:val="subscript"/>
              </w:rPr>
              <w:t>合</w:t>
            </w:r>
          </w:p>
        </w:tc>
        <w:tc>
          <w:tcPr>
            <w:tcW w:w="1171" w:type="dxa"/>
            <w:tcBorders>
              <w:top w:val="single" w:color="auto" w:sz="4" w:space="0"/>
              <w:left w:val="single" w:color="auto" w:sz="4" w:space="0"/>
              <w:bottom w:val="single" w:color="auto" w:sz="4" w:space="0"/>
              <w:right w:val="single" w:color="auto" w:sz="4" w:space="0"/>
            </w:tcBorders>
            <w:vAlign w:val="center"/>
          </w:tcPr>
          <w:p w14:paraId="12C29E20">
            <w:pPr>
              <w:widowControl/>
              <w:kinsoku w:val="0"/>
              <w:autoSpaceDE w:val="0"/>
              <w:autoSpaceDN w:val="0"/>
              <w:jc w:val="center"/>
              <w:textAlignment w:val="baseline"/>
              <w:rPr>
                <w:rFonts w:ascii="黑体" w:hAnsi="黑体" w:eastAsia="黑体" w:cs="黑体"/>
                <w:b/>
                <w:bCs/>
                <w:spacing w:val="-3"/>
                <w:sz w:val="24"/>
              </w:rPr>
            </w:pPr>
            <w:r>
              <w:rPr>
                <w:rFonts w:hint="eastAsia" w:ascii="黑体" w:hAnsi="黑体" w:eastAsia="黑体" w:cs="黑体"/>
                <w:b/>
                <w:bCs/>
                <w:spacing w:val="-3"/>
                <w:sz w:val="24"/>
              </w:rPr>
              <w:t>绿电需求</w:t>
            </w:r>
          </w:p>
          <w:p w14:paraId="4FF8FF26">
            <w:pPr>
              <w:widowControl/>
              <w:kinsoku w:val="0"/>
              <w:autoSpaceDE w:val="0"/>
              <w:autoSpaceDN w:val="0"/>
              <w:jc w:val="center"/>
              <w:textAlignment w:val="baseline"/>
              <w:rPr>
                <w:rFonts w:ascii="黑体" w:hAnsi="黑体" w:eastAsia="黑体" w:cs="黑体"/>
                <w:b/>
                <w:bCs/>
                <w:spacing w:val="-3"/>
                <w:sz w:val="24"/>
              </w:rPr>
            </w:pPr>
            <w:r>
              <w:rPr>
                <w:rFonts w:hint="eastAsia" w:ascii="黑体" w:hAnsi="黑体" w:eastAsia="黑体" w:cs="黑体"/>
                <w:b/>
                <w:bCs/>
                <w:spacing w:val="-3"/>
                <w:sz w:val="24"/>
              </w:rPr>
              <w:t>Q</w:t>
            </w:r>
            <w:r>
              <w:rPr>
                <w:rFonts w:hint="eastAsia" w:ascii="黑体" w:hAnsi="黑体" w:eastAsia="黑体" w:cs="黑体"/>
                <w:b/>
                <w:bCs/>
                <w:spacing w:val="-3"/>
                <w:sz w:val="24"/>
                <w:vertAlign w:val="subscript"/>
              </w:rPr>
              <w:t>绿需</w:t>
            </w:r>
          </w:p>
        </w:tc>
      </w:tr>
      <w:tr w14:paraId="5875A0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exact"/>
          <w:jc w:val="center"/>
        </w:trPr>
        <w:tc>
          <w:tcPr>
            <w:tcW w:w="766" w:type="dxa"/>
            <w:tcBorders>
              <w:top w:val="single" w:color="auto" w:sz="4" w:space="0"/>
              <w:left w:val="single" w:color="auto" w:sz="4" w:space="0"/>
              <w:bottom w:val="single" w:color="auto" w:sz="4" w:space="0"/>
              <w:right w:val="single" w:color="auto" w:sz="4" w:space="0"/>
            </w:tcBorders>
            <w:vAlign w:val="center"/>
          </w:tcPr>
          <w:p w14:paraId="4E0D93DB">
            <w:pPr>
              <w:pStyle w:val="15"/>
              <w:widowControl/>
              <w:kinsoku w:val="0"/>
              <w:autoSpaceDE w:val="0"/>
              <w:autoSpaceDN w:val="0"/>
              <w:jc w:val="center"/>
              <w:textAlignment w:val="baseline"/>
              <w:rPr>
                <w:sz w:val="24"/>
                <w:szCs w:val="24"/>
              </w:rPr>
            </w:pPr>
            <w:r>
              <w:rPr>
                <w:spacing w:val="-10"/>
                <w:sz w:val="24"/>
                <w:szCs w:val="24"/>
              </w:rPr>
              <w:t>1月</w:t>
            </w:r>
          </w:p>
        </w:tc>
        <w:tc>
          <w:tcPr>
            <w:tcW w:w="1236" w:type="dxa"/>
            <w:tcBorders>
              <w:top w:val="single" w:color="auto" w:sz="4" w:space="0"/>
              <w:left w:val="single" w:color="auto" w:sz="4" w:space="0"/>
              <w:bottom w:val="single" w:color="auto" w:sz="4" w:space="0"/>
              <w:right w:val="single" w:color="auto" w:sz="4" w:space="0"/>
            </w:tcBorders>
            <w:vAlign w:val="center"/>
          </w:tcPr>
          <w:p w14:paraId="582390A7">
            <w:pPr>
              <w:keepNext w:val="0"/>
              <w:keepLines w:val="0"/>
              <w:widowControl/>
              <w:suppressLineNumbers w:val="0"/>
              <w:jc w:val="center"/>
              <w:textAlignment w:val="center"/>
              <w:rPr>
                <w:rFonts w:ascii="Arial"/>
                <w:sz w:val="24"/>
              </w:rPr>
            </w:pPr>
            <w:r>
              <w:rPr>
                <w:rFonts w:hint="eastAsia" w:ascii="宋体" w:hAnsi="宋体" w:eastAsia="宋体" w:cs="宋体"/>
                <w:i w:val="0"/>
                <w:iCs w:val="0"/>
                <w:color w:val="000000"/>
                <w:kern w:val="0"/>
                <w:sz w:val="20"/>
                <w:szCs w:val="20"/>
                <w:u w:val="none"/>
                <w:lang w:val="en-US" w:eastAsia="zh-CN" w:bidi="ar"/>
              </w:rPr>
              <w:t>320</w:t>
            </w:r>
          </w:p>
        </w:tc>
        <w:tc>
          <w:tcPr>
            <w:tcW w:w="1242" w:type="dxa"/>
            <w:tcBorders>
              <w:top w:val="single" w:color="auto" w:sz="4" w:space="0"/>
              <w:left w:val="single" w:color="auto" w:sz="4" w:space="0"/>
              <w:bottom w:val="single" w:color="auto" w:sz="4" w:space="0"/>
              <w:right w:val="single" w:color="auto" w:sz="4" w:space="0"/>
            </w:tcBorders>
            <w:shd w:val="clear" w:color="auto" w:fill="auto"/>
            <w:vAlign w:val="center"/>
          </w:tcPr>
          <w:p w14:paraId="52883DA2">
            <w:pPr>
              <w:keepNext w:val="0"/>
              <w:keepLines w:val="0"/>
              <w:widowControl/>
              <w:suppressLineNumbers w:val="0"/>
              <w:jc w:val="center"/>
              <w:textAlignment w:val="center"/>
              <w:rPr>
                <w:rFonts w:ascii="Arial"/>
                <w:sz w:val="24"/>
              </w:rPr>
            </w:pPr>
            <w:r>
              <w:rPr>
                <w:rFonts w:hint="eastAsia" w:ascii="宋体" w:hAnsi="宋体" w:eastAsia="宋体" w:cs="宋体"/>
                <w:i w:val="0"/>
                <w:iCs w:val="0"/>
                <w:color w:val="000000"/>
                <w:kern w:val="0"/>
                <w:sz w:val="20"/>
                <w:szCs w:val="20"/>
                <w:u w:val="none"/>
                <w:lang w:val="en-US" w:eastAsia="zh-CN" w:bidi="ar"/>
              </w:rPr>
              <w:t>320</w:t>
            </w:r>
          </w:p>
        </w:tc>
        <w:tc>
          <w:tcPr>
            <w:tcW w:w="936" w:type="dxa"/>
            <w:tcBorders>
              <w:top w:val="single" w:color="auto" w:sz="4" w:space="0"/>
              <w:left w:val="single" w:color="auto" w:sz="4" w:space="0"/>
              <w:bottom w:val="single" w:color="auto" w:sz="4" w:space="0"/>
              <w:right w:val="single" w:color="auto" w:sz="4" w:space="0"/>
            </w:tcBorders>
            <w:vAlign w:val="center"/>
          </w:tcPr>
          <w:p w14:paraId="21190E4C">
            <w:pPr>
              <w:pStyle w:val="15"/>
              <w:widowControl/>
              <w:kinsoku w:val="0"/>
              <w:autoSpaceDE w:val="0"/>
              <w:autoSpaceDN w:val="0"/>
              <w:jc w:val="center"/>
              <w:textAlignment w:val="baseline"/>
              <w:rPr>
                <w:sz w:val="24"/>
                <w:szCs w:val="24"/>
              </w:rPr>
            </w:pPr>
            <w:r>
              <w:rPr>
                <w:spacing w:val="-2"/>
                <w:sz w:val="24"/>
                <w:szCs w:val="24"/>
              </w:rPr>
              <w:t>5月</w:t>
            </w:r>
          </w:p>
        </w:tc>
        <w:tc>
          <w:tcPr>
            <w:tcW w:w="1242" w:type="dxa"/>
            <w:tcBorders>
              <w:top w:val="single" w:color="auto" w:sz="4" w:space="0"/>
              <w:left w:val="single" w:color="auto" w:sz="4" w:space="0"/>
              <w:bottom w:val="single" w:color="auto" w:sz="4" w:space="0"/>
              <w:right w:val="single" w:color="auto" w:sz="4" w:space="0"/>
            </w:tcBorders>
            <w:vAlign w:val="center"/>
          </w:tcPr>
          <w:p w14:paraId="45066242">
            <w:pPr>
              <w:keepNext w:val="0"/>
              <w:keepLines w:val="0"/>
              <w:widowControl/>
              <w:suppressLineNumbers w:val="0"/>
              <w:jc w:val="center"/>
              <w:textAlignment w:val="center"/>
              <w:rPr>
                <w:rFonts w:ascii="Arial"/>
                <w:sz w:val="24"/>
              </w:rPr>
            </w:pPr>
            <w:r>
              <w:rPr>
                <w:rFonts w:hint="eastAsia" w:ascii="宋体" w:hAnsi="宋体" w:eastAsia="宋体" w:cs="宋体"/>
                <w:i w:val="0"/>
                <w:iCs w:val="0"/>
                <w:color w:val="000000"/>
                <w:kern w:val="0"/>
                <w:sz w:val="20"/>
                <w:szCs w:val="20"/>
                <w:u w:val="none"/>
                <w:lang w:val="en-US" w:eastAsia="zh-CN" w:bidi="ar"/>
              </w:rPr>
              <w:t>250</w:t>
            </w:r>
          </w:p>
        </w:tc>
        <w:tc>
          <w:tcPr>
            <w:tcW w:w="1242" w:type="dxa"/>
            <w:tcBorders>
              <w:top w:val="single" w:color="auto" w:sz="4" w:space="0"/>
              <w:left w:val="single" w:color="auto" w:sz="4" w:space="0"/>
              <w:bottom w:val="single" w:color="auto" w:sz="4" w:space="0"/>
              <w:right w:val="single" w:color="auto" w:sz="4" w:space="0"/>
            </w:tcBorders>
            <w:shd w:val="clear" w:color="auto" w:fill="auto"/>
            <w:vAlign w:val="center"/>
          </w:tcPr>
          <w:p w14:paraId="65AC83FF">
            <w:pPr>
              <w:keepNext w:val="0"/>
              <w:keepLines w:val="0"/>
              <w:widowControl/>
              <w:suppressLineNumbers w:val="0"/>
              <w:jc w:val="center"/>
              <w:textAlignment w:val="center"/>
              <w:rPr>
                <w:rFonts w:ascii="Arial"/>
                <w:sz w:val="24"/>
              </w:rPr>
            </w:pPr>
            <w:r>
              <w:rPr>
                <w:rFonts w:hint="eastAsia" w:ascii="宋体" w:hAnsi="宋体" w:eastAsia="宋体" w:cs="宋体"/>
                <w:i w:val="0"/>
                <w:iCs w:val="0"/>
                <w:color w:val="000000"/>
                <w:kern w:val="0"/>
                <w:sz w:val="20"/>
                <w:szCs w:val="20"/>
                <w:u w:val="none"/>
                <w:lang w:val="en-US" w:eastAsia="zh-CN" w:bidi="ar"/>
              </w:rPr>
              <w:t>250</w:t>
            </w:r>
          </w:p>
        </w:tc>
        <w:tc>
          <w:tcPr>
            <w:tcW w:w="939" w:type="dxa"/>
            <w:tcBorders>
              <w:top w:val="single" w:color="auto" w:sz="4" w:space="0"/>
              <w:left w:val="single" w:color="auto" w:sz="4" w:space="0"/>
              <w:bottom w:val="single" w:color="auto" w:sz="4" w:space="0"/>
              <w:right w:val="single" w:color="auto" w:sz="4" w:space="0"/>
            </w:tcBorders>
            <w:vAlign w:val="center"/>
          </w:tcPr>
          <w:p w14:paraId="28B00103">
            <w:pPr>
              <w:pStyle w:val="15"/>
              <w:widowControl/>
              <w:kinsoku w:val="0"/>
              <w:autoSpaceDE w:val="0"/>
              <w:autoSpaceDN w:val="0"/>
              <w:jc w:val="center"/>
              <w:textAlignment w:val="baseline"/>
              <w:rPr>
                <w:sz w:val="24"/>
                <w:szCs w:val="24"/>
              </w:rPr>
            </w:pPr>
            <w:r>
              <w:rPr>
                <w:spacing w:val="-2"/>
                <w:sz w:val="24"/>
                <w:szCs w:val="24"/>
              </w:rPr>
              <w:t>9月</w:t>
            </w:r>
          </w:p>
        </w:tc>
        <w:tc>
          <w:tcPr>
            <w:tcW w:w="1258" w:type="dxa"/>
            <w:tcBorders>
              <w:top w:val="single" w:color="auto" w:sz="4" w:space="0"/>
              <w:left w:val="single" w:color="auto" w:sz="4" w:space="0"/>
              <w:bottom w:val="single" w:color="auto" w:sz="4" w:space="0"/>
              <w:right w:val="single" w:color="auto" w:sz="4" w:space="0"/>
            </w:tcBorders>
            <w:vAlign w:val="center"/>
          </w:tcPr>
          <w:p w14:paraId="5C64C545">
            <w:pPr>
              <w:keepNext w:val="0"/>
              <w:keepLines w:val="0"/>
              <w:widowControl/>
              <w:suppressLineNumbers w:val="0"/>
              <w:jc w:val="center"/>
              <w:textAlignment w:val="center"/>
              <w:rPr>
                <w:rFonts w:ascii="Arial"/>
                <w:sz w:val="24"/>
              </w:rPr>
            </w:pPr>
            <w:r>
              <w:rPr>
                <w:rFonts w:hint="eastAsia" w:ascii="宋体" w:hAnsi="宋体" w:eastAsia="宋体" w:cs="宋体"/>
                <w:i w:val="0"/>
                <w:iCs w:val="0"/>
                <w:color w:val="000000"/>
                <w:kern w:val="0"/>
                <w:sz w:val="20"/>
                <w:szCs w:val="20"/>
                <w:u w:val="none"/>
                <w:lang w:val="en-US" w:eastAsia="zh-CN" w:bidi="ar"/>
              </w:rPr>
              <w:t>320</w:t>
            </w:r>
          </w:p>
        </w:tc>
        <w:tc>
          <w:tcPr>
            <w:tcW w:w="1171" w:type="dxa"/>
            <w:tcBorders>
              <w:top w:val="single" w:color="auto" w:sz="4" w:space="0"/>
              <w:left w:val="single" w:color="auto" w:sz="4" w:space="0"/>
              <w:bottom w:val="single" w:color="auto" w:sz="4" w:space="0"/>
              <w:right w:val="single" w:color="auto" w:sz="4" w:space="0"/>
            </w:tcBorders>
            <w:shd w:val="clear" w:color="auto" w:fill="auto"/>
            <w:vAlign w:val="center"/>
          </w:tcPr>
          <w:p w14:paraId="0E05CD2A">
            <w:pPr>
              <w:keepNext w:val="0"/>
              <w:keepLines w:val="0"/>
              <w:widowControl/>
              <w:suppressLineNumbers w:val="0"/>
              <w:jc w:val="center"/>
              <w:textAlignment w:val="center"/>
              <w:rPr>
                <w:rFonts w:ascii="Arial"/>
                <w:sz w:val="24"/>
              </w:rPr>
            </w:pPr>
            <w:r>
              <w:rPr>
                <w:rFonts w:hint="eastAsia" w:ascii="宋体" w:hAnsi="宋体" w:eastAsia="宋体" w:cs="宋体"/>
                <w:i w:val="0"/>
                <w:iCs w:val="0"/>
                <w:color w:val="000000"/>
                <w:kern w:val="0"/>
                <w:sz w:val="20"/>
                <w:szCs w:val="20"/>
                <w:u w:val="none"/>
                <w:lang w:val="en-US" w:eastAsia="zh-CN" w:bidi="ar"/>
              </w:rPr>
              <w:t>320</w:t>
            </w:r>
          </w:p>
        </w:tc>
      </w:tr>
      <w:tr w14:paraId="1F4E9E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exact"/>
          <w:jc w:val="center"/>
        </w:trPr>
        <w:tc>
          <w:tcPr>
            <w:tcW w:w="766" w:type="dxa"/>
            <w:tcBorders>
              <w:top w:val="single" w:color="auto" w:sz="4" w:space="0"/>
              <w:left w:val="single" w:color="auto" w:sz="4" w:space="0"/>
              <w:bottom w:val="single" w:color="auto" w:sz="4" w:space="0"/>
              <w:right w:val="single" w:color="auto" w:sz="4" w:space="0"/>
            </w:tcBorders>
            <w:vAlign w:val="center"/>
          </w:tcPr>
          <w:p w14:paraId="01ABB80C">
            <w:pPr>
              <w:pStyle w:val="15"/>
              <w:widowControl/>
              <w:kinsoku w:val="0"/>
              <w:autoSpaceDE w:val="0"/>
              <w:autoSpaceDN w:val="0"/>
              <w:jc w:val="center"/>
              <w:textAlignment w:val="baseline"/>
              <w:rPr>
                <w:spacing w:val="-4"/>
                <w:sz w:val="24"/>
                <w:szCs w:val="24"/>
              </w:rPr>
            </w:pPr>
            <w:r>
              <w:rPr>
                <w:spacing w:val="-4"/>
                <w:sz w:val="24"/>
                <w:szCs w:val="24"/>
              </w:rPr>
              <w:t>2月</w:t>
            </w:r>
          </w:p>
        </w:tc>
        <w:tc>
          <w:tcPr>
            <w:tcW w:w="1236" w:type="dxa"/>
            <w:tcBorders>
              <w:top w:val="single" w:color="auto" w:sz="4" w:space="0"/>
              <w:left w:val="single" w:color="auto" w:sz="4" w:space="0"/>
              <w:bottom w:val="single" w:color="auto" w:sz="4" w:space="0"/>
              <w:right w:val="single" w:color="auto" w:sz="4" w:space="0"/>
            </w:tcBorders>
            <w:vAlign w:val="center"/>
          </w:tcPr>
          <w:p w14:paraId="2D347884">
            <w:pPr>
              <w:keepNext w:val="0"/>
              <w:keepLines w:val="0"/>
              <w:widowControl/>
              <w:suppressLineNumbers w:val="0"/>
              <w:jc w:val="center"/>
              <w:textAlignment w:val="center"/>
              <w:rPr>
                <w:rFonts w:ascii="Arial"/>
                <w:sz w:val="24"/>
              </w:rPr>
            </w:pPr>
            <w:r>
              <w:rPr>
                <w:rFonts w:hint="eastAsia" w:ascii="宋体" w:hAnsi="宋体" w:eastAsia="宋体" w:cs="宋体"/>
                <w:i w:val="0"/>
                <w:iCs w:val="0"/>
                <w:color w:val="000000"/>
                <w:kern w:val="0"/>
                <w:sz w:val="20"/>
                <w:szCs w:val="20"/>
                <w:u w:val="none"/>
                <w:lang w:val="en-US" w:eastAsia="zh-CN" w:bidi="ar"/>
              </w:rPr>
              <w:t>290</w:t>
            </w:r>
          </w:p>
        </w:tc>
        <w:tc>
          <w:tcPr>
            <w:tcW w:w="1242" w:type="dxa"/>
            <w:tcBorders>
              <w:top w:val="single" w:color="auto" w:sz="4" w:space="0"/>
              <w:left w:val="single" w:color="auto" w:sz="4" w:space="0"/>
              <w:bottom w:val="single" w:color="auto" w:sz="4" w:space="0"/>
              <w:right w:val="single" w:color="auto" w:sz="4" w:space="0"/>
            </w:tcBorders>
            <w:shd w:val="clear" w:color="auto" w:fill="auto"/>
            <w:vAlign w:val="center"/>
          </w:tcPr>
          <w:p w14:paraId="311994B0">
            <w:pPr>
              <w:keepNext w:val="0"/>
              <w:keepLines w:val="0"/>
              <w:widowControl/>
              <w:suppressLineNumbers w:val="0"/>
              <w:jc w:val="center"/>
              <w:textAlignment w:val="center"/>
              <w:rPr>
                <w:rFonts w:ascii="Arial"/>
                <w:sz w:val="24"/>
              </w:rPr>
            </w:pPr>
            <w:r>
              <w:rPr>
                <w:rFonts w:hint="eastAsia" w:ascii="宋体" w:hAnsi="宋体" w:eastAsia="宋体" w:cs="宋体"/>
                <w:i w:val="0"/>
                <w:iCs w:val="0"/>
                <w:color w:val="000000"/>
                <w:kern w:val="0"/>
                <w:sz w:val="20"/>
                <w:szCs w:val="20"/>
                <w:u w:val="none"/>
                <w:lang w:val="en-US" w:eastAsia="zh-CN" w:bidi="ar"/>
              </w:rPr>
              <w:t>290</w:t>
            </w:r>
          </w:p>
        </w:tc>
        <w:tc>
          <w:tcPr>
            <w:tcW w:w="936" w:type="dxa"/>
            <w:tcBorders>
              <w:top w:val="single" w:color="auto" w:sz="4" w:space="0"/>
              <w:left w:val="single" w:color="auto" w:sz="4" w:space="0"/>
              <w:bottom w:val="single" w:color="auto" w:sz="4" w:space="0"/>
              <w:right w:val="single" w:color="auto" w:sz="4" w:space="0"/>
            </w:tcBorders>
            <w:vAlign w:val="center"/>
          </w:tcPr>
          <w:p w14:paraId="33507805">
            <w:pPr>
              <w:pStyle w:val="15"/>
              <w:widowControl/>
              <w:kinsoku w:val="0"/>
              <w:autoSpaceDE w:val="0"/>
              <w:autoSpaceDN w:val="0"/>
              <w:jc w:val="center"/>
              <w:textAlignment w:val="baseline"/>
              <w:rPr>
                <w:spacing w:val="-2"/>
                <w:sz w:val="24"/>
                <w:szCs w:val="24"/>
              </w:rPr>
            </w:pPr>
            <w:r>
              <w:rPr>
                <w:spacing w:val="-4"/>
                <w:sz w:val="24"/>
                <w:szCs w:val="24"/>
              </w:rPr>
              <w:t>6月</w:t>
            </w:r>
          </w:p>
        </w:tc>
        <w:tc>
          <w:tcPr>
            <w:tcW w:w="1242" w:type="dxa"/>
            <w:tcBorders>
              <w:top w:val="single" w:color="auto" w:sz="4" w:space="0"/>
              <w:left w:val="single" w:color="auto" w:sz="4" w:space="0"/>
              <w:bottom w:val="single" w:color="auto" w:sz="4" w:space="0"/>
              <w:right w:val="single" w:color="auto" w:sz="4" w:space="0"/>
            </w:tcBorders>
            <w:vAlign w:val="center"/>
          </w:tcPr>
          <w:p w14:paraId="517052C9">
            <w:pPr>
              <w:keepNext w:val="0"/>
              <w:keepLines w:val="0"/>
              <w:widowControl/>
              <w:suppressLineNumbers w:val="0"/>
              <w:jc w:val="center"/>
              <w:textAlignment w:val="center"/>
              <w:rPr>
                <w:rFonts w:ascii="Arial"/>
                <w:sz w:val="24"/>
              </w:rPr>
            </w:pPr>
            <w:r>
              <w:rPr>
                <w:rFonts w:hint="eastAsia" w:ascii="宋体" w:hAnsi="宋体" w:eastAsia="宋体" w:cs="宋体"/>
                <w:i w:val="0"/>
                <w:iCs w:val="0"/>
                <w:color w:val="000000"/>
                <w:kern w:val="0"/>
                <w:sz w:val="20"/>
                <w:szCs w:val="20"/>
                <w:u w:val="none"/>
                <w:lang w:val="en-US" w:eastAsia="zh-CN" w:bidi="ar"/>
              </w:rPr>
              <w:t>330</w:t>
            </w:r>
          </w:p>
        </w:tc>
        <w:tc>
          <w:tcPr>
            <w:tcW w:w="1242" w:type="dxa"/>
            <w:tcBorders>
              <w:top w:val="single" w:color="auto" w:sz="4" w:space="0"/>
              <w:left w:val="single" w:color="auto" w:sz="4" w:space="0"/>
              <w:bottom w:val="single" w:color="auto" w:sz="4" w:space="0"/>
              <w:right w:val="single" w:color="auto" w:sz="4" w:space="0"/>
            </w:tcBorders>
            <w:shd w:val="clear" w:color="auto" w:fill="auto"/>
            <w:vAlign w:val="center"/>
          </w:tcPr>
          <w:p w14:paraId="15D30E72">
            <w:pPr>
              <w:keepNext w:val="0"/>
              <w:keepLines w:val="0"/>
              <w:widowControl/>
              <w:suppressLineNumbers w:val="0"/>
              <w:jc w:val="center"/>
              <w:textAlignment w:val="center"/>
              <w:rPr>
                <w:rFonts w:ascii="Arial"/>
                <w:sz w:val="24"/>
              </w:rPr>
            </w:pPr>
            <w:r>
              <w:rPr>
                <w:rFonts w:hint="eastAsia" w:ascii="宋体" w:hAnsi="宋体" w:eastAsia="宋体" w:cs="宋体"/>
                <w:i w:val="0"/>
                <w:iCs w:val="0"/>
                <w:color w:val="000000"/>
                <w:kern w:val="0"/>
                <w:sz w:val="20"/>
                <w:szCs w:val="20"/>
                <w:u w:val="none"/>
                <w:lang w:val="en-US" w:eastAsia="zh-CN" w:bidi="ar"/>
              </w:rPr>
              <w:t>330</w:t>
            </w:r>
          </w:p>
        </w:tc>
        <w:tc>
          <w:tcPr>
            <w:tcW w:w="939" w:type="dxa"/>
            <w:tcBorders>
              <w:top w:val="single" w:color="auto" w:sz="4" w:space="0"/>
              <w:left w:val="single" w:color="auto" w:sz="4" w:space="0"/>
              <w:bottom w:val="single" w:color="auto" w:sz="4" w:space="0"/>
              <w:right w:val="single" w:color="auto" w:sz="4" w:space="0"/>
            </w:tcBorders>
            <w:vAlign w:val="center"/>
          </w:tcPr>
          <w:p w14:paraId="430F6A57">
            <w:pPr>
              <w:pStyle w:val="15"/>
              <w:widowControl/>
              <w:kinsoku w:val="0"/>
              <w:autoSpaceDE w:val="0"/>
              <w:autoSpaceDN w:val="0"/>
              <w:jc w:val="center"/>
              <w:textAlignment w:val="baseline"/>
              <w:rPr>
                <w:spacing w:val="-3"/>
                <w:sz w:val="24"/>
                <w:szCs w:val="24"/>
                <w:lang w:eastAsia="zh-CN"/>
              </w:rPr>
            </w:pPr>
            <w:r>
              <w:rPr>
                <w:rFonts w:hint="eastAsia"/>
                <w:spacing w:val="-3"/>
                <w:sz w:val="24"/>
                <w:szCs w:val="24"/>
                <w:lang w:eastAsia="zh-CN"/>
              </w:rPr>
              <w:t>10月</w:t>
            </w:r>
          </w:p>
        </w:tc>
        <w:tc>
          <w:tcPr>
            <w:tcW w:w="1258" w:type="dxa"/>
            <w:tcBorders>
              <w:top w:val="single" w:color="auto" w:sz="4" w:space="0"/>
              <w:left w:val="single" w:color="auto" w:sz="4" w:space="0"/>
              <w:bottom w:val="single" w:color="auto" w:sz="4" w:space="0"/>
              <w:right w:val="single" w:color="auto" w:sz="4" w:space="0"/>
            </w:tcBorders>
            <w:vAlign w:val="center"/>
          </w:tcPr>
          <w:p w14:paraId="18B4FADE">
            <w:pPr>
              <w:keepNext w:val="0"/>
              <w:keepLines w:val="0"/>
              <w:widowControl/>
              <w:suppressLineNumbers w:val="0"/>
              <w:jc w:val="center"/>
              <w:textAlignment w:val="center"/>
              <w:rPr>
                <w:rFonts w:ascii="Arial"/>
                <w:sz w:val="24"/>
              </w:rPr>
            </w:pPr>
            <w:r>
              <w:rPr>
                <w:rFonts w:hint="eastAsia" w:ascii="宋体" w:hAnsi="宋体" w:eastAsia="宋体" w:cs="宋体"/>
                <w:i w:val="0"/>
                <w:iCs w:val="0"/>
                <w:color w:val="000000"/>
                <w:kern w:val="0"/>
                <w:sz w:val="20"/>
                <w:szCs w:val="20"/>
                <w:u w:val="none"/>
                <w:lang w:val="en-US" w:eastAsia="zh-CN" w:bidi="ar"/>
              </w:rPr>
              <w:t>210</w:t>
            </w:r>
          </w:p>
        </w:tc>
        <w:tc>
          <w:tcPr>
            <w:tcW w:w="1171" w:type="dxa"/>
            <w:tcBorders>
              <w:top w:val="single" w:color="auto" w:sz="4" w:space="0"/>
              <w:left w:val="single" w:color="auto" w:sz="4" w:space="0"/>
              <w:bottom w:val="single" w:color="auto" w:sz="4" w:space="0"/>
              <w:right w:val="single" w:color="auto" w:sz="4" w:space="0"/>
            </w:tcBorders>
            <w:shd w:val="clear" w:color="auto" w:fill="auto"/>
            <w:vAlign w:val="center"/>
          </w:tcPr>
          <w:p w14:paraId="1FFCCBF9">
            <w:pPr>
              <w:keepNext w:val="0"/>
              <w:keepLines w:val="0"/>
              <w:widowControl/>
              <w:suppressLineNumbers w:val="0"/>
              <w:jc w:val="center"/>
              <w:textAlignment w:val="center"/>
              <w:rPr>
                <w:rFonts w:ascii="Arial"/>
                <w:sz w:val="24"/>
              </w:rPr>
            </w:pPr>
            <w:r>
              <w:rPr>
                <w:rFonts w:hint="eastAsia" w:ascii="宋体" w:hAnsi="宋体" w:eastAsia="宋体" w:cs="宋体"/>
                <w:i w:val="0"/>
                <w:iCs w:val="0"/>
                <w:color w:val="000000"/>
                <w:kern w:val="0"/>
                <w:sz w:val="20"/>
                <w:szCs w:val="20"/>
                <w:u w:val="none"/>
                <w:lang w:val="en-US" w:eastAsia="zh-CN" w:bidi="ar"/>
              </w:rPr>
              <w:t>210</w:t>
            </w:r>
          </w:p>
        </w:tc>
      </w:tr>
      <w:tr w14:paraId="1826A6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exact"/>
          <w:jc w:val="center"/>
        </w:trPr>
        <w:tc>
          <w:tcPr>
            <w:tcW w:w="766" w:type="dxa"/>
            <w:tcBorders>
              <w:top w:val="single" w:color="auto" w:sz="4" w:space="0"/>
              <w:left w:val="single" w:color="auto" w:sz="4" w:space="0"/>
              <w:bottom w:val="single" w:color="auto" w:sz="4" w:space="0"/>
              <w:right w:val="single" w:color="auto" w:sz="4" w:space="0"/>
            </w:tcBorders>
            <w:vAlign w:val="center"/>
          </w:tcPr>
          <w:p w14:paraId="4919D0FE">
            <w:pPr>
              <w:pStyle w:val="15"/>
              <w:widowControl/>
              <w:kinsoku w:val="0"/>
              <w:autoSpaceDE w:val="0"/>
              <w:autoSpaceDN w:val="0"/>
              <w:jc w:val="center"/>
              <w:textAlignment w:val="baseline"/>
              <w:rPr>
                <w:sz w:val="24"/>
                <w:szCs w:val="24"/>
              </w:rPr>
            </w:pPr>
            <w:r>
              <w:rPr>
                <w:spacing w:val="-5"/>
                <w:sz w:val="24"/>
                <w:szCs w:val="24"/>
              </w:rPr>
              <w:t>3月</w:t>
            </w:r>
          </w:p>
        </w:tc>
        <w:tc>
          <w:tcPr>
            <w:tcW w:w="1236" w:type="dxa"/>
            <w:tcBorders>
              <w:top w:val="single" w:color="auto" w:sz="4" w:space="0"/>
              <w:left w:val="single" w:color="auto" w:sz="4" w:space="0"/>
              <w:bottom w:val="single" w:color="auto" w:sz="4" w:space="0"/>
              <w:right w:val="single" w:color="auto" w:sz="4" w:space="0"/>
            </w:tcBorders>
            <w:vAlign w:val="center"/>
          </w:tcPr>
          <w:p w14:paraId="2DDF78F0">
            <w:pPr>
              <w:keepNext w:val="0"/>
              <w:keepLines w:val="0"/>
              <w:widowControl/>
              <w:suppressLineNumbers w:val="0"/>
              <w:jc w:val="center"/>
              <w:textAlignment w:val="center"/>
              <w:rPr>
                <w:rFonts w:ascii="Arial"/>
                <w:sz w:val="24"/>
              </w:rPr>
            </w:pPr>
            <w:r>
              <w:rPr>
                <w:rFonts w:hint="eastAsia" w:ascii="宋体" w:hAnsi="宋体" w:eastAsia="宋体" w:cs="宋体"/>
                <w:i w:val="0"/>
                <w:iCs w:val="0"/>
                <w:color w:val="000000"/>
                <w:kern w:val="0"/>
                <w:sz w:val="20"/>
                <w:szCs w:val="20"/>
                <w:u w:val="none"/>
                <w:lang w:val="en-US" w:eastAsia="zh-CN" w:bidi="ar"/>
              </w:rPr>
              <w:t>250</w:t>
            </w:r>
          </w:p>
        </w:tc>
        <w:tc>
          <w:tcPr>
            <w:tcW w:w="1242" w:type="dxa"/>
            <w:tcBorders>
              <w:top w:val="single" w:color="auto" w:sz="4" w:space="0"/>
              <w:left w:val="single" w:color="auto" w:sz="4" w:space="0"/>
              <w:bottom w:val="single" w:color="auto" w:sz="4" w:space="0"/>
              <w:right w:val="single" w:color="auto" w:sz="4" w:space="0"/>
            </w:tcBorders>
            <w:shd w:val="clear" w:color="auto" w:fill="auto"/>
            <w:vAlign w:val="center"/>
          </w:tcPr>
          <w:p w14:paraId="0FA952DD">
            <w:pPr>
              <w:keepNext w:val="0"/>
              <w:keepLines w:val="0"/>
              <w:widowControl/>
              <w:suppressLineNumbers w:val="0"/>
              <w:jc w:val="center"/>
              <w:textAlignment w:val="center"/>
              <w:rPr>
                <w:rFonts w:ascii="Arial"/>
                <w:sz w:val="24"/>
              </w:rPr>
            </w:pPr>
            <w:r>
              <w:rPr>
                <w:rFonts w:hint="eastAsia" w:ascii="宋体" w:hAnsi="宋体" w:eastAsia="宋体" w:cs="宋体"/>
                <w:i w:val="0"/>
                <w:iCs w:val="0"/>
                <w:color w:val="000000"/>
                <w:kern w:val="0"/>
                <w:sz w:val="20"/>
                <w:szCs w:val="20"/>
                <w:u w:val="none"/>
                <w:lang w:val="en-US" w:eastAsia="zh-CN" w:bidi="ar"/>
              </w:rPr>
              <w:t>250</w:t>
            </w:r>
          </w:p>
        </w:tc>
        <w:tc>
          <w:tcPr>
            <w:tcW w:w="936" w:type="dxa"/>
            <w:tcBorders>
              <w:top w:val="single" w:color="auto" w:sz="4" w:space="0"/>
              <w:left w:val="single" w:color="auto" w:sz="4" w:space="0"/>
              <w:bottom w:val="single" w:color="auto" w:sz="4" w:space="0"/>
              <w:right w:val="single" w:color="auto" w:sz="4" w:space="0"/>
            </w:tcBorders>
            <w:vAlign w:val="center"/>
          </w:tcPr>
          <w:p w14:paraId="4C7C2504">
            <w:pPr>
              <w:pStyle w:val="15"/>
              <w:widowControl/>
              <w:kinsoku w:val="0"/>
              <w:autoSpaceDE w:val="0"/>
              <w:autoSpaceDN w:val="0"/>
              <w:jc w:val="center"/>
              <w:textAlignment w:val="baseline"/>
              <w:rPr>
                <w:sz w:val="24"/>
                <w:szCs w:val="24"/>
              </w:rPr>
            </w:pPr>
            <w:r>
              <w:rPr>
                <w:spacing w:val="-5"/>
                <w:sz w:val="24"/>
                <w:szCs w:val="24"/>
              </w:rPr>
              <w:t>7月</w:t>
            </w:r>
          </w:p>
        </w:tc>
        <w:tc>
          <w:tcPr>
            <w:tcW w:w="1242" w:type="dxa"/>
            <w:tcBorders>
              <w:top w:val="single" w:color="auto" w:sz="4" w:space="0"/>
              <w:left w:val="single" w:color="auto" w:sz="4" w:space="0"/>
              <w:bottom w:val="single" w:color="auto" w:sz="4" w:space="0"/>
              <w:right w:val="single" w:color="auto" w:sz="4" w:space="0"/>
            </w:tcBorders>
            <w:vAlign w:val="center"/>
          </w:tcPr>
          <w:p w14:paraId="6CA6C5AF">
            <w:pPr>
              <w:keepNext w:val="0"/>
              <w:keepLines w:val="0"/>
              <w:widowControl/>
              <w:suppressLineNumbers w:val="0"/>
              <w:jc w:val="center"/>
              <w:textAlignment w:val="center"/>
              <w:rPr>
                <w:rFonts w:ascii="Arial"/>
                <w:sz w:val="24"/>
              </w:rPr>
            </w:pPr>
            <w:r>
              <w:rPr>
                <w:rFonts w:hint="eastAsia" w:ascii="宋体" w:hAnsi="宋体" w:eastAsia="宋体" w:cs="宋体"/>
                <w:i w:val="0"/>
                <w:iCs w:val="0"/>
                <w:color w:val="000000"/>
                <w:kern w:val="0"/>
                <w:sz w:val="20"/>
                <w:szCs w:val="20"/>
                <w:u w:val="none"/>
                <w:lang w:val="en-US" w:eastAsia="zh-CN" w:bidi="ar"/>
              </w:rPr>
              <w:t>400</w:t>
            </w:r>
          </w:p>
        </w:tc>
        <w:tc>
          <w:tcPr>
            <w:tcW w:w="1242" w:type="dxa"/>
            <w:tcBorders>
              <w:top w:val="single" w:color="auto" w:sz="4" w:space="0"/>
              <w:left w:val="single" w:color="auto" w:sz="4" w:space="0"/>
              <w:bottom w:val="single" w:color="auto" w:sz="4" w:space="0"/>
              <w:right w:val="single" w:color="auto" w:sz="4" w:space="0"/>
            </w:tcBorders>
            <w:shd w:val="clear" w:color="auto" w:fill="auto"/>
            <w:vAlign w:val="center"/>
          </w:tcPr>
          <w:p w14:paraId="045A44A3">
            <w:pPr>
              <w:keepNext w:val="0"/>
              <w:keepLines w:val="0"/>
              <w:widowControl/>
              <w:suppressLineNumbers w:val="0"/>
              <w:jc w:val="center"/>
              <w:textAlignment w:val="center"/>
              <w:rPr>
                <w:rFonts w:ascii="Arial"/>
                <w:sz w:val="24"/>
              </w:rPr>
            </w:pPr>
            <w:r>
              <w:rPr>
                <w:rFonts w:hint="eastAsia" w:ascii="宋体" w:hAnsi="宋体" w:eastAsia="宋体" w:cs="宋体"/>
                <w:i w:val="0"/>
                <w:iCs w:val="0"/>
                <w:color w:val="000000"/>
                <w:kern w:val="0"/>
                <w:sz w:val="20"/>
                <w:szCs w:val="20"/>
                <w:u w:val="none"/>
                <w:lang w:val="en-US" w:eastAsia="zh-CN" w:bidi="ar"/>
              </w:rPr>
              <w:t>400</w:t>
            </w:r>
          </w:p>
        </w:tc>
        <w:tc>
          <w:tcPr>
            <w:tcW w:w="939" w:type="dxa"/>
            <w:tcBorders>
              <w:top w:val="single" w:color="auto" w:sz="4" w:space="0"/>
              <w:left w:val="single" w:color="auto" w:sz="4" w:space="0"/>
              <w:bottom w:val="single" w:color="auto" w:sz="4" w:space="0"/>
              <w:right w:val="single" w:color="auto" w:sz="4" w:space="0"/>
            </w:tcBorders>
            <w:vAlign w:val="center"/>
          </w:tcPr>
          <w:p w14:paraId="6FA99957">
            <w:pPr>
              <w:pStyle w:val="15"/>
              <w:widowControl/>
              <w:kinsoku w:val="0"/>
              <w:autoSpaceDE w:val="0"/>
              <w:autoSpaceDN w:val="0"/>
              <w:jc w:val="center"/>
              <w:textAlignment w:val="baseline"/>
              <w:rPr>
                <w:sz w:val="24"/>
                <w:szCs w:val="24"/>
              </w:rPr>
            </w:pPr>
            <w:r>
              <w:rPr>
                <w:rFonts w:hint="eastAsia"/>
                <w:spacing w:val="-3"/>
                <w:sz w:val="24"/>
                <w:szCs w:val="24"/>
                <w:lang w:eastAsia="zh-CN"/>
              </w:rPr>
              <w:t>11</w:t>
            </w:r>
            <w:r>
              <w:rPr>
                <w:spacing w:val="-3"/>
                <w:sz w:val="24"/>
                <w:szCs w:val="24"/>
              </w:rPr>
              <w:t>月</w:t>
            </w:r>
          </w:p>
        </w:tc>
        <w:tc>
          <w:tcPr>
            <w:tcW w:w="1258" w:type="dxa"/>
            <w:tcBorders>
              <w:top w:val="single" w:color="auto" w:sz="4" w:space="0"/>
              <w:left w:val="single" w:color="auto" w:sz="4" w:space="0"/>
              <w:bottom w:val="single" w:color="auto" w:sz="4" w:space="0"/>
              <w:right w:val="single" w:color="auto" w:sz="4" w:space="0"/>
            </w:tcBorders>
            <w:vAlign w:val="center"/>
          </w:tcPr>
          <w:p w14:paraId="51719CAA">
            <w:pPr>
              <w:keepNext w:val="0"/>
              <w:keepLines w:val="0"/>
              <w:widowControl/>
              <w:suppressLineNumbers w:val="0"/>
              <w:jc w:val="center"/>
              <w:textAlignment w:val="center"/>
              <w:rPr>
                <w:rFonts w:ascii="Arial"/>
                <w:sz w:val="24"/>
              </w:rPr>
            </w:pPr>
            <w:r>
              <w:rPr>
                <w:rFonts w:hint="eastAsia" w:ascii="宋体" w:hAnsi="宋体" w:eastAsia="宋体" w:cs="宋体"/>
                <w:i w:val="0"/>
                <w:iCs w:val="0"/>
                <w:color w:val="000000"/>
                <w:kern w:val="0"/>
                <w:sz w:val="20"/>
                <w:szCs w:val="20"/>
                <w:u w:val="none"/>
                <w:lang w:val="en-US" w:eastAsia="zh-CN" w:bidi="ar"/>
              </w:rPr>
              <w:t>250</w:t>
            </w:r>
          </w:p>
        </w:tc>
        <w:tc>
          <w:tcPr>
            <w:tcW w:w="1171" w:type="dxa"/>
            <w:tcBorders>
              <w:top w:val="single" w:color="auto" w:sz="4" w:space="0"/>
              <w:left w:val="single" w:color="auto" w:sz="4" w:space="0"/>
              <w:bottom w:val="single" w:color="auto" w:sz="4" w:space="0"/>
              <w:right w:val="single" w:color="auto" w:sz="4" w:space="0"/>
            </w:tcBorders>
            <w:shd w:val="clear" w:color="auto" w:fill="auto"/>
            <w:vAlign w:val="center"/>
          </w:tcPr>
          <w:p w14:paraId="1768409D">
            <w:pPr>
              <w:keepNext w:val="0"/>
              <w:keepLines w:val="0"/>
              <w:widowControl/>
              <w:suppressLineNumbers w:val="0"/>
              <w:jc w:val="center"/>
              <w:textAlignment w:val="center"/>
              <w:rPr>
                <w:rFonts w:ascii="Arial"/>
                <w:sz w:val="24"/>
              </w:rPr>
            </w:pPr>
            <w:r>
              <w:rPr>
                <w:rFonts w:hint="eastAsia" w:ascii="宋体" w:hAnsi="宋体" w:eastAsia="宋体" w:cs="宋体"/>
                <w:i w:val="0"/>
                <w:iCs w:val="0"/>
                <w:color w:val="000000"/>
                <w:kern w:val="0"/>
                <w:sz w:val="20"/>
                <w:szCs w:val="20"/>
                <w:u w:val="none"/>
                <w:lang w:val="en-US" w:eastAsia="zh-CN" w:bidi="ar"/>
              </w:rPr>
              <w:t>250</w:t>
            </w:r>
          </w:p>
        </w:tc>
      </w:tr>
      <w:tr w14:paraId="370891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exact"/>
          <w:jc w:val="center"/>
        </w:trPr>
        <w:tc>
          <w:tcPr>
            <w:tcW w:w="766" w:type="dxa"/>
            <w:tcBorders>
              <w:top w:val="single" w:color="auto" w:sz="4" w:space="0"/>
              <w:left w:val="single" w:color="auto" w:sz="4" w:space="0"/>
              <w:bottom w:val="single" w:color="auto" w:sz="4" w:space="0"/>
              <w:right w:val="single" w:color="auto" w:sz="4" w:space="0"/>
            </w:tcBorders>
            <w:vAlign w:val="center"/>
          </w:tcPr>
          <w:p w14:paraId="178CFE1D">
            <w:pPr>
              <w:pStyle w:val="15"/>
              <w:widowControl/>
              <w:kinsoku w:val="0"/>
              <w:autoSpaceDE w:val="0"/>
              <w:autoSpaceDN w:val="0"/>
              <w:jc w:val="center"/>
              <w:textAlignment w:val="baseline"/>
              <w:rPr>
                <w:sz w:val="24"/>
                <w:szCs w:val="24"/>
              </w:rPr>
            </w:pPr>
            <w:r>
              <w:rPr>
                <w:spacing w:val="-2"/>
                <w:sz w:val="24"/>
                <w:szCs w:val="24"/>
              </w:rPr>
              <w:t>4月</w:t>
            </w:r>
          </w:p>
        </w:tc>
        <w:tc>
          <w:tcPr>
            <w:tcW w:w="1236" w:type="dxa"/>
            <w:tcBorders>
              <w:top w:val="single" w:color="auto" w:sz="4" w:space="0"/>
              <w:left w:val="single" w:color="auto" w:sz="4" w:space="0"/>
              <w:bottom w:val="single" w:color="auto" w:sz="4" w:space="0"/>
              <w:right w:val="single" w:color="auto" w:sz="4" w:space="0"/>
            </w:tcBorders>
            <w:vAlign w:val="center"/>
          </w:tcPr>
          <w:p w14:paraId="3A5D3E5A">
            <w:pPr>
              <w:keepNext w:val="0"/>
              <w:keepLines w:val="0"/>
              <w:widowControl/>
              <w:suppressLineNumbers w:val="0"/>
              <w:jc w:val="center"/>
              <w:textAlignment w:val="center"/>
              <w:rPr>
                <w:rFonts w:ascii="Arial"/>
                <w:sz w:val="24"/>
              </w:rPr>
            </w:pPr>
            <w:r>
              <w:rPr>
                <w:rFonts w:hint="eastAsia" w:ascii="宋体" w:hAnsi="宋体" w:eastAsia="宋体" w:cs="宋体"/>
                <w:i w:val="0"/>
                <w:iCs w:val="0"/>
                <w:color w:val="000000"/>
                <w:kern w:val="0"/>
                <w:sz w:val="20"/>
                <w:szCs w:val="20"/>
                <w:u w:val="none"/>
                <w:lang w:val="en-US" w:eastAsia="zh-CN" w:bidi="ar"/>
              </w:rPr>
              <w:t>180</w:t>
            </w:r>
          </w:p>
        </w:tc>
        <w:tc>
          <w:tcPr>
            <w:tcW w:w="1242" w:type="dxa"/>
            <w:tcBorders>
              <w:top w:val="single" w:color="auto" w:sz="4" w:space="0"/>
              <w:left w:val="single" w:color="auto" w:sz="4" w:space="0"/>
              <w:bottom w:val="single" w:color="auto" w:sz="4" w:space="0"/>
              <w:right w:val="single" w:color="auto" w:sz="4" w:space="0"/>
            </w:tcBorders>
            <w:shd w:val="clear" w:color="auto" w:fill="auto"/>
            <w:vAlign w:val="center"/>
          </w:tcPr>
          <w:p w14:paraId="0CC993C8">
            <w:pPr>
              <w:keepNext w:val="0"/>
              <w:keepLines w:val="0"/>
              <w:widowControl/>
              <w:suppressLineNumbers w:val="0"/>
              <w:jc w:val="center"/>
              <w:textAlignment w:val="center"/>
              <w:rPr>
                <w:rFonts w:ascii="Arial"/>
                <w:sz w:val="24"/>
              </w:rPr>
            </w:pPr>
            <w:r>
              <w:rPr>
                <w:rFonts w:hint="eastAsia" w:ascii="宋体" w:hAnsi="宋体" w:eastAsia="宋体" w:cs="宋体"/>
                <w:i w:val="0"/>
                <w:iCs w:val="0"/>
                <w:color w:val="000000"/>
                <w:kern w:val="0"/>
                <w:sz w:val="20"/>
                <w:szCs w:val="20"/>
                <w:u w:val="none"/>
                <w:lang w:val="en-US" w:eastAsia="zh-CN" w:bidi="ar"/>
              </w:rPr>
              <w:t>180</w:t>
            </w:r>
          </w:p>
        </w:tc>
        <w:tc>
          <w:tcPr>
            <w:tcW w:w="936" w:type="dxa"/>
            <w:tcBorders>
              <w:top w:val="single" w:color="auto" w:sz="4" w:space="0"/>
              <w:left w:val="single" w:color="auto" w:sz="4" w:space="0"/>
              <w:bottom w:val="single" w:color="auto" w:sz="4" w:space="0"/>
              <w:right w:val="single" w:color="auto" w:sz="4" w:space="0"/>
            </w:tcBorders>
            <w:vAlign w:val="center"/>
          </w:tcPr>
          <w:p w14:paraId="5A9632D0">
            <w:pPr>
              <w:pStyle w:val="15"/>
              <w:widowControl/>
              <w:kinsoku w:val="0"/>
              <w:autoSpaceDE w:val="0"/>
              <w:autoSpaceDN w:val="0"/>
              <w:jc w:val="center"/>
              <w:textAlignment w:val="baseline"/>
              <w:rPr>
                <w:sz w:val="24"/>
                <w:szCs w:val="24"/>
              </w:rPr>
            </w:pPr>
            <w:r>
              <w:rPr>
                <w:spacing w:val="-3"/>
                <w:sz w:val="24"/>
                <w:szCs w:val="24"/>
              </w:rPr>
              <w:t>8月</w:t>
            </w:r>
          </w:p>
        </w:tc>
        <w:tc>
          <w:tcPr>
            <w:tcW w:w="1242" w:type="dxa"/>
            <w:tcBorders>
              <w:top w:val="single" w:color="auto" w:sz="4" w:space="0"/>
              <w:left w:val="single" w:color="auto" w:sz="4" w:space="0"/>
              <w:bottom w:val="single" w:color="auto" w:sz="4" w:space="0"/>
              <w:right w:val="single" w:color="auto" w:sz="4" w:space="0"/>
            </w:tcBorders>
            <w:vAlign w:val="center"/>
          </w:tcPr>
          <w:p w14:paraId="58578094">
            <w:pPr>
              <w:keepNext w:val="0"/>
              <w:keepLines w:val="0"/>
              <w:widowControl/>
              <w:suppressLineNumbers w:val="0"/>
              <w:jc w:val="center"/>
              <w:textAlignment w:val="center"/>
              <w:rPr>
                <w:rFonts w:ascii="Arial"/>
                <w:sz w:val="24"/>
              </w:rPr>
            </w:pPr>
            <w:r>
              <w:rPr>
                <w:rFonts w:hint="eastAsia" w:ascii="宋体" w:hAnsi="宋体" w:eastAsia="宋体" w:cs="宋体"/>
                <w:i w:val="0"/>
                <w:iCs w:val="0"/>
                <w:color w:val="000000"/>
                <w:kern w:val="0"/>
                <w:sz w:val="20"/>
                <w:szCs w:val="20"/>
                <w:u w:val="none"/>
                <w:lang w:val="en-US" w:eastAsia="zh-CN" w:bidi="ar"/>
              </w:rPr>
              <w:t>390</w:t>
            </w:r>
          </w:p>
        </w:tc>
        <w:tc>
          <w:tcPr>
            <w:tcW w:w="1242" w:type="dxa"/>
            <w:tcBorders>
              <w:top w:val="single" w:color="auto" w:sz="4" w:space="0"/>
              <w:left w:val="single" w:color="auto" w:sz="4" w:space="0"/>
              <w:bottom w:val="single" w:color="auto" w:sz="4" w:space="0"/>
              <w:right w:val="single" w:color="auto" w:sz="4" w:space="0"/>
            </w:tcBorders>
            <w:shd w:val="clear" w:color="auto" w:fill="auto"/>
            <w:vAlign w:val="center"/>
          </w:tcPr>
          <w:p w14:paraId="75F49186">
            <w:pPr>
              <w:keepNext w:val="0"/>
              <w:keepLines w:val="0"/>
              <w:widowControl/>
              <w:suppressLineNumbers w:val="0"/>
              <w:jc w:val="center"/>
              <w:textAlignment w:val="center"/>
              <w:rPr>
                <w:rFonts w:ascii="Arial"/>
                <w:sz w:val="24"/>
              </w:rPr>
            </w:pPr>
            <w:r>
              <w:rPr>
                <w:rFonts w:hint="eastAsia" w:ascii="宋体" w:hAnsi="宋体" w:eastAsia="宋体" w:cs="宋体"/>
                <w:i w:val="0"/>
                <w:iCs w:val="0"/>
                <w:color w:val="000000"/>
                <w:kern w:val="0"/>
                <w:sz w:val="20"/>
                <w:szCs w:val="20"/>
                <w:u w:val="none"/>
                <w:lang w:val="en-US" w:eastAsia="zh-CN" w:bidi="ar"/>
              </w:rPr>
              <w:t>390</w:t>
            </w:r>
          </w:p>
        </w:tc>
        <w:tc>
          <w:tcPr>
            <w:tcW w:w="939" w:type="dxa"/>
            <w:tcBorders>
              <w:top w:val="single" w:color="auto" w:sz="4" w:space="0"/>
              <w:left w:val="single" w:color="auto" w:sz="4" w:space="0"/>
              <w:bottom w:val="single" w:color="auto" w:sz="4" w:space="0"/>
              <w:right w:val="single" w:color="auto" w:sz="4" w:space="0"/>
            </w:tcBorders>
            <w:vAlign w:val="center"/>
          </w:tcPr>
          <w:p w14:paraId="6877D09E">
            <w:pPr>
              <w:pStyle w:val="15"/>
              <w:widowControl/>
              <w:kinsoku w:val="0"/>
              <w:autoSpaceDE w:val="0"/>
              <w:autoSpaceDN w:val="0"/>
              <w:jc w:val="center"/>
              <w:textAlignment w:val="baseline"/>
              <w:rPr>
                <w:sz w:val="24"/>
                <w:szCs w:val="24"/>
              </w:rPr>
            </w:pPr>
            <w:r>
              <w:rPr>
                <w:rFonts w:hint="eastAsia"/>
                <w:spacing w:val="-2"/>
                <w:sz w:val="24"/>
                <w:szCs w:val="24"/>
                <w:lang w:eastAsia="zh-CN"/>
              </w:rPr>
              <w:t>12</w:t>
            </w:r>
            <w:r>
              <w:rPr>
                <w:spacing w:val="-2"/>
                <w:sz w:val="24"/>
                <w:szCs w:val="24"/>
              </w:rPr>
              <w:t>月</w:t>
            </w:r>
          </w:p>
        </w:tc>
        <w:tc>
          <w:tcPr>
            <w:tcW w:w="1258" w:type="dxa"/>
            <w:tcBorders>
              <w:top w:val="single" w:color="auto" w:sz="4" w:space="0"/>
              <w:left w:val="single" w:color="auto" w:sz="4" w:space="0"/>
              <w:bottom w:val="single" w:color="auto" w:sz="4" w:space="0"/>
              <w:right w:val="single" w:color="auto" w:sz="4" w:space="0"/>
            </w:tcBorders>
            <w:vAlign w:val="center"/>
          </w:tcPr>
          <w:p w14:paraId="3EBEDBDF">
            <w:pPr>
              <w:keepNext w:val="0"/>
              <w:keepLines w:val="0"/>
              <w:widowControl/>
              <w:suppressLineNumbers w:val="0"/>
              <w:jc w:val="center"/>
              <w:textAlignment w:val="center"/>
              <w:rPr>
                <w:rFonts w:ascii="Arial"/>
                <w:sz w:val="24"/>
              </w:rPr>
            </w:pPr>
            <w:r>
              <w:rPr>
                <w:rFonts w:hint="eastAsia" w:ascii="宋体" w:hAnsi="宋体" w:eastAsia="宋体" w:cs="宋体"/>
                <w:i w:val="0"/>
                <w:iCs w:val="0"/>
                <w:color w:val="000000"/>
                <w:kern w:val="0"/>
                <w:sz w:val="20"/>
                <w:szCs w:val="20"/>
                <w:u w:val="none"/>
                <w:lang w:val="en-US" w:eastAsia="zh-CN" w:bidi="ar"/>
              </w:rPr>
              <w:t>310</w:t>
            </w:r>
          </w:p>
        </w:tc>
        <w:tc>
          <w:tcPr>
            <w:tcW w:w="1171" w:type="dxa"/>
            <w:tcBorders>
              <w:top w:val="single" w:color="auto" w:sz="4" w:space="0"/>
              <w:left w:val="single" w:color="auto" w:sz="4" w:space="0"/>
              <w:bottom w:val="single" w:color="auto" w:sz="4" w:space="0"/>
              <w:right w:val="single" w:color="auto" w:sz="4" w:space="0"/>
            </w:tcBorders>
            <w:shd w:val="clear" w:color="auto" w:fill="auto"/>
            <w:vAlign w:val="center"/>
          </w:tcPr>
          <w:p w14:paraId="06E427B6">
            <w:pPr>
              <w:keepNext w:val="0"/>
              <w:keepLines w:val="0"/>
              <w:widowControl/>
              <w:suppressLineNumbers w:val="0"/>
              <w:jc w:val="center"/>
              <w:textAlignment w:val="center"/>
              <w:rPr>
                <w:rFonts w:ascii="Arial"/>
                <w:sz w:val="24"/>
              </w:rPr>
            </w:pPr>
            <w:r>
              <w:rPr>
                <w:rFonts w:hint="eastAsia" w:ascii="宋体" w:hAnsi="宋体" w:eastAsia="宋体" w:cs="宋体"/>
                <w:i w:val="0"/>
                <w:iCs w:val="0"/>
                <w:color w:val="000000"/>
                <w:kern w:val="0"/>
                <w:sz w:val="20"/>
                <w:szCs w:val="20"/>
                <w:u w:val="none"/>
                <w:lang w:val="en-US" w:eastAsia="zh-CN" w:bidi="ar"/>
              </w:rPr>
              <w:t>310</w:t>
            </w:r>
          </w:p>
        </w:tc>
      </w:tr>
      <w:tr w14:paraId="5A9600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12" w:hRule="exact"/>
          <w:jc w:val="center"/>
        </w:trPr>
        <w:tc>
          <w:tcPr>
            <w:tcW w:w="10032" w:type="dxa"/>
            <w:gridSpan w:val="9"/>
            <w:tcBorders>
              <w:left w:val="single" w:color="auto" w:sz="4" w:space="0"/>
              <w:bottom w:val="single" w:color="auto" w:sz="4" w:space="0"/>
              <w:right w:val="single" w:color="auto" w:sz="4" w:space="0"/>
            </w:tcBorders>
          </w:tcPr>
          <w:p w14:paraId="662ED8A5">
            <w:pPr>
              <w:pStyle w:val="15"/>
              <w:widowControl/>
              <w:kinsoku w:val="0"/>
              <w:autoSpaceDE w:val="0"/>
              <w:autoSpaceDN w:val="0"/>
              <w:textAlignment w:val="baseline"/>
              <w:rPr>
                <w:b/>
                <w:bCs/>
                <w:spacing w:val="10"/>
                <w:sz w:val="24"/>
                <w:szCs w:val="24"/>
                <w:lang w:eastAsia="zh-CN"/>
              </w:rPr>
            </w:pPr>
            <w:r>
              <w:rPr>
                <w:rFonts w:hint="eastAsia"/>
                <w:b/>
                <w:bCs/>
                <w:spacing w:val="10"/>
                <w:sz w:val="24"/>
                <w:szCs w:val="24"/>
                <w:lang w:eastAsia="zh-CN"/>
              </w:rPr>
              <w:t>填写要求：</w:t>
            </w:r>
          </w:p>
          <w:p w14:paraId="0FA270A5">
            <w:pPr>
              <w:pStyle w:val="15"/>
              <w:widowControl/>
              <w:kinsoku w:val="0"/>
              <w:autoSpaceDE w:val="0"/>
              <w:autoSpaceDN w:val="0"/>
              <w:ind w:firstLine="260" w:firstLineChars="100"/>
              <w:textAlignment w:val="baseline"/>
              <w:rPr>
                <w:spacing w:val="10"/>
                <w:sz w:val="24"/>
                <w:szCs w:val="24"/>
                <w:lang w:eastAsia="zh-CN"/>
              </w:rPr>
            </w:pPr>
            <w:r>
              <w:rPr>
                <w:rFonts w:hint="eastAsia"/>
                <w:spacing w:val="10"/>
                <w:sz w:val="24"/>
                <w:szCs w:val="24"/>
                <w:lang w:eastAsia="zh-CN"/>
              </w:rPr>
              <w:t>1、零售套餐价格参数及电量参数由合同双方填写之处，合同双方应根据实际情况填写。如合同双方约定无需填写的，则应注明“无”，若需填写处为空白且合同范本未规定的，则按照“无”处理。</w:t>
            </w:r>
          </w:p>
          <w:p w14:paraId="72E119A7">
            <w:pPr>
              <w:pStyle w:val="15"/>
              <w:widowControl/>
              <w:kinsoku w:val="0"/>
              <w:autoSpaceDE w:val="0"/>
              <w:autoSpaceDN w:val="0"/>
              <w:ind w:firstLine="260" w:firstLineChars="100"/>
              <w:textAlignment w:val="baseline"/>
              <w:rPr>
                <w:spacing w:val="10"/>
                <w:sz w:val="24"/>
                <w:szCs w:val="24"/>
                <w:lang w:eastAsia="zh-CN"/>
              </w:rPr>
            </w:pPr>
            <w:r>
              <w:rPr>
                <w:rFonts w:hint="eastAsia"/>
                <w:spacing w:val="10"/>
                <w:sz w:val="24"/>
                <w:szCs w:val="24"/>
                <w:lang w:eastAsia="zh-CN"/>
              </w:rPr>
              <w:t>2、零售套餐价格参数中合同电量和常规电力电价必填，若甲方有绿色电力需求，须填写绿电需求电量和绿色电力电价的相关参数。</w:t>
            </w:r>
          </w:p>
          <w:p w14:paraId="50C59471">
            <w:pPr>
              <w:pStyle w:val="15"/>
              <w:widowControl/>
              <w:kinsoku w:val="0"/>
              <w:autoSpaceDE w:val="0"/>
              <w:autoSpaceDN w:val="0"/>
              <w:ind w:firstLine="260" w:firstLineChars="100"/>
              <w:textAlignment w:val="baseline"/>
              <w:rPr>
                <w:spacing w:val="10"/>
                <w:sz w:val="24"/>
                <w:szCs w:val="24"/>
                <w:lang w:eastAsia="zh-CN"/>
              </w:rPr>
            </w:pPr>
            <w:r>
              <w:rPr>
                <w:rFonts w:hint="eastAsia"/>
                <w:spacing w:val="10"/>
                <w:sz w:val="24"/>
                <w:szCs w:val="24"/>
                <w:lang w:eastAsia="zh-CN"/>
              </w:rPr>
              <w:t>3、</w:t>
            </w:r>
            <w:r>
              <w:rPr>
                <w:rFonts w:hint="eastAsia"/>
                <w:spacing w:val="4"/>
                <w:sz w:val="24"/>
                <w:szCs w:val="24"/>
                <w:lang w:eastAsia="zh-CN"/>
              </w:rPr>
              <w:t>零售套餐电量参数中的</w:t>
            </w:r>
            <w:r>
              <w:rPr>
                <w:spacing w:val="10"/>
                <w:sz w:val="24"/>
                <w:szCs w:val="24"/>
                <w:lang w:eastAsia="zh-CN"/>
              </w:rPr>
              <w:t>合同</w:t>
            </w:r>
            <w:r>
              <w:rPr>
                <w:rFonts w:hint="eastAsia"/>
                <w:spacing w:val="10"/>
                <w:sz w:val="24"/>
                <w:szCs w:val="24"/>
                <w:lang w:eastAsia="zh-CN"/>
              </w:rPr>
              <w:t>电</w:t>
            </w:r>
            <w:r>
              <w:rPr>
                <w:spacing w:val="10"/>
                <w:sz w:val="24"/>
                <w:szCs w:val="24"/>
                <w:lang w:eastAsia="zh-CN"/>
              </w:rPr>
              <w:t>量为甲方</w:t>
            </w:r>
            <w:r>
              <w:rPr>
                <w:rFonts w:hint="eastAsia"/>
                <w:spacing w:val="10"/>
                <w:sz w:val="24"/>
                <w:szCs w:val="24"/>
                <w:lang w:eastAsia="zh-CN"/>
              </w:rPr>
              <w:t>的</w:t>
            </w:r>
            <w:r>
              <w:rPr>
                <w:spacing w:val="10"/>
                <w:sz w:val="24"/>
                <w:szCs w:val="24"/>
                <w:lang w:eastAsia="zh-CN"/>
              </w:rPr>
              <w:t>全部电量，</w:t>
            </w:r>
            <w:r>
              <w:rPr>
                <w:rFonts w:hint="eastAsia"/>
                <w:spacing w:val="10"/>
                <w:sz w:val="24"/>
                <w:szCs w:val="24"/>
                <w:lang w:eastAsia="zh-CN"/>
              </w:rPr>
              <w:t>单位为兆瓦时，保留3位小数。</w:t>
            </w:r>
          </w:p>
          <w:p w14:paraId="73F67C6B">
            <w:pPr>
              <w:pStyle w:val="15"/>
              <w:widowControl/>
              <w:kinsoku w:val="0"/>
              <w:autoSpaceDE w:val="0"/>
              <w:autoSpaceDN w:val="0"/>
              <w:ind w:firstLine="260" w:firstLineChars="100"/>
              <w:textAlignment w:val="baseline"/>
              <w:rPr>
                <w:spacing w:val="10"/>
                <w:sz w:val="24"/>
                <w:szCs w:val="24"/>
                <w:lang w:eastAsia="zh-CN"/>
              </w:rPr>
            </w:pPr>
            <w:r>
              <w:rPr>
                <w:rFonts w:hint="eastAsia"/>
                <w:spacing w:val="10"/>
                <w:sz w:val="24"/>
                <w:szCs w:val="24"/>
                <w:lang w:eastAsia="zh-CN"/>
              </w:rPr>
              <w:t>4、零售套餐电量参数中的绿电需求电量为甲方全部电量中的绿色电力需求部分，绿色需求电量须小于等于合同电量，且大于等于当月已签订的PPA协议电量</w:t>
            </w:r>
            <w:r>
              <w:rPr>
                <w:spacing w:val="9"/>
                <w:sz w:val="24"/>
                <w:szCs w:val="24"/>
                <w:lang w:eastAsia="zh-CN"/>
              </w:rPr>
              <w:t>。</w:t>
            </w:r>
            <w:r>
              <w:rPr>
                <w:rFonts w:hint="eastAsia"/>
                <w:spacing w:val="9"/>
                <w:sz w:val="24"/>
                <w:szCs w:val="24"/>
                <w:lang w:eastAsia="zh-CN"/>
              </w:rPr>
              <w:t>绿色</w:t>
            </w:r>
            <w:r>
              <w:rPr>
                <w:rFonts w:hint="eastAsia"/>
                <w:spacing w:val="4"/>
                <w:sz w:val="24"/>
                <w:szCs w:val="24"/>
                <w:lang w:eastAsia="zh-CN"/>
              </w:rPr>
              <w:t>电力交易以1兆瓦时为最小交易单位，填写</w:t>
            </w:r>
            <w:r>
              <w:rPr>
                <w:rFonts w:hint="eastAsia"/>
                <w:spacing w:val="10"/>
                <w:sz w:val="24"/>
                <w:szCs w:val="24"/>
                <w:lang w:eastAsia="zh-CN"/>
              </w:rPr>
              <w:t>绿电需求电量</w:t>
            </w:r>
            <w:r>
              <w:rPr>
                <w:rFonts w:hint="eastAsia"/>
                <w:spacing w:val="4"/>
                <w:sz w:val="24"/>
                <w:szCs w:val="24"/>
                <w:lang w:eastAsia="zh-CN"/>
              </w:rPr>
              <w:t>时应为整数，若</w:t>
            </w:r>
            <w:r>
              <w:rPr>
                <w:rFonts w:hint="eastAsia"/>
                <w:spacing w:val="10"/>
                <w:sz w:val="24"/>
                <w:szCs w:val="24"/>
                <w:lang w:eastAsia="zh-CN"/>
              </w:rPr>
              <w:t>绿电需求电量</w:t>
            </w:r>
            <w:r>
              <w:rPr>
                <w:rFonts w:hint="eastAsia"/>
                <w:spacing w:val="4"/>
                <w:sz w:val="24"/>
                <w:szCs w:val="24"/>
                <w:lang w:eastAsia="zh-CN"/>
              </w:rPr>
              <w:t>未填写为整数的，则按“取整”处理。</w:t>
            </w:r>
          </w:p>
        </w:tc>
      </w:tr>
    </w:tbl>
    <w:p w14:paraId="751866DD">
      <w:pPr>
        <w:spacing w:line="460" w:lineRule="exact"/>
        <w:jc w:val="left"/>
      </w:pPr>
    </w:p>
    <w:p w14:paraId="05B4C5D1">
      <w:pPr>
        <w:pStyle w:val="2"/>
      </w:pPr>
    </w:p>
    <w:p w14:paraId="6B6123F3"/>
    <w:p w14:paraId="05803FE1">
      <w:pPr>
        <w:pStyle w:val="2"/>
      </w:pPr>
    </w:p>
    <w:p w14:paraId="74504167">
      <w:pPr>
        <w:spacing w:line="460" w:lineRule="exact"/>
        <w:jc w:val="left"/>
        <w:rPr>
          <w:rFonts w:ascii="仿宋_GB2312" w:hAnsi="仿宋_GB2312" w:eastAsia="仿宋_GB2312" w:cs="仿宋_GB2312"/>
          <w:spacing w:val="-5"/>
          <w:sz w:val="28"/>
          <w:szCs w:val="28"/>
        </w:rPr>
        <w:sectPr>
          <w:type w:val="continuous"/>
          <w:pgSz w:w="11906" w:h="16838"/>
          <w:pgMar w:top="1440" w:right="1800" w:bottom="1440" w:left="1800" w:header="851" w:footer="992" w:gutter="0"/>
          <w:cols w:space="425" w:num="1"/>
          <w:docGrid w:type="lines" w:linePitch="312" w:charSpace="0"/>
        </w:sectPr>
      </w:pPr>
    </w:p>
    <w:p w14:paraId="7745E46C">
      <w:pPr>
        <w:spacing w:line="460" w:lineRule="exact"/>
        <w:jc w:val="left"/>
        <w:rPr>
          <w:rFonts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rPr>
        <w:t>甲方（零售用户）：北京市石景山区市场监督管理局</w:t>
      </w:r>
    </w:p>
    <w:p w14:paraId="6BEBFCA1">
      <w:pPr>
        <w:spacing w:line="460" w:lineRule="exact"/>
        <w:jc w:val="left"/>
        <w:rPr>
          <w:rFonts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rPr>
        <w:t>（盖章）</w:t>
      </w:r>
    </w:p>
    <w:p w14:paraId="09F25DDC">
      <w:pPr>
        <w:spacing w:line="460" w:lineRule="exact"/>
        <w:jc w:val="left"/>
        <w:rPr>
          <w:rFonts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rPr>
        <w:t>法定代表人（负责人）或</w:t>
      </w:r>
    </w:p>
    <w:p w14:paraId="3ECCB620">
      <w:pPr>
        <w:spacing w:line="460" w:lineRule="exact"/>
        <w:jc w:val="left"/>
        <w:rPr>
          <w:rFonts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rPr>
        <w:t>授权代表（签字）：</w:t>
      </w:r>
    </w:p>
    <w:p w14:paraId="02977C40">
      <w:pPr>
        <w:pStyle w:val="2"/>
      </w:pPr>
    </w:p>
    <w:p w14:paraId="45A017FD">
      <w:pPr>
        <w:spacing w:line="460" w:lineRule="exact"/>
        <w:jc w:val="left"/>
        <w:rPr>
          <w:rFonts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rPr>
        <w:t>乙方（售电公司）：北京京能电力股份有限公司</w:t>
      </w:r>
    </w:p>
    <w:p w14:paraId="3EED6F3E">
      <w:pPr>
        <w:spacing w:line="460" w:lineRule="exact"/>
        <w:jc w:val="left"/>
        <w:rPr>
          <w:rFonts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rPr>
        <w:t>（盖章）</w:t>
      </w:r>
    </w:p>
    <w:p w14:paraId="371C7C72">
      <w:pPr>
        <w:spacing w:line="460" w:lineRule="exact"/>
        <w:jc w:val="left"/>
        <w:rPr>
          <w:rFonts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rPr>
        <w:t>法定代表人（负责人）或</w:t>
      </w:r>
    </w:p>
    <w:p w14:paraId="3DE35014">
      <w:pPr>
        <w:spacing w:line="460" w:lineRule="exact"/>
        <w:jc w:val="left"/>
        <w:rPr>
          <w:rFonts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rPr>
        <w:t>授权代表（签字）：</w:t>
      </w:r>
    </w:p>
    <w:p w14:paraId="75F56D37">
      <w:pPr>
        <w:pStyle w:val="2"/>
      </w:pPr>
    </w:p>
    <w:p w14:paraId="11A71445">
      <w:pPr>
        <w:rPr>
          <w:rFonts w:ascii="仿宋_GB2312" w:hAnsi="仿宋_GB2312" w:eastAsia="仿宋_GB2312" w:cs="仿宋_GB2312"/>
          <w:sz w:val="28"/>
          <w:szCs w:val="28"/>
        </w:rPr>
        <w:sectPr>
          <w:type w:val="continuous"/>
          <w:pgSz w:w="11906" w:h="16838"/>
          <w:pgMar w:top="1440" w:right="1800" w:bottom="1440" w:left="1800" w:header="851" w:footer="992" w:gutter="0"/>
          <w:cols w:equalWidth="0" w:num="2">
            <w:col w:w="3940" w:space="425"/>
            <w:col w:w="3940"/>
          </w:cols>
          <w:docGrid w:type="lines" w:linePitch="312" w:charSpace="0"/>
        </w:sectPr>
      </w:pPr>
    </w:p>
    <w:p w14:paraId="1F66EB67">
      <w:pPr>
        <w:pStyle w:val="2"/>
      </w:pPr>
    </w:p>
    <w:sectPr>
      <w:type w:val="continuous"/>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方正小标宋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Cambria Math">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KSOF8080F95D">
    <w:panose1 w:val="020B0503020204020204"/>
    <w:charset w:val="86"/>
    <w:family w:val="auto"/>
    <w:pitch w:val="default"/>
    <w:sig w:usb0="00000001" w:usb1="00000000" w:usb2="00000000"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91F162">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D5D4F9">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19</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35D5D4F9">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19</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05E943">
    <w:pPr>
      <w:pStyle w:val="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6557ED">
                          <w:pPr>
                            <w:pStyle w:val="6"/>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19</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5C6557ED">
                    <w:pPr>
                      <w:pStyle w:val="6"/>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19</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AFBC56">
    <w:pPr>
      <w:pStyle w:val="6"/>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A6B0C5">
                          <w:pPr>
                            <w:pStyle w:val="6"/>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19</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4CA6B0C5">
                    <w:pPr>
                      <w:pStyle w:val="6"/>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19</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0BFAFF">
    <w:pPr>
      <w:pStyle w:val="6"/>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175341">
                          <w:pPr>
                            <w:pStyle w:val="6"/>
                          </w:pPr>
                          <w:r>
                            <w:t xml:space="preserve">第 </w:t>
                          </w:r>
                          <w:r>
                            <w:fldChar w:fldCharType="begin"/>
                          </w:r>
                          <w:r>
                            <w:instrText xml:space="preserve"> PAGE  \* MERGEFORMAT </w:instrText>
                          </w:r>
                          <w:r>
                            <w:fldChar w:fldCharType="separate"/>
                          </w:r>
                          <w:r>
                            <w:t>16</w:t>
                          </w:r>
                          <w:r>
                            <w:fldChar w:fldCharType="end"/>
                          </w:r>
                          <w:r>
                            <w:t xml:space="preserve"> 页 共 </w:t>
                          </w:r>
                          <w:r>
                            <w:fldChar w:fldCharType="begin"/>
                          </w:r>
                          <w:r>
                            <w:instrText xml:space="preserve"> NUMPAGES  \* MERGEFORMAT </w:instrText>
                          </w:r>
                          <w:r>
                            <w:fldChar w:fldCharType="separate"/>
                          </w:r>
                          <w:r>
                            <w:t>19</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47175341">
                    <w:pPr>
                      <w:pStyle w:val="6"/>
                    </w:pPr>
                    <w:r>
                      <w:t xml:space="preserve">第 </w:t>
                    </w:r>
                    <w:r>
                      <w:fldChar w:fldCharType="begin"/>
                    </w:r>
                    <w:r>
                      <w:instrText xml:space="preserve"> PAGE  \* MERGEFORMAT </w:instrText>
                    </w:r>
                    <w:r>
                      <w:fldChar w:fldCharType="separate"/>
                    </w:r>
                    <w:r>
                      <w:t>16</w:t>
                    </w:r>
                    <w:r>
                      <w:fldChar w:fldCharType="end"/>
                    </w:r>
                    <w:r>
                      <w:t xml:space="preserve"> 页 共 </w:t>
                    </w:r>
                    <w:r>
                      <w:fldChar w:fldCharType="begin"/>
                    </w:r>
                    <w:r>
                      <w:instrText xml:space="preserve"> NUMPAGES  \* MERGEFORMAT </w:instrText>
                    </w:r>
                    <w:r>
                      <w:fldChar w:fldCharType="separate"/>
                    </w:r>
                    <w:r>
                      <w:t>19</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1D029C"/>
    <w:multiLevelType w:val="singleLevel"/>
    <w:tmpl w:val="0B1D029C"/>
    <w:lvl w:ilvl="0" w:tentative="0">
      <w:start w:val="1"/>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0MTFlM2Q5M2IzZWViZjhlNzZiZGJkOTI2OWQ1NzQifQ=="/>
  </w:docVars>
  <w:rsids>
    <w:rsidRoot w:val="40C30BEB"/>
    <w:rsid w:val="001649AA"/>
    <w:rsid w:val="001D1CE5"/>
    <w:rsid w:val="003F5C99"/>
    <w:rsid w:val="0042368C"/>
    <w:rsid w:val="0045336E"/>
    <w:rsid w:val="00613FB0"/>
    <w:rsid w:val="006142D5"/>
    <w:rsid w:val="006C2D1F"/>
    <w:rsid w:val="007F0DF1"/>
    <w:rsid w:val="00D4013C"/>
    <w:rsid w:val="00F61BC3"/>
    <w:rsid w:val="01026649"/>
    <w:rsid w:val="0134599A"/>
    <w:rsid w:val="0151328C"/>
    <w:rsid w:val="017F5000"/>
    <w:rsid w:val="01BB0193"/>
    <w:rsid w:val="01D033E4"/>
    <w:rsid w:val="02106D08"/>
    <w:rsid w:val="0217502C"/>
    <w:rsid w:val="027726A8"/>
    <w:rsid w:val="028104AB"/>
    <w:rsid w:val="028F60A8"/>
    <w:rsid w:val="02C31918"/>
    <w:rsid w:val="02D138B3"/>
    <w:rsid w:val="02F20788"/>
    <w:rsid w:val="02FC59AB"/>
    <w:rsid w:val="030376E3"/>
    <w:rsid w:val="031A5E9C"/>
    <w:rsid w:val="032C3DC2"/>
    <w:rsid w:val="037C40D5"/>
    <w:rsid w:val="03C2587E"/>
    <w:rsid w:val="044C59B4"/>
    <w:rsid w:val="051F32A1"/>
    <w:rsid w:val="0547021D"/>
    <w:rsid w:val="05D3562A"/>
    <w:rsid w:val="05F4610C"/>
    <w:rsid w:val="061D0F87"/>
    <w:rsid w:val="06811895"/>
    <w:rsid w:val="06BE0C4C"/>
    <w:rsid w:val="06CB3BCD"/>
    <w:rsid w:val="071C6C9B"/>
    <w:rsid w:val="073A17F3"/>
    <w:rsid w:val="07963262"/>
    <w:rsid w:val="08583ABA"/>
    <w:rsid w:val="089139CF"/>
    <w:rsid w:val="089E5421"/>
    <w:rsid w:val="08A737BE"/>
    <w:rsid w:val="08D7431A"/>
    <w:rsid w:val="094D4CD7"/>
    <w:rsid w:val="09D36D65"/>
    <w:rsid w:val="09DB5DFF"/>
    <w:rsid w:val="0A132D5F"/>
    <w:rsid w:val="0A1C5C78"/>
    <w:rsid w:val="0A3204CF"/>
    <w:rsid w:val="0A3D172D"/>
    <w:rsid w:val="0AD601E0"/>
    <w:rsid w:val="0B2909CE"/>
    <w:rsid w:val="0B3456C7"/>
    <w:rsid w:val="0B6039B7"/>
    <w:rsid w:val="0C18511B"/>
    <w:rsid w:val="0C295EEB"/>
    <w:rsid w:val="0C4458AD"/>
    <w:rsid w:val="0C6628DC"/>
    <w:rsid w:val="0CA05112"/>
    <w:rsid w:val="0CD15ECF"/>
    <w:rsid w:val="0D050461"/>
    <w:rsid w:val="0D252E3D"/>
    <w:rsid w:val="0D34053F"/>
    <w:rsid w:val="0D3F5AF7"/>
    <w:rsid w:val="0D667CE4"/>
    <w:rsid w:val="0D79646A"/>
    <w:rsid w:val="0D925663"/>
    <w:rsid w:val="0EAD7AAA"/>
    <w:rsid w:val="0EBD6C3D"/>
    <w:rsid w:val="0EDA40A4"/>
    <w:rsid w:val="0EDC0848"/>
    <w:rsid w:val="0EE53537"/>
    <w:rsid w:val="0F2F6ECE"/>
    <w:rsid w:val="0F451552"/>
    <w:rsid w:val="0F601A19"/>
    <w:rsid w:val="102875D5"/>
    <w:rsid w:val="111F1D8E"/>
    <w:rsid w:val="11206427"/>
    <w:rsid w:val="113D61E3"/>
    <w:rsid w:val="1145737B"/>
    <w:rsid w:val="1152079C"/>
    <w:rsid w:val="11740F96"/>
    <w:rsid w:val="1209283C"/>
    <w:rsid w:val="124F6B19"/>
    <w:rsid w:val="12685735"/>
    <w:rsid w:val="12A1781C"/>
    <w:rsid w:val="131E6B55"/>
    <w:rsid w:val="13C65C33"/>
    <w:rsid w:val="13E001AE"/>
    <w:rsid w:val="144264FB"/>
    <w:rsid w:val="144E2796"/>
    <w:rsid w:val="145A27B4"/>
    <w:rsid w:val="149D21F5"/>
    <w:rsid w:val="14EE42AD"/>
    <w:rsid w:val="150767E5"/>
    <w:rsid w:val="15611CF6"/>
    <w:rsid w:val="158E7435"/>
    <w:rsid w:val="15EE70EA"/>
    <w:rsid w:val="161B453D"/>
    <w:rsid w:val="16733D65"/>
    <w:rsid w:val="1677276B"/>
    <w:rsid w:val="18490F0B"/>
    <w:rsid w:val="187058AA"/>
    <w:rsid w:val="188A58FE"/>
    <w:rsid w:val="18964ECD"/>
    <w:rsid w:val="18B03077"/>
    <w:rsid w:val="18B143E1"/>
    <w:rsid w:val="18DC4CBA"/>
    <w:rsid w:val="18E2072C"/>
    <w:rsid w:val="1962515C"/>
    <w:rsid w:val="19741A10"/>
    <w:rsid w:val="197A2E60"/>
    <w:rsid w:val="19D741AC"/>
    <w:rsid w:val="1A113891"/>
    <w:rsid w:val="1A5B4F79"/>
    <w:rsid w:val="1A673A3F"/>
    <w:rsid w:val="1A972BB0"/>
    <w:rsid w:val="1AAB12CD"/>
    <w:rsid w:val="1AAC7D95"/>
    <w:rsid w:val="1AAD78D2"/>
    <w:rsid w:val="1AB577BF"/>
    <w:rsid w:val="1AFA6011"/>
    <w:rsid w:val="1B550B8A"/>
    <w:rsid w:val="1B614A55"/>
    <w:rsid w:val="1B751080"/>
    <w:rsid w:val="1C007608"/>
    <w:rsid w:val="1C021606"/>
    <w:rsid w:val="1C595A1E"/>
    <w:rsid w:val="1CA255E6"/>
    <w:rsid w:val="1CCC57BD"/>
    <w:rsid w:val="1CF1204F"/>
    <w:rsid w:val="1D0111BB"/>
    <w:rsid w:val="1D6B2111"/>
    <w:rsid w:val="1D936543"/>
    <w:rsid w:val="1DF24F99"/>
    <w:rsid w:val="1E156D0A"/>
    <w:rsid w:val="1E741D98"/>
    <w:rsid w:val="1EBF2CA7"/>
    <w:rsid w:val="1ECB124D"/>
    <w:rsid w:val="1F37344D"/>
    <w:rsid w:val="1F854A0E"/>
    <w:rsid w:val="1FA36039"/>
    <w:rsid w:val="1FDA2871"/>
    <w:rsid w:val="1FF93223"/>
    <w:rsid w:val="204C587C"/>
    <w:rsid w:val="20DA78EB"/>
    <w:rsid w:val="20ED600B"/>
    <w:rsid w:val="215E679A"/>
    <w:rsid w:val="2196690E"/>
    <w:rsid w:val="21AF1AF1"/>
    <w:rsid w:val="225625D4"/>
    <w:rsid w:val="22657243"/>
    <w:rsid w:val="22F70505"/>
    <w:rsid w:val="23255EA0"/>
    <w:rsid w:val="232568C3"/>
    <w:rsid w:val="235145D0"/>
    <w:rsid w:val="235774D3"/>
    <w:rsid w:val="2369154D"/>
    <w:rsid w:val="23E10A82"/>
    <w:rsid w:val="24130D3D"/>
    <w:rsid w:val="245D4E70"/>
    <w:rsid w:val="24614D1D"/>
    <w:rsid w:val="24621101"/>
    <w:rsid w:val="24F76BB2"/>
    <w:rsid w:val="250167D7"/>
    <w:rsid w:val="250A08A4"/>
    <w:rsid w:val="25222758"/>
    <w:rsid w:val="252A3BD6"/>
    <w:rsid w:val="252D19D0"/>
    <w:rsid w:val="25DD0121"/>
    <w:rsid w:val="26185F66"/>
    <w:rsid w:val="270F5264"/>
    <w:rsid w:val="2792239B"/>
    <w:rsid w:val="28203DBB"/>
    <w:rsid w:val="282249EF"/>
    <w:rsid w:val="282A3AB6"/>
    <w:rsid w:val="283B6D0F"/>
    <w:rsid w:val="283C5022"/>
    <w:rsid w:val="286B06E9"/>
    <w:rsid w:val="291E67ED"/>
    <w:rsid w:val="293B2959"/>
    <w:rsid w:val="2967175C"/>
    <w:rsid w:val="296E0EF7"/>
    <w:rsid w:val="299E757C"/>
    <w:rsid w:val="29F52194"/>
    <w:rsid w:val="2A22204A"/>
    <w:rsid w:val="2A6B2BC2"/>
    <w:rsid w:val="2A7C1A5E"/>
    <w:rsid w:val="2AE33B4F"/>
    <w:rsid w:val="2AFB2C2C"/>
    <w:rsid w:val="2AFB3049"/>
    <w:rsid w:val="2B9C079D"/>
    <w:rsid w:val="2BC06F77"/>
    <w:rsid w:val="2BD25947"/>
    <w:rsid w:val="2C197150"/>
    <w:rsid w:val="2C463705"/>
    <w:rsid w:val="2C524C76"/>
    <w:rsid w:val="2C6A55AC"/>
    <w:rsid w:val="2C7355D2"/>
    <w:rsid w:val="2CAD6BAD"/>
    <w:rsid w:val="2D244F36"/>
    <w:rsid w:val="2D30173F"/>
    <w:rsid w:val="2D564730"/>
    <w:rsid w:val="2DB40568"/>
    <w:rsid w:val="2DD64A42"/>
    <w:rsid w:val="2E391D83"/>
    <w:rsid w:val="2E572D36"/>
    <w:rsid w:val="2E7A5313"/>
    <w:rsid w:val="2F062BB5"/>
    <w:rsid w:val="2FA12A8F"/>
    <w:rsid w:val="2FC57ADA"/>
    <w:rsid w:val="2FD33202"/>
    <w:rsid w:val="2FE762F4"/>
    <w:rsid w:val="2FEF44A2"/>
    <w:rsid w:val="2FFD51D6"/>
    <w:rsid w:val="302839FC"/>
    <w:rsid w:val="304B5444"/>
    <w:rsid w:val="305855BB"/>
    <w:rsid w:val="305E6600"/>
    <w:rsid w:val="3074238E"/>
    <w:rsid w:val="310F22A9"/>
    <w:rsid w:val="31447BE1"/>
    <w:rsid w:val="3189206B"/>
    <w:rsid w:val="318B199C"/>
    <w:rsid w:val="31917CE0"/>
    <w:rsid w:val="31DD546C"/>
    <w:rsid w:val="31FA4EA0"/>
    <w:rsid w:val="32086399"/>
    <w:rsid w:val="322162CA"/>
    <w:rsid w:val="322301B4"/>
    <w:rsid w:val="3266479F"/>
    <w:rsid w:val="327F7546"/>
    <w:rsid w:val="328A52B4"/>
    <w:rsid w:val="32AE644D"/>
    <w:rsid w:val="32B66FDB"/>
    <w:rsid w:val="34086FB3"/>
    <w:rsid w:val="34112AF4"/>
    <w:rsid w:val="344F23AD"/>
    <w:rsid w:val="34CD2733"/>
    <w:rsid w:val="35131753"/>
    <w:rsid w:val="35354FE1"/>
    <w:rsid w:val="357C4F4F"/>
    <w:rsid w:val="358E3FBF"/>
    <w:rsid w:val="35AF550F"/>
    <w:rsid w:val="35B22242"/>
    <w:rsid w:val="36691699"/>
    <w:rsid w:val="36783C9C"/>
    <w:rsid w:val="36F16FD3"/>
    <w:rsid w:val="37B66AED"/>
    <w:rsid w:val="38332D42"/>
    <w:rsid w:val="383846E0"/>
    <w:rsid w:val="3871404D"/>
    <w:rsid w:val="38764AB1"/>
    <w:rsid w:val="38D64E9E"/>
    <w:rsid w:val="390B55EE"/>
    <w:rsid w:val="39183B2C"/>
    <w:rsid w:val="39384FF0"/>
    <w:rsid w:val="39551177"/>
    <w:rsid w:val="39995BA2"/>
    <w:rsid w:val="39BE3C8D"/>
    <w:rsid w:val="39C0783C"/>
    <w:rsid w:val="39C53B9C"/>
    <w:rsid w:val="39EE3581"/>
    <w:rsid w:val="3A4126B3"/>
    <w:rsid w:val="3A7266A6"/>
    <w:rsid w:val="3A773F37"/>
    <w:rsid w:val="3A971C80"/>
    <w:rsid w:val="3AA14851"/>
    <w:rsid w:val="3AE42C02"/>
    <w:rsid w:val="3AEF02F9"/>
    <w:rsid w:val="3B3106D2"/>
    <w:rsid w:val="3B64270E"/>
    <w:rsid w:val="3B7A3D31"/>
    <w:rsid w:val="3B860582"/>
    <w:rsid w:val="3BB3465A"/>
    <w:rsid w:val="3BE47C50"/>
    <w:rsid w:val="3C242C38"/>
    <w:rsid w:val="3C743F2C"/>
    <w:rsid w:val="3CE70A48"/>
    <w:rsid w:val="3D317A87"/>
    <w:rsid w:val="3D3707CB"/>
    <w:rsid w:val="3D3E195E"/>
    <w:rsid w:val="3D576F79"/>
    <w:rsid w:val="3D600441"/>
    <w:rsid w:val="3DBC71B7"/>
    <w:rsid w:val="3DD95D20"/>
    <w:rsid w:val="3DED60EF"/>
    <w:rsid w:val="3E5C3963"/>
    <w:rsid w:val="3EB95641"/>
    <w:rsid w:val="3F170541"/>
    <w:rsid w:val="3F3160E7"/>
    <w:rsid w:val="3F527C57"/>
    <w:rsid w:val="3FB2483E"/>
    <w:rsid w:val="3FBF60AE"/>
    <w:rsid w:val="406B797E"/>
    <w:rsid w:val="40B70941"/>
    <w:rsid w:val="40C30BEB"/>
    <w:rsid w:val="410C7BD3"/>
    <w:rsid w:val="41D87A12"/>
    <w:rsid w:val="421129DB"/>
    <w:rsid w:val="425B2AF5"/>
    <w:rsid w:val="425E02BF"/>
    <w:rsid w:val="4272620E"/>
    <w:rsid w:val="440305EA"/>
    <w:rsid w:val="44442A00"/>
    <w:rsid w:val="44581BDB"/>
    <w:rsid w:val="447830E2"/>
    <w:rsid w:val="4502084B"/>
    <w:rsid w:val="451873C9"/>
    <w:rsid w:val="45510A72"/>
    <w:rsid w:val="45E23A91"/>
    <w:rsid w:val="461E68C2"/>
    <w:rsid w:val="462F49B1"/>
    <w:rsid w:val="467A3B2C"/>
    <w:rsid w:val="46A80F52"/>
    <w:rsid w:val="46FA053B"/>
    <w:rsid w:val="479B68D2"/>
    <w:rsid w:val="47C83A01"/>
    <w:rsid w:val="48B04E42"/>
    <w:rsid w:val="48CC0898"/>
    <w:rsid w:val="49680539"/>
    <w:rsid w:val="49712442"/>
    <w:rsid w:val="498F329B"/>
    <w:rsid w:val="49BD3C89"/>
    <w:rsid w:val="49D2267A"/>
    <w:rsid w:val="49DA4135"/>
    <w:rsid w:val="4A913806"/>
    <w:rsid w:val="4AD23CC2"/>
    <w:rsid w:val="4B852F04"/>
    <w:rsid w:val="4B9D37E4"/>
    <w:rsid w:val="4B9D4FC7"/>
    <w:rsid w:val="4BE07B48"/>
    <w:rsid w:val="4C202DEA"/>
    <w:rsid w:val="4C4F4382"/>
    <w:rsid w:val="4C7048C4"/>
    <w:rsid w:val="4C786019"/>
    <w:rsid w:val="4C9821AC"/>
    <w:rsid w:val="4CA724AA"/>
    <w:rsid w:val="4D217DC5"/>
    <w:rsid w:val="4D400AC9"/>
    <w:rsid w:val="4D58301A"/>
    <w:rsid w:val="4DA37F18"/>
    <w:rsid w:val="4DF77BFD"/>
    <w:rsid w:val="4DFD4A23"/>
    <w:rsid w:val="4E2260BC"/>
    <w:rsid w:val="4E3F0540"/>
    <w:rsid w:val="4ED43786"/>
    <w:rsid w:val="4EE93F89"/>
    <w:rsid w:val="4F15258F"/>
    <w:rsid w:val="4F1612E1"/>
    <w:rsid w:val="4F6A76D8"/>
    <w:rsid w:val="4FB86971"/>
    <w:rsid w:val="4FDF26CC"/>
    <w:rsid w:val="4FF64279"/>
    <w:rsid w:val="50465DC1"/>
    <w:rsid w:val="506E6FDF"/>
    <w:rsid w:val="508C4EEC"/>
    <w:rsid w:val="508F6ED5"/>
    <w:rsid w:val="50AA495F"/>
    <w:rsid w:val="50C96E57"/>
    <w:rsid w:val="50DB0ACB"/>
    <w:rsid w:val="515E61C4"/>
    <w:rsid w:val="51807CFF"/>
    <w:rsid w:val="52102E2E"/>
    <w:rsid w:val="521D12DF"/>
    <w:rsid w:val="521F5647"/>
    <w:rsid w:val="52565998"/>
    <w:rsid w:val="52650DED"/>
    <w:rsid w:val="52C2189F"/>
    <w:rsid w:val="52E65410"/>
    <w:rsid w:val="52FF226F"/>
    <w:rsid w:val="53715DBB"/>
    <w:rsid w:val="53A46AC8"/>
    <w:rsid w:val="53AE3575"/>
    <w:rsid w:val="53C51418"/>
    <w:rsid w:val="54005716"/>
    <w:rsid w:val="54601C88"/>
    <w:rsid w:val="54AA0574"/>
    <w:rsid w:val="553001C2"/>
    <w:rsid w:val="553A45E0"/>
    <w:rsid w:val="55985036"/>
    <w:rsid w:val="55B13153"/>
    <w:rsid w:val="55C32329"/>
    <w:rsid w:val="563074FD"/>
    <w:rsid w:val="56B51416"/>
    <w:rsid w:val="57007337"/>
    <w:rsid w:val="573E7E5F"/>
    <w:rsid w:val="57917FB7"/>
    <w:rsid w:val="57B67619"/>
    <w:rsid w:val="57C14BAC"/>
    <w:rsid w:val="57D918F2"/>
    <w:rsid w:val="58272E16"/>
    <w:rsid w:val="58914EAA"/>
    <w:rsid w:val="592901BC"/>
    <w:rsid w:val="59BA58DD"/>
    <w:rsid w:val="59EB2C32"/>
    <w:rsid w:val="5A006A65"/>
    <w:rsid w:val="5A57084D"/>
    <w:rsid w:val="5A9E49B6"/>
    <w:rsid w:val="5ABE5A4E"/>
    <w:rsid w:val="5AC4123B"/>
    <w:rsid w:val="5AC67D3B"/>
    <w:rsid w:val="5B0C4006"/>
    <w:rsid w:val="5B112E70"/>
    <w:rsid w:val="5BB77F11"/>
    <w:rsid w:val="5BC910FE"/>
    <w:rsid w:val="5BF82FD0"/>
    <w:rsid w:val="5C244398"/>
    <w:rsid w:val="5C747B79"/>
    <w:rsid w:val="5CE34F72"/>
    <w:rsid w:val="5D507058"/>
    <w:rsid w:val="5D7E4050"/>
    <w:rsid w:val="5D99089C"/>
    <w:rsid w:val="5E265835"/>
    <w:rsid w:val="5E2865DC"/>
    <w:rsid w:val="5E3229A2"/>
    <w:rsid w:val="5E505297"/>
    <w:rsid w:val="5E77250F"/>
    <w:rsid w:val="5EAA3616"/>
    <w:rsid w:val="5EEA4CD9"/>
    <w:rsid w:val="5EF542AD"/>
    <w:rsid w:val="5EFA5CD3"/>
    <w:rsid w:val="5F2C67FE"/>
    <w:rsid w:val="5F5924B0"/>
    <w:rsid w:val="5FB839CD"/>
    <w:rsid w:val="5FEB19E8"/>
    <w:rsid w:val="603C1771"/>
    <w:rsid w:val="603F4A5A"/>
    <w:rsid w:val="60530F71"/>
    <w:rsid w:val="6056529D"/>
    <w:rsid w:val="60A53138"/>
    <w:rsid w:val="60A63D7D"/>
    <w:rsid w:val="61433C21"/>
    <w:rsid w:val="61502F36"/>
    <w:rsid w:val="618F3578"/>
    <w:rsid w:val="61E54921"/>
    <w:rsid w:val="62055A84"/>
    <w:rsid w:val="625E7ACA"/>
    <w:rsid w:val="628C76A7"/>
    <w:rsid w:val="632145F5"/>
    <w:rsid w:val="63584057"/>
    <w:rsid w:val="63A70E8C"/>
    <w:rsid w:val="6462297E"/>
    <w:rsid w:val="64C869E5"/>
    <w:rsid w:val="64DE7F54"/>
    <w:rsid w:val="651B37AC"/>
    <w:rsid w:val="653636E8"/>
    <w:rsid w:val="653A6CAF"/>
    <w:rsid w:val="657C3B00"/>
    <w:rsid w:val="661C2645"/>
    <w:rsid w:val="665964A4"/>
    <w:rsid w:val="6702433F"/>
    <w:rsid w:val="67535261"/>
    <w:rsid w:val="67BD1827"/>
    <w:rsid w:val="67C779FD"/>
    <w:rsid w:val="67DA12A6"/>
    <w:rsid w:val="67E67FB7"/>
    <w:rsid w:val="6805422F"/>
    <w:rsid w:val="6807630E"/>
    <w:rsid w:val="681C1233"/>
    <w:rsid w:val="6854511D"/>
    <w:rsid w:val="68803180"/>
    <w:rsid w:val="68CE5245"/>
    <w:rsid w:val="69303F92"/>
    <w:rsid w:val="69C34860"/>
    <w:rsid w:val="6A370BBE"/>
    <w:rsid w:val="6AD63DBF"/>
    <w:rsid w:val="6B674648"/>
    <w:rsid w:val="6BEC46D4"/>
    <w:rsid w:val="6C0408C8"/>
    <w:rsid w:val="6C245689"/>
    <w:rsid w:val="6C400D34"/>
    <w:rsid w:val="6C4432F4"/>
    <w:rsid w:val="6CBD63CA"/>
    <w:rsid w:val="6D081DD5"/>
    <w:rsid w:val="6D106F4F"/>
    <w:rsid w:val="6D1F751B"/>
    <w:rsid w:val="6D2304F6"/>
    <w:rsid w:val="6D851863"/>
    <w:rsid w:val="6D974DFC"/>
    <w:rsid w:val="6DA440A1"/>
    <w:rsid w:val="6DE950FD"/>
    <w:rsid w:val="6DEC2412"/>
    <w:rsid w:val="6E580E15"/>
    <w:rsid w:val="6E5C6036"/>
    <w:rsid w:val="6E7626AA"/>
    <w:rsid w:val="6E9C1853"/>
    <w:rsid w:val="6EC917DF"/>
    <w:rsid w:val="6EFF4CB3"/>
    <w:rsid w:val="6F2C4820"/>
    <w:rsid w:val="6F3600CD"/>
    <w:rsid w:val="7007316A"/>
    <w:rsid w:val="70085765"/>
    <w:rsid w:val="705F7453"/>
    <w:rsid w:val="70687739"/>
    <w:rsid w:val="712D7639"/>
    <w:rsid w:val="715F52D0"/>
    <w:rsid w:val="71D85599"/>
    <w:rsid w:val="71DE4FB1"/>
    <w:rsid w:val="723407F1"/>
    <w:rsid w:val="725249E2"/>
    <w:rsid w:val="727E0DB9"/>
    <w:rsid w:val="72822476"/>
    <w:rsid w:val="72B95306"/>
    <w:rsid w:val="72D36A71"/>
    <w:rsid w:val="73087A7D"/>
    <w:rsid w:val="73920807"/>
    <w:rsid w:val="744A11C1"/>
    <w:rsid w:val="745D2CF4"/>
    <w:rsid w:val="74A4534E"/>
    <w:rsid w:val="74FD09CF"/>
    <w:rsid w:val="750D091A"/>
    <w:rsid w:val="752B6B15"/>
    <w:rsid w:val="757C7180"/>
    <w:rsid w:val="758A735F"/>
    <w:rsid w:val="75907680"/>
    <w:rsid w:val="75AD2054"/>
    <w:rsid w:val="75FB1687"/>
    <w:rsid w:val="76220067"/>
    <w:rsid w:val="76273E60"/>
    <w:rsid w:val="769E0761"/>
    <w:rsid w:val="76A04B35"/>
    <w:rsid w:val="76EB42AA"/>
    <w:rsid w:val="76F36340"/>
    <w:rsid w:val="776A63B2"/>
    <w:rsid w:val="777C790E"/>
    <w:rsid w:val="77A90DE5"/>
    <w:rsid w:val="77D70DAD"/>
    <w:rsid w:val="77DE7FB8"/>
    <w:rsid w:val="787A1285"/>
    <w:rsid w:val="796524AF"/>
    <w:rsid w:val="797A46FB"/>
    <w:rsid w:val="79AD0BAB"/>
    <w:rsid w:val="79CC14F8"/>
    <w:rsid w:val="79ED0498"/>
    <w:rsid w:val="7A627BEE"/>
    <w:rsid w:val="7A781161"/>
    <w:rsid w:val="7A8A3E8C"/>
    <w:rsid w:val="7B59223C"/>
    <w:rsid w:val="7BD14190"/>
    <w:rsid w:val="7BF67377"/>
    <w:rsid w:val="7C3B575E"/>
    <w:rsid w:val="7C71141E"/>
    <w:rsid w:val="7CD17C43"/>
    <w:rsid w:val="7CFD0935"/>
    <w:rsid w:val="7D895CB1"/>
    <w:rsid w:val="7DD751D0"/>
    <w:rsid w:val="7DE74FE3"/>
    <w:rsid w:val="7DEB7532"/>
    <w:rsid w:val="7E0126EF"/>
    <w:rsid w:val="7E442F5E"/>
    <w:rsid w:val="7EE523CE"/>
    <w:rsid w:val="7EE66944"/>
    <w:rsid w:val="7F1C1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autoRedefine/>
    <w:qFormat/>
    <w:uiPriority w:val="0"/>
    <w:pPr>
      <w:spacing w:after="120"/>
    </w:pPr>
    <w:rPr>
      <w:szCs w:val="20"/>
    </w:rPr>
  </w:style>
  <w:style w:type="paragraph" w:styleId="4">
    <w:name w:val="Normal Indent"/>
    <w:basedOn w:val="1"/>
    <w:autoRedefine/>
    <w:qFormat/>
    <w:uiPriority w:val="0"/>
    <w:pPr>
      <w:ind w:firstLine="420" w:firstLineChars="200"/>
    </w:pPr>
    <w:rPr>
      <w:rFonts w:ascii="Calibri" w:hAnsi="Calibri" w:eastAsia="宋体"/>
      <w:szCs w:val="21"/>
    </w:rPr>
  </w:style>
  <w:style w:type="paragraph" w:styleId="5">
    <w:name w:val="annotation text"/>
    <w:basedOn w:val="1"/>
    <w:autoRedefine/>
    <w:qFormat/>
    <w:uiPriority w:val="0"/>
    <w:pPr>
      <w:jc w:val="left"/>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标题0"/>
    <w:basedOn w:val="1"/>
    <w:next w:val="1"/>
    <w:qFormat/>
    <w:uiPriority w:val="0"/>
    <w:pPr>
      <w:keepNext/>
      <w:keepLines/>
      <w:spacing w:line="580" w:lineRule="exact"/>
      <w:jc w:val="center"/>
      <w:outlineLvl w:val="0"/>
    </w:pPr>
    <w:rPr>
      <w:rFonts w:hint="eastAsia" w:ascii="Calibri" w:hAnsi="Calibri" w:eastAsia="黑体"/>
      <w:bCs/>
      <w:kern w:val="44"/>
      <w:sz w:val="30"/>
      <w:szCs w:val="44"/>
    </w:rPr>
  </w:style>
  <w:style w:type="paragraph" w:customStyle="1" w:styleId="13">
    <w:name w:val="标题2"/>
    <w:basedOn w:val="3"/>
    <w:autoRedefine/>
    <w:semiHidden/>
    <w:qFormat/>
    <w:uiPriority w:val="0"/>
    <w:pPr>
      <w:keepNext w:val="0"/>
      <w:keepLines w:val="0"/>
      <w:spacing w:before="0" w:after="0" w:line="240" w:lineRule="auto"/>
    </w:pPr>
    <w:rPr>
      <w:rFonts w:ascii="Cambria" w:hAnsi="Cambria" w:eastAsiaTheme="minorEastAsia" w:cstheme="minorBidi"/>
      <w:b w:val="0"/>
      <w:sz w:val="21"/>
    </w:rPr>
  </w:style>
  <w:style w:type="table" w:customStyle="1" w:styleId="14">
    <w:name w:val="Table Normal"/>
    <w:autoRedefine/>
    <w:unhideWhenUsed/>
    <w:qFormat/>
    <w:uiPriority w:val="0"/>
    <w:tblPr>
      <w:tblCellMar>
        <w:top w:w="0" w:type="dxa"/>
        <w:left w:w="0" w:type="dxa"/>
        <w:bottom w:w="0" w:type="dxa"/>
        <w:right w:w="0" w:type="dxa"/>
      </w:tblCellMar>
    </w:tblPr>
  </w:style>
  <w:style w:type="paragraph" w:customStyle="1" w:styleId="15">
    <w:name w:val="Table Text"/>
    <w:basedOn w:val="1"/>
    <w:semiHidden/>
    <w:qFormat/>
    <w:uiPriority w:val="0"/>
    <w:rPr>
      <w:rFonts w:ascii="楷体" w:hAnsi="楷体" w:eastAsia="楷体" w:cs="楷体"/>
      <w:sz w:val="22"/>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9156</Words>
  <Characters>9640</Characters>
  <Lines>11</Lines>
  <Paragraphs>21</Paragraphs>
  <TotalTime>6</TotalTime>
  <ScaleCrop>false</ScaleCrop>
  <LinksUpToDate>false</LinksUpToDate>
  <CharactersWithSpaces>10011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2026-01-07T00:24:00Z</dcterms:created>
  <dc:creator>BEPC</dc:creator>
  <cp:lastModifiedBy>Theonly请假</cp:lastModifiedBy>
  <cp:lastPrinted>2025-11-12T09:02:00Z</cp:lastPrinted>
  <dcterms:modified xsi:type="dcterms:W3CDTF">2026-01-30T10:04:25Z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AD8B021EFEDF4268B78ABA9104331DAF_13</vt:lpwstr>
  </property>
  <property fmtid="{D5CDD505-2E9C-101B-9397-08002B2CF9AE}" pid="4" name="KSOTemplateDocerSaveRecord">
    <vt:lpwstr>eyJoZGlkIjoiYmY4ZjM2ZjRmOTJlNDEwZDA2MTVhZmJhYTgzODFmMzgiLCJ1c2VySWQiOiI0OTI0MTE2In0=</vt:lpwstr>
  </property>
</Properties>
</file>