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ind w:left="1211"/>
        <w:spacing w:before="143" w:line="219" w:lineRule="auto"/>
        <w:outlineLvl w:val="0"/>
        <w:rPr>
          <w:rFonts w:ascii="SimSun" w:hAnsi="SimSun" w:eastAsia="SimSun" w:cs="SimSun"/>
          <w:sz w:val="44"/>
          <w:szCs w:val="44"/>
        </w:rPr>
      </w:pPr>
      <w:r>
        <w:rPr>
          <w:rFonts w:ascii="SimSun" w:hAnsi="SimSun" w:eastAsia="SimSun" w:cs="SimSun"/>
          <w:sz w:val="44"/>
          <w:szCs w:val="44"/>
          <w:b/>
          <w:bCs/>
          <w:spacing w:val="-5"/>
        </w:rPr>
        <w:t>北京市电力零售市场购售电合同</w:t>
      </w:r>
    </w:p>
    <w:p>
      <w:pPr>
        <w:pStyle w:val="BodyText"/>
        <w:spacing w:line="298" w:lineRule="auto"/>
        <w:rPr/>
      </w:pPr>
      <w:r/>
    </w:p>
    <w:p>
      <w:pPr>
        <w:pStyle w:val="BodyText"/>
        <w:spacing w:line="299" w:lineRule="auto"/>
        <w:rPr/>
      </w:pPr>
      <w:r/>
    </w:p>
    <w:p>
      <w:pPr>
        <w:ind w:left="2929"/>
        <w:spacing w:before="101" w:line="219" w:lineRule="auto"/>
        <w:rPr>
          <w:rFonts w:ascii="SimSun" w:hAnsi="SimSun" w:eastAsia="SimSun" w:cs="SimSun"/>
          <w:sz w:val="31"/>
          <w:szCs w:val="31"/>
        </w:rPr>
      </w:pPr>
      <w:r>
        <w:rPr>
          <w:rFonts w:ascii="SimSun" w:hAnsi="SimSun" w:eastAsia="SimSun" w:cs="SimSun"/>
          <w:sz w:val="31"/>
          <w:szCs w:val="31"/>
          <w:b/>
          <w:bCs/>
          <w:spacing w:val="26"/>
        </w:rPr>
        <w:t>(2026年示范文本)</w:t>
      </w: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drawing>
          <wp:anchor distT="0" distB="0" distL="0" distR="0" simplePos="0" relativeHeight="251659264" behindDoc="0" locked="0" layoutInCell="1" allowOverlap="1">
            <wp:simplePos x="0" y="0"/>
            <wp:positionH relativeFrom="column">
              <wp:posOffset>5622942</wp:posOffset>
            </wp:positionH>
            <wp:positionV relativeFrom="paragraph">
              <wp:posOffset>7058</wp:posOffset>
            </wp:positionV>
            <wp:extent cx="463515" cy="1333574"/>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463515" cy="1333574"/>
                    </a:xfrm>
                    <a:prstGeom prst="rect">
                      <a:avLst/>
                    </a:prstGeom>
                  </pic:spPr>
                </pic:pic>
              </a:graphicData>
            </a:graphic>
          </wp:anchor>
        </w:drawing>
      </w:r>
      <w:r/>
    </w:p>
    <w:p>
      <w:pPr>
        <w:pStyle w:val="BodyText"/>
        <w:spacing w:line="255" w:lineRule="auto"/>
        <w:rPr/>
      </w:pPr>
      <w:r/>
    </w:p>
    <w:p>
      <w:pPr>
        <w:pStyle w:val="BodyText"/>
        <w:spacing w:line="255" w:lineRule="auto"/>
        <w:rPr/>
      </w:pPr>
      <w:r/>
    </w:p>
    <w:p>
      <w:pPr>
        <w:ind w:left="515"/>
        <w:spacing w:before="101" w:line="221" w:lineRule="auto"/>
        <w:rPr>
          <w:rFonts w:ascii="SimHei" w:hAnsi="SimHei" w:eastAsia="SimHei" w:cs="SimHei"/>
          <w:sz w:val="31"/>
          <w:szCs w:val="31"/>
        </w:rPr>
      </w:pPr>
      <w:r>
        <w:rPr>
          <w:rFonts w:ascii="SimHei" w:hAnsi="SimHei" w:eastAsia="SimHei" w:cs="SimHei"/>
          <w:sz w:val="31"/>
          <w:szCs w:val="31"/>
          <w:spacing w:val="7"/>
        </w:rPr>
        <w:t>甲方(零售用户):北京市昌平区沙河医院</w:t>
      </w:r>
    </w:p>
    <w:p>
      <w:pPr>
        <w:pStyle w:val="BodyText"/>
        <w:spacing w:line="307" w:lineRule="auto"/>
        <w:rPr/>
      </w:pPr>
      <w:r/>
    </w:p>
    <w:p>
      <w:pPr>
        <w:pStyle w:val="BodyText"/>
        <w:spacing w:line="307" w:lineRule="auto"/>
        <w:rPr/>
      </w:pPr>
      <w:r/>
    </w:p>
    <w:p>
      <w:pPr>
        <w:ind w:left="505"/>
        <w:spacing w:before="101" w:line="221" w:lineRule="auto"/>
        <w:rPr>
          <w:rFonts w:ascii="SimHei" w:hAnsi="SimHei" w:eastAsia="SimHei" w:cs="SimHei"/>
          <w:sz w:val="31"/>
          <w:szCs w:val="31"/>
        </w:rPr>
      </w:pPr>
      <w:r>
        <w:drawing>
          <wp:anchor distT="0" distB="0" distL="0" distR="0" simplePos="0" relativeHeight="251658240" behindDoc="0" locked="0" layoutInCell="1" allowOverlap="1">
            <wp:simplePos x="0" y="0"/>
            <wp:positionH relativeFrom="column">
              <wp:posOffset>5165698</wp:posOffset>
            </wp:positionH>
            <wp:positionV relativeFrom="paragraph">
              <wp:posOffset>279942</wp:posOffset>
            </wp:positionV>
            <wp:extent cx="920759" cy="1396985"/>
            <wp:effectExtent l="0" t="0" r="0" b="0"/>
            <wp:wrapNone/>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920759" cy="1396985"/>
                    </a:xfrm>
                    <a:prstGeom prst="rect">
                      <a:avLst/>
                    </a:prstGeom>
                  </pic:spPr>
                </pic:pic>
              </a:graphicData>
            </a:graphic>
          </wp:anchor>
        </w:drawing>
      </w:r>
      <w:r>
        <w:rPr>
          <w:rFonts w:ascii="SimHei" w:hAnsi="SimHei" w:eastAsia="SimHei" w:cs="SimHei"/>
          <w:sz w:val="31"/>
          <w:szCs w:val="31"/>
          <w:spacing w:val="6"/>
        </w:rPr>
        <w:t>乙方(售电公司):北京京能新能源有限公司</w:t>
      </w: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0" w:lineRule="auto"/>
        <w:rPr/>
      </w:pPr>
      <w:r/>
    </w:p>
    <w:p>
      <w:pPr>
        <w:ind w:left="2414"/>
        <w:spacing w:before="101" w:line="224" w:lineRule="auto"/>
        <w:rPr>
          <w:rFonts w:ascii="SimSun" w:hAnsi="SimSun" w:eastAsia="SimSun" w:cs="SimSun"/>
          <w:sz w:val="31"/>
          <w:szCs w:val="31"/>
        </w:rPr>
      </w:pPr>
      <w:r>
        <w:rPr>
          <w:rFonts w:ascii="SimSun" w:hAnsi="SimSun" w:eastAsia="SimSun" w:cs="SimSun"/>
          <w:sz w:val="31"/>
          <w:szCs w:val="31"/>
          <w:spacing w:val="-16"/>
        </w:rPr>
        <w:t>2</w:t>
      </w:r>
      <w:r>
        <w:rPr>
          <w:rFonts w:ascii="SimSun" w:hAnsi="SimSun" w:eastAsia="SimSun" w:cs="SimSun"/>
          <w:sz w:val="31"/>
          <w:szCs w:val="31"/>
          <w:strike/>
          <w:spacing w:val="22"/>
        </w:rPr>
        <w:t xml:space="preserve">  </w:t>
      </w:r>
      <w:r>
        <w:rPr>
          <w:rFonts w:ascii="SimSun" w:hAnsi="SimSun" w:eastAsia="SimSun" w:cs="SimSun"/>
          <w:sz w:val="31"/>
          <w:szCs w:val="31"/>
          <w:strike/>
          <w:spacing w:val="-16"/>
        </w:rPr>
        <w:t>0</w:t>
      </w:r>
      <w:r>
        <w:rPr>
          <w:rFonts w:ascii="SimSun" w:hAnsi="SimSun" w:eastAsia="SimSun" w:cs="SimSun"/>
          <w:sz w:val="31"/>
          <w:szCs w:val="31"/>
          <w:strike/>
          <w:spacing w:val="19"/>
        </w:rPr>
        <w:t xml:space="preserve">  </w:t>
      </w:r>
      <w:r>
        <w:rPr>
          <w:rFonts w:ascii="SimSun" w:hAnsi="SimSun" w:eastAsia="SimSun" w:cs="SimSun"/>
          <w:sz w:val="31"/>
          <w:szCs w:val="31"/>
          <w:spacing w:val="-16"/>
        </w:rPr>
        <w:t>2</w:t>
      </w:r>
      <w:r>
        <w:rPr>
          <w:rFonts w:ascii="SimSun" w:hAnsi="SimSun" w:eastAsia="SimSun" w:cs="SimSun"/>
          <w:sz w:val="31"/>
          <w:szCs w:val="31"/>
          <w:spacing w:val="-29"/>
        </w:rPr>
        <w:t xml:space="preserve"> </w:t>
      </w:r>
      <w:r>
        <w:rPr>
          <w:rFonts w:ascii="SimSun" w:hAnsi="SimSun" w:eastAsia="SimSun" w:cs="SimSun"/>
          <w:sz w:val="31"/>
          <w:szCs w:val="31"/>
          <w:strike/>
          <w:spacing w:val="66"/>
        </w:rPr>
        <w:t xml:space="preserve"> </w:t>
      </w:r>
      <w:r>
        <w:rPr>
          <w:rFonts w:ascii="SimSun" w:hAnsi="SimSun" w:eastAsia="SimSun" w:cs="SimSun"/>
          <w:sz w:val="31"/>
          <w:szCs w:val="31"/>
          <w:strike/>
          <w:spacing w:val="-16"/>
        </w:rPr>
        <w:t>6</w:t>
      </w:r>
      <w:r>
        <w:rPr>
          <w:rFonts w:ascii="SimSun" w:hAnsi="SimSun" w:eastAsia="SimSun" w:cs="SimSun"/>
          <w:sz w:val="31"/>
          <w:szCs w:val="31"/>
          <w:strike/>
          <w:spacing w:val="19"/>
        </w:rPr>
        <w:t xml:space="preserve">  </w:t>
      </w:r>
      <w:r>
        <w:rPr>
          <w:rFonts w:ascii="SimSun" w:hAnsi="SimSun" w:eastAsia="SimSun" w:cs="SimSun"/>
          <w:sz w:val="31"/>
          <w:szCs w:val="31"/>
          <w:strike/>
          <w:spacing w:val="-16"/>
        </w:rPr>
        <w:t>2</w:t>
      </w:r>
      <w:r>
        <w:rPr>
          <w:rFonts w:ascii="SimSun" w:hAnsi="SimSun" w:eastAsia="SimSun" w:cs="SimSun"/>
          <w:sz w:val="31"/>
          <w:szCs w:val="31"/>
          <w:strike/>
          <w:spacing w:val="-33"/>
        </w:rPr>
        <w:t xml:space="preserve"> </w:t>
      </w:r>
      <w:r>
        <w:rPr>
          <w:rFonts w:ascii="SimSun" w:hAnsi="SimSun" w:eastAsia="SimSun" w:cs="SimSun"/>
          <w:sz w:val="31"/>
          <w:szCs w:val="31"/>
          <w:spacing w:val="-55"/>
        </w:rPr>
        <w:t xml:space="preserve"> </w:t>
      </w:r>
      <w:r>
        <w:rPr>
          <w:rFonts w:ascii="SimSun" w:hAnsi="SimSun" w:eastAsia="SimSun" w:cs="SimSun"/>
          <w:sz w:val="31"/>
          <w:szCs w:val="31"/>
          <w:strike/>
          <w:spacing w:val="-16"/>
        </w:rPr>
        <w:t xml:space="preserve"> 1</w:t>
      </w:r>
      <w:r>
        <w:rPr>
          <w:rFonts w:ascii="SimSun" w:hAnsi="SimSun" w:eastAsia="SimSun" w:cs="SimSun"/>
          <w:sz w:val="31"/>
          <w:szCs w:val="31"/>
          <w:strike/>
          <w:spacing w:val="18"/>
        </w:rPr>
        <w:t xml:space="preserve">  </w:t>
      </w:r>
      <w:r>
        <w:rPr>
          <w:rFonts w:ascii="SimSun" w:hAnsi="SimSun" w:eastAsia="SimSun" w:cs="SimSun"/>
          <w:sz w:val="31"/>
          <w:szCs w:val="31"/>
          <w:strike/>
          <w:spacing w:val="-16"/>
        </w:rPr>
        <w:t>0</w:t>
      </w:r>
      <w:r>
        <w:rPr>
          <w:rFonts w:ascii="SimSun" w:hAnsi="SimSun" w:eastAsia="SimSun" w:cs="SimSun"/>
          <w:sz w:val="31"/>
          <w:szCs w:val="31"/>
          <w:strike/>
          <w:spacing w:val="152"/>
        </w:rPr>
        <w:t xml:space="preserve"> </w:t>
      </w:r>
      <w:r>
        <w:rPr>
          <w:rFonts w:ascii="SimSun" w:hAnsi="SimSun" w:eastAsia="SimSun" w:cs="SimSun"/>
          <w:sz w:val="31"/>
          <w:szCs w:val="31"/>
          <w:spacing w:val="-63"/>
        </w:rPr>
        <w:t xml:space="preserve"> </w:t>
      </w:r>
      <w:r>
        <w:rPr>
          <w:rFonts w:ascii="SimSun" w:hAnsi="SimSun" w:eastAsia="SimSun" w:cs="SimSun"/>
          <w:sz w:val="31"/>
          <w:szCs w:val="31"/>
          <w:spacing w:val="-16"/>
        </w:rPr>
        <w:t>日</w:t>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ind w:left="3594"/>
        <w:spacing w:before="62" w:line="219" w:lineRule="auto"/>
        <w:rPr>
          <w:rFonts w:ascii="SimSun" w:hAnsi="SimSun" w:eastAsia="SimSun" w:cs="SimSun"/>
          <w:sz w:val="19"/>
          <w:szCs w:val="19"/>
        </w:rPr>
      </w:pPr>
      <w:r>
        <w:rPr>
          <w:rFonts w:ascii="SimSun" w:hAnsi="SimSun" w:eastAsia="SimSun" w:cs="SimSun"/>
          <w:sz w:val="19"/>
          <w:szCs w:val="19"/>
          <w:spacing w:val="-12"/>
        </w:rPr>
        <w:t>第</w:t>
      </w:r>
      <w:r>
        <w:rPr>
          <w:rFonts w:ascii="SimSun" w:hAnsi="SimSun" w:eastAsia="SimSun" w:cs="SimSun"/>
          <w:sz w:val="19"/>
          <w:szCs w:val="19"/>
          <w:spacing w:val="-21"/>
        </w:rPr>
        <w:t xml:space="preserve"> </w:t>
      </w:r>
      <w:r>
        <w:rPr>
          <w:rFonts w:ascii="SimSun" w:hAnsi="SimSun" w:eastAsia="SimSun" w:cs="SimSun"/>
          <w:sz w:val="19"/>
          <w:szCs w:val="19"/>
          <w:spacing w:val="-12"/>
        </w:rPr>
        <w:t>1</w:t>
      </w:r>
      <w:r>
        <w:rPr>
          <w:rFonts w:ascii="SimSun" w:hAnsi="SimSun" w:eastAsia="SimSun" w:cs="SimSun"/>
          <w:sz w:val="19"/>
          <w:szCs w:val="19"/>
          <w:spacing w:val="-31"/>
        </w:rPr>
        <w:t xml:space="preserve"> </w:t>
      </w:r>
      <w:r>
        <w:rPr>
          <w:rFonts w:ascii="SimSun" w:hAnsi="SimSun" w:eastAsia="SimSun" w:cs="SimSun"/>
          <w:sz w:val="19"/>
          <w:szCs w:val="19"/>
          <w:spacing w:val="-12"/>
        </w:rPr>
        <w:t>页</w:t>
      </w:r>
      <w:r>
        <w:rPr>
          <w:rFonts w:ascii="SimSun" w:hAnsi="SimSun" w:eastAsia="SimSun" w:cs="SimSun"/>
          <w:sz w:val="19"/>
          <w:szCs w:val="19"/>
          <w:spacing w:val="-37"/>
        </w:rPr>
        <w:t xml:space="preserve"> </w:t>
      </w:r>
      <w:r>
        <w:rPr>
          <w:rFonts w:ascii="SimSun" w:hAnsi="SimSun" w:eastAsia="SimSun" w:cs="SimSun"/>
          <w:sz w:val="19"/>
          <w:szCs w:val="19"/>
          <w:spacing w:val="-12"/>
        </w:rPr>
        <w:t>共</w:t>
      </w:r>
      <w:r>
        <w:rPr>
          <w:rFonts w:ascii="SimSun" w:hAnsi="SimSun" w:eastAsia="SimSun" w:cs="SimSun"/>
          <w:sz w:val="19"/>
          <w:szCs w:val="19"/>
          <w:spacing w:val="-22"/>
        </w:rPr>
        <w:t xml:space="preserve"> </w:t>
      </w:r>
      <w:r>
        <w:rPr>
          <w:rFonts w:ascii="SimSun" w:hAnsi="SimSun" w:eastAsia="SimSun" w:cs="SimSun"/>
          <w:sz w:val="19"/>
          <w:szCs w:val="19"/>
          <w:spacing w:val="-12"/>
        </w:rPr>
        <w:t>1</w:t>
      </w:r>
      <w:r>
        <w:rPr>
          <w:rFonts w:ascii="SimSun" w:hAnsi="SimSun" w:eastAsia="SimSun" w:cs="SimSun"/>
          <w:sz w:val="19"/>
          <w:szCs w:val="19"/>
          <w:spacing w:val="-32"/>
        </w:rPr>
        <w:t xml:space="preserve"> </w:t>
      </w:r>
      <w:r>
        <w:rPr>
          <w:rFonts w:ascii="SimSun" w:hAnsi="SimSun" w:eastAsia="SimSun" w:cs="SimSun"/>
          <w:sz w:val="19"/>
          <w:szCs w:val="19"/>
          <w:spacing w:val="-12"/>
        </w:rPr>
        <w:t>7</w:t>
      </w:r>
      <w:r>
        <w:rPr>
          <w:rFonts w:ascii="SimSun" w:hAnsi="SimSun" w:eastAsia="SimSun" w:cs="SimSun"/>
          <w:sz w:val="19"/>
          <w:szCs w:val="19"/>
          <w:spacing w:val="-31"/>
        </w:rPr>
        <w:t xml:space="preserve"> </w:t>
      </w:r>
      <w:r>
        <w:rPr>
          <w:rFonts w:ascii="SimSun" w:hAnsi="SimSun" w:eastAsia="SimSun" w:cs="SimSun"/>
          <w:sz w:val="19"/>
          <w:szCs w:val="19"/>
          <w:spacing w:val="-12"/>
        </w:rPr>
        <w:t>页</w:t>
      </w:r>
    </w:p>
    <w:p>
      <w:pPr>
        <w:pStyle w:val="BodyText"/>
        <w:spacing w:line="313" w:lineRule="auto"/>
        <w:rPr/>
      </w:pPr>
      <w:r/>
    </w:p>
    <w:p>
      <w:pPr>
        <w:pStyle w:val="BodyText"/>
        <w:spacing w:line="313" w:lineRule="auto"/>
        <w:rPr/>
      </w:pPr>
      <w:r/>
    </w:p>
    <w:p>
      <w:pPr>
        <w:pStyle w:val="BodyText"/>
        <w:spacing w:line="313" w:lineRule="auto"/>
        <w:rPr/>
      </w:pPr>
      <w:r>
        <w:drawing>
          <wp:anchor distT="0" distB="0" distL="0" distR="0" simplePos="0" relativeHeight="251660288" behindDoc="0" locked="0" layoutInCell="1" allowOverlap="1">
            <wp:simplePos x="0" y="0"/>
            <wp:positionH relativeFrom="column">
              <wp:posOffset>4899030</wp:posOffset>
            </wp:positionH>
            <wp:positionV relativeFrom="paragraph">
              <wp:posOffset>213913</wp:posOffset>
            </wp:positionV>
            <wp:extent cx="393693" cy="387314"/>
            <wp:effectExtent l="0" t="0" r="0" b="0"/>
            <wp:wrapNone/>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393693" cy="387314"/>
                    </a:xfrm>
                    <a:prstGeom prst="rect">
                      <a:avLst/>
                    </a:prstGeom>
                  </pic:spPr>
                </pic:pic>
              </a:graphicData>
            </a:graphic>
          </wp:anchor>
        </w:drawing>
      </w:r>
      <w:r/>
    </w:p>
    <w:p>
      <w:pPr>
        <w:spacing w:before="62"/>
        <w:jc w:val="right"/>
        <w:rPr>
          <w:rFonts w:ascii="SimHei" w:hAnsi="SimHei" w:eastAsia="SimHei" w:cs="SimHei"/>
          <w:sz w:val="19"/>
          <w:szCs w:val="19"/>
        </w:rPr>
      </w:pPr>
      <w:r>
        <w:rPr>
          <w:rFonts w:ascii="SimHei" w:hAnsi="SimHei" w:eastAsia="SimHei" w:cs="SimHei"/>
          <w:sz w:val="19"/>
          <w:szCs w:val="19"/>
          <w:position w:val="-6"/>
        </w:rPr>
        <w:drawing>
          <wp:inline distT="0" distB="0" distL="0" distR="0">
            <wp:extent cx="222236" cy="215899"/>
            <wp:effectExtent l="0" t="0" r="0" b="0"/>
            <wp:docPr id="8" name="IM 8"/>
            <wp:cNvGraphicFramePr/>
            <a:graphic>
              <a:graphicData uri="http://schemas.openxmlformats.org/drawingml/2006/picture">
                <pic:pic>
                  <pic:nvPicPr>
                    <pic:cNvPr id="8" name="IM 8"/>
                    <pic:cNvPicPr/>
                  </pic:nvPicPr>
                  <pic:blipFill>
                    <a:blip r:embed="rId4"/>
                    <a:stretch>
                      <a:fillRect/>
                    </a:stretch>
                  </pic:blipFill>
                  <pic:spPr>
                    <a:xfrm rot="0">
                      <a:off x="0" y="0"/>
                      <a:ext cx="222236" cy="215899"/>
                    </a:xfrm>
                    <a:prstGeom prst="rect">
                      <a:avLst/>
                    </a:prstGeom>
                  </pic:spPr>
                </pic:pic>
              </a:graphicData>
            </a:graphic>
          </wp:inline>
        </w:drawing>
      </w:r>
      <w:r>
        <w:rPr>
          <w:rFonts w:ascii="SimHei" w:hAnsi="SimHei" w:eastAsia="SimHei" w:cs="SimHei"/>
          <w:sz w:val="19"/>
          <w:szCs w:val="19"/>
          <w:b/>
          <w:bCs/>
          <w:spacing w:val="15"/>
        </w:rPr>
        <w:t>扫描全能王</w:t>
      </w:r>
    </w:p>
    <w:p>
      <w:pPr>
        <w:ind w:left="8424"/>
        <w:spacing w:before="52"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p>
      <w:pPr>
        <w:spacing w:line="217" w:lineRule="auto"/>
        <w:sectPr>
          <w:pgSz w:w="11900" w:h="16840"/>
          <w:pgMar w:top="1431" w:right="320" w:bottom="0" w:left="1785" w:header="0" w:footer="0" w:gutter="0"/>
        </w:sectPr>
        <w:rPr>
          <w:rFonts w:ascii="SimSun" w:hAnsi="SimSun" w:eastAsia="SimSun" w:cs="SimSun"/>
          <w:sz w:val="13"/>
          <w:szCs w:val="13"/>
        </w:rPr>
      </w:pPr>
    </w:p>
    <w:p>
      <w:pPr>
        <w:ind w:left="4194"/>
        <w:spacing w:before="58" w:line="221" w:lineRule="auto"/>
        <w:rPr>
          <w:rFonts w:ascii="SimHei" w:hAnsi="SimHei" w:eastAsia="SimHei" w:cs="SimHei"/>
          <w:sz w:val="29"/>
          <w:szCs w:val="29"/>
        </w:rPr>
      </w:pPr>
      <w:r>
        <w:rPr>
          <w:rFonts w:ascii="SimHei" w:hAnsi="SimHei" w:eastAsia="SimHei" w:cs="SimHei"/>
          <w:sz w:val="29"/>
          <w:szCs w:val="29"/>
          <w:b/>
          <w:bCs/>
          <w:spacing w:val="-5"/>
        </w:rPr>
        <w:t>合同范本使用说明</w:t>
      </w:r>
    </w:p>
    <w:p>
      <w:pPr>
        <w:pStyle w:val="BodyText"/>
        <w:rPr/>
      </w:pPr>
      <w:r/>
    </w:p>
    <w:p>
      <w:pPr>
        <w:pStyle w:val="BodyText"/>
        <w:spacing w:line="241" w:lineRule="auto"/>
        <w:rPr/>
      </w:pPr>
      <w:r/>
    </w:p>
    <w:p>
      <w:pPr>
        <w:ind w:left="1609" w:right="1898" w:firstLine="530"/>
        <w:spacing w:before="78" w:line="295" w:lineRule="auto"/>
        <w:rPr>
          <w:rFonts w:ascii="FangSong" w:hAnsi="FangSong" w:eastAsia="FangSong" w:cs="FangSong"/>
          <w:sz w:val="24"/>
          <w:szCs w:val="24"/>
        </w:rPr>
      </w:pPr>
      <w:r>
        <w:rPr>
          <w:rFonts w:ascii="FangSong" w:hAnsi="FangSong" w:eastAsia="FangSong" w:cs="FangSong"/>
          <w:sz w:val="24"/>
          <w:szCs w:val="24"/>
          <w:spacing w:val="3"/>
        </w:rPr>
        <w:t>一</w:t>
      </w:r>
      <w:r>
        <w:rPr>
          <w:rFonts w:ascii="FangSong" w:hAnsi="FangSong" w:eastAsia="FangSong" w:cs="FangSong"/>
          <w:sz w:val="24"/>
          <w:szCs w:val="24"/>
          <w:spacing w:val="-48"/>
        </w:rPr>
        <w:t xml:space="preserve"> </w:t>
      </w:r>
      <w:r>
        <w:rPr>
          <w:rFonts w:ascii="FangSong" w:hAnsi="FangSong" w:eastAsia="FangSong" w:cs="FangSong"/>
          <w:sz w:val="24"/>
          <w:szCs w:val="24"/>
          <w:spacing w:val="3"/>
        </w:rPr>
        <w:t>、本合同范本适用于售电公司与零售用户在北京市电力市场开</w:t>
      </w:r>
      <w:r>
        <w:rPr>
          <w:rFonts w:ascii="FangSong" w:hAnsi="FangSong" w:eastAsia="FangSong" w:cs="FangSong"/>
          <w:sz w:val="24"/>
          <w:szCs w:val="24"/>
        </w:rPr>
        <w:t xml:space="preserve"> </w:t>
      </w:r>
      <w:r>
        <w:rPr>
          <w:rFonts w:ascii="FangSong" w:hAnsi="FangSong" w:eastAsia="FangSong" w:cs="FangSong"/>
          <w:sz w:val="24"/>
          <w:szCs w:val="24"/>
          <w:spacing w:val="9"/>
        </w:rPr>
        <w:t>展的电力零售交易及结算，范本明确了双方</w:t>
      </w:r>
      <w:r>
        <w:rPr>
          <w:rFonts w:ascii="FangSong" w:hAnsi="FangSong" w:eastAsia="FangSong" w:cs="FangSong"/>
          <w:sz w:val="24"/>
          <w:szCs w:val="24"/>
          <w:spacing w:val="8"/>
        </w:rPr>
        <w:t>的权利义务、零售套餐、</w:t>
      </w:r>
      <w:r>
        <w:rPr>
          <w:rFonts w:ascii="FangSong" w:hAnsi="FangSong" w:eastAsia="FangSong" w:cs="FangSong"/>
          <w:sz w:val="24"/>
          <w:szCs w:val="24"/>
        </w:rPr>
        <w:t xml:space="preserve"> </w:t>
      </w:r>
      <w:r>
        <w:rPr>
          <w:rFonts w:ascii="FangSong" w:hAnsi="FangSong" w:eastAsia="FangSong" w:cs="FangSong"/>
          <w:sz w:val="24"/>
          <w:szCs w:val="24"/>
          <w:spacing w:val="6"/>
        </w:rPr>
        <w:t>结算模式以及合同变更解除等条款。</w:t>
      </w:r>
    </w:p>
    <w:p>
      <w:pPr>
        <w:ind w:left="1609" w:right="1903" w:firstLine="530"/>
        <w:spacing w:before="150" w:line="276" w:lineRule="auto"/>
        <w:rPr>
          <w:rFonts w:ascii="FangSong" w:hAnsi="FangSong" w:eastAsia="FangSong" w:cs="FangSong"/>
          <w:sz w:val="24"/>
          <w:szCs w:val="24"/>
        </w:rPr>
      </w:pPr>
      <w:r>
        <w:rPr>
          <w:rFonts w:ascii="FangSong" w:hAnsi="FangSong" w:eastAsia="FangSong" w:cs="FangSong"/>
          <w:sz w:val="24"/>
          <w:szCs w:val="24"/>
          <w:spacing w:val="5"/>
        </w:rPr>
        <w:t>二</w:t>
      </w:r>
      <w:r>
        <w:rPr>
          <w:rFonts w:ascii="FangSong" w:hAnsi="FangSong" w:eastAsia="FangSong" w:cs="FangSong"/>
          <w:sz w:val="24"/>
          <w:szCs w:val="24"/>
          <w:spacing w:val="-56"/>
        </w:rPr>
        <w:t xml:space="preserve"> </w:t>
      </w:r>
      <w:r>
        <w:rPr>
          <w:rFonts w:ascii="FangSong" w:hAnsi="FangSong" w:eastAsia="FangSong" w:cs="FangSong"/>
          <w:sz w:val="24"/>
          <w:szCs w:val="24"/>
          <w:spacing w:val="5"/>
        </w:rPr>
        <w:t>、本合同范本为北京市电力零售市场标准化合同文本，合同双</w:t>
      </w:r>
      <w:r>
        <w:rPr>
          <w:rFonts w:ascii="FangSong" w:hAnsi="FangSong" w:eastAsia="FangSong" w:cs="FangSong"/>
          <w:sz w:val="24"/>
          <w:szCs w:val="24"/>
        </w:rPr>
        <w:t xml:space="preserve"> </w:t>
      </w:r>
      <w:r>
        <w:rPr>
          <w:rFonts w:ascii="FangSong" w:hAnsi="FangSong" w:eastAsia="FangSong" w:cs="FangSong"/>
          <w:sz w:val="24"/>
          <w:szCs w:val="24"/>
          <w:spacing w:val="8"/>
        </w:rPr>
        <w:t>方不得直接对合同文本进行改动。</w:t>
      </w:r>
    </w:p>
    <w:p>
      <w:pPr>
        <w:ind w:left="1609" w:right="1903" w:firstLine="530"/>
        <w:spacing w:before="142" w:line="308" w:lineRule="auto"/>
        <w:rPr>
          <w:rFonts w:ascii="FangSong" w:hAnsi="FangSong" w:eastAsia="FangSong" w:cs="FangSong"/>
          <w:sz w:val="24"/>
          <w:szCs w:val="24"/>
        </w:rPr>
      </w:pPr>
      <w:r>
        <w:rPr>
          <w:rFonts w:ascii="FangSong" w:hAnsi="FangSong" w:eastAsia="FangSong" w:cs="FangSong"/>
          <w:sz w:val="24"/>
          <w:szCs w:val="24"/>
          <w:spacing w:val="5"/>
        </w:rPr>
        <w:t>三</w:t>
      </w:r>
      <w:r>
        <w:rPr>
          <w:rFonts w:ascii="FangSong" w:hAnsi="FangSong" w:eastAsia="FangSong" w:cs="FangSong"/>
          <w:sz w:val="24"/>
          <w:szCs w:val="24"/>
          <w:spacing w:val="-56"/>
        </w:rPr>
        <w:t xml:space="preserve"> </w:t>
      </w:r>
      <w:r>
        <w:rPr>
          <w:rFonts w:ascii="FangSong" w:hAnsi="FangSong" w:eastAsia="FangSong" w:cs="FangSong"/>
          <w:sz w:val="24"/>
          <w:szCs w:val="24"/>
          <w:spacing w:val="5"/>
        </w:rPr>
        <w:t>、本合同范本仅支持合同双方约定的电力零售交易结算。若涉</w:t>
      </w:r>
      <w:r>
        <w:rPr>
          <w:rFonts w:ascii="FangSong" w:hAnsi="FangSong" w:eastAsia="FangSong" w:cs="FangSong"/>
          <w:sz w:val="24"/>
          <w:szCs w:val="24"/>
        </w:rPr>
        <w:t xml:space="preserve"> </w:t>
      </w:r>
      <w:r>
        <w:rPr>
          <w:rFonts w:ascii="FangSong" w:hAnsi="FangSong" w:eastAsia="FangSong" w:cs="FangSong"/>
          <w:sz w:val="24"/>
          <w:szCs w:val="24"/>
          <w:spacing w:val="8"/>
        </w:rPr>
        <w:t>及其他需资金结算的增值服务或约定，由合同双方另行签订合同，并</w:t>
      </w:r>
      <w:r>
        <w:rPr>
          <w:rFonts w:ascii="FangSong" w:hAnsi="FangSong" w:eastAsia="FangSong" w:cs="FangSong"/>
          <w:sz w:val="24"/>
          <w:szCs w:val="24"/>
          <w:spacing w:val="14"/>
        </w:rPr>
        <w:t xml:space="preserve"> </w:t>
      </w:r>
      <w:r>
        <w:rPr>
          <w:rFonts w:ascii="FangSong" w:hAnsi="FangSong" w:eastAsia="FangSong" w:cs="FangSong"/>
          <w:sz w:val="24"/>
          <w:szCs w:val="24"/>
          <w:spacing w:val="8"/>
        </w:rPr>
        <w:t>自主结算。若双方签订的其他合同与本合同不一致所造</w:t>
      </w:r>
      <w:r>
        <w:rPr>
          <w:rFonts w:ascii="FangSong" w:hAnsi="FangSong" w:eastAsia="FangSong" w:cs="FangSong"/>
          <w:sz w:val="24"/>
          <w:szCs w:val="24"/>
          <w:spacing w:val="7"/>
        </w:rPr>
        <w:t>成的双方损失</w:t>
      </w:r>
      <w:r>
        <w:rPr>
          <w:rFonts w:ascii="FangSong" w:hAnsi="FangSong" w:eastAsia="FangSong" w:cs="FangSong"/>
          <w:sz w:val="24"/>
          <w:szCs w:val="24"/>
        </w:rPr>
        <w:t xml:space="preserve"> </w:t>
      </w:r>
      <w:r>
        <w:rPr>
          <w:rFonts w:ascii="FangSong" w:hAnsi="FangSong" w:eastAsia="FangSong" w:cs="FangSong"/>
          <w:sz w:val="24"/>
          <w:szCs w:val="24"/>
          <w:spacing w:val="8"/>
        </w:rPr>
        <w:t>或争议，由双方通过协商或司法途径解决。</w:t>
      </w:r>
    </w:p>
    <w:p>
      <w:pPr>
        <w:ind w:left="1609" w:right="1883" w:firstLine="530"/>
        <w:spacing w:before="131" w:line="297" w:lineRule="auto"/>
        <w:rPr>
          <w:rFonts w:ascii="FangSong" w:hAnsi="FangSong" w:eastAsia="FangSong" w:cs="FangSong"/>
          <w:sz w:val="24"/>
          <w:szCs w:val="24"/>
        </w:rPr>
      </w:pPr>
      <w:r>
        <w:rPr>
          <w:rFonts w:ascii="FangSong" w:hAnsi="FangSong" w:eastAsia="FangSong" w:cs="FangSong"/>
          <w:sz w:val="24"/>
          <w:szCs w:val="24"/>
          <w:spacing w:val="5"/>
        </w:rPr>
        <w:t>四</w:t>
      </w:r>
      <w:r>
        <w:rPr>
          <w:rFonts w:ascii="FangSong" w:hAnsi="FangSong" w:eastAsia="FangSong" w:cs="FangSong"/>
          <w:sz w:val="24"/>
          <w:szCs w:val="24"/>
          <w:spacing w:val="-37"/>
        </w:rPr>
        <w:t xml:space="preserve"> </w:t>
      </w:r>
      <w:r>
        <w:rPr>
          <w:rFonts w:ascii="FangSong" w:hAnsi="FangSong" w:eastAsia="FangSong" w:cs="FangSong"/>
          <w:sz w:val="24"/>
          <w:szCs w:val="24"/>
          <w:spacing w:val="5"/>
        </w:rPr>
        <w:t>、对于上述使用说明的内容，合同双方均已认真阅读、完全理</w:t>
      </w:r>
      <w:r>
        <w:rPr>
          <w:rFonts w:ascii="FangSong" w:hAnsi="FangSong" w:eastAsia="FangSong" w:cs="FangSong"/>
          <w:sz w:val="24"/>
          <w:szCs w:val="24"/>
        </w:rPr>
        <w:t xml:space="preserve"> </w:t>
      </w:r>
      <w:r>
        <w:rPr>
          <w:rFonts w:ascii="FangSong" w:hAnsi="FangSong" w:eastAsia="FangSong" w:cs="FangSong"/>
          <w:sz w:val="24"/>
          <w:szCs w:val="24"/>
          <w:spacing w:val="9"/>
        </w:rPr>
        <w:t>解并同意，合同双方协商一致使用本合同范本，即视为知悉并同意上</w:t>
      </w:r>
      <w:r>
        <w:rPr>
          <w:rFonts w:ascii="FangSong" w:hAnsi="FangSong" w:eastAsia="FangSong" w:cs="FangSong"/>
          <w:sz w:val="24"/>
          <w:szCs w:val="24"/>
          <w:spacing w:val="4"/>
        </w:rPr>
        <w:t xml:space="preserve"> </w:t>
      </w:r>
      <w:r>
        <w:rPr>
          <w:rFonts w:ascii="FangSong" w:hAnsi="FangSong" w:eastAsia="FangSong" w:cs="FangSong"/>
          <w:sz w:val="24"/>
          <w:szCs w:val="24"/>
          <w:spacing w:val="7"/>
        </w:rPr>
        <w:t>述使用说明的全部内容。</w:t>
      </w:r>
    </w:p>
    <w:p>
      <w:pPr>
        <w:ind w:left="1609" w:right="1861" w:firstLine="530"/>
        <w:spacing w:before="128" w:line="298" w:lineRule="auto"/>
        <w:rPr>
          <w:rFonts w:ascii="FangSong" w:hAnsi="FangSong" w:eastAsia="FangSong" w:cs="FangSong"/>
          <w:sz w:val="24"/>
          <w:szCs w:val="24"/>
        </w:rPr>
      </w:pPr>
      <w:r>
        <w:drawing>
          <wp:anchor distT="0" distB="0" distL="0" distR="0" simplePos="0" relativeHeight="251661312" behindDoc="0" locked="0" layoutInCell="1" allowOverlap="1">
            <wp:simplePos x="0" y="0"/>
            <wp:positionH relativeFrom="column">
              <wp:posOffset>0</wp:posOffset>
            </wp:positionH>
            <wp:positionV relativeFrom="paragraph">
              <wp:posOffset>667815</wp:posOffset>
            </wp:positionV>
            <wp:extent cx="476286" cy="1339883"/>
            <wp:effectExtent l="0" t="0" r="0" b="0"/>
            <wp:wrapNone/>
            <wp:docPr id="14" name="IM 14"/>
            <wp:cNvGraphicFramePr/>
            <a:graphic>
              <a:graphicData uri="http://schemas.openxmlformats.org/drawingml/2006/picture">
                <pic:pic>
                  <pic:nvPicPr>
                    <pic:cNvPr id="14" name="IM 14"/>
                    <pic:cNvPicPr/>
                  </pic:nvPicPr>
                  <pic:blipFill>
                    <a:blip r:embed="rId6"/>
                    <a:stretch>
                      <a:fillRect/>
                    </a:stretch>
                  </pic:blipFill>
                  <pic:spPr>
                    <a:xfrm rot="0">
                      <a:off x="0" y="0"/>
                      <a:ext cx="476286" cy="1339883"/>
                    </a:xfrm>
                    <a:prstGeom prst="rect">
                      <a:avLst/>
                    </a:prstGeom>
                  </pic:spPr>
                </pic:pic>
              </a:graphicData>
            </a:graphic>
          </wp:anchor>
        </w:drawing>
      </w:r>
      <w:r>
        <w:rPr>
          <w:rFonts w:ascii="FangSong" w:hAnsi="FangSong" w:eastAsia="FangSong" w:cs="FangSong"/>
          <w:sz w:val="24"/>
          <w:szCs w:val="24"/>
          <w:spacing w:val="7"/>
        </w:rPr>
        <w:t>五</w:t>
      </w:r>
      <w:r>
        <w:rPr>
          <w:rFonts w:ascii="FangSong" w:hAnsi="FangSong" w:eastAsia="FangSong" w:cs="FangSong"/>
          <w:sz w:val="24"/>
          <w:szCs w:val="24"/>
          <w:spacing w:val="-62"/>
        </w:rPr>
        <w:t xml:space="preserve"> </w:t>
      </w:r>
      <w:r>
        <w:rPr>
          <w:rFonts w:ascii="FangSong" w:hAnsi="FangSong" w:eastAsia="FangSong" w:cs="FangSong"/>
          <w:sz w:val="24"/>
          <w:szCs w:val="24"/>
          <w:spacing w:val="7"/>
        </w:rPr>
        <w:t>、本合同范本由合同双方填写之处，合同双</w:t>
      </w:r>
      <w:r>
        <w:rPr>
          <w:rFonts w:ascii="FangSong" w:hAnsi="FangSong" w:eastAsia="FangSong" w:cs="FangSong"/>
          <w:sz w:val="24"/>
          <w:szCs w:val="24"/>
          <w:spacing w:val="6"/>
        </w:rPr>
        <w:t>方应根据实际情况</w:t>
      </w:r>
      <w:r>
        <w:rPr>
          <w:rFonts w:ascii="FangSong" w:hAnsi="FangSong" w:eastAsia="FangSong" w:cs="FangSong"/>
          <w:sz w:val="24"/>
          <w:szCs w:val="24"/>
        </w:rPr>
        <w:t xml:space="preserve"> </w:t>
      </w:r>
      <w:r>
        <w:rPr>
          <w:rFonts w:ascii="FangSong" w:hAnsi="FangSong" w:eastAsia="FangSong" w:cs="FangSong"/>
          <w:sz w:val="24"/>
          <w:szCs w:val="24"/>
          <w:spacing w:val="13"/>
        </w:rPr>
        <w:t>填写。如合同双方约定无需填写的，则应注明“无”,若需填写处为</w:t>
      </w:r>
      <w:r>
        <w:rPr>
          <w:rFonts w:ascii="FangSong" w:hAnsi="FangSong" w:eastAsia="FangSong" w:cs="FangSong"/>
          <w:sz w:val="24"/>
          <w:szCs w:val="24"/>
          <w:spacing w:val="4"/>
        </w:rPr>
        <w:t xml:space="preserve"> </w:t>
      </w:r>
      <w:r>
        <w:rPr>
          <w:rFonts w:ascii="FangSong" w:hAnsi="FangSong" w:eastAsia="FangSong" w:cs="FangSong"/>
          <w:sz w:val="24"/>
          <w:szCs w:val="24"/>
          <w:spacing w:val="8"/>
        </w:rPr>
        <w:t>空白且合同范本未规定的，则按照“无”处理。</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left="4682"/>
        <w:spacing w:before="62" w:line="219" w:lineRule="auto"/>
        <w:rPr>
          <w:rFonts w:ascii="SimSun" w:hAnsi="SimSun" w:eastAsia="SimSun" w:cs="SimSun"/>
          <w:sz w:val="19"/>
          <w:szCs w:val="19"/>
        </w:rPr>
      </w:pPr>
      <w:r>
        <w:rPr>
          <w:rFonts w:ascii="SimSun" w:hAnsi="SimSun" w:eastAsia="SimSun" w:cs="SimSun"/>
          <w:sz w:val="19"/>
          <w:szCs w:val="19"/>
          <w:b/>
          <w:bCs/>
          <w:spacing w:val="-12"/>
        </w:rPr>
        <w:t>第</w:t>
      </w:r>
      <w:r>
        <w:rPr>
          <w:rFonts w:ascii="SimSun" w:hAnsi="SimSun" w:eastAsia="SimSun" w:cs="SimSun"/>
          <w:sz w:val="19"/>
          <w:szCs w:val="19"/>
          <w:spacing w:val="-40"/>
        </w:rPr>
        <w:t xml:space="preserve"> </w:t>
      </w:r>
      <w:r>
        <w:rPr>
          <w:rFonts w:ascii="SimSun" w:hAnsi="SimSun" w:eastAsia="SimSun" w:cs="SimSun"/>
          <w:sz w:val="19"/>
          <w:szCs w:val="19"/>
          <w:b/>
          <w:bCs/>
          <w:spacing w:val="-12"/>
        </w:rPr>
        <w:t>2</w:t>
      </w:r>
      <w:r>
        <w:rPr>
          <w:rFonts w:ascii="SimSun" w:hAnsi="SimSun" w:eastAsia="SimSun" w:cs="SimSun"/>
          <w:sz w:val="19"/>
          <w:szCs w:val="19"/>
          <w:spacing w:val="-38"/>
        </w:rPr>
        <w:t xml:space="preserve"> </w:t>
      </w:r>
      <w:r>
        <w:rPr>
          <w:rFonts w:ascii="SimSun" w:hAnsi="SimSun" w:eastAsia="SimSun" w:cs="SimSun"/>
          <w:sz w:val="19"/>
          <w:szCs w:val="19"/>
          <w:b/>
          <w:bCs/>
          <w:spacing w:val="-12"/>
        </w:rPr>
        <w:t>页</w:t>
      </w:r>
      <w:r>
        <w:rPr>
          <w:rFonts w:ascii="SimSun" w:hAnsi="SimSun" w:eastAsia="SimSun" w:cs="SimSun"/>
          <w:sz w:val="19"/>
          <w:szCs w:val="19"/>
          <w:spacing w:val="-43"/>
        </w:rPr>
        <w:t xml:space="preserve"> </w:t>
      </w:r>
      <w:r>
        <w:rPr>
          <w:rFonts w:ascii="SimSun" w:hAnsi="SimSun" w:eastAsia="SimSun" w:cs="SimSun"/>
          <w:sz w:val="19"/>
          <w:szCs w:val="19"/>
          <w:b/>
          <w:bCs/>
          <w:spacing w:val="-12"/>
        </w:rPr>
        <w:t>共</w:t>
      </w:r>
      <w:r>
        <w:rPr>
          <w:rFonts w:ascii="SimSun" w:hAnsi="SimSun" w:eastAsia="SimSun" w:cs="SimSun"/>
          <w:sz w:val="19"/>
          <w:szCs w:val="19"/>
          <w:spacing w:val="-28"/>
        </w:rPr>
        <w:t xml:space="preserve"> </w:t>
      </w:r>
      <w:r>
        <w:rPr>
          <w:rFonts w:ascii="SimSun" w:hAnsi="SimSun" w:eastAsia="SimSun" w:cs="SimSun"/>
          <w:sz w:val="19"/>
          <w:szCs w:val="19"/>
          <w:b/>
          <w:bCs/>
          <w:spacing w:val="-12"/>
        </w:rPr>
        <w:t>1</w:t>
      </w:r>
      <w:r>
        <w:rPr>
          <w:rFonts w:ascii="SimSun" w:hAnsi="SimSun" w:eastAsia="SimSun" w:cs="SimSun"/>
          <w:sz w:val="19"/>
          <w:szCs w:val="19"/>
          <w:spacing w:val="-37"/>
        </w:rPr>
        <w:t xml:space="preserve"> </w:t>
      </w:r>
      <w:r>
        <w:rPr>
          <w:rFonts w:ascii="SimSun" w:hAnsi="SimSun" w:eastAsia="SimSun" w:cs="SimSun"/>
          <w:sz w:val="19"/>
          <w:szCs w:val="19"/>
          <w:b/>
          <w:bCs/>
          <w:spacing w:val="-12"/>
        </w:rPr>
        <w:t>7</w:t>
      </w:r>
      <w:r>
        <w:rPr>
          <w:rFonts w:ascii="SimSun" w:hAnsi="SimSun" w:eastAsia="SimSun" w:cs="SimSun"/>
          <w:sz w:val="19"/>
          <w:szCs w:val="19"/>
          <w:spacing w:val="-38"/>
        </w:rPr>
        <w:t xml:space="preserve"> </w:t>
      </w:r>
      <w:r>
        <w:rPr>
          <w:rFonts w:ascii="SimSun" w:hAnsi="SimSun" w:eastAsia="SimSun" w:cs="SimSun"/>
          <w:sz w:val="19"/>
          <w:szCs w:val="19"/>
          <w:b/>
          <w:bCs/>
          <w:spacing w:val="-12"/>
        </w:rPr>
        <w:t>页</w:t>
      </w:r>
    </w:p>
    <w:p>
      <w:pPr>
        <w:spacing w:line="219" w:lineRule="auto"/>
        <w:sectPr>
          <w:footerReference w:type="default" r:id="rId5"/>
          <w:pgSz w:w="11900" w:h="16840"/>
          <w:pgMar w:top="1376" w:right="310" w:bottom="819" w:left="619" w:header="0" w:footer="200" w:gutter="0"/>
        </w:sectPr>
        <w:rPr>
          <w:rFonts w:ascii="SimSun" w:hAnsi="SimSun" w:eastAsia="SimSun" w:cs="SimSun"/>
          <w:sz w:val="19"/>
          <w:szCs w:val="19"/>
        </w:rPr>
      </w:pPr>
    </w:p>
    <w:p>
      <w:pPr>
        <w:ind w:left="604"/>
        <w:spacing w:before="43" w:line="222" w:lineRule="auto"/>
        <w:rPr>
          <w:rFonts w:ascii="FangSong" w:hAnsi="FangSong" w:eastAsia="FangSong" w:cs="FangSong"/>
          <w:sz w:val="21"/>
          <w:szCs w:val="21"/>
        </w:rPr>
      </w:pPr>
      <w:r>
        <w:rPr>
          <w:rFonts w:ascii="FangSong" w:hAnsi="FangSong" w:eastAsia="FangSong" w:cs="FangSong"/>
          <w:sz w:val="21"/>
          <w:szCs w:val="21"/>
          <w:spacing w:val="41"/>
        </w:rPr>
        <w:t>本合同由下列双方签署</w:t>
      </w:r>
      <w:r>
        <w:rPr>
          <w:rFonts w:ascii="FangSong" w:hAnsi="FangSong" w:eastAsia="FangSong" w:cs="FangSong"/>
          <w:sz w:val="21"/>
          <w:szCs w:val="21"/>
          <w:spacing w:val="-46"/>
        </w:rPr>
        <w:t xml:space="preserve"> </w:t>
      </w:r>
      <w:r>
        <w:rPr>
          <w:rFonts w:ascii="FangSong" w:hAnsi="FangSong" w:eastAsia="FangSong" w:cs="FangSong"/>
          <w:sz w:val="21"/>
          <w:szCs w:val="21"/>
          <w:spacing w:val="41"/>
        </w:rPr>
        <w:t>：</w:t>
      </w:r>
    </w:p>
    <w:p>
      <w:pPr>
        <w:ind w:left="604"/>
        <w:spacing w:before="156" w:line="221" w:lineRule="auto"/>
        <w:rPr>
          <w:rFonts w:ascii="FangSong" w:hAnsi="FangSong" w:eastAsia="FangSong" w:cs="FangSong"/>
          <w:sz w:val="26"/>
          <w:szCs w:val="26"/>
        </w:rPr>
      </w:pPr>
      <w:r>
        <w:rPr>
          <w:rFonts w:ascii="FangSong" w:hAnsi="FangSong" w:eastAsia="FangSong" w:cs="FangSong"/>
          <w:sz w:val="26"/>
          <w:szCs w:val="26"/>
          <w:spacing w:val="15"/>
        </w:rPr>
        <w:t>甲方(零售用户):北京市昌平区沙河医院</w:t>
      </w:r>
    </w:p>
    <w:p>
      <w:pPr>
        <w:ind w:left="604"/>
        <w:spacing w:before="108" w:line="221" w:lineRule="auto"/>
        <w:rPr>
          <w:rFonts w:ascii="FangSong" w:hAnsi="FangSong" w:eastAsia="FangSong" w:cs="FangSong"/>
          <w:sz w:val="26"/>
          <w:szCs w:val="26"/>
        </w:rPr>
      </w:pPr>
      <w:r>
        <w:rPr>
          <w:rFonts w:ascii="FangSong" w:hAnsi="FangSong" w:eastAsia="FangSong" w:cs="FangSong"/>
          <w:sz w:val="26"/>
          <w:szCs w:val="26"/>
          <w:spacing w:val="16"/>
        </w:rPr>
        <w:t>乙方(售电公司):北京京能新能源有限公司</w:t>
      </w:r>
    </w:p>
    <w:p>
      <w:pPr>
        <w:ind w:left="608"/>
        <w:spacing w:before="123" w:line="219" w:lineRule="auto"/>
        <w:rPr>
          <w:rFonts w:ascii="FangSong" w:hAnsi="FangSong" w:eastAsia="FangSong" w:cs="FangSong"/>
          <w:sz w:val="26"/>
          <w:szCs w:val="26"/>
        </w:rPr>
      </w:pPr>
      <w:r>
        <w:rPr>
          <w:rFonts w:ascii="FangSong" w:hAnsi="FangSong" w:eastAsia="FangSong" w:cs="FangSong"/>
          <w:sz w:val="26"/>
          <w:szCs w:val="26"/>
          <w:b/>
          <w:bCs/>
          <w:spacing w:val="-9"/>
        </w:rPr>
        <w:t>甲、乙双方在此向对方陈述如下：</w:t>
      </w:r>
    </w:p>
    <w:p>
      <w:pPr>
        <w:ind w:left="64" w:right="1468" w:firstLine="540"/>
        <w:spacing w:before="124" w:line="282" w:lineRule="auto"/>
        <w:rPr>
          <w:rFonts w:ascii="FangSong" w:hAnsi="FangSong" w:eastAsia="FangSong" w:cs="FangSong"/>
          <w:sz w:val="26"/>
          <w:szCs w:val="26"/>
        </w:rPr>
      </w:pPr>
      <w:r>
        <w:rPr>
          <w:rFonts w:ascii="FangSong" w:hAnsi="FangSong" w:eastAsia="FangSong" w:cs="FangSong"/>
          <w:sz w:val="26"/>
          <w:szCs w:val="26"/>
          <w:spacing w:val="6"/>
        </w:rPr>
        <w:t>一、本方为一家依法设立并合法存续的企业(单位),具有法人资格/</w:t>
      </w:r>
      <w:r>
        <w:rPr>
          <w:rFonts w:ascii="FangSong" w:hAnsi="FangSong" w:eastAsia="FangSong" w:cs="FangSong"/>
          <w:sz w:val="26"/>
          <w:szCs w:val="26"/>
          <w:spacing w:val="4"/>
        </w:rPr>
        <w:t xml:space="preserve"> </w:t>
      </w:r>
      <w:r>
        <w:rPr>
          <w:rFonts w:ascii="FangSong" w:hAnsi="FangSong" w:eastAsia="FangSong" w:cs="FangSong"/>
          <w:sz w:val="26"/>
          <w:szCs w:val="26"/>
          <w:spacing w:val="-2"/>
        </w:rPr>
        <w:t>经法人单位授权，且在首都电力交易中心完成注册，具备电力市场交易资</w:t>
      </w:r>
      <w:r>
        <w:rPr>
          <w:rFonts w:ascii="FangSong" w:hAnsi="FangSong" w:eastAsia="FangSong" w:cs="FangSong"/>
          <w:sz w:val="26"/>
          <w:szCs w:val="26"/>
          <w:spacing w:val="10"/>
        </w:rPr>
        <w:t xml:space="preserve"> </w:t>
      </w:r>
      <w:r>
        <w:rPr>
          <w:rFonts w:ascii="FangSong" w:hAnsi="FangSong" w:eastAsia="FangSong" w:cs="FangSong"/>
          <w:sz w:val="26"/>
          <w:szCs w:val="26"/>
          <w:spacing w:val="-5"/>
        </w:rPr>
        <w:t>格，有权签署并有能力履行本合同。</w:t>
      </w:r>
    </w:p>
    <w:p>
      <w:pPr>
        <w:ind w:left="64" w:right="1439" w:firstLine="540"/>
        <w:spacing w:before="169" w:line="293" w:lineRule="auto"/>
        <w:rPr>
          <w:rFonts w:ascii="FangSong" w:hAnsi="FangSong" w:eastAsia="FangSong" w:cs="FangSong"/>
          <w:sz w:val="21"/>
          <w:szCs w:val="21"/>
        </w:rPr>
      </w:pPr>
      <w:r>
        <w:rPr>
          <w:rFonts w:ascii="FangSong" w:hAnsi="FangSong" w:eastAsia="FangSong" w:cs="FangSong"/>
          <w:sz w:val="26"/>
          <w:szCs w:val="26"/>
          <w:spacing w:val="-2"/>
        </w:rPr>
        <w:t>二、本方已充分理解有关的电力交易规则，完全清楚电力市场可能存</w:t>
      </w:r>
      <w:r>
        <w:rPr>
          <w:rFonts w:ascii="FangSong" w:hAnsi="FangSong" w:eastAsia="FangSong" w:cs="FangSong"/>
          <w:sz w:val="26"/>
          <w:szCs w:val="26"/>
        </w:rPr>
        <w:t xml:space="preserve"> </w:t>
      </w:r>
      <w:r>
        <w:rPr>
          <w:rFonts w:ascii="FangSong" w:hAnsi="FangSong" w:eastAsia="FangSong" w:cs="FangSong"/>
          <w:sz w:val="26"/>
          <w:szCs w:val="26"/>
          <w:spacing w:val="-1"/>
        </w:rPr>
        <w:t>在的风险，认同成交结果，同意按照本合同约定执行，并自愿承担可能存</w:t>
      </w:r>
      <w:r>
        <w:rPr>
          <w:rFonts w:ascii="FangSong" w:hAnsi="FangSong" w:eastAsia="FangSong" w:cs="FangSong"/>
          <w:sz w:val="26"/>
          <w:szCs w:val="26"/>
          <w:spacing w:val="11"/>
        </w:rPr>
        <w:t xml:space="preserve"> </w:t>
      </w:r>
      <w:r>
        <w:rPr>
          <w:rFonts w:ascii="FangSong" w:hAnsi="FangSong" w:eastAsia="FangSong" w:cs="FangSong"/>
          <w:sz w:val="21"/>
          <w:szCs w:val="21"/>
          <w:spacing w:val="29"/>
        </w:rPr>
        <w:t>在的后果</w:t>
      </w:r>
      <w:r>
        <w:rPr>
          <w:rFonts w:ascii="FangSong" w:hAnsi="FangSong" w:eastAsia="FangSong" w:cs="FangSong"/>
          <w:sz w:val="21"/>
          <w:szCs w:val="21"/>
          <w:spacing w:val="-48"/>
        </w:rPr>
        <w:t xml:space="preserve"> </w:t>
      </w:r>
      <w:r>
        <w:rPr>
          <w:rFonts w:ascii="FangSong" w:hAnsi="FangSong" w:eastAsia="FangSong" w:cs="FangSong"/>
          <w:sz w:val="21"/>
          <w:szCs w:val="21"/>
          <w:spacing w:val="29"/>
        </w:rPr>
        <w:t>。</w:t>
      </w:r>
    </w:p>
    <w:p>
      <w:pPr>
        <w:ind w:left="64" w:right="1438" w:firstLine="540"/>
        <w:spacing w:before="148" w:line="297" w:lineRule="auto"/>
        <w:rPr>
          <w:rFonts w:ascii="FangSong" w:hAnsi="FangSong" w:eastAsia="FangSong" w:cs="FangSong"/>
          <w:sz w:val="21"/>
          <w:szCs w:val="21"/>
        </w:rPr>
      </w:pPr>
      <w:r>
        <w:rPr>
          <w:rFonts w:ascii="FangSong" w:hAnsi="FangSong" w:eastAsia="FangSong" w:cs="FangSong"/>
          <w:sz w:val="26"/>
          <w:szCs w:val="26"/>
          <w:spacing w:val="-2"/>
        </w:rPr>
        <w:t>三、本方为签署本合同所需的内部授权程序均已完成，签署本合同的</w:t>
      </w:r>
      <w:r>
        <w:rPr>
          <w:rFonts w:ascii="FangSong" w:hAnsi="FangSong" w:eastAsia="FangSong" w:cs="FangSong"/>
          <w:sz w:val="26"/>
          <w:szCs w:val="26"/>
          <w:spacing w:val="10"/>
        </w:rPr>
        <w:t xml:space="preserve"> </w:t>
      </w:r>
      <w:r>
        <w:rPr>
          <w:rFonts w:ascii="FangSong" w:hAnsi="FangSong" w:eastAsia="FangSong" w:cs="FangSong"/>
          <w:sz w:val="26"/>
          <w:szCs w:val="26"/>
          <w:spacing w:val="-1"/>
        </w:rPr>
        <w:t>是本方法定代表人或授权代理人。本合同生效后即对合同双方具有法律约</w:t>
      </w:r>
      <w:r>
        <w:rPr>
          <w:rFonts w:ascii="FangSong" w:hAnsi="FangSong" w:eastAsia="FangSong" w:cs="FangSong"/>
          <w:sz w:val="26"/>
          <w:szCs w:val="26"/>
          <w:spacing w:val="12"/>
        </w:rPr>
        <w:t xml:space="preserve"> </w:t>
      </w:r>
      <w:r>
        <w:rPr>
          <w:rFonts w:ascii="FangSong" w:hAnsi="FangSong" w:eastAsia="FangSong" w:cs="FangSong"/>
          <w:sz w:val="21"/>
          <w:szCs w:val="21"/>
          <w:spacing w:val="-11"/>
        </w:rPr>
        <w:t>束</w:t>
      </w:r>
      <w:r>
        <w:rPr>
          <w:rFonts w:ascii="FangSong" w:hAnsi="FangSong" w:eastAsia="FangSong" w:cs="FangSong"/>
          <w:sz w:val="21"/>
          <w:szCs w:val="21"/>
          <w:spacing w:val="-19"/>
        </w:rPr>
        <w:t xml:space="preserve"> </w:t>
      </w:r>
      <w:r>
        <w:rPr>
          <w:rFonts w:ascii="FangSong" w:hAnsi="FangSong" w:eastAsia="FangSong" w:cs="FangSong"/>
          <w:sz w:val="21"/>
          <w:szCs w:val="21"/>
          <w:spacing w:val="-11"/>
        </w:rPr>
        <w:t>力</w:t>
      </w:r>
      <w:r>
        <w:rPr>
          <w:rFonts w:ascii="FangSong" w:hAnsi="FangSong" w:eastAsia="FangSong" w:cs="FangSong"/>
          <w:sz w:val="21"/>
          <w:szCs w:val="21"/>
          <w:spacing w:val="-37"/>
        </w:rPr>
        <w:t xml:space="preserve"> </w:t>
      </w:r>
      <w:r>
        <w:rPr>
          <w:rFonts w:ascii="FangSong" w:hAnsi="FangSong" w:eastAsia="FangSong" w:cs="FangSong"/>
          <w:sz w:val="21"/>
          <w:szCs w:val="21"/>
          <w:spacing w:val="-11"/>
        </w:rPr>
        <w:t>。</w:t>
      </w:r>
    </w:p>
    <w:p>
      <w:pPr>
        <w:ind w:left="64" w:right="1459" w:firstLine="540"/>
        <w:spacing w:before="131" w:line="357" w:lineRule="auto"/>
        <w:rPr>
          <w:rFonts w:ascii="FangSong" w:hAnsi="FangSong" w:eastAsia="FangSong" w:cs="FangSong"/>
          <w:sz w:val="21"/>
          <w:szCs w:val="21"/>
        </w:rPr>
      </w:pPr>
      <w:r>
        <w:rPr>
          <w:rFonts w:ascii="FangSong" w:hAnsi="FangSong" w:eastAsia="FangSong" w:cs="FangSong"/>
          <w:sz w:val="26"/>
          <w:szCs w:val="26"/>
          <w:spacing w:val="-2"/>
        </w:rPr>
        <w:t>现甲乙双方本着平等、自愿、诚信的原则，就电力零售交易达成以下</w:t>
      </w:r>
      <w:r>
        <w:rPr>
          <w:rFonts w:ascii="FangSong" w:hAnsi="FangSong" w:eastAsia="FangSong" w:cs="FangSong"/>
          <w:sz w:val="26"/>
          <w:szCs w:val="26"/>
        </w:rPr>
        <w:t xml:space="preserve"> </w:t>
      </w:r>
      <w:r>
        <w:rPr>
          <w:rFonts w:ascii="FangSong" w:hAnsi="FangSong" w:eastAsia="FangSong" w:cs="FangSong"/>
          <w:sz w:val="21"/>
          <w:szCs w:val="21"/>
          <w:spacing w:val="-12"/>
        </w:rPr>
        <w:t>约</w:t>
      </w:r>
      <w:r>
        <w:rPr>
          <w:rFonts w:ascii="FangSong" w:hAnsi="FangSong" w:eastAsia="FangSong" w:cs="FangSong"/>
          <w:sz w:val="21"/>
          <w:szCs w:val="21"/>
          <w:spacing w:val="-22"/>
        </w:rPr>
        <w:t xml:space="preserve"> </w:t>
      </w:r>
      <w:r>
        <w:rPr>
          <w:rFonts w:ascii="FangSong" w:hAnsi="FangSong" w:eastAsia="FangSong" w:cs="FangSong"/>
          <w:sz w:val="21"/>
          <w:szCs w:val="21"/>
          <w:spacing w:val="-12"/>
        </w:rPr>
        <w:t>定</w:t>
      </w:r>
      <w:r>
        <w:rPr>
          <w:rFonts w:ascii="FangSong" w:hAnsi="FangSong" w:eastAsia="FangSong" w:cs="FangSong"/>
          <w:sz w:val="21"/>
          <w:szCs w:val="21"/>
          <w:spacing w:val="-42"/>
        </w:rPr>
        <w:t xml:space="preserve"> </w:t>
      </w:r>
      <w:r>
        <w:rPr>
          <w:rFonts w:ascii="FangSong" w:hAnsi="FangSong" w:eastAsia="FangSong" w:cs="FangSong"/>
          <w:sz w:val="21"/>
          <w:szCs w:val="21"/>
          <w:spacing w:val="-12"/>
        </w:rPr>
        <w:t>：</w:t>
      </w:r>
    </w:p>
    <w:p>
      <w:pPr>
        <w:ind w:left="3139"/>
        <w:spacing w:before="241" w:line="222" w:lineRule="auto"/>
        <w:outlineLvl w:val="2"/>
        <w:rPr>
          <w:rFonts w:ascii="SimHei" w:hAnsi="SimHei" w:eastAsia="SimHei" w:cs="SimHei"/>
          <w:sz w:val="30"/>
          <w:szCs w:val="30"/>
        </w:rPr>
      </w:pPr>
      <w:r>
        <w:rPr>
          <w:rFonts w:ascii="SimHei" w:hAnsi="SimHei" w:eastAsia="SimHei" w:cs="SimHei"/>
          <w:sz w:val="30"/>
          <w:szCs w:val="30"/>
          <w:b/>
          <w:bCs/>
          <w:spacing w:val="12"/>
        </w:rPr>
        <w:t>第一章风险提示</w:t>
      </w:r>
    </w:p>
    <w:p>
      <w:pPr>
        <w:ind w:left="64" w:right="1443" w:firstLine="540"/>
        <w:spacing w:before="119" w:line="301" w:lineRule="auto"/>
        <w:rPr>
          <w:rFonts w:ascii="FangSong" w:hAnsi="FangSong" w:eastAsia="FangSong" w:cs="FangSong"/>
          <w:sz w:val="21"/>
          <w:szCs w:val="21"/>
        </w:rPr>
      </w:pPr>
      <w:r>
        <w:rPr>
          <w:rFonts w:ascii="FangSong" w:hAnsi="FangSong" w:eastAsia="FangSong" w:cs="FangSong"/>
          <w:sz w:val="26"/>
          <w:szCs w:val="26"/>
          <w:spacing w:val="7"/>
        </w:rPr>
        <w:t>1.1本合同约定的电能量价格并非用户最终到户电价(详见合</w:t>
      </w:r>
      <w:r>
        <w:rPr>
          <w:rFonts w:ascii="FangSong" w:hAnsi="FangSong" w:eastAsia="FangSong" w:cs="FangSong"/>
          <w:sz w:val="26"/>
          <w:szCs w:val="26"/>
          <w:spacing w:val="6"/>
        </w:rPr>
        <w:t>同文本</w:t>
      </w:r>
      <w:r>
        <w:rPr>
          <w:rFonts w:ascii="FangSong" w:hAnsi="FangSong" w:eastAsia="FangSong" w:cs="FangSong"/>
          <w:sz w:val="26"/>
          <w:szCs w:val="26"/>
        </w:rPr>
        <w:t xml:space="preserve"> </w:t>
      </w:r>
      <w:r>
        <w:rPr>
          <w:rFonts w:ascii="FangSong" w:hAnsi="FangSong" w:eastAsia="FangSong" w:cs="FangSong"/>
          <w:sz w:val="26"/>
          <w:szCs w:val="26"/>
          <w:spacing w:val="7"/>
        </w:rPr>
        <w:t>4.4条)。本合同约定的电能量价格不含煤电容量电价，煤电容</w:t>
      </w:r>
      <w:r>
        <w:rPr>
          <w:rFonts w:ascii="FangSong" w:hAnsi="FangSong" w:eastAsia="FangSong" w:cs="FangSong"/>
          <w:sz w:val="26"/>
          <w:szCs w:val="26"/>
          <w:spacing w:val="6"/>
        </w:rPr>
        <w:t>量电价纳</w:t>
      </w:r>
      <w:r>
        <w:rPr>
          <w:rFonts w:ascii="FangSong" w:hAnsi="FangSong" w:eastAsia="FangSong" w:cs="FangSong"/>
          <w:sz w:val="26"/>
          <w:szCs w:val="26"/>
        </w:rPr>
        <w:t xml:space="preserve"> </w:t>
      </w:r>
      <w:r>
        <w:rPr>
          <w:rFonts w:ascii="FangSong" w:hAnsi="FangSong" w:eastAsia="FangSong" w:cs="FangSong"/>
          <w:sz w:val="26"/>
          <w:szCs w:val="26"/>
          <w:spacing w:val="-1"/>
        </w:rPr>
        <w:t>入系统运行费用每月由工商业用户分摊。甲乙双方</w:t>
      </w:r>
      <w:r>
        <w:rPr>
          <w:rFonts w:ascii="FangSong" w:hAnsi="FangSong" w:eastAsia="FangSong" w:cs="FangSong"/>
          <w:sz w:val="26"/>
          <w:szCs w:val="26"/>
          <w:spacing w:val="-2"/>
        </w:rPr>
        <w:t>已充分知悉煤电容量电</w:t>
      </w:r>
      <w:r>
        <w:rPr>
          <w:rFonts w:ascii="FangSong" w:hAnsi="FangSong" w:eastAsia="FangSong" w:cs="FangSong"/>
          <w:sz w:val="26"/>
          <w:szCs w:val="26"/>
        </w:rPr>
        <w:t xml:space="preserve"> </w:t>
      </w:r>
      <w:r>
        <w:rPr>
          <w:rFonts w:ascii="FangSong" w:hAnsi="FangSong" w:eastAsia="FangSong" w:cs="FangSong"/>
          <w:sz w:val="26"/>
          <w:szCs w:val="26"/>
          <w:spacing w:val="16"/>
        </w:rPr>
        <w:t>价相关政策(详见附件一),2026年煤电容量电价水平较2025年上调，</w:t>
      </w:r>
      <w:r>
        <w:rPr>
          <w:rFonts w:ascii="FangSong" w:hAnsi="FangSong" w:eastAsia="FangSong" w:cs="FangSong"/>
          <w:sz w:val="26"/>
          <w:szCs w:val="26"/>
          <w:spacing w:val="8"/>
        </w:rPr>
        <w:t xml:space="preserve"> </w:t>
      </w:r>
      <w:r>
        <w:rPr>
          <w:rFonts w:ascii="FangSong" w:hAnsi="FangSong" w:eastAsia="FangSong" w:cs="FangSong"/>
          <w:sz w:val="26"/>
          <w:szCs w:val="26"/>
          <w:spacing w:val="-2"/>
        </w:rPr>
        <w:t>甲乙双方协商一致确认，乙方须将批发市场电能量价格随之下降的空间足</w:t>
      </w:r>
      <w:r>
        <w:rPr>
          <w:rFonts w:ascii="FangSong" w:hAnsi="FangSong" w:eastAsia="FangSong" w:cs="FangSong"/>
          <w:sz w:val="26"/>
          <w:szCs w:val="26"/>
          <w:spacing w:val="11"/>
        </w:rPr>
        <w:t xml:space="preserve"> </w:t>
      </w:r>
      <w:r>
        <w:rPr>
          <w:rFonts w:ascii="FangSong" w:hAnsi="FangSong" w:eastAsia="FangSong" w:cs="FangSong"/>
          <w:sz w:val="26"/>
          <w:szCs w:val="26"/>
          <w:spacing w:val="-1"/>
        </w:rPr>
        <w:t>额传导至甲方，乙方不得利用信息不对称误导甲方、赚</w:t>
      </w:r>
      <w:r>
        <w:rPr>
          <w:rFonts w:ascii="FangSong" w:hAnsi="FangSong" w:eastAsia="FangSong" w:cs="FangSong"/>
          <w:sz w:val="26"/>
          <w:szCs w:val="26"/>
          <w:spacing w:val="-2"/>
        </w:rPr>
        <w:t>取不当利润，推高</w:t>
      </w:r>
      <w:r>
        <w:rPr>
          <w:rFonts w:ascii="FangSong" w:hAnsi="FangSong" w:eastAsia="FangSong" w:cs="FangSong"/>
          <w:sz w:val="26"/>
          <w:szCs w:val="26"/>
        </w:rPr>
        <w:t xml:space="preserve"> </w:t>
      </w:r>
      <w:r>
        <w:rPr>
          <w:rFonts w:ascii="FangSong" w:hAnsi="FangSong" w:eastAsia="FangSong" w:cs="FangSong"/>
          <w:sz w:val="26"/>
          <w:szCs w:val="26"/>
          <w:spacing w:val="-2"/>
        </w:rPr>
        <w:t>甲方用电成本；甲方应重点关注煤电容量电价政策对到户电价的影响，在</w:t>
      </w:r>
      <w:r>
        <w:rPr>
          <w:rFonts w:ascii="FangSong" w:hAnsi="FangSong" w:eastAsia="FangSong" w:cs="FangSong"/>
          <w:sz w:val="26"/>
          <w:szCs w:val="26"/>
          <w:spacing w:val="11"/>
        </w:rPr>
        <w:t xml:space="preserve"> </w:t>
      </w:r>
      <w:r>
        <w:rPr>
          <w:rFonts w:ascii="FangSong" w:hAnsi="FangSong" w:eastAsia="FangSong" w:cs="FangSong"/>
          <w:sz w:val="26"/>
          <w:szCs w:val="26"/>
          <w:spacing w:val="-1"/>
        </w:rPr>
        <w:t>签订合同前根据市场行情综合评估叠加煤电容量电价等各类费用后的购电</w:t>
      </w:r>
      <w:r>
        <w:rPr>
          <w:rFonts w:ascii="FangSong" w:hAnsi="FangSong" w:eastAsia="FangSong" w:cs="FangSong"/>
          <w:sz w:val="26"/>
          <w:szCs w:val="26"/>
          <w:spacing w:val="7"/>
        </w:rPr>
        <w:t xml:space="preserve"> </w:t>
      </w:r>
      <w:r>
        <w:rPr>
          <w:rFonts w:ascii="FangSong" w:hAnsi="FangSong" w:eastAsia="FangSong" w:cs="FangSong"/>
          <w:sz w:val="21"/>
          <w:szCs w:val="21"/>
          <w:spacing w:val="-11"/>
        </w:rPr>
        <w:t>成</w:t>
      </w:r>
      <w:r>
        <w:rPr>
          <w:rFonts w:ascii="FangSong" w:hAnsi="FangSong" w:eastAsia="FangSong" w:cs="FangSong"/>
          <w:sz w:val="21"/>
          <w:szCs w:val="21"/>
          <w:spacing w:val="-21"/>
        </w:rPr>
        <w:t xml:space="preserve"> </w:t>
      </w:r>
      <w:r>
        <w:rPr>
          <w:rFonts w:ascii="FangSong" w:hAnsi="FangSong" w:eastAsia="FangSong" w:cs="FangSong"/>
          <w:sz w:val="21"/>
          <w:szCs w:val="21"/>
          <w:spacing w:val="-11"/>
        </w:rPr>
        <w:t>本</w:t>
      </w:r>
      <w:r>
        <w:rPr>
          <w:rFonts w:ascii="FangSong" w:hAnsi="FangSong" w:eastAsia="FangSong" w:cs="FangSong"/>
          <w:sz w:val="21"/>
          <w:szCs w:val="21"/>
          <w:spacing w:val="-35"/>
        </w:rPr>
        <w:t xml:space="preserve"> </w:t>
      </w:r>
      <w:r>
        <w:rPr>
          <w:rFonts w:ascii="FangSong" w:hAnsi="FangSong" w:eastAsia="FangSong" w:cs="FangSong"/>
          <w:sz w:val="21"/>
          <w:szCs w:val="21"/>
          <w:spacing w:val="-11"/>
        </w:rPr>
        <w:t>。</w:t>
      </w:r>
    </w:p>
    <w:p>
      <w:pPr>
        <w:ind w:left="64" w:right="1442" w:firstLine="540"/>
        <w:spacing w:before="199" w:line="303" w:lineRule="auto"/>
        <w:rPr>
          <w:rFonts w:ascii="FangSong" w:hAnsi="FangSong" w:eastAsia="FangSong" w:cs="FangSong"/>
          <w:sz w:val="21"/>
          <w:szCs w:val="21"/>
        </w:rPr>
      </w:pPr>
      <w:r>
        <w:rPr>
          <w:rFonts w:ascii="FangSong" w:hAnsi="FangSong" w:eastAsia="FangSong" w:cs="FangSong"/>
          <w:sz w:val="26"/>
          <w:szCs w:val="26"/>
          <w:spacing w:val="4"/>
        </w:rPr>
        <w:t>1.2本合同双方若与发电企业签订多年</w:t>
      </w:r>
      <w:r>
        <w:rPr>
          <w:rFonts w:ascii="Times New Roman" w:hAnsi="Times New Roman" w:eastAsia="Times New Roman" w:cs="Times New Roman"/>
          <w:sz w:val="26"/>
          <w:szCs w:val="26"/>
        </w:rPr>
        <w:t>PPA</w:t>
      </w:r>
      <w:r>
        <w:rPr>
          <w:rFonts w:ascii="FangSong" w:hAnsi="FangSong" w:eastAsia="FangSong" w:cs="FangSong"/>
          <w:sz w:val="26"/>
          <w:szCs w:val="26"/>
          <w:spacing w:val="4"/>
        </w:rPr>
        <w:t>购电协议，双方须综合考</w:t>
      </w:r>
      <w:r>
        <w:rPr>
          <w:rFonts w:ascii="FangSong" w:hAnsi="FangSong" w:eastAsia="FangSong" w:cs="FangSong"/>
          <w:sz w:val="26"/>
          <w:szCs w:val="26"/>
          <w:spacing w:val="13"/>
        </w:rPr>
        <w:t xml:space="preserve"> </w:t>
      </w:r>
      <w:r>
        <w:rPr>
          <w:rFonts w:ascii="FangSong" w:hAnsi="FangSong" w:eastAsia="FangSong" w:cs="FangSong"/>
          <w:sz w:val="26"/>
          <w:szCs w:val="26"/>
        </w:rPr>
        <w:t>虑甲方绿电实际需求量，综合衔接多年</w:t>
      </w:r>
      <w:r>
        <w:rPr>
          <w:rFonts w:ascii="Times New Roman" w:hAnsi="Times New Roman" w:eastAsia="Times New Roman" w:cs="Times New Roman"/>
          <w:sz w:val="26"/>
          <w:szCs w:val="26"/>
        </w:rPr>
        <w:t>PPA</w:t>
      </w:r>
      <w:r>
        <w:rPr>
          <w:rFonts w:ascii="SimSun" w:hAnsi="SimSun" w:eastAsia="SimSun" w:cs="SimSun"/>
          <w:sz w:val="26"/>
          <w:szCs w:val="26"/>
        </w:rPr>
        <w:t>、</w:t>
      </w:r>
      <w:r>
        <w:rPr>
          <w:rFonts w:ascii="FangSong" w:hAnsi="FangSong" w:eastAsia="FangSong" w:cs="FangSong"/>
          <w:sz w:val="26"/>
          <w:szCs w:val="26"/>
        </w:rPr>
        <w:t>年度、月度及</w:t>
      </w:r>
      <w:r>
        <w:rPr>
          <w:rFonts w:ascii="FangSong" w:hAnsi="FangSong" w:eastAsia="FangSong" w:cs="FangSong"/>
          <w:sz w:val="26"/>
          <w:szCs w:val="26"/>
          <w:spacing w:val="-1"/>
        </w:rPr>
        <w:t>月内绿电交易</w:t>
      </w:r>
      <w:r>
        <w:rPr>
          <w:rFonts w:ascii="FangSong" w:hAnsi="FangSong" w:eastAsia="FangSong" w:cs="FangSong"/>
          <w:sz w:val="26"/>
          <w:szCs w:val="26"/>
        </w:rPr>
        <w:t xml:space="preserve"> </w:t>
      </w:r>
      <w:r>
        <w:rPr>
          <w:rFonts w:ascii="FangSong" w:hAnsi="FangSong" w:eastAsia="FangSong" w:cs="FangSong"/>
          <w:sz w:val="21"/>
          <w:szCs w:val="21"/>
          <w:spacing w:val="43"/>
        </w:rPr>
        <w:t>电量占比及价格，统筹约定本合同中所涉及的绿电交易零售价格。</w:t>
      </w:r>
    </w:p>
    <w:p>
      <w:pPr>
        <w:ind w:left="604"/>
        <w:spacing w:before="129" w:line="220" w:lineRule="auto"/>
        <w:rPr>
          <w:rFonts w:ascii="FangSong" w:hAnsi="FangSong" w:eastAsia="FangSong" w:cs="FangSong"/>
          <w:sz w:val="26"/>
          <w:szCs w:val="26"/>
        </w:rPr>
      </w:pPr>
      <w:r>
        <w:rPr>
          <w:rFonts w:ascii="FangSong" w:hAnsi="FangSong" w:eastAsia="FangSong" w:cs="FangSong"/>
          <w:sz w:val="26"/>
          <w:szCs w:val="26"/>
          <w:spacing w:val="2"/>
        </w:rPr>
        <w:t>1.3甲方应参照交易平台披露的批发市场价格参数，合理选择零售结</w:t>
      </w:r>
    </w:p>
    <w:p>
      <w:pPr>
        <w:pStyle w:val="BodyText"/>
        <w:spacing w:line="432" w:lineRule="auto"/>
        <w:rPr/>
      </w:pPr>
      <w:r/>
    </w:p>
    <w:p>
      <w:pPr>
        <w:ind w:left="3545"/>
        <w:spacing w:before="69" w:line="219" w:lineRule="auto"/>
        <w:rPr>
          <w:rFonts w:ascii="SimSun" w:hAnsi="SimSun" w:eastAsia="SimSun" w:cs="SimSun"/>
          <w:sz w:val="21"/>
          <w:szCs w:val="21"/>
        </w:rPr>
      </w:pPr>
      <w:r>
        <w:rPr>
          <w:rFonts w:ascii="SimSun" w:hAnsi="SimSun" w:eastAsia="SimSun" w:cs="SimSun"/>
          <w:sz w:val="21"/>
          <w:szCs w:val="21"/>
          <w:spacing w:val="30"/>
        </w:rPr>
        <w:t>第3页共17页</w:t>
      </w:r>
    </w:p>
    <w:p>
      <w:pPr>
        <w:spacing w:line="219" w:lineRule="auto"/>
        <w:sectPr>
          <w:footerReference w:type="default" r:id="rId7"/>
          <w:pgSz w:w="11900" w:h="16840"/>
          <w:pgMar w:top="1333" w:right="310" w:bottom="789" w:left="1785" w:header="0" w:footer="225" w:gutter="0"/>
        </w:sectPr>
        <w:rPr>
          <w:rFonts w:ascii="SimSun" w:hAnsi="SimSun" w:eastAsia="SimSun" w:cs="SimSun"/>
          <w:sz w:val="21"/>
          <w:szCs w:val="21"/>
        </w:rPr>
      </w:pPr>
    </w:p>
    <w:p>
      <w:pPr>
        <w:ind w:left="54" w:right="1434"/>
        <w:spacing w:before="50" w:line="318" w:lineRule="auto"/>
        <w:jc w:val="both"/>
        <w:rPr>
          <w:rFonts w:ascii="FangSong" w:hAnsi="FangSong" w:eastAsia="FangSong" w:cs="FangSong"/>
          <w:sz w:val="25"/>
          <w:szCs w:val="25"/>
        </w:rPr>
      </w:pPr>
      <w:r>
        <w:rPr>
          <w:rFonts w:ascii="FangSong" w:hAnsi="FangSong" w:eastAsia="FangSong" w:cs="FangSong"/>
          <w:sz w:val="25"/>
          <w:szCs w:val="25"/>
          <w:spacing w:val="7"/>
        </w:rPr>
        <w:t>算模式及价格。对于偏差电量结算，甲方应</w:t>
      </w:r>
      <w:r>
        <w:rPr>
          <w:rFonts w:ascii="FangSong" w:hAnsi="FangSong" w:eastAsia="FangSong" w:cs="FangSong"/>
          <w:sz w:val="25"/>
          <w:szCs w:val="25"/>
          <w:spacing w:val="6"/>
        </w:rPr>
        <w:t>合理选择“售电公司全担”或</w:t>
      </w:r>
      <w:r>
        <w:rPr>
          <w:rFonts w:ascii="FangSong" w:hAnsi="FangSong" w:eastAsia="FangSong" w:cs="FangSong"/>
          <w:sz w:val="25"/>
          <w:szCs w:val="25"/>
        </w:rPr>
        <w:t xml:space="preserve"> </w:t>
      </w:r>
      <w:r>
        <w:rPr>
          <w:rFonts w:ascii="FangSong" w:hAnsi="FangSong" w:eastAsia="FangSong" w:cs="FangSong"/>
          <w:sz w:val="25"/>
          <w:szCs w:val="25"/>
          <w:spacing w:val="8"/>
        </w:rPr>
        <w:t>“零售用户共担”方式。当选择“零售用户共担”时，乙方须协助甲方合</w:t>
      </w:r>
      <w:r>
        <w:rPr>
          <w:rFonts w:ascii="FangSong" w:hAnsi="FangSong" w:eastAsia="FangSong" w:cs="FangSong"/>
          <w:sz w:val="25"/>
          <w:szCs w:val="25"/>
          <w:spacing w:val="6"/>
        </w:rPr>
        <w:t xml:space="preserve"> </w:t>
      </w:r>
      <w:r>
        <w:rPr>
          <w:rFonts w:ascii="FangSong" w:hAnsi="FangSong" w:eastAsia="FangSong" w:cs="FangSong"/>
          <w:sz w:val="25"/>
          <w:szCs w:val="25"/>
          <w:spacing w:val="2"/>
        </w:rPr>
        <w:t>理确定合同电量，不得误导甲方偏离实际需求签署过高或过低的合同</w:t>
      </w:r>
      <w:r>
        <w:rPr>
          <w:rFonts w:ascii="FangSong" w:hAnsi="FangSong" w:eastAsia="FangSong" w:cs="FangSong"/>
          <w:sz w:val="25"/>
          <w:szCs w:val="25"/>
          <w:spacing w:val="1"/>
        </w:rPr>
        <w:t>电量，</w:t>
      </w:r>
      <w:r>
        <w:rPr>
          <w:rFonts w:ascii="FangSong" w:hAnsi="FangSong" w:eastAsia="FangSong" w:cs="FangSong"/>
          <w:sz w:val="25"/>
          <w:szCs w:val="25"/>
        </w:rPr>
        <w:t xml:space="preserve"> </w:t>
      </w:r>
      <w:r>
        <w:rPr>
          <w:rFonts w:ascii="FangSong" w:hAnsi="FangSong" w:eastAsia="FangSong" w:cs="FangSong"/>
          <w:sz w:val="25"/>
          <w:szCs w:val="25"/>
          <w:spacing w:val="8"/>
        </w:rPr>
        <w:t>赚取不当利润。绿色电力零售合同封顶总价、售电公司收益分享均是有效</w:t>
      </w:r>
      <w:r>
        <w:rPr>
          <w:rFonts w:ascii="FangSong" w:hAnsi="FangSong" w:eastAsia="FangSong" w:cs="FangSong"/>
          <w:sz w:val="25"/>
          <w:szCs w:val="25"/>
          <w:spacing w:val="8"/>
        </w:rPr>
        <w:t xml:space="preserve"> </w:t>
      </w:r>
      <w:r>
        <w:rPr>
          <w:rFonts w:ascii="FangSong" w:hAnsi="FangSong" w:eastAsia="FangSong" w:cs="FangSong"/>
          <w:sz w:val="25"/>
          <w:szCs w:val="25"/>
          <w:spacing w:val="4"/>
        </w:rPr>
        <w:t>防范零售价格风险的措施，甲方应认真理解、合理应用。</w:t>
      </w:r>
    </w:p>
    <w:p>
      <w:pPr>
        <w:ind w:left="54" w:right="1479" w:firstLine="530"/>
        <w:spacing w:before="16" w:line="305" w:lineRule="auto"/>
        <w:rPr>
          <w:rFonts w:ascii="FangSong" w:hAnsi="FangSong" w:eastAsia="FangSong" w:cs="FangSong"/>
          <w:sz w:val="25"/>
          <w:szCs w:val="25"/>
        </w:rPr>
      </w:pPr>
      <w:r>
        <w:rPr>
          <w:rFonts w:ascii="FangSong" w:hAnsi="FangSong" w:eastAsia="FangSong" w:cs="FangSong"/>
          <w:sz w:val="25"/>
          <w:szCs w:val="25"/>
          <w:spacing w:val="10"/>
        </w:rPr>
        <w:t>1.4按照国家有关要求，严禁在收取电费中加收其他费用。物业公共</w:t>
      </w:r>
      <w:r>
        <w:rPr>
          <w:rFonts w:ascii="FangSong" w:hAnsi="FangSong" w:eastAsia="FangSong" w:cs="FangSong"/>
          <w:sz w:val="25"/>
          <w:szCs w:val="25"/>
          <w:spacing w:val="10"/>
        </w:rPr>
        <w:t xml:space="preserve"> </w:t>
      </w:r>
      <w:r>
        <w:rPr>
          <w:rFonts w:ascii="FangSong" w:hAnsi="FangSong" w:eastAsia="FangSong" w:cs="FangSong"/>
          <w:sz w:val="25"/>
          <w:szCs w:val="25"/>
          <w:spacing w:val="8"/>
        </w:rPr>
        <w:t>部位、共用设施和配套设施的运行维护费用等，应通过物业费、租金或公</w:t>
      </w:r>
      <w:r>
        <w:rPr>
          <w:rFonts w:ascii="FangSong" w:hAnsi="FangSong" w:eastAsia="FangSong" w:cs="FangSong"/>
          <w:sz w:val="25"/>
          <w:szCs w:val="25"/>
          <w:spacing w:val="10"/>
        </w:rPr>
        <w:t xml:space="preserve"> </w:t>
      </w:r>
      <w:r>
        <w:rPr>
          <w:rFonts w:ascii="FangSong" w:hAnsi="FangSong" w:eastAsia="FangSong" w:cs="FangSong"/>
          <w:sz w:val="25"/>
          <w:szCs w:val="25"/>
          <w:spacing w:val="8"/>
        </w:rPr>
        <w:t>共收益解决，严禁以电费为基数加收服务类费用。甲乙双方应按照公平自</w:t>
      </w:r>
      <w:r>
        <w:rPr>
          <w:rFonts w:ascii="FangSong" w:hAnsi="FangSong" w:eastAsia="FangSong" w:cs="FangSong"/>
          <w:sz w:val="25"/>
          <w:szCs w:val="25"/>
          <w:spacing w:val="10"/>
        </w:rPr>
        <w:t xml:space="preserve"> </w:t>
      </w:r>
      <w:r>
        <w:rPr>
          <w:rFonts w:ascii="FangSong" w:hAnsi="FangSong" w:eastAsia="FangSong" w:cs="FangSong"/>
          <w:sz w:val="25"/>
          <w:szCs w:val="25"/>
          <w:spacing w:val="8"/>
        </w:rPr>
        <w:t>愿原则签订本合同，不得通过签订明显有失市场公平的结算参数损害相关</w:t>
      </w:r>
      <w:r>
        <w:rPr>
          <w:rFonts w:ascii="FangSong" w:hAnsi="FangSong" w:eastAsia="FangSong" w:cs="FangSong"/>
          <w:sz w:val="25"/>
          <w:szCs w:val="25"/>
          <w:spacing w:val="12"/>
        </w:rPr>
        <w:t xml:space="preserve"> </w:t>
      </w:r>
      <w:r>
        <w:rPr>
          <w:rFonts w:ascii="FangSong" w:hAnsi="FangSong" w:eastAsia="FangSong" w:cs="FangSong"/>
          <w:sz w:val="25"/>
          <w:szCs w:val="25"/>
          <w:spacing w:val="3"/>
        </w:rPr>
        <w:t>方利益。</w:t>
      </w:r>
    </w:p>
    <w:p>
      <w:pPr>
        <w:ind w:left="54" w:right="1334" w:firstLine="530"/>
        <w:spacing w:before="176" w:line="268" w:lineRule="auto"/>
        <w:rPr>
          <w:rFonts w:ascii="FangSong" w:hAnsi="FangSong" w:eastAsia="FangSong" w:cs="FangSong"/>
          <w:sz w:val="25"/>
          <w:szCs w:val="25"/>
        </w:rPr>
      </w:pPr>
      <w:r>
        <w:rPr>
          <w:rFonts w:ascii="FangSong" w:hAnsi="FangSong" w:eastAsia="FangSong" w:cs="FangSong"/>
          <w:sz w:val="25"/>
          <w:szCs w:val="25"/>
          <w:spacing w:val="12"/>
        </w:rPr>
        <w:t>1.5合同期内如遇国家电价政策调整影响零售交易时，售电公司和零</w:t>
      </w:r>
      <w:r>
        <w:rPr>
          <w:rFonts w:ascii="FangSong" w:hAnsi="FangSong" w:eastAsia="FangSong" w:cs="FangSong"/>
          <w:sz w:val="25"/>
          <w:szCs w:val="25"/>
          <w:spacing w:val="5"/>
        </w:rPr>
        <w:t xml:space="preserve">  </w:t>
      </w:r>
      <w:r>
        <w:rPr>
          <w:rFonts w:ascii="FangSong" w:hAnsi="FangSong" w:eastAsia="FangSong" w:cs="FangSong"/>
          <w:sz w:val="25"/>
          <w:szCs w:val="25"/>
          <w:spacing w:val="5"/>
        </w:rPr>
        <w:t>售用户应通过签订补充协议或在合同中增加约束条款等形式落实国家要</w:t>
      </w:r>
      <w:r>
        <w:rPr>
          <w:rFonts w:ascii="FangSong" w:hAnsi="FangSong" w:eastAsia="FangSong" w:cs="FangSong"/>
          <w:sz w:val="25"/>
          <w:szCs w:val="25"/>
          <w:spacing w:val="4"/>
        </w:rPr>
        <w:t>求。</w:t>
      </w:r>
    </w:p>
    <w:p>
      <w:pPr>
        <w:ind w:left="54" w:right="1433" w:firstLine="530"/>
        <w:spacing w:before="132" w:line="300" w:lineRule="auto"/>
        <w:rPr>
          <w:rFonts w:ascii="FangSong" w:hAnsi="FangSong" w:eastAsia="FangSong" w:cs="FangSong"/>
          <w:sz w:val="25"/>
          <w:szCs w:val="25"/>
        </w:rPr>
      </w:pPr>
      <w:r>
        <w:rPr>
          <w:rFonts w:ascii="FangSong" w:hAnsi="FangSong" w:eastAsia="FangSong" w:cs="FangSong"/>
          <w:sz w:val="25"/>
          <w:szCs w:val="25"/>
          <w:spacing w:val="12"/>
        </w:rPr>
        <w:t>1.6交易中心依据交易平台中的结算参数</w:t>
      </w:r>
      <w:r>
        <w:rPr>
          <w:rFonts w:ascii="FangSong" w:hAnsi="FangSong" w:eastAsia="FangSong" w:cs="FangSong"/>
          <w:sz w:val="25"/>
          <w:szCs w:val="25"/>
          <w:spacing w:val="11"/>
        </w:rPr>
        <w:t>进行结算，请各经营主体妥</w:t>
      </w:r>
      <w:r>
        <w:rPr>
          <w:rFonts w:ascii="FangSong" w:hAnsi="FangSong" w:eastAsia="FangSong" w:cs="FangSong"/>
          <w:sz w:val="25"/>
          <w:szCs w:val="25"/>
        </w:rPr>
        <w:t xml:space="preserve"> </w:t>
      </w:r>
      <w:r>
        <w:rPr>
          <w:rFonts w:ascii="FangSong" w:hAnsi="FangSong" w:eastAsia="FangSong" w:cs="FangSong"/>
          <w:sz w:val="25"/>
          <w:szCs w:val="25"/>
          <w:spacing w:val="2"/>
        </w:rPr>
        <w:t>善保管各自交易平台账号、密码、数字证书、人脸识别、电子签章等信</w:t>
      </w:r>
      <w:r>
        <w:rPr>
          <w:rFonts w:ascii="FangSong" w:hAnsi="FangSong" w:eastAsia="FangSong" w:cs="FangSong"/>
          <w:sz w:val="25"/>
          <w:szCs w:val="25"/>
          <w:spacing w:val="1"/>
        </w:rPr>
        <w:t>息，</w:t>
      </w:r>
      <w:r>
        <w:rPr>
          <w:rFonts w:ascii="FangSong" w:hAnsi="FangSong" w:eastAsia="FangSong" w:cs="FangSong"/>
          <w:sz w:val="25"/>
          <w:szCs w:val="25"/>
        </w:rPr>
        <w:t xml:space="preserve"> </w:t>
      </w:r>
      <w:r>
        <w:rPr>
          <w:rFonts w:ascii="FangSong" w:hAnsi="FangSong" w:eastAsia="FangSong" w:cs="FangSong"/>
          <w:sz w:val="25"/>
          <w:szCs w:val="25"/>
          <w:spacing w:val="9"/>
        </w:rPr>
        <w:t>切勿泄露、配合、提供给其他方和相对方使用，并自愿承担未妥善保管及</w:t>
      </w:r>
      <w:r>
        <w:rPr>
          <w:rFonts w:ascii="FangSong" w:hAnsi="FangSong" w:eastAsia="FangSong" w:cs="FangSong"/>
          <w:sz w:val="25"/>
          <w:szCs w:val="25"/>
        </w:rPr>
        <w:t xml:space="preserve"> </w:t>
      </w:r>
      <w:r>
        <w:rPr>
          <w:rFonts w:ascii="FangSong" w:hAnsi="FangSong" w:eastAsia="FangSong" w:cs="FangSong"/>
          <w:sz w:val="25"/>
          <w:szCs w:val="25"/>
          <w:spacing w:val="6"/>
        </w:rPr>
        <w:t>使用导致的一切风险及后果。</w:t>
      </w:r>
    </w:p>
    <w:p>
      <w:pPr>
        <w:ind w:left="585"/>
        <w:spacing w:before="149" w:line="222" w:lineRule="auto"/>
        <w:rPr>
          <w:rFonts w:ascii="FangSong" w:hAnsi="FangSong" w:eastAsia="FangSong" w:cs="FangSong"/>
          <w:sz w:val="25"/>
          <w:szCs w:val="25"/>
        </w:rPr>
      </w:pPr>
      <w:r>
        <w:rPr>
          <w:rFonts w:ascii="FangSong" w:hAnsi="FangSong" w:eastAsia="FangSong" w:cs="FangSong"/>
          <w:sz w:val="25"/>
          <w:szCs w:val="25"/>
          <w:spacing w:val="5"/>
        </w:rPr>
        <w:t>1.7本合同签订价格均为含税价格。</w:t>
      </w:r>
    </w:p>
    <w:p>
      <w:pPr>
        <w:ind w:left="54" w:right="1534" w:firstLine="530"/>
        <w:spacing w:before="146" w:line="265" w:lineRule="auto"/>
        <w:rPr>
          <w:rFonts w:ascii="FangSong" w:hAnsi="FangSong" w:eastAsia="FangSong" w:cs="FangSong"/>
          <w:sz w:val="25"/>
          <w:szCs w:val="25"/>
        </w:rPr>
      </w:pPr>
      <w:r>
        <w:rPr>
          <w:rFonts w:ascii="FangSong" w:hAnsi="FangSong" w:eastAsia="FangSong" w:cs="FangSong"/>
          <w:sz w:val="25"/>
          <w:szCs w:val="25"/>
          <w:spacing w:val="10"/>
        </w:rPr>
        <w:t>1.8对于上述风险提示，合同双方均已认真阅读、完全理解并同</w:t>
      </w:r>
      <w:r>
        <w:rPr>
          <w:rFonts w:ascii="FangSong" w:hAnsi="FangSong" w:eastAsia="FangSong" w:cs="FangSong"/>
          <w:sz w:val="25"/>
          <w:szCs w:val="25"/>
          <w:spacing w:val="9"/>
        </w:rPr>
        <w:t>意，</w:t>
      </w:r>
      <w:r>
        <w:rPr>
          <w:rFonts w:ascii="FangSong" w:hAnsi="FangSong" w:eastAsia="FangSong" w:cs="FangSong"/>
          <w:sz w:val="25"/>
          <w:szCs w:val="25"/>
        </w:rPr>
        <w:t xml:space="preserve"> </w:t>
      </w:r>
      <w:r>
        <w:rPr>
          <w:rFonts w:ascii="FangSong" w:hAnsi="FangSong" w:eastAsia="FangSong" w:cs="FangSong"/>
          <w:sz w:val="25"/>
          <w:szCs w:val="25"/>
          <w:spacing w:val="2"/>
        </w:rPr>
        <w:t>合同签署即视为知悉并同意上述风险提示的全部内容。</w:t>
      </w:r>
    </w:p>
    <w:p>
      <w:pPr>
        <w:pStyle w:val="BodyText"/>
        <w:spacing w:line="405" w:lineRule="auto"/>
        <w:rPr/>
      </w:pPr>
      <w:r/>
    </w:p>
    <w:p>
      <w:pPr>
        <w:ind w:left="2979"/>
        <w:spacing w:before="95" w:line="221" w:lineRule="auto"/>
        <w:outlineLvl w:val="2"/>
        <w:rPr>
          <w:rFonts w:ascii="SimHei" w:hAnsi="SimHei" w:eastAsia="SimHei" w:cs="SimHei"/>
          <w:sz w:val="29"/>
          <w:szCs w:val="29"/>
        </w:rPr>
      </w:pPr>
      <w:r>
        <w:rPr>
          <w:rFonts w:ascii="SimHei" w:hAnsi="SimHei" w:eastAsia="SimHei" w:cs="SimHei"/>
          <w:sz w:val="29"/>
          <w:szCs w:val="29"/>
          <w:b/>
          <w:bCs/>
          <w:spacing w:val="11"/>
        </w:rPr>
        <w:t>第二章权利和义务</w:t>
      </w:r>
    </w:p>
    <w:p>
      <w:pPr>
        <w:ind w:left="588"/>
        <w:spacing w:before="132" w:line="222" w:lineRule="auto"/>
        <w:outlineLvl w:val="3"/>
        <w:rPr>
          <w:rFonts w:ascii="FangSong" w:hAnsi="FangSong" w:eastAsia="FangSong" w:cs="FangSong"/>
          <w:sz w:val="25"/>
          <w:szCs w:val="25"/>
        </w:rPr>
      </w:pPr>
      <w:r>
        <w:rPr>
          <w:rFonts w:ascii="FangSong" w:hAnsi="FangSong" w:eastAsia="FangSong" w:cs="FangSong"/>
          <w:sz w:val="25"/>
          <w:szCs w:val="25"/>
          <w:b/>
          <w:bCs/>
          <w:spacing w:val="12"/>
        </w:rPr>
        <w:t>2.1甲方的权利</w:t>
      </w:r>
    </w:p>
    <w:p>
      <w:pPr>
        <w:ind w:left="54" w:right="1482" w:firstLine="530"/>
        <w:spacing w:before="142" w:line="300" w:lineRule="auto"/>
        <w:rPr>
          <w:rFonts w:ascii="FangSong" w:hAnsi="FangSong" w:eastAsia="FangSong" w:cs="FangSong"/>
          <w:sz w:val="29"/>
          <w:szCs w:val="29"/>
        </w:rPr>
      </w:pPr>
      <w:r>
        <w:rPr>
          <w:rFonts w:ascii="FangSong" w:hAnsi="FangSong" w:eastAsia="FangSong" w:cs="FangSong"/>
          <w:sz w:val="25"/>
          <w:szCs w:val="25"/>
          <w:spacing w:val="11"/>
        </w:rPr>
        <w:t>2.1.1按照国家法律、法规等获取电网企业提供的有关接入和用电服</w:t>
      </w:r>
      <w:r>
        <w:rPr>
          <w:rFonts w:ascii="FangSong" w:hAnsi="FangSong" w:eastAsia="FangSong" w:cs="FangSong"/>
          <w:sz w:val="25"/>
          <w:szCs w:val="25"/>
          <w:spacing w:val="8"/>
        </w:rPr>
        <w:t xml:space="preserve"> </w:t>
      </w:r>
      <w:r>
        <w:rPr>
          <w:rFonts w:ascii="FangSong" w:hAnsi="FangSong" w:eastAsia="FangSong" w:cs="FangSong"/>
          <w:sz w:val="29"/>
          <w:szCs w:val="29"/>
          <w:spacing w:val="-17"/>
        </w:rPr>
        <w:t>务。</w:t>
      </w:r>
    </w:p>
    <w:p>
      <w:pPr>
        <w:ind w:left="54" w:right="1476" w:firstLine="530"/>
        <w:spacing w:before="1" w:line="373" w:lineRule="auto"/>
        <w:rPr>
          <w:rFonts w:ascii="FangSong" w:hAnsi="FangSong" w:eastAsia="FangSong" w:cs="FangSong"/>
          <w:sz w:val="19"/>
          <w:szCs w:val="19"/>
        </w:rPr>
      </w:pPr>
      <w:r>
        <w:rPr>
          <w:rFonts w:ascii="FangSong" w:hAnsi="FangSong" w:eastAsia="FangSong" w:cs="FangSong"/>
          <w:sz w:val="25"/>
          <w:szCs w:val="25"/>
          <w:spacing w:val="11"/>
        </w:rPr>
        <w:t>2.1.2获得乙方履行本合同义务相关的信息、资料及查阅电能量计量</w:t>
      </w:r>
      <w:r>
        <w:rPr>
          <w:rFonts w:ascii="FangSong" w:hAnsi="FangSong" w:eastAsia="FangSong" w:cs="FangSong"/>
          <w:sz w:val="25"/>
          <w:szCs w:val="25"/>
          <w:spacing w:val="14"/>
        </w:rPr>
        <w:t xml:space="preserve"> </w:t>
      </w:r>
      <w:r>
        <w:rPr>
          <w:rFonts w:ascii="FangSong" w:hAnsi="FangSong" w:eastAsia="FangSong" w:cs="FangSong"/>
          <w:sz w:val="19"/>
          <w:szCs w:val="19"/>
          <w:spacing w:val="-7"/>
        </w:rPr>
        <w:t>数</w:t>
      </w:r>
      <w:r>
        <w:rPr>
          <w:rFonts w:ascii="FangSong" w:hAnsi="FangSong" w:eastAsia="FangSong" w:cs="FangSong"/>
          <w:sz w:val="19"/>
          <w:szCs w:val="19"/>
          <w:spacing w:val="-7"/>
        </w:rPr>
        <w:t xml:space="preserve"> </w:t>
      </w:r>
      <w:r>
        <w:rPr>
          <w:rFonts w:ascii="FangSong" w:hAnsi="FangSong" w:eastAsia="FangSong" w:cs="FangSong"/>
          <w:sz w:val="19"/>
          <w:szCs w:val="19"/>
          <w:spacing w:val="-7"/>
        </w:rPr>
        <w:t>据</w:t>
      </w:r>
      <w:r>
        <w:rPr>
          <w:rFonts w:ascii="FangSong" w:hAnsi="FangSong" w:eastAsia="FangSong" w:cs="FangSong"/>
          <w:sz w:val="19"/>
          <w:szCs w:val="19"/>
          <w:spacing w:val="-13"/>
        </w:rPr>
        <w:t xml:space="preserve"> </w:t>
      </w:r>
      <w:r>
        <w:rPr>
          <w:rFonts w:ascii="FangSong" w:hAnsi="FangSong" w:eastAsia="FangSong" w:cs="FangSong"/>
          <w:sz w:val="19"/>
          <w:szCs w:val="19"/>
          <w:spacing w:val="-7"/>
        </w:rPr>
        <w:t>。</w:t>
      </w:r>
    </w:p>
    <w:p>
      <w:pPr>
        <w:ind w:left="588"/>
        <w:spacing w:line="222" w:lineRule="auto"/>
        <w:outlineLvl w:val="3"/>
        <w:rPr>
          <w:rFonts w:ascii="FangSong" w:hAnsi="FangSong" w:eastAsia="FangSong" w:cs="FangSong"/>
          <w:sz w:val="25"/>
          <w:szCs w:val="25"/>
        </w:rPr>
      </w:pPr>
      <w:r>
        <w:rPr>
          <w:rFonts w:ascii="FangSong" w:hAnsi="FangSong" w:eastAsia="FangSong" w:cs="FangSong"/>
          <w:sz w:val="25"/>
          <w:szCs w:val="25"/>
          <w:b/>
          <w:bCs/>
          <w:spacing w:val="10"/>
        </w:rPr>
        <w:t>2.2甲方的义务</w:t>
      </w:r>
    </w:p>
    <w:p>
      <w:pPr>
        <w:ind w:left="54" w:right="1505" w:firstLine="530"/>
        <w:spacing w:before="151" w:line="325" w:lineRule="auto"/>
        <w:jc w:val="both"/>
        <w:rPr>
          <w:rFonts w:ascii="FangSong" w:hAnsi="FangSong" w:eastAsia="FangSong" w:cs="FangSong"/>
          <w:sz w:val="25"/>
          <w:szCs w:val="25"/>
        </w:rPr>
      </w:pPr>
      <w:r>
        <w:rPr>
          <w:rFonts w:ascii="FangSong" w:hAnsi="FangSong" w:eastAsia="FangSong" w:cs="FangSong"/>
          <w:sz w:val="25"/>
          <w:szCs w:val="25"/>
          <w:spacing w:val="10"/>
        </w:rPr>
        <w:t>2.2.1按规定披露和提供信息，向乙方如实提供本合同履约周期的历</w:t>
      </w:r>
      <w:r>
        <w:rPr>
          <w:rFonts w:ascii="FangSong" w:hAnsi="FangSong" w:eastAsia="FangSong" w:cs="FangSong"/>
          <w:sz w:val="25"/>
          <w:szCs w:val="25"/>
          <w:spacing w:val="17"/>
        </w:rPr>
        <w:t xml:space="preserve"> </w:t>
      </w:r>
      <w:r>
        <w:rPr>
          <w:rFonts w:ascii="FangSong" w:hAnsi="FangSong" w:eastAsia="FangSong" w:cs="FangSong"/>
          <w:sz w:val="25"/>
          <w:szCs w:val="25"/>
          <w:spacing w:val="6"/>
        </w:rPr>
        <w:t>史用电数据和计量数据等用电信息，以及用电计量点的增减及变更、办理</w:t>
      </w:r>
      <w:r>
        <w:rPr>
          <w:rFonts w:ascii="FangSong" w:hAnsi="FangSong" w:eastAsia="FangSong" w:cs="FangSong"/>
          <w:sz w:val="25"/>
          <w:szCs w:val="25"/>
          <w:spacing w:val="12"/>
        </w:rPr>
        <w:t xml:space="preserve"> </w:t>
      </w:r>
      <w:r>
        <w:rPr>
          <w:rFonts w:ascii="FangSong" w:hAnsi="FangSong" w:eastAsia="FangSong" w:cs="FangSong"/>
          <w:sz w:val="25"/>
          <w:szCs w:val="25"/>
          <w:spacing w:val="5"/>
        </w:rPr>
        <w:t>增减容和更名过户等用电业务信息，向乙方提供与履行本合同相关的其他</w:t>
      </w:r>
    </w:p>
    <w:p>
      <w:pPr>
        <w:pStyle w:val="BodyText"/>
        <w:spacing w:line="265" w:lineRule="auto"/>
        <w:rPr/>
      </w:pPr>
      <w:r/>
    </w:p>
    <w:p>
      <w:pPr>
        <w:ind w:left="3505"/>
        <w:spacing w:before="63" w:line="184" w:lineRule="auto"/>
        <w:rPr>
          <w:rFonts w:ascii="LiSu" w:hAnsi="LiSu" w:eastAsia="LiSu" w:cs="LiSu"/>
          <w:sz w:val="19"/>
          <w:szCs w:val="19"/>
        </w:rPr>
      </w:pPr>
      <w:r>
        <w:rPr>
          <w:rFonts w:ascii="LiSu" w:hAnsi="LiSu" w:eastAsia="LiSu" w:cs="LiSu"/>
          <w:sz w:val="19"/>
          <w:szCs w:val="19"/>
          <w:spacing w:val="-9"/>
        </w:rPr>
        <w:t>第</w:t>
      </w:r>
      <w:r>
        <w:rPr>
          <w:rFonts w:ascii="LiSu" w:hAnsi="LiSu" w:eastAsia="LiSu" w:cs="LiSu"/>
          <w:sz w:val="19"/>
          <w:szCs w:val="19"/>
          <w:spacing w:val="-43"/>
        </w:rPr>
        <w:t xml:space="preserve"> </w:t>
      </w:r>
      <w:r>
        <w:rPr>
          <w:rFonts w:ascii="LiSu" w:hAnsi="LiSu" w:eastAsia="LiSu" w:cs="LiSu"/>
          <w:sz w:val="19"/>
          <w:szCs w:val="19"/>
          <w:spacing w:val="-9"/>
        </w:rPr>
        <w:t>4</w:t>
      </w:r>
      <w:r>
        <w:rPr>
          <w:rFonts w:ascii="LiSu" w:hAnsi="LiSu" w:eastAsia="LiSu" w:cs="LiSu"/>
          <w:sz w:val="19"/>
          <w:szCs w:val="19"/>
          <w:spacing w:val="-43"/>
        </w:rPr>
        <w:t xml:space="preserve"> </w:t>
      </w:r>
      <w:r>
        <w:rPr>
          <w:rFonts w:ascii="LiSu" w:hAnsi="LiSu" w:eastAsia="LiSu" w:cs="LiSu"/>
          <w:sz w:val="19"/>
          <w:szCs w:val="19"/>
          <w:spacing w:val="-9"/>
        </w:rPr>
        <w:t>页</w:t>
      </w:r>
      <w:r>
        <w:rPr>
          <w:rFonts w:ascii="LiSu" w:hAnsi="LiSu" w:eastAsia="LiSu" w:cs="LiSu"/>
          <w:sz w:val="19"/>
          <w:szCs w:val="19"/>
          <w:spacing w:val="-44"/>
        </w:rPr>
        <w:t xml:space="preserve"> </w:t>
      </w:r>
      <w:r>
        <w:rPr>
          <w:rFonts w:ascii="LiSu" w:hAnsi="LiSu" w:eastAsia="LiSu" w:cs="LiSu"/>
          <w:sz w:val="19"/>
          <w:szCs w:val="19"/>
          <w:spacing w:val="-9"/>
        </w:rPr>
        <w:t>共</w:t>
      </w:r>
      <w:r>
        <w:rPr>
          <w:rFonts w:ascii="LiSu" w:hAnsi="LiSu" w:eastAsia="LiSu" w:cs="LiSu"/>
          <w:sz w:val="19"/>
          <w:szCs w:val="19"/>
          <w:spacing w:val="-29"/>
        </w:rPr>
        <w:t xml:space="preserve"> </w:t>
      </w:r>
      <w:r>
        <w:rPr>
          <w:rFonts w:ascii="LiSu" w:hAnsi="LiSu" w:eastAsia="LiSu" w:cs="LiSu"/>
          <w:sz w:val="19"/>
          <w:szCs w:val="19"/>
          <w:spacing w:val="-9"/>
        </w:rPr>
        <w:t>1</w:t>
      </w:r>
      <w:r>
        <w:rPr>
          <w:rFonts w:ascii="LiSu" w:hAnsi="LiSu" w:eastAsia="LiSu" w:cs="LiSu"/>
          <w:sz w:val="19"/>
          <w:szCs w:val="19"/>
          <w:spacing w:val="-38"/>
        </w:rPr>
        <w:t xml:space="preserve"> </w:t>
      </w:r>
      <w:r>
        <w:rPr>
          <w:rFonts w:ascii="LiSu" w:hAnsi="LiSu" w:eastAsia="LiSu" w:cs="LiSu"/>
          <w:sz w:val="19"/>
          <w:szCs w:val="19"/>
          <w:spacing w:val="-9"/>
        </w:rPr>
        <w:t>7</w:t>
      </w:r>
      <w:r>
        <w:rPr>
          <w:rFonts w:ascii="LiSu" w:hAnsi="LiSu" w:eastAsia="LiSu" w:cs="LiSu"/>
          <w:sz w:val="19"/>
          <w:szCs w:val="19"/>
          <w:spacing w:val="-16"/>
        </w:rPr>
        <w:t xml:space="preserve"> </w:t>
      </w:r>
      <w:r>
        <w:rPr>
          <w:rFonts w:ascii="LiSu" w:hAnsi="LiSu" w:eastAsia="LiSu" w:cs="LiSu"/>
          <w:sz w:val="19"/>
          <w:szCs w:val="19"/>
          <w:spacing w:val="-9"/>
        </w:rPr>
        <w:t>页</w:t>
      </w:r>
    </w:p>
    <w:p>
      <w:pPr>
        <w:spacing w:line="184" w:lineRule="auto"/>
        <w:sectPr>
          <w:footerReference w:type="default" r:id="rId8"/>
          <w:pgSz w:w="11900" w:h="16840"/>
          <w:pgMar w:top="1244" w:right="310" w:bottom="789" w:left="1785" w:header="0" w:footer="225" w:gutter="0"/>
        </w:sectPr>
        <w:rPr>
          <w:rFonts w:ascii="LiSu" w:hAnsi="LiSu" w:eastAsia="LiSu" w:cs="LiSu"/>
          <w:sz w:val="19"/>
          <w:szCs w:val="19"/>
        </w:rPr>
      </w:pPr>
    </w:p>
    <w:p>
      <w:pPr>
        <w:ind w:left="14"/>
        <w:spacing w:before="74" w:line="222" w:lineRule="auto"/>
        <w:rPr>
          <w:rFonts w:ascii="FangSong" w:hAnsi="FangSong" w:eastAsia="FangSong" w:cs="FangSong"/>
          <w:sz w:val="21"/>
          <w:szCs w:val="21"/>
        </w:rPr>
      </w:pPr>
      <w:r>
        <w:rPr>
          <w:rFonts w:ascii="FangSong" w:hAnsi="FangSong" w:eastAsia="FangSong" w:cs="FangSong"/>
          <w:sz w:val="21"/>
          <w:szCs w:val="21"/>
          <w:spacing w:val="-12"/>
        </w:rPr>
        <w:t>信</w:t>
      </w:r>
      <w:r>
        <w:rPr>
          <w:rFonts w:ascii="FangSong" w:hAnsi="FangSong" w:eastAsia="FangSong" w:cs="FangSong"/>
          <w:sz w:val="21"/>
          <w:szCs w:val="21"/>
          <w:spacing w:val="-12"/>
        </w:rPr>
        <w:t xml:space="preserve"> </w:t>
      </w:r>
      <w:r>
        <w:rPr>
          <w:rFonts w:ascii="FangSong" w:hAnsi="FangSong" w:eastAsia="FangSong" w:cs="FangSong"/>
          <w:sz w:val="21"/>
          <w:szCs w:val="21"/>
          <w:spacing w:val="-12"/>
        </w:rPr>
        <w:t>息</w:t>
      </w:r>
      <w:r>
        <w:rPr>
          <w:rFonts w:ascii="FangSong" w:hAnsi="FangSong" w:eastAsia="FangSong" w:cs="FangSong"/>
          <w:sz w:val="21"/>
          <w:szCs w:val="21"/>
          <w:spacing w:val="-31"/>
        </w:rPr>
        <w:t xml:space="preserve"> </w:t>
      </w:r>
      <w:r>
        <w:rPr>
          <w:rFonts w:ascii="FangSong" w:hAnsi="FangSong" w:eastAsia="FangSong" w:cs="FangSong"/>
          <w:sz w:val="21"/>
          <w:szCs w:val="21"/>
          <w:spacing w:val="-12"/>
        </w:rPr>
        <w:t>。</w:t>
      </w:r>
    </w:p>
    <w:p>
      <w:pPr>
        <w:ind w:left="14" w:right="1271" w:firstLine="530"/>
        <w:spacing w:before="119" w:line="274" w:lineRule="auto"/>
        <w:rPr>
          <w:rFonts w:ascii="FangSong" w:hAnsi="FangSong" w:eastAsia="FangSong" w:cs="FangSong"/>
          <w:sz w:val="26"/>
          <w:szCs w:val="26"/>
        </w:rPr>
      </w:pPr>
      <w:r>
        <w:rPr>
          <w:rFonts w:ascii="FangSong" w:hAnsi="FangSong" w:eastAsia="FangSong" w:cs="FangSong"/>
          <w:sz w:val="26"/>
          <w:szCs w:val="26"/>
          <w:spacing w:val="9"/>
        </w:rPr>
        <w:t>2.2.2按规定按时缴纳电费，包括：电能量电费、输配电费、政府基</w:t>
      </w:r>
      <w:r>
        <w:rPr>
          <w:rFonts w:ascii="FangSong" w:hAnsi="FangSong" w:eastAsia="FangSong" w:cs="FangSong"/>
          <w:sz w:val="26"/>
          <w:szCs w:val="26"/>
          <w:spacing w:val="9"/>
        </w:rPr>
        <w:t xml:space="preserve"> </w:t>
      </w:r>
      <w:r>
        <w:rPr>
          <w:rFonts w:ascii="FangSong" w:hAnsi="FangSong" w:eastAsia="FangSong" w:cs="FangSong"/>
          <w:sz w:val="26"/>
          <w:szCs w:val="26"/>
          <w:spacing w:val="-1"/>
        </w:rPr>
        <w:t>金附加费等相关费用。</w:t>
      </w:r>
    </w:p>
    <w:p>
      <w:pPr>
        <w:ind w:left="14" w:right="1268" w:firstLine="530"/>
        <w:spacing w:before="84" w:line="290" w:lineRule="auto"/>
        <w:rPr>
          <w:rFonts w:ascii="FangSong" w:hAnsi="FangSong" w:eastAsia="FangSong" w:cs="FangSong"/>
          <w:sz w:val="26"/>
          <w:szCs w:val="26"/>
        </w:rPr>
      </w:pPr>
      <w:r>
        <w:rPr>
          <w:rFonts w:ascii="FangSong" w:hAnsi="FangSong" w:eastAsia="FangSong" w:cs="FangSong"/>
          <w:sz w:val="26"/>
          <w:szCs w:val="26"/>
          <w:spacing w:val="9"/>
        </w:rPr>
        <w:t>2.2.3在本合同的交易周期内仅与一家售电公司签订电力零售市场购</w:t>
      </w:r>
      <w:r>
        <w:rPr>
          <w:rFonts w:ascii="FangSong" w:hAnsi="FangSong" w:eastAsia="FangSong" w:cs="FangSong"/>
          <w:sz w:val="26"/>
          <w:szCs w:val="26"/>
          <w:spacing w:val="12"/>
        </w:rPr>
        <w:t xml:space="preserve"> </w:t>
      </w:r>
      <w:r>
        <w:rPr>
          <w:rFonts w:ascii="FangSong" w:hAnsi="FangSong" w:eastAsia="FangSong" w:cs="FangSong"/>
          <w:sz w:val="26"/>
          <w:szCs w:val="26"/>
          <w:spacing w:val="8"/>
        </w:rPr>
        <w:t>售电合同，已签订的多年</w:t>
      </w:r>
      <w:r>
        <w:rPr>
          <w:rFonts w:ascii="SimSun" w:hAnsi="SimSun" w:eastAsia="SimSun" w:cs="SimSun"/>
          <w:sz w:val="26"/>
          <w:szCs w:val="26"/>
        </w:rPr>
        <w:t>PPA</w:t>
      </w:r>
      <w:r>
        <w:rPr>
          <w:rFonts w:ascii="SimSun" w:hAnsi="SimSun" w:eastAsia="SimSun" w:cs="SimSun"/>
          <w:sz w:val="26"/>
          <w:szCs w:val="26"/>
          <w:spacing w:val="-54"/>
        </w:rPr>
        <w:t xml:space="preserve"> </w:t>
      </w:r>
      <w:r>
        <w:rPr>
          <w:rFonts w:ascii="FangSong" w:hAnsi="FangSong" w:eastAsia="FangSong" w:cs="FangSong"/>
          <w:sz w:val="26"/>
          <w:szCs w:val="26"/>
          <w:spacing w:val="8"/>
        </w:rPr>
        <w:t>协议中关联的售电公</w:t>
      </w:r>
      <w:r>
        <w:rPr>
          <w:rFonts w:ascii="FangSong" w:hAnsi="FangSong" w:eastAsia="FangSong" w:cs="FangSong"/>
          <w:sz w:val="26"/>
          <w:szCs w:val="26"/>
          <w:spacing w:val="7"/>
        </w:rPr>
        <w:t>司，须与本合同的乙方</w:t>
      </w:r>
      <w:r>
        <w:rPr>
          <w:rFonts w:ascii="FangSong" w:hAnsi="FangSong" w:eastAsia="FangSong" w:cs="FangSong"/>
          <w:sz w:val="26"/>
          <w:szCs w:val="26"/>
        </w:rPr>
        <w:t xml:space="preserve"> </w:t>
      </w:r>
      <w:r>
        <w:rPr>
          <w:rFonts w:ascii="FangSong" w:hAnsi="FangSong" w:eastAsia="FangSong" w:cs="FangSong"/>
          <w:sz w:val="26"/>
          <w:szCs w:val="26"/>
          <w:spacing w:val="4"/>
        </w:rPr>
        <w:t>一致。如需在交易周期内更换售电公司，须同步调整</w:t>
      </w:r>
      <w:r>
        <w:rPr>
          <w:rFonts w:ascii="Times New Roman" w:hAnsi="Times New Roman" w:eastAsia="Times New Roman" w:cs="Times New Roman"/>
          <w:sz w:val="26"/>
          <w:szCs w:val="26"/>
        </w:rPr>
        <w:t>PPA</w:t>
      </w:r>
      <w:r>
        <w:rPr>
          <w:rFonts w:ascii="Times New Roman" w:hAnsi="Times New Roman" w:eastAsia="Times New Roman" w:cs="Times New Roman"/>
          <w:sz w:val="26"/>
          <w:szCs w:val="26"/>
          <w:spacing w:val="4"/>
        </w:rPr>
        <w:t xml:space="preserve"> </w:t>
      </w:r>
      <w:r>
        <w:rPr>
          <w:rFonts w:ascii="FangSong" w:hAnsi="FangSong" w:eastAsia="FangSong" w:cs="FangSong"/>
          <w:sz w:val="26"/>
          <w:szCs w:val="26"/>
          <w:spacing w:val="4"/>
        </w:rPr>
        <w:t>协议和电力零售</w:t>
      </w:r>
      <w:r>
        <w:rPr>
          <w:rFonts w:ascii="FangSong" w:hAnsi="FangSong" w:eastAsia="FangSong" w:cs="FangSong"/>
          <w:sz w:val="26"/>
          <w:szCs w:val="26"/>
          <w:spacing w:val="15"/>
        </w:rPr>
        <w:t xml:space="preserve"> </w:t>
      </w:r>
      <w:r>
        <w:rPr>
          <w:rFonts w:ascii="FangSong" w:hAnsi="FangSong" w:eastAsia="FangSong" w:cs="FangSong"/>
          <w:sz w:val="26"/>
          <w:szCs w:val="26"/>
          <w:spacing w:val="1"/>
        </w:rPr>
        <w:t>市场购售电合同，保持两者中的售电公司一致。</w:t>
      </w:r>
    </w:p>
    <w:p>
      <w:pPr>
        <w:ind w:left="14" w:right="1270" w:firstLine="530"/>
        <w:spacing w:before="128" w:line="299" w:lineRule="auto"/>
        <w:rPr>
          <w:rFonts w:ascii="FangSong" w:hAnsi="FangSong" w:eastAsia="FangSong" w:cs="FangSong"/>
          <w:sz w:val="21"/>
          <w:szCs w:val="21"/>
        </w:rPr>
      </w:pPr>
      <w:r>
        <w:rPr>
          <w:rFonts w:ascii="FangSong" w:hAnsi="FangSong" w:eastAsia="FangSong" w:cs="FangSong"/>
          <w:sz w:val="26"/>
          <w:szCs w:val="26"/>
          <w:spacing w:val="4"/>
        </w:rPr>
        <w:t>2、2.4当甲方退市或更换售电公司时，如已签订的合同未履行完毕，</w:t>
      </w:r>
      <w:r>
        <w:rPr>
          <w:rFonts w:ascii="FangSong" w:hAnsi="FangSong" w:eastAsia="FangSong" w:cs="FangSong"/>
          <w:sz w:val="26"/>
          <w:szCs w:val="26"/>
        </w:rPr>
        <w:t xml:space="preserve"> </w:t>
      </w:r>
      <w:r>
        <w:rPr>
          <w:rFonts w:ascii="FangSong" w:hAnsi="FangSong" w:eastAsia="FangSong" w:cs="FangSong"/>
          <w:sz w:val="26"/>
          <w:szCs w:val="26"/>
          <w:spacing w:val="5"/>
        </w:rPr>
        <w:t>须与乙方协商解除《北京市电力零售市场购售电合同》等，并完成电量及</w:t>
      </w:r>
      <w:r>
        <w:rPr>
          <w:rFonts w:ascii="FangSong" w:hAnsi="FangSong" w:eastAsia="FangSong" w:cs="FangSong"/>
          <w:sz w:val="26"/>
          <w:szCs w:val="26"/>
          <w:spacing w:val="18"/>
        </w:rPr>
        <w:t xml:space="preserve"> </w:t>
      </w:r>
      <w:r>
        <w:rPr>
          <w:rFonts w:ascii="FangSong" w:hAnsi="FangSong" w:eastAsia="FangSong" w:cs="FangSong"/>
          <w:sz w:val="21"/>
          <w:szCs w:val="21"/>
          <w:spacing w:val="32"/>
        </w:rPr>
        <w:t>费用清算</w:t>
      </w:r>
      <w:r>
        <w:rPr>
          <w:rFonts w:ascii="FangSong" w:hAnsi="FangSong" w:eastAsia="FangSong" w:cs="FangSong"/>
          <w:sz w:val="21"/>
          <w:szCs w:val="21"/>
          <w:spacing w:val="-43"/>
        </w:rPr>
        <w:t xml:space="preserve"> </w:t>
      </w:r>
      <w:r>
        <w:rPr>
          <w:rFonts w:ascii="FangSong" w:hAnsi="FangSong" w:eastAsia="FangSong" w:cs="FangSong"/>
          <w:sz w:val="21"/>
          <w:szCs w:val="21"/>
          <w:spacing w:val="32"/>
        </w:rPr>
        <w:t>。</w:t>
      </w:r>
    </w:p>
    <w:p>
      <w:pPr>
        <w:ind w:left="548"/>
        <w:spacing w:before="127" w:line="222" w:lineRule="auto"/>
        <w:outlineLvl w:val="3"/>
        <w:rPr>
          <w:rFonts w:ascii="FangSong" w:hAnsi="FangSong" w:eastAsia="FangSong" w:cs="FangSong"/>
          <w:sz w:val="26"/>
          <w:szCs w:val="26"/>
        </w:rPr>
      </w:pPr>
      <w:r>
        <w:rPr>
          <w:rFonts w:ascii="FangSong" w:hAnsi="FangSong" w:eastAsia="FangSong" w:cs="FangSong"/>
          <w:sz w:val="26"/>
          <w:szCs w:val="26"/>
          <w:b/>
          <w:bCs/>
          <w:spacing w:val="13"/>
        </w:rPr>
        <w:t>2.3乙方的权利</w:t>
      </w:r>
    </w:p>
    <w:p>
      <w:pPr>
        <w:ind w:left="545"/>
        <w:spacing w:before="137" w:line="220" w:lineRule="auto"/>
        <w:rPr>
          <w:rFonts w:ascii="FangSong" w:hAnsi="FangSong" w:eastAsia="FangSong" w:cs="FangSong"/>
          <w:sz w:val="26"/>
          <w:szCs w:val="26"/>
        </w:rPr>
      </w:pPr>
      <w:r>
        <w:rPr>
          <w:rFonts w:ascii="FangSong" w:hAnsi="FangSong" w:eastAsia="FangSong" w:cs="FangSong"/>
          <w:sz w:val="26"/>
          <w:szCs w:val="26"/>
          <w:spacing w:val="2"/>
        </w:rPr>
        <w:t>获得甲方履行本合同义务相关的信息、资料及查阅计量电量数据。</w:t>
      </w:r>
    </w:p>
    <w:p>
      <w:pPr>
        <w:ind w:left="548"/>
        <w:spacing w:before="120" w:line="223" w:lineRule="auto"/>
        <w:outlineLvl w:val="3"/>
        <w:rPr>
          <w:rFonts w:ascii="FangSong" w:hAnsi="FangSong" w:eastAsia="FangSong" w:cs="FangSong"/>
          <w:sz w:val="26"/>
          <w:szCs w:val="26"/>
        </w:rPr>
      </w:pPr>
      <w:r>
        <w:rPr>
          <w:rFonts w:ascii="FangSong" w:hAnsi="FangSong" w:eastAsia="FangSong" w:cs="FangSong"/>
          <w:sz w:val="26"/>
          <w:szCs w:val="26"/>
          <w:b/>
          <w:bCs/>
          <w:spacing w:val="10"/>
        </w:rPr>
        <w:t>2.4乙方的义务</w:t>
      </w:r>
    </w:p>
    <w:p>
      <w:pPr>
        <w:ind w:left="14" w:right="1261" w:firstLine="530"/>
        <w:spacing w:before="119" w:line="265" w:lineRule="auto"/>
        <w:rPr>
          <w:rFonts w:ascii="FangSong" w:hAnsi="FangSong" w:eastAsia="FangSong" w:cs="FangSong"/>
          <w:sz w:val="26"/>
          <w:szCs w:val="26"/>
        </w:rPr>
      </w:pPr>
      <w:r>
        <w:rPr>
          <w:rFonts w:ascii="FangSong" w:hAnsi="FangSong" w:eastAsia="FangSong" w:cs="FangSong"/>
          <w:sz w:val="26"/>
          <w:szCs w:val="26"/>
          <w:spacing w:val="10"/>
        </w:rPr>
        <w:t>2.4.1按照国家有关法律、规定和技术</w:t>
      </w:r>
      <w:r>
        <w:rPr>
          <w:rFonts w:ascii="FangSong" w:hAnsi="FangSong" w:eastAsia="FangSong" w:cs="FangSong"/>
          <w:sz w:val="26"/>
          <w:szCs w:val="26"/>
          <w:spacing w:val="9"/>
        </w:rPr>
        <w:t>规范，为甲方提供电力交易销</w:t>
      </w:r>
      <w:r>
        <w:rPr>
          <w:rFonts w:ascii="FangSong" w:hAnsi="FangSong" w:eastAsia="FangSong" w:cs="FangSong"/>
          <w:sz w:val="26"/>
          <w:szCs w:val="26"/>
        </w:rPr>
        <w:t xml:space="preserve"> </w:t>
      </w:r>
      <w:r>
        <w:rPr>
          <w:rFonts w:ascii="FangSong" w:hAnsi="FangSong" w:eastAsia="FangSong" w:cs="FangSong"/>
          <w:sz w:val="26"/>
          <w:szCs w:val="26"/>
          <w:spacing w:val="-1"/>
        </w:rPr>
        <w:t>售服务，参与批发市场交易并按规定结算。</w:t>
      </w:r>
    </w:p>
    <w:p>
      <w:pPr>
        <w:ind w:left="14" w:right="1237" w:firstLine="530"/>
        <w:spacing w:before="120" w:line="284" w:lineRule="auto"/>
        <w:rPr>
          <w:rFonts w:ascii="FangSong" w:hAnsi="FangSong" w:eastAsia="FangSong" w:cs="FangSong"/>
          <w:sz w:val="26"/>
          <w:szCs w:val="26"/>
        </w:rPr>
      </w:pPr>
      <w:r>
        <w:rPr>
          <w:rFonts w:ascii="FangSong" w:hAnsi="FangSong" w:eastAsia="FangSong" w:cs="FangSong"/>
          <w:sz w:val="26"/>
          <w:szCs w:val="26"/>
          <w:spacing w:val="9"/>
        </w:rPr>
        <w:t>2.4.2按规定披露和提供信息，向甲方及时准确宣传解释相关电力市</w:t>
      </w:r>
      <w:r>
        <w:rPr>
          <w:rFonts w:ascii="FangSong" w:hAnsi="FangSong" w:eastAsia="FangSong" w:cs="FangSong"/>
          <w:sz w:val="26"/>
          <w:szCs w:val="26"/>
          <w:spacing w:val="8"/>
        </w:rPr>
        <w:t xml:space="preserve"> </w:t>
      </w:r>
      <w:r>
        <w:rPr>
          <w:rFonts w:ascii="FangSong" w:hAnsi="FangSong" w:eastAsia="FangSong" w:cs="FangSong"/>
          <w:sz w:val="26"/>
          <w:szCs w:val="26"/>
          <w:spacing w:val="7"/>
        </w:rPr>
        <w:t>场结算规则、流程等要求，向甲方提供真实</w:t>
      </w:r>
      <w:r>
        <w:rPr>
          <w:rFonts w:ascii="FangSong" w:hAnsi="FangSong" w:eastAsia="FangSong" w:cs="FangSong"/>
          <w:sz w:val="26"/>
          <w:szCs w:val="26"/>
          <w:spacing w:val="6"/>
        </w:rPr>
        <w:t>准确的有关电力零售套餐交易</w:t>
      </w:r>
      <w:r>
        <w:rPr>
          <w:rFonts w:ascii="FangSong" w:hAnsi="FangSong" w:eastAsia="FangSong" w:cs="FangSong"/>
          <w:sz w:val="26"/>
          <w:szCs w:val="26"/>
        </w:rPr>
        <w:t xml:space="preserve"> </w:t>
      </w:r>
      <w:r>
        <w:rPr>
          <w:rFonts w:ascii="FangSong" w:hAnsi="FangSong" w:eastAsia="FangSong" w:cs="FangSong"/>
          <w:sz w:val="26"/>
          <w:szCs w:val="26"/>
          <w:spacing w:val="6"/>
        </w:rPr>
        <w:t>的相关信息及资料，协助甲方及时签订零售合同、</w:t>
      </w:r>
      <w:r>
        <w:rPr>
          <w:rFonts w:ascii="FangSong" w:hAnsi="FangSong" w:eastAsia="FangSong" w:cs="FangSong"/>
          <w:sz w:val="26"/>
          <w:szCs w:val="26"/>
          <w:spacing w:val="5"/>
        </w:rPr>
        <w:t>固化零售结算模式，不</w:t>
      </w:r>
      <w:r>
        <w:rPr>
          <w:rFonts w:ascii="FangSong" w:hAnsi="FangSong" w:eastAsia="FangSong" w:cs="FangSong"/>
          <w:sz w:val="26"/>
          <w:szCs w:val="26"/>
        </w:rPr>
        <w:t xml:space="preserve"> </w:t>
      </w:r>
      <w:r>
        <w:rPr>
          <w:rFonts w:ascii="FangSong" w:hAnsi="FangSong" w:eastAsia="FangSong" w:cs="FangSong"/>
          <w:sz w:val="26"/>
          <w:szCs w:val="26"/>
        </w:rPr>
        <w:t>得提供虚假的或误导性的信息。</w:t>
      </w:r>
    </w:p>
    <w:p>
      <w:pPr>
        <w:ind w:left="14" w:right="1221" w:firstLine="530"/>
        <w:spacing w:before="143" w:line="281" w:lineRule="auto"/>
        <w:rPr>
          <w:rFonts w:ascii="FangSong" w:hAnsi="FangSong" w:eastAsia="FangSong" w:cs="FangSong"/>
          <w:sz w:val="26"/>
          <w:szCs w:val="26"/>
        </w:rPr>
      </w:pPr>
      <w:r>
        <w:rPr>
          <w:rFonts w:ascii="FangSong" w:hAnsi="FangSong" w:eastAsia="FangSong" w:cs="FangSong"/>
          <w:sz w:val="26"/>
          <w:szCs w:val="26"/>
          <w:spacing w:val="11"/>
        </w:rPr>
        <w:t>2.4.3当甲方退市或更换售电公司时，以及当乙方因无</w:t>
      </w:r>
      <w:r>
        <w:rPr>
          <w:rFonts w:ascii="FangSong" w:hAnsi="FangSong" w:eastAsia="FangSong" w:cs="FangSong"/>
          <w:sz w:val="26"/>
          <w:szCs w:val="26"/>
          <w:spacing w:val="10"/>
        </w:rPr>
        <w:t>力提供售电服</w:t>
      </w:r>
      <w:r>
        <w:rPr>
          <w:rFonts w:ascii="FangSong" w:hAnsi="FangSong" w:eastAsia="FangSong" w:cs="FangSong"/>
          <w:sz w:val="26"/>
          <w:szCs w:val="26"/>
        </w:rPr>
        <w:t xml:space="preserve"> </w:t>
      </w:r>
      <w:r>
        <w:rPr>
          <w:rFonts w:ascii="FangSong" w:hAnsi="FangSong" w:eastAsia="FangSong" w:cs="FangSong"/>
          <w:sz w:val="26"/>
          <w:szCs w:val="26"/>
          <w:spacing w:val="7"/>
        </w:rPr>
        <w:t>务或按国家规定的程序强制退出市场时，须处理已签订但未履行或未履行</w:t>
      </w:r>
      <w:r>
        <w:rPr>
          <w:rFonts w:ascii="FangSong" w:hAnsi="FangSong" w:eastAsia="FangSong" w:cs="FangSong"/>
          <w:sz w:val="26"/>
          <w:szCs w:val="26"/>
          <w:spacing w:val="3"/>
        </w:rPr>
        <w:t xml:space="preserve"> </w:t>
      </w:r>
      <w:r>
        <w:rPr>
          <w:rFonts w:ascii="FangSong" w:hAnsi="FangSong" w:eastAsia="FangSong" w:cs="FangSong"/>
          <w:sz w:val="26"/>
          <w:szCs w:val="26"/>
        </w:rPr>
        <w:t>完毕的合同，并完成电量及费用清算。</w:t>
      </w:r>
    </w:p>
    <w:p>
      <w:pPr>
        <w:ind w:left="14" w:right="1222" w:firstLine="530"/>
        <w:spacing w:before="119" w:line="271" w:lineRule="auto"/>
        <w:rPr>
          <w:rFonts w:ascii="FangSong" w:hAnsi="FangSong" w:eastAsia="FangSong" w:cs="FangSong"/>
          <w:sz w:val="26"/>
          <w:szCs w:val="26"/>
        </w:rPr>
      </w:pPr>
      <w:r>
        <w:rPr>
          <w:rFonts w:ascii="FangSong" w:hAnsi="FangSong" w:eastAsia="FangSong" w:cs="FangSong"/>
          <w:sz w:val="26"/>
          <w:szCs w:val="26"/>
          <w:spacing w:val="11"/>
        </w:rPr>
        <w:t>2.4.4在本合同交易周期内，甲乙双方协商一致解除本</w:t>
      </w:r>
      <w:r>
        <w:rPr>
          <w:rFonts w:ascii="FangSong" w:hAnsi="FangSong" w:eastAsia="FangSong" w:cs="FangSong"/>
          <w:sz w:val="26"/>
          <w:szCs w:val="26"/>
          <w:spacing w:val="10"/>
        </w:rPr>
        <w:t>合同的，乙方</w:t>
      </w:r>
      <w:r>
        <w:rPr>
          <w:rFonts w:ascii="FangSong" w:hAnsi="FangSong" w:eastAsia="FangSong" w:cs="FangSong"/>
          <w:sz w:val="26"/>
          <w:szCs w:val="26"/>
        </w:rPr>
        <w:t xml:space="preserve"> </w:t>
      </w:r>
      <w:r>
        <w:rPr>
          <w:rFonts w:ascii="FangSong" w:hAnsi="FangSong" w:eastAsia="FangSong" w:cs="FangSong"/>
          <w:sz w:val="26"/>
          <w:szCs w:val="26"/>
          <w:spacing w:val="1"/>
        </w:rPr>
        <w:t>应配合更换</w:t>
      </w:r>
      <w:r>
        <w:rPr>
          <w:rFonts w:ascii="Times New Roman" w:hAnsi="Times New Roman" w:eastAsia="Times New Roman" w:cs="Times New Roman"/>
          <w:sz w:val="26"/>
          <w:szCs w:val="26"/>
        </w:rPr>
        <w:t>PPA</w:t>
      </w:r>
      <w:r>
        <w:rPr>
          <w:rFonts w:ascii="Times New Roman" w:hAnsi="Times New Roman" w:eastAsia="Times New Roman" w:cs="Times New Roman"/>
          <w:sz w:val="26"/>
          <w:szCs w:val="26"/>
          <w:spacing w:val="-17"/>
        </w:rPr>
        <w:t xml:space="preserve"> </w:t>
      </w:r>
      <w:r>
        <w:rPr>
          <w:rFonts w:ascii="FangSong" w:hAnsi="FangSong" w:eastAsia="FangSong" w:cs="FangSong"/>
          <w:sz w:val="26"/>
          <w:szCs w:val="26"/>
          <w:spacing w:val="1"/>
        </w:rPr>
        <w:t>协议中的售电公司。</w:t>
      </w:r>
    </w:p>
    <w:p>
      <w:pPr>
        <w:ind w:left="14" w:right="1200" w:firstLine="530"/>
        <w:spacing w:before="138" w:line="288" w:lineRule="auto"/>
        <w:rPr>
          <w:rFonts w:ascii="FangSong" w:hAnsi="FangSong" w:eastAsia="FangSong" w:cs="FangSong"/>
          <w:sz w:val="21"/>
          <w:szCs w:val="21"/>
        </w:rPr>
      </w:pPr>
      <w:r>
        <w:rPr>
          <w:rFonts w:ascii="FangSong" w:hAnsi="FangSong" w:eastAsia="FangSong" w:cs="FangSong"/>
          <w:sz w:val="26"/>
          <w:szCs w:val="26"/>
          <w:spacing w:val="11"/>
        </w:rPr>
        <w:t>2.4.5按照国家规定，作为可再生能源电力的消纳责任主体，承担可</w:t>
      </w:r>
      <w:r>
        <w:rPr>
          <w:rFonts w:ascii="FangSong" w:hAnsi="FangSong" w:eastAsia="FangSong" w:cs="FangSong"/>
          <w:sz w:val="26"/>
          <w:szCs w:val="26"/>
          <w:spacing w:val="16"/>
        </w:rPr>
        <w:t xml:space="preserve"> </w:t>
      </w:r>
      <w:r>
        <w:rPr>
          <w:rFonts w:ascii="FangSong" w:hAnsi="FangSong" w:eastAsia="FangSong" w:cs="FangSong"/>
          <w:sz w:val="21"/>
          <w:szCs w:val="21"/>
          <w:spacing w:val="46"/>
        </w:rPr>
        <w:t>再生能源电力的消纳责任</w:t>
      </w:r>
      <w:r>
        <w:rPr>
          <w:rFonts w:ascii="FangSong" w:hAnsi="FangSong" w:eastAsia="FangSong" w:cs="FangSong"/>
          <w:sz w:val="21"/>
          <w:szCs w:val="21"/>
          <w:spacing w:val="-46"/>
        </w:rPr>
        <w:t xml:space="preserve"> </w:t>
      </w:r>
      <w:r>
        <w:rPr>
          <w:rFonts w:ascii="FangSong" w:hAnsi="FangSong" w:eastAsia="FangSong" w:cs="FangSong"/>
          <w:sz w:val="21"/>
          <w:szCs w:val="21"/>
          <w:spacing w:val="46"/>
        </w:rPr>
        <w:t>。</w:t>
      </w:r>
    </w:p>
    <w:p>
      <w:pPr>
        <w:ind w:left="548"/>
        <w:spacing w:before="115" w:line="222" w:lineRule="auto"/>
        <w:outlineLvl w:val="3"/>
        <w:rPr>
          <w:rFonts w:ascii="FangSong" w:hAnsi="FangSong" w:eastAsia="FangSong" w:cs="FangSong"/>
          <w:sz w:val="26"/>
          <w:szCs w:val="26"/>
        </w:rPr>
      </w:pPr>
      <w:r>
        <w:rPr>
          <w:rFonts w:ascii="FangSong" w:hAnsi="FangSong" w:eastAsia="FangSong" w:cs="FangSong"/>
          <w:sz w:val="26"/>
          <w:szCs w:val="26"/>
          <w:b/>
          <w:bCs/>
          <w:spacing w:val="17"/>
        </w:rPr>
        <w:t>2.5其他</w:t>
      </w:r>
    </w:p>
    <w:p>
      <w:pPr>
        <w:ind w:left="545"/>
        <w:spacing w:before="160" w:line="221" w:lineRule="auto"/>
        <w:rPr>
          <w:rFonts w:ascii="FangSong" w:hAnsi="FangSong" w:eastAsia="FangSong" w:cs="FangSong"/>
          <w:sz w:val="26"/>
          <w:szCs w:val="26"/>
        </w:rPr>
      </w:pPr>
      <w:r>
        <w:rPr>
          <w:rFonts w:ascii="FangSong" w:hAnsi="FangSong" w:eastAsia="FangSong" w:cs="FangSong"/>
          <w:sz w:val="26"/>
          <w:szCs w:val="26"/>
          <w:spacing w:val="6"/>
        </w:rPr>
        <w:t>2.5.1合同双方权利义务其他未尽事宜，按照国家有关规则要求执行。</w:t>
      </w:r>
    </w:p>
    <w:p>
      <w:pPr>
        <w:pStyle w:val="BodyText"/>
        <w:spacing w:line="299" w:lineRule="auto"/>
        <w:rPr/>
      </w:pPr>
      <w:r/>
    </w:p>
    <w:p>
      <w:pPr>
        <w:pStyle w:val="BodyText"/>
        <w:spacing w:line="299" w:lineRule="auto"/>
        <w:rPr/>
      </w:pPr>
      <w:r/>
    </w:p>
    <w:p>
      <w:pPr>
        <w:pStyle w:val="BodyText"/>
        <w:spacing w:line="300" w:lineRule="auto"/>
        <w:rPr/>
      </w:pPr>
      <w:r/>
    </w:p>
    <w:p>
      <w:pPr>
        <w:pStyle w:val="BodyText"/>
        <w:spacing w:line="300" w:lineRule="auto"/>
        <w:rPr/>
      </w:pPr>
      <w:r/>
    </w:p>
    <w:p>
      <w:pPr>
        <w:ind w:left="3674"/>
        <w:spacing w:before="69" w:line="184" w:lineRule="auto"/>
        <w:rPr>
          <w:rFonts w:ascii="LiSu" w:hAnsi="LiSu" w:eastAsia="LiSu" w:cs="LiSu"/>
          <w:sz w:val="21"/>
          <w:szCs w:val="21"/>
        </w:rPr>
      </w:pPr>
      <w:r>
        <w:rPr>
          <w:rFonts w:ascii="LiSu" w:hAnsi="LiSu" w:eastAsia="LiSu" w:cs="LiSu"/>
          <w:sz w:val="21"/>
          <w:szCs w:val="21"/>
          <w:spacing w:val="33"/>
        </w:rPr>
        <w:t>第5页共17页</w:t>
      </w:r>
    </w:p>
    <w:p>
      <w:pPr>
        <w:spacing w:line="184" w:lineRule="auto"/>
        <w:sectPr>
          <w:footerReference w:type="default" r:id="rId9"/>
          <w:pgSz w:w="11900" w:h="16840"/>
          <w:pgMar w:top="1431" w:right="330" w:bottom="789" w:left="1785" w:header="0" w:footer="225" w:gutter="0"/>
        </w:sectPr>
        <w:rPr>
          <w:rFonts w:ascii="LiSu" w:hAnsi="LiSu" w:eastAsia="LiSu" w:cs="LiSu"/>
          <w:sz w:val="21"/>
          <w:szCs w:val="21"/>
        </w:rPr>
      </w:pPr>
    </w:p>
    <w:p>
      <w:pPr>
        <w:ind w:left="3884"/>
        <w:spacing w:before="54" w:line="221" w:lineRule="auto"/>
        <w:rPr>
          <w:rFonts w:ascii="SimHei" w:hAnsi="SimHei" w:eastAsia="SimHei" w:cs="SimHei"/>
          <w:sz w:val="27"/>
          <w:szCs w:val="27"/>
        </w:rPr>
      </w:pPr>
      <w:r>
        <w:rPr>
          <w:rFonts w:ascii="SimHei" w:hAnsi="SimHei" w:eastAsia="SimHei" w:cs="SimHei"/>
          <w:sz w:val="27"/>
          <w:szCs w:val="27"/>
          <w:spacing w:val="43"/>
        </w:rPr>
        <w:t>第三章零售套餐交易信息</w:t>
      </w:r>
    </w:p>
    <w:p>
      <w:pPr>
        <w:ind w:left="1394" w:right="1346" w:firstLine="550"/>
        <w:spacing w:before="85" w:line="302" w:lineRule="auto"/>
        <w:rPr>
          <w:rFonts w:ascii="FangSong" w:hAnsi="FangSong" w:eastAsia="FangSong" w:cs="FangSong"/>
          <w:sz w:val="27"/>
          <w:szCs w:val="27"/>
        </w:rPr>
      </w:pPr>
      <w:r>
        <w:rPr>
          <w:rFonts w:ascii="FangSong" w:hAnsi="FangSong" w:eastAsia="FangSong" w:cs="FangSong"/>
          <w:sz w:val="27"/>
          <w:szCs w:val="27"/>
          <w:spacing w:val="-7"/>
        </w:rPr>
        <w:t>甲乙双方最小交易周期为月，通过签订零售套餐，对</w:t>
      </w:r>
      <w:r>
        <w:rPr>
          <w:rFonts w:ascii="FangSong" w:hAnsi="FangSong" w:eastAsia="FangSong" w:cs="FangSong"/>
          <w:sz w:val="27"/>
          <w:szCs w:val="27"/>
          <w:spacing w:val="-8"/>
        </w:rPr>
        <w:t>零售交易的合同</w:t>
      </w:r>
      <w:r>
        <w:rPr>
          <w:rFonts w:ascii="FangSong" w:hAnsi="FangSong" w:eastAsia="FangSong" w:cs="FangSong"/>
          <w:sz w:val="27"/>
          <w:szCs w:val="27"/>
        </w:rPr>
        <w:t xml:space="preserve"> </w:t>
      </w:r>
      <w:r>
        <w:rPr>
          <w:rFonts w:ascii="FangSong" w:hAnsi="FangSong" w:eastAsia="FangSong" w:cs="FangSong"/>
          <w:sz w:val="27"/>
          <w:szCs w:val="27"/>
          <w:spacing w:val="2"/>
        </w:rPr>
        <w:t>电量电价(包括常规电力和绿色电力)、偏差电量电价、超</w:t>
      </w:r>
      <w:r>
        <w:rPr>
          <w:rFonts w:ascii="FangSong" w:hAnsi="FangSong" w:eastAsia="FangSong" w:cs="FangSong"/>
          <w:sz w:val="27"/>
          <w:szCs w:val="27"/>
          <w:spacing w:val="1"/>
        </w:rPr>
        <w:t>额收益分享进</w:t>
      </w:r>
      <w:r>
        <w:rPr>
          <w:rFonts w:ascii="FangSong" w:hAnsi="FangSong" w:eastAsia="FangSong" w:cs="FangSong"/>
          <w:sz w:val="27"/>
          <w:szCs w:val="27"/>
        </w:rPr>
        <w:t xml:space="preserve"> </w:t>
      </w:r>
      <w:r>
        <w:rPr>
          <w:rFonts w:ascii="FangSong" w:hAnsi="FangSong" w:eastAsia="FangSong" w:cs="FangSong"/>
          <w:sz w:val="27"/>
          <w:szCs w:val="27"/>
          <w:spacing w:val="-7"/>
        </w:rPr>
        <w:t>行约定。甲乙双方交易周期及电量、电价等参数约定详见本合同附件二。</w:t>
      </w:r>
      <w:r>
        <w:rPr>
          <w:rFonts w:ascii="FangSong" w:hAnsi="FangSong" w:eastAsia="FangSong" w:cs="FangSong"/>
          <w:sz w:val="27"/>
          <w:szCs w:val="27"/>
          <w:spacing w:val="17"/>
        </w:rPr>
        <w:t xml:space="preserve"> </w:t>
      </w:r>
      <w:r>
        <w:rPr>
          <w:rFonts w:ascii="FangSong" w:hAnsi="FangSong" w:eastAsia="FangSong" w:cs="FangSong"/>
          <w:sz w:val="27"/>
          <w:szCs w:val="27"/>
          <w:spacing w:val="-10"/>
        </w:rPr>
        <w:t>常规电力套餐和绿色电力套餐须选定为同类型套餐。</w:t>
      </w:r>
    </w:p>
    <w:p>
      <w:pPr>
        <w:ind w:left="1914"/>
        <w:spacing w:before="1" w:line="222" w:lineRule="auto"/>
        <w:rPr>
          <w:rFonts w:ascii="KaiTi" w:hAnsi="KaiTi" w:eastAsia="KaiTi" w:cs="KaiTi"/>
          <w:sz w:val="27"/>
          <w:szCs w:val="27"/>
        </w:rPr>
      </w:pPr>
      <w:r>
        <w:rPr>
          <w:rFonts w:ascii="KaiTi" w:hAnsi="KaiTi" w:eastAsia="KaiTi" w:cs="KaiTi"/>
          <w:sz w:val="27"/>
          <w:szCs w:val="27"/>
          <w:spacing w:val="-1"/>
        </w:rPr>
        <w:t>3.1常规电力合同电量电价</w:t>
      </w:r>
    </w:p>
    <w:p>
      <w:pPr>
        <w:ind w:left="1934"/>
        <w:spacing w:before="120" w:line="227" w:lineRule="auto"/>
        <w:rPr>
          <w:rFonts w:ascii="KaiTi" w:hAnsi="KaiTi" w:eastAsia="KaiTi" w:cs="KaiTi"/>
          <w:sz w:val="27"/>
          <w:szCs w:val="27"/>
        </w:rPr>
      </w:pPr>
      <w:r>
        <w:rPr>
          <w:rFonts w:ascii="KaiTi" w:hAnsi="KaiTi" w:eastAsia="KaiTi" w:cs="KaiTi"/>
          <w:sz w:val="27"/>
          <w:szCs w:val="27"/>
          <w:spacing w:val="1"/>
        </w:rPr>
        <w:t>3.1.1常规电力电能量价格</w:t>
      </w:r>
    </w:p>
    <w:p>
      <w:pPr>
        <w:ind w:left="1394" w:right="1246" w:firstLine="520"/>
        <w:spacing w:before="71" w:line="306" w:lineRule="auto"/>
        <w:rPr>
          <w:rFonts w:ascii="FangSong" w:hAnsi="FangSong" w:eastAsia="FangSong" w:cs="FangSong"/>
          <w:sz w:val="27"/>
          <w:szCs w:val="27"/>
        </w:rPr>
      </w:pPr>
      <w:r>
        <w:rPr>
          <w:rFonts w:ascii="Times New Roman" w:hAnsi="Times New Roman" w:eastAsia="Times New Roman" w:cs="Times New Roman"/>
          <w:sz w:val="27"/>
          <w:szCs w:val="27"/>
          <w:spacing w:val="-15"/>
        </w:rPr>
        <w:t>A</w:t>
      </w:r>
      <w:r>
        <w:rPr>
          <w:rFonts w:ascii="FangSong" w:hAnsi="FangSong" w:eastAsia="FangSong" w:cs="FangSong"/>
          <w:sz w:val="27"/>
          <w:szCs w:val="27"/>
          <w:spacing w:val="-15"/>
        </w:rPr>
        <w:t>固定价格套餐：双方约定，常规电力电量</w:t>
      </w:r>
      <w:r>
        <w:rPr>
          <w:rFonts w:ascii="Times New Roman" w:hAnsi="Times New Roman" w:eastAsia="Times New Roman" w:cs="Times New Roman"/>
          <w:sz w:val="27"/>
          <w:szCs w:val="27"/>
          <w:spacing w:val="-15"/>
        </w:rPr>
        <w:t>Q  </w:t>
      </w:r>
      <w:r>
        <w:rPr>
          <w:rFonts w:ascii="FangSong" w:hAnsi="FangSong" w:eastAsia="FangSong" w:cs="FangSong"/>
          <w:sz w:val="27"/>
          <w:szCs w:val="27"/>
          <w:spacing w:val="-15"/>
        </w:rPr>
        <w:t>按照固定价格</w:t>
      </w:r>
      <w:r>
        <w:rPr>
          <w:rFonts w:ascii="Times New Roman" w:hAnsi="Times New Roman" w:eastAsia="Times New Roman" w:cs="Times New Roman"/>
          <w:sz w:val="27"/>
          <w:szCs w:val="27"/>
          <w:spacing w:val="-15"/>
        </w:rPr>
        <w:t>P</w:t>
      </w:r>
      <w:r>
        <w:rPr>
          <w:rFonts w:ascii="FangSong" w:hAnsi="FangSong" w:eastAsia="FangSong" w:cs="FangSong"/>
          <w:sz w:val="27"/>
          <w:szCs w:val="27"/>
          <w:spacing w:val="-15"/>
        </w:rPr>
        <w:t>常田结算，</w:t>
      </w:r>
      <w:r>
        <w:rPr>
          <w:rFonts w:ascii="FangSong" w:hAnsi="FangSong" w:eastAsia="FangSong" w:cs="FangSong"/>
          <w:sz w:val="27"/>
          <w:szCs w:val="27"/>
          <w:spacing w:val="18"/>
        </w:rPr>
        <w:t xml:space="preserve"> </w:t>
      </w:r>
      <w:r>
        <w:rPr>
          <w:rFonts w:ascii="FangSong" w:hAnsi="FangSong" w:eastAsia="FangSong" w:cs="FangSong"/>
          <w:sz w:val="27"/>
          <w:szCs w:val="27"/>
          <w:spacing w:val="-9"/>
        </w:rPr>
        <w:t>该价格不随市场价格变化。</w:t>
      </w:r>
    </w:p>
    <w:p>
      <w:pPr>
        <w:ind w:left="5094"/>
        <w:spacing w:line="222" w:lineRule="auto"/>
        <w:rPr>
          <w:rFonts w:ascii="FangSong" w:hAnsi="FangSong" w:eastAsia="FangSong" w:cs="FangSong"/>
          <w:sz w:val="27"/>
          <w:szCs w:val="27"/>
        </w:rPr>
      </w:pPr>
      <w:r>
        <w:rPr>
          <w:rFonts w:ascii="Times New Roman" w:hAnsi="Times New Roman" w:eastAsia="Times New Roman" w:cs="Times New Roman"/>
          <w:sz w:val="27"/>
          <w:szCs w:val="27"/>
          <w:spacing w:val="-12"/>
        </w:rPr>
        <w:t>P</w:t>
      </w:r>
      <w:r>
        <w:rPr>
          <w:rFonts w:ascii="FangSong" w:hAnsi="FangSong" w:eastAsia="FangSong" w:cs="FangSong"/>
          <w:sz w:val="27"/>
          <w:szCs w:val="27"/>
          <w:spacing w:val="-12"/>
        </w:rPr>
        <w:t>常=</w:t>
      </w:r>
      <w:r>
        <w:rPr>
          <w:rFonts w:ascii="Times New Roman" w:hAnsi="Times New Roman" w:eastAsia="Times New Roman" w:cs="Times New Roman"/>
          <w:sz w:val="27"/>
          <w:szCs w:val="27"/>
          <w:spacing w:val="-12"/>
        </w:rPr>
        <w:t>P</w:t>
      </w:r>
      <w:r>
        <w:rPr>
          <w:rFonts w:ascii="FangSong" w:hAnsi="FangSong" w:eastAsia="FangSong" w:cs="FangSong"/>
          <w:sz w:val="27"/>
          <w:szCs w:val="27"/>
          <w:spacing w:val="-12"/>
        </w:rPr>
        <w:t>常四</w:t>
      </w:r>
    </w:p>
    <w:p>
      <w:pPr>
        <w:ind w:left="1374" w:right="1268" w:firstLine="540"/>
        <w:spacing w:before="93" w:line="298" w:lineRule="auto"/>
        <w:jc w:val="both"/>
        <w:rPr>
          <w:rFonts w:ascii="FangSong" w:hAnsi="FangSong" w:eastAsia="FangSong" w:cs="FangSong"/>
          <w:sz w:val="27"/>
          <w:szCs w:val="27"/>
        </w:rPr>
      </w:pPr>
      <w:r>
        <w:rPr>
          <w:rFonts w:ascii="Times New Roman" w:hAnsi="Times New Roman" w:eastAsia="Times New Roman" w:cs="Times New Roman"/>
          <w:sz w:val="27"/>
          <w:szCs w:val="27"/>
          <w:spacing w:val="1"/>
        </w:rPr>
        <w:t>B</w:t>
      </w:r>
      <w:r>
        <w:rPr>
          <w:rFonts w:ascii="FangSong" w:hAnsi="FangSong" w:eastAsia="FangSong" w:cs="FangSong"/>
          <w:sz w:val="27"/>
          <w:szCs w:val="27"/>
          <w:spacing w:val="1"/>
        </w:rPr>
        <w:t>联动价格套餐：双方约定，常规电力电量</w:t>
      </w:r>
      <w:r>
        <w:rPr>
          <w:rFonts w:ascii="Times New Roman" w:hAnsi="Times New Roman" w:eastAsia="Times New Roman" w:cs="Times New Roman"/>
          <w:sz w:val="27"/>
          <w:szCs w:val="27"/>
          <w:spacing w:val="1"/>
        </w:rPr>
        <w:t>Q</w:t>
      </w:r>
      <w:r>
        <w:rPr>
          <w:rFonts w:ascii="FangSong" w:hAnsi="FangSong" w:eastAsia="FangSong" w:cs="FangSong"/>
          <w:sz w:val="27"/>
          <w:szCs w:val="27"/>
        </w:rPr>
        <w:t>按照常规电力基准价格</w:t>
      </w:r>
      <w:r>
        <w:rPr>
          <w:rFonts w:ascii="FangSong" w:hAnsi="FangSong" w:eastAsia="FangSong" w:cs="FangSong"/>
          <w:sz w:val="27"/>
          <w:szCs w:val="27"/>
        </w:rPr>
        <w:t xml:space="preserve"> </w:t>
      </w:r>
      <w:r>
        <w:rPr>
          <w:rFonts w:ascii="Times New Roman" w:hAnsi="Times New Roman" w:eastAsia="Times New Roman" w:cs="Times New Roman"/>
          <w:sz w:val="27"/>
          <w:szCs w:val="27"/>
          <w:spacing w:val="4"/>
        </w:rPr>
        <w:t>P    </w:t>
      </w:r>
      <w:r>
        <w:rPr>
          <w:rFonts w:ascii="FangSong" w:hAnsi="FangSong" w:eastAsia="FangSong" w:cs="FangSong"/>
          <w:sz w:val="27"/>
          <w:szCs w:val="27"/>
          <w:spacing w:val="4"/>
        </w:rPr>
        <w:t>叠加浮动价格</w:t>
      </w:r>
      <w:r>
        <w:rPr>
          <w:rFonts w:ascii="Times New Roman" w:hAnsi="Times New Roman" w:eastAsia="Times New Roman" w:cs="Times New Roman"/>
          <w:sz w:val="27"/>
          <w:szCs w:val="27"/>
          <w:spacing w:val="4"/>
        </w:rPr>
        <w:t>P    </w:t>
      </w:r>
      <w:r>
        <w:rPr>
          <w:rFonts w:ascii="FangSong" w:hAnsi="FangSong" w:eastAsia="FangSong" w:cs="FangSong"/>
          <w:sz w:val="27"/>
          <w:szCs w:val="27"/>
          <w:spacing w:val="4"/>
        </w:rPr>
        <w:t>结算。常规电力基准价格</w:t>
      </w:r>
      <w:r>
        <w:rPr>
          <w:rFonts w:ascii="Times New Roman" w:hAnsi="Times New Roman" w:eastAsia="Times New Roman" w:cs="Times New Roman"/>
          <w:sz w:val="27"/>
          <w:szCs w:val="27"/>
        </w:rPr>
        <w:t>Pe</w:t>
      </w:r>
      <w:r>
        <w:rPr>
          <w:rFonts w:ascii="Times New Roman" w:hAnsi="Times New Roman" w:eastAsia="Times New Roman" w:cs="Times New Roman"/>
          <w:sz w:val="27"/>
          <w:szCs w:val="27"/>
          <w:spacing w:val="7"/>
        </w:rPr>
        <w:t xml:space="preserve">   </w:t>
      </w:r>
      <w:r>
        <w:rPr>
          <w:rFonts w:ascii="FangSong" w:hAnsi="FangSong" w:eastAsia="FangSong" w:cs="FangSong"/>
          <w:sz w:val="27"/>
          <w:szCs w:val="27"/>
          <w:spacing w:val="4"/>
        </w:rPr>
        <w:t>可以选择常规</w:t>
      </w:r>
      <w:r>
        <w:rPr>
          <w:rFonts w:ascii="FangSong" w:hAnsi="FangSong" w:eastAsia="FangSong" w:cs="FangSong"/>
          <w:sz w:val="27"/>
          <w:szCs w:val="27"/>
          <w:spacing w:val="3"/>
        </w:rPr>
        <w:t>电力批</w:t>
      </w:r>
      <w:r>
        <w:rPr>
          <w:rFonts w:ascii="FangSong" w:hAnsi="FangSong" w:eastAsia="FangSong" w:cs="FangSong"/>
          <w:sz w:val="27"/>
          <w:szCs w:val="27"/>
          <w:spacing w:val="1"/>
        </w:rPr>
        <w:t xml:space="preserve"> </w:t>
      </w:r>
      <w:r>
        <w:rPr>
          <w:rFonts w:ascii="FangSong" w:hAnsi="FangSong" w:eastAsia="FangSong" w:cs="FangSong"/>
          <w:sz w:val="27"/>
          <w:szCs w:val="27"/>
          <w:spacing w:val="-4"/>
        </w:rPr>
        <w:t>发市场合同均价</w:t>
      </w:r>
      <w:r>
        <w:rPr>
          <w:rFonts w:ascii="SimSun" w:hAnsi="SimSun" w:eastAsia="SimSun" w:cs="SimSun"/>
          <w:sz w:val="27"/>
          <w:szCs w:val="27"/>
          <w:spacing w:val="-4"/>
        </w:rPr>
        <w:t>P </w:t>
      </w:r>
      <w:r>
        <w:rPr>
          <w:rFonts w:ascii="FangSong" w:hAnsi="FangSong" w:eastAsia="FangSong" w:cs="FangSong"/>
          <w:sz w:val="27"/>
          <w:szCs w:val="27"/>
          <w:spacing w:val="-4"/>
        </w:rPr>
        <w:t>批作为联动基准，也可以选择签约售电公司的常规电力</w:t>
      </w:r>
      <w:r>
        <w:rPr>
          <w:rFonts w:ascii="FangSong" w:hAnsi="FangSong" w:eastAsia="FangSong" w:cs="FangSong"/>
          <w:sz w:val="27"/>
          <w:szCs w:val="27"/>
          <w:spacing w:val="4"/>
        </w:rPr>
        <w:t xml:space="preserve"> </w:t>
      </w:r>
      <w:r>
        <w:rPr>
          <w:rFonts w:ascii="FangSong" w:hAnsi="FangSong" w:eastAsia="FangSong" w:cs="FangSong"/>
          <w:sz w:val="27"/>
          <w:szCs w:val="27"/>
          <w:spacing w:val="-16"/>
        </w:rPr>
        <w:t>批发合同均价</w:t>
      </w:r>
      <w:r>
        <w:rPr>
          <w:rFonts w:ascii="SimSun" w:hAnsi="SimSun" w:eastAsia="SimSun" w:cs="SimSun"/>
          <w:sz w:val="27"/>
          <w:szCs w:val="27"/>
          <w:spacing w:val="-16"/>
        </w:rPr>
        <w:t>P</w:t>
      </w:r>
      <w:r>
        <w:rPr>
          <w:rFonts w:ascii="SimSun" w:hAnsi="SimSun" w:eastAsia="SimSun" w:cs="SimSun"/>
          <w:sz w:val="27"/>
          <w:szCs w:val="27"/>
          <w:spacing w:val="-61"/>
        </w:rPr>
        <w:t xml:space="preserve"> </w:t>
      </w:r>
      <w:r>
        <w:rPr>
          <w:rFonts w:ascii="FangSong" w:hAnsi="FangSong" w:eastAsia="FangSong" w:cs="FangSong"/>
          <w:sz w:val="27"/>
          <w:szCs w:val="27"/>
          <w:spacing w:val="-16"/>
        </w:rPr>
        <w:t>常传作为联动基准。</w:t>
      </w:r>
      <w:r>
        <w:rPr>
          <w:rFonts w:ascii="SimSun" w:hAnsi="SimSun" w:eastAsia="SimSun" w:cs="SimSun"/>
          <w:sz w:val="27"/>
          <w:szCs w:val="27"/>
          <w:spacing w:val="-16"/>
        </w:rPr>
        <w:t>P</w:t>
      </w:r>
      <w:r>
        <w:rPr>
          <w:rFonts w:ascii="SimSun" w:hAnsi="SimSun" w:eastAsia="SimSun" w:cs="SimSun"/>
          <w:sz w:val="27"/>
          <w:szCs w:val="27"/>
          <w:spacing w:val="-44"/>
        </w:rPr>
        <w:t xml:space="preserve"> </w:t>
      </w:r>
      <w:r>
        <w:rPr>
          <w:rFonts w:ascii="FangSong" w:hAnsi="FangSong" w:eastAsia="FangSong" w:cs="FangSong"/>
          <w:sz w:val="27"/>
          <w:szCs w:val="27"/>
          <w:spacing w:val="-16"/>
        </w:rPr>
        <w:t>常开可以为正值、零、负值。当签约售</w:t>
      </w:r>
      <w:r>
        <w:rPr>
          <w:rFonts w:ascii="FangSong" w:hAnsi="FangSong" w:eastAsia="FangSong" w:cs="FangSong"/>
          <w:sz w:val="27"/>
          <w:szCs w:val="27"/>
        </w:rPr>
        <w:t xml:space="preserve"> </w:t>
      </w:r>
      <w:r>
        <w:rPr>
          <w:rFonts w:ascii="FangSong" w:hAnsi="FangSong" w:eastAsia="FangSong" w:cs="FangSong"/>
          <w:sz w:val="27"/>
          <w:szCs w:val="27"/>
          <w:spacing w:val="-17"/>
        </w:rPr>
        <w:t>电公司未签订常规电力批发合同时，</w:t>
      </w:r>
      <w:r>
        <w:rPr>
          <w:rFonts w:ascii="Times New Roman" w:hAnsi="Times New Roman" w:eastAsia="Times New Roman" w:cs="Times New Roman"/>
          <w:sz w:val="27"/>
          <w:szCs w:val="27"/>
          <w:spacing w:val="-17"/>
        </w:rPr>
        <w:t>P</w:t>
      </w:r>
      <w:r>
        <w:rPr>
          <w:rFonts w:ascii="FangSong" w:hAnsi="FangSong" w:eastAsia="FangSong" w:cs="FangSong"/>
          <w:sz w:val="27"/>
          <w:szCs w:val="27"/>
          <w:spacing w:val="-17"/>
        </w:rPr>
        <w:t>常共默认取值为</w:t>
      </w:r>
      <w:r>
        <w:rPr>
          <w:rFonts w:ascii="Times New Roman" w:hAnsi="Times New Roman" w:eastAsia="Times New Roman" w:cs="Times New Roman"/>
          <w:sz w:val="27"/>
          <w:szCs w:val="27"/>
          <w:spacing w:val="-18"/>
        </w:rPr>
        <w:t>P</w:t>
      </w:r>
      <w:r>
        <w:rPr>
          <w:rFonts w:ascii="FangSong" w:hAnsi="FangSong" w:eastAsia="FangSong" w:cs="FangSong"/>
          <w:sz w:val="27"/>
          <w:szCs w:val="27"/>
          <w:spacing w:val="-18"/>
        </w:rPr>
        <w:t>常批。</w:t>
      </w:r>
    </w:p>
    <w:p>
      <w:pPr>
        <w:ind w:left="4714"/>
        <w:spacing w:before="25" w:line="227" w:lineRule="auto"/>
        <w:rPr>
          <w:rFonts w:ascii="KaiTi" w:hAnsi="KaiTi" w:eastAsia="KaiTi" w:cs="KaiTi"/>
          <w:sz w:val="27"/>
          <w:szCs w:val="27"/>
        </w:rPr>
      </w:pPr>
      <w:r>
        <w:rPr>
          <w:rFonts w:ascii="Times New Roman" w:hAnsi="Times New Roman" w:eastAsia="Times New Roman" w:cs="Times New Roman"/>
          <w:sz w:val="27"/>
          <w:szCs w:val="27"/>
          <w:spacing w:val="-22"/>
          <w:w w:val="96"/>
        </w:rPr>
        <w:t>P=P</w:t>
      </w:r>
      <w:r>
        <w:rPr>
          <w:rFonts w:ascii="Times New Roman" w:hAnsi="Times New Roman" w:eastAsia="Times New Roman" w:cs="Times New Roman"/>
          <w:sz w:val="27"/>
          <w:szCs w:val="27"/>
          <w:spacing w:val="18"/>
          <w:w w:val="101"/>
        </w:rPr>
        <w:t xml:space="preserve">    </w:t>
      </w:r>
      <w:r>
        <w:rPr>
          <w:rFonts w:ascii="KaiTi" w:hAnsi="KaiTi" w:eastAsia="KaiTi" w:cs="KaiTi"/>
          <w:sz w:val="27"/>
          <w:szCs w:val="27"/>
          <w:spacing w:val="-22"/>
          <w:w w:val="96"/>
        </w:rPr>
        <w:t>常器+</w:t>
      </w:r>
      <w:r>
        <w:rPr>
          <w:rFonts w:ascii="Times New Roman" w:hAnsi="Times New Roman" w:eastAsia="Times New Roman" w:cs="Times New Roman"/>
          <w:sz w:val="27"/>
          <w:szCs w:val="27"/>
          <w:spacing w:val="-22"/>
          <w:w w:val="96"/>
        </w:rPr>
        <w:t>P</w:t>
      </w:r>
      <w:r>
        <w:rPr>
          <w:rFonts w:ascii="KaiTi" w:hAnsi="KaiTi" w:eastAsia="KaiTi" w:cs="KaiTi"/>
          <w:sz w:val="27"/>
          <w:szCs w:val="27"/>
          <w:spacing w:val="-22"/>
          <w:w w:val="96"/>
        </w:rPr>
        <w:t>常浮</w:t>
      </w:r>
    </w:p>
    <w:p>
      <w:pPr>
        <w:ind w:left="1344" w:right="1205" w:firstLine="560"/>
        <w:spacing w:before="71" w:line="299" w:lineRule="auto"/>
        <w:jc w:val="both"/>
        <w:rPr>
          <w:rFonts w:ascii="FangSong" w:hAnsi="FangSong" w:eastAsia="FangSong" w:cs="FangSong"/>
          <w:sz w:val="27"/>
          <w:szCs w:val="27"/>
        </w:rPr>
      </w:pPr>
      <w:r>
        <w:drawing>
          <wp:anchor distT="0" distB="0" distL="0" distR="0" simplePos="0" relativeHeight="251673600" behindDoc="1" locked="0" layoutInCell="1" allowOverlap="1">
            <wp:simplePos x="0" y="0"/>
            <wp:positionH relativeFrom="column">
              <wp:posOffset>0</wp:posOffset>
            </wp:positionH>
            <wp:positionV relativeFrom="paragraph">
              <wp:posOffset>730713</wp:posOffset>
            </wp:positionV>
            <wp:extent cx="67415" cy="733446"/>
            <wp:effectExtent l="0" t="0" r="0" b="0"/>
            <wp:wrapNone/>
            <wp:docPr id="32" name="IM 32"/>
            <wp:cNvGraphicFramePr/>
            <a:graphic>
              <a:graphicData uri="http://schemas.openxmlformats.org/drawingml/2006/picture">
                <pic:pic>
                  <pic:nvPicPr>
                    <pic:cNvPr id="32" name="IM 32"/>
                    <pic:cNvPicPr/>
                  </pic:nvPicPr>
                  <pic:blipFill>
                    <a:blip r:embed="rId11"/>
                    <a:stretch>
                      <a:fillRect/>
                    </a:stretch>
                  </pic:blipFill>
                  <pic:spPr>
                    <a:xfrm rot="0">
                      <a:off x="0" y="0"/>
                      <a:ext cx="67415" cy="733446"/>
                    </a:xfrm>
                    <a:prstGeom prst="rect">
                      <a:avLst/>
                    </a:prstGeom>
                  </pic:spPr>
                </pic:pic>
              </a:graphicData>
            </a:graphic>
          </wp:anchor>
        </w:drawing>
      </w:r>
      <w:r>
        <w:rPr>
          <w:rFonts w:ascii="Times New Roman" w:hAnsi="Times New Roman" w:eastAsia="Times New Roman" w:cs="Times New Roman"/>
          <w:sz w:val="27"/>
          <w:szCs w:val="27"/>
          <w:spacing w:val="-6"/>
        </w:rPr>
        <w:t>C</w:t>
      </w:r>
      <w:r>
        <w:rPr>
          <w:rFonts w:ascii="FangSong" w:hAnsi="FangSong" w:eastAsia="FangSong" w:cs="FangSong"/>
          <w:sz w:val="27"/>
          <w:szCs w:val="27"/>
          <w:spacing w:val="-6"/>
        </w:rPr>
        <w:t>比例分成套餐：双方约定，常规电力电量</w:t>
      </w:r>
      <w:r>
        <w:rPr>
          <w:rFonts w:ascii="Times New Roman" w:hAnsi="Times New Roman" w:eastAsia="Times New Roman" w:cs="Times New Roman"/>
          <w:sz w:val="27"/>
          <w:szCs w:val="27"/>
          <w:spacing w:val="-6"/>
        </w:rPr>
        <w:t>Q  </w:t>
      </w:r>
      <w:r>
        <w:rPr>
          <w:rFonts w:ascii="FangSong" w:hAnsi="FangSong" w:eastAsia="FangSong" w:cs="FangSong"/>
          <w:sz w:val="27"/>
          <w:szCs w:val="27"/>
          <w:spacing w:val="-6"/>
        </w:rPr>
        <w:t>在约定固定价格</w:t>
      </w:r>
      <w:r>
        <w:rPr>
          <w:rFonts w:ascii="Times New Roman" w:hAnsi="Times New Roman" w:eastAsia="Times New Roman" w:cs="Times New Roman"/>
          <w:sz w:val="27"/>
          <w:szCs w:val="27"/>
          <w:spacing w:val="-6"/>
        </w:rPr>
        <w:t>P</w:t>
      </w:r>
      <w:r>
        <w:rPr>
          <w:rFonts w:ascii="FangSong" w:hAnsi="FangSong" w:eastAsia="FangSong" w:cs="FangSong"/>
          <w:sz w:val="27"/>
          <w:szCs w:val="27"/>
          <w:spacing w:val="-6"/>
        </w:rPr>
        <w:t>常田的</w:t>
      </w:r>
      <w:r>
        <w:rPr>
          <w:rFonts w:ascii="FangSong" w:hAnsi="FangSong" w:eastAsia="FangSong" w:cs="FangSong"/>
          <w:sz w:val="27"/>
          <w:szCs w:val="27"/>
          <w:spacing w:val="7"/>
        </w:rPr>
        <w:t xml:space="preserve"> </w:t>
      </w:r>
      <w:r>
        <w:rPr>
          <w:rFonts w:ascii="FangSong" w:hAnsi="FangSong" w:eastAsia="FangSong" w:cs="FangSong"/>
          <w:sz w:val="27"/>
          <w:szCs w:val="27"/>
          <w:spacing w:val="-3"/>
        </w:rPr>
        <w:t>基础上，将固定价格</w:t>
      </w:r>
      <w:r>
        <w:rPr>
          <w:rFonts w:ascii="SimSun" w:hAnsi="SimSun" w:eastAsia="SimSun" w:cs="SimSun"/>
          <w:sz w:val="27"/>
          <w:szCs w:val="27"/>
          <w:spacing w:val="-3"/>
        </w:rPr>
        <w:t>P</w:t>
      </w:r>
      <w:r>
        <w:rPr>
          <w:rFonts w:ascii="FangSong" w:hAnsi="FangSong" w:eastAsia="FangSong" w:cs="FangSong"/>
          <w:sz w:val="27"/>
          <w:szCs w:val="27"/>
          <w:spacing w:val="-3"/>
        </w:rPr>
        <w:t>田与常规电力批发市场合同均价</w:t>
      </w:r>
      <w:r>
        <w:rPr>
          <w:rFonts w:ascii="SimSun" w:hAnsi="SimSun" w:eastAsia="SimSun" w:cs="SimSun"/>
          <w:sz w:val="27"/>
          <w:szCs w:val="27"/>
          <w:spacing w:val="-3"/>
        </w:rPr>
        <w:t>P</w:t>
      </w:r>
      <w:r>
        <w:rPr>
          <w:rFonts w:ascii="SimSun" w:hAnsi="SimSun" w:eastAsia="SimSun" w:cs="SimSun"/>
          <w:sz w:val="27"/>
          <w:szCs w:val="27"/>
          <w:spacing w:val="-52"/>
        </w:rPr>
        <w:t xml:space="preserve"> </w:t>
      </w:r>
      <w:r>
        <w:rPr>
          <w:rFonts w:ascii="FangSong" w:hAnsi="FangSong" w:eastAsia="FangSong" w:cs="FangSong"/>
          <w:sz w:val="27"/>
          <w:szCs w:val="27"/>
          <w:spacing w:val="-3"/>
        </w:rPr>
        <w:t>常批之间的差值，</w:t>
      </w:r>
      <w:r>
        <w:rPr>
          <w:rFonts w:ascii="FangSong" w:hAnsi="FangSong" w:eastAsia="FangSong" w:cs="FangSong"/>
          <w:sz w:val="27"/>
          <w:szCs w:val="27"/>
        </w:rPr>
        <w:t xml:space="preserve"> </w:t>
      </w:r>
      <w:r>
        <w:rPr>
          <w:rFonts w:ascii="FangSong" w:hAnsi="FangSong" w:eastAsia="FangSong" w:cs="FangSong"/>
          <w:sz w:val="27"/>
          <w:szCs w:val="27"/>
          <w:spacing w:val="2"/>
        </w:rPr>
        <w:t>按照约定的分成比例</w:t>
      </w:r>
      <w:r>
        <w:rPr>
          <w:rFonts w:ascii="Times New Roman" w:hAnsi="Times New Roman" w:eastAsia="Times New Roman" w:cs="Times New Roman"/>
          <w:sz w:val="27"/>
          <w:szCs w:val="27"/>
          <w:spacing w:val="2"/>
        </w:rPr>
        <w:t>K </w:t>
      </w:r>
      <w:r>
        <w:rPr>
          <w:rFonts w:ascii="FangSong" w:hAnsi="FangSong" w:eastAsia="FangSong" w:cs="FangSong"/>
          <w:sz w:val="27"/>
          <w:szCs w:val="27"/>
          <w:spacing w:val="2"/>
        </w:rPr>
        <w:t>传导至零售用户。当上述差值为正时，比例</w:t>
      </w:r>
      <w:r>
        <w:rPr>
          <w:rFonts w:ascii="Times New Roman" w:hAnsi="Times New Roman" w:eastAsia="Times New Roman" w:cs="Times New Roman"/>
          <w:sz w:val="27"/>
          <w:szCs w:val="27"/>
          <w:spacing w:val="2"/>
        </w:rPr>
        <w:t>K</w:t>
      </w:r>
      <w:r>
        <w:rPr>
          <w:rFonts w:ascii="FangSong" w:hAnsi="FangSong" w:eastAsia="FangSong" w:cs="FangSong"/>
          <w:sz w:val="27"/>
          <w:szCs w:val="27"/>
          <w:spacing w:val="2"/>
        </w:rPr>
        <w:t>君享</w:t>
      </w:r>
      <w:r>
        <w:rPr>
          <w:rFonts w:ascii="FangSong" w:hAnsi="FangSong" w:eastAsia="FangSong" w:cs="FangSong"/>
          <w:sz w:val="27"/>
          <w:szCs w:val="27"/>
        </w:rPr>
        <w:t xml:space="preserve"> </w:t>
      </w:r>
      <w:r>
        <w:rPr>
          <w:rFonts w:ascii="FangSong" w:hAnsi="FangSong" w:eastAsia="FangSong" w:cs="FangSong"/>
          <w:sz w:val="27"/>
          <w:szCs w:val="27"/>
          <w:spacing w:val="-14"/>
        </w:rPr>
        <w:t>部分由零售用户分享；差值为负时，比例</w:t>
      </w:r>
      <w:r>
        <w:rPr>
          <w:rFonts w:ascii="SimSun" w:hAnsi="SimSun" w:eastAsia="SimSun" w:cs="SimSun"/>
          <w:sz w:val="27"/>
          <w:szCs w:val="27"/>
          <w:spacing w:val="-14"/>
        </w:rPr>
        <w:t>K</w:t>
      </w:r>
      <w:r>
        <w:rPr>
          <w:rFonts w:ascii="SimSun" w:hAnsi="SimSun" w:eastAsia="SimSun" w:cs="SimSun"/>
          <w:sz w:val="27"/>
          <w:szCs w:val="27"/>
          <w:spacing w:val="-64"/>
        </w:rPr>
        <w:t xml:space="preserve"> </w:t>
      </w:r>
      <w:r>
        <w:rPr>
          <w:rFonts w:ascii="FangSong" w:hAnsi="FangSong" w:eastAsia="FangSong" w:cs="FangSong"/>
          <w:sz w:val="27"/>
          <w:szCs w:val="27"/>
          <w:spacing w:val="-14"/>
        </w:rPr>
        <w:t>常担部分由零售用户承担。</w:t>
      </w:r>
      <w:r>
        <w:rPr>
          <w:rFonts w:ascii="SimSun" w:hAnsi="SimSun" w:eastAsia="SimSun" w:cs="SimSun"/>
          <w:sz w:val="27"/>
          <w:szCs w:val="27"/>
          <w:spacing w:val="-14"/>
        </w:rPr>
        <w:t>K</w:t>
      </w:r>
      <w:r>
        <w:rPr>
          <w:rFonts w:ascii="FangSong" w:hAnsi="FangSong" w:eastAsia="FangSong" w:cs="FangSong"/>
          <w:sz w:val="27"/>
          <w:szCs w:val="27"/>
          <w:spacing w:val="-15"/>
        </w:rPr>
        <w:t>(</w:t>
      </w:r>
      <w:r>
        <w:rPr>
          <w:rFonts w:ascii="FangSong" w:hAnsi="FangSong" w:eastAsia="FangSong" w:cs="FangSong"/>
          <w:sz w:val="27"/>
          <w:szCs w:val="27"/>
          <w:spacing w:val="97"/>
        </w:rPr>
        <w:t xml:space="preserve"> </w:t>
      </w:r>
      <w:r>
        <w:rPr>
          <w:rFonts w:ascii="FangSong" w:hAnsi="FangSong" w:eastAsia="FangSong" w:cs="FangSong"/>
          <w:sz w:val="27"/>
          <w:szCs w:val="27"/>
          <w:spacing w:val="-15"/>
        </w:rPr>
        <w:t>包</w:t>
      </w:r>
      <w:r>
        <w:rPr>
          <w:rFonts w:ascii="FangSong" w:hAnsi="FangSong" w:eastAsia="FangSong" w:cs="FangSong"/>
          <w:sz w:val="27"/>
          <w:szCs w:val="27"/>
        </w:rPr>
        <w:t xml:space="preserve"> </w:t>
      </w:r>
      <w:r>
        <w:rPr>
          <w:rFonts w:ascii="FangSong" w:hAnsi="FangSong" w:eastAsia="FangSong" w:cs="FangSong"/>
          <w:sz w:val="27"/>
          <w:szCs w:val="27"/>
          <w:spacing w:val="-23"/>
        </w:rPr>
        <w:t>括</w:t>
      </w:r>
      <w:r>
        <w:rPr>
          <w:rFonts w:ascii="FangSong" w:hAnsi="FangSong" w:eastAsia="FangSong" w:cs="FangSong"/>
          <w:sz w:val="27"/>
          <w:szCs w:val="27"/>
          <w:spacing w:val="-70"/>
        </w:rPr>
        <w:t xml:space="preserve"> </w:t>
      </w:r>
      <w:r>
        <w:rPr>
          <w:rFonts w:ascii="Times New Roman" w:hAnsi="Times New Roman" w:eastAsia="Times New Roman" w:cs="Times New Roman"/>
          <w:sz w:val="27"/>
          <w:szCs w:val="27"/>
          <w:spacing w:val="-23"/>
        </w:rPr>
        <w:t>K</w:t>
      </w:r>
      <w:r>
        <w:rPr>
          <w:rFonts w:ascii="FangSong" w:hAnsi="FangSong" w:eastAsia="FangSong" w:cs="FangSong"/>
          <w:sz w:val="27"/>
          <w:szCs w:val="27"/>
          <w:spacing w:val="-23"/>
        </w:rPr>
        <w:t>常享、</w:t>
      </w:r>
      <w:r>
        <w:rPr>
          <w:rFonts w:ascii="Times New Roman" w:hAnsi="Times New Roman" w:eastAsia="Times New Roman" w:cs="Times New Roman"/>
          <w:sz w:val="27"/>
          <w:szCs w:val="27"/>
          <w:spacing w:val="-23"/>
        </w:rPr>
        <w:t>K</w:t>
      </w:r>
      <w:r>
        <w:rPr>
          <w:rFonts w:ascii="FangSong" w:hAnsi="FangSong" w:eastAsia="FangSong" w:cs="FangSong"/>
          <w:sz w:val="27"/>
          <w:szCs w:val="27"/>
          <w:spacing w:val="-23"/>
        </w:rPr>
        <w:t>常担)取值范围为0至1。</w:t>
      </w:r>
    </w:p>
    <w:p>
      <w:pPr>
        <w:ind w:left="3794"/>
        <w:spacing w:before="1" w:line="214" w:lineRule="auto"/>
        <w:rPr>
          <w:rFonts w:ascii="LiSu" w:hAnsi="LiSu" w:eastAsia="LiSu" w:cs="LiSu"/>
          <w:sz w:val="27"/>
          <w:szCs w:val="27"/>
        </w:rPr>
      </w:pPr>
      <w:r>
        <w:rPr>
          <w:rFonts w:ascii="Times New Roman" w:hAnsi="Times New Roman" w:eastAsia="Times New Roman" w:cs="Times New Roman"/>
          <w:sz w:val="27"/>
          <w:szCs w:val="27"/>
          <w:spacing w:val="-21"/>
        </w:rPr>
        <w:t>P</w:t>
      </w:r>
      <w:r>
        <w:rPr>
          <w:rFonts w:ascii="LiSu" w:hAnsi="LiSu" w:eastAsia="LiSu" w:cs="LiSu"/>
          <w:sz w:val="27"/>
          <w:szCs w:val="27"/>
          <w:spacing w:val="-21"/>
        </w:rPr>
        <w:t>常=</w:t>
      </w:r>
      <w:r>
        <w:rPr>
          <w:rFonts w:ascii="Times New Roman" w:hAnsi="Times New Roman" w:eastAsia="Times New Roman" w:cs="Times New Roman"/>
          <w:sz w:val="27"/>
          <w:szCs w:val="27"/>
          <w:spacing w:val="-21"/>
        </w:rPr>
        <w:t>P</w:t>
      </w:r>
      <w:r>
        <w:rPr>
          <w:rFonts w:ascii="LiSu" w:hAnsi="LiSu" w:eastAsia="LiSu" w:cs="LiSu"/>
          <w:sz w:val="27"/>
          <w:szCs w:val="27"/>
          <w:spacing w:val="-21"/>
        </w:rPr>
        <w:t>常图-</w:t>
      </w:r>
      <w:r>
        <w:rPr>
          <w:rFonts w:ascii="LiSu" w:hAnsi="LiSu" w:eastAsia="LiSu" w:cs="LiSu"/>
          <w:sz w:val="27"/>
          <w:szCs w:val="27"/>
          <w:spacing w:val="-21"/>
        </w:rPr>
        <w:t xml:space="preserve"> </w:t>
      </w:r>
      <w:r>
        <w:rPr>
          <w:rFonts w:ascii="Times New Roman" w:hAnsi="Times New Roman" w:eastAsia="Times New Roman" w:cs="Times New Roman"/>
          <w:sz w:val="27"/>
          <w:szCs w:val="27"/>
          <w:spacing w:val="-21"/>
        </w:rPr>
        <w:t>(P</w:t>
      </w:r>
      <w:r>
        <w:rPr>
          <w:rFonts w:ascii="Times New Roman" w:hAnsi="Times New Roman" w:eastAsia="Times New Roman" w:cs="Times New Roman"/>
          <w:sz w:val="27"/>
          <w:szCs w:val="27"/>
          <w:spacing w:val="44"/>
        </w:rPr>
        <w:t xml:space="preserve"> </w:t>
      </w:r>
      <w:r>
        <w:rPr>
          <w:rFonts w:ascii="LiSu" w:hAnsi="LiSu" w:eastAsia="LiSu" w:cs="LiSu"/>
          <w:sz w:val="27"/>
          <w:szCs w:val="27"/>
          <w:spacing w:val="-21"/>
        </w:rPr>
        <w:t>常田-</w:t>
      </w:r>
      <w:r>
        <w:rPr>
          <w:rFonts w:ascii="Times New Roman" w:hAnsi="Times New Roman" w:eastAsia="Times New Roman" w:cs="Times New Roman"/>
          <w:sz w:val="27"/>
          <w:szCs w:val="27"/>
          <w:spacing w:val="-21"/>
        </w:rPr>
        <w:t>P </w:t>
      </w:r>
      <w:r>
        <w:rPr>
          <w:rFonts w:ascii="LiSu" w:hAnsi="LiSu" w:eastAsia="LiSu" w:cs="LiSu"/>
          <w:sz w:val="27"/>
          <w:szCs w:val="27"/>
          <w:spacing w:val="-21"/>
        </w:rPr>
        <w:t>常批)×</w:t>
      </w:r>
      <w:r>
        <w:rPr>
          <w:rFonts w:ascii="Times New Roman" w:hAnsi="Times New Roman" w:eastAsia="Times New Roman" w:cs="Times New Roman"/>
          <w:sz w:val="27"/>
          <w:szCs w:val="27"/>
          <w:spacing w:val="-21"/>
        </w:rPr>
        <w:t>K</w:t>
      </w:r>
      <w:r>
        <w:rPr>
          <w:rFonts w:ascii="Times New Roman" w:hAnsi="Times New Roman" w:eastAsia="Times New Roman" w:cs="Times New Roman"/>
          <w:sz w:val="27"/>
          <w:szCs w:val="27"/>
          <w:spacing w:val="-18"/>
        </w:rPr>
        <w:t xml:space="preserve"> </w:t>
      </w:r>
      <w:r>
        <w:rPr>
          <w:rFonts w:ascii="LiSu" w:hAnsi="LiSu" w:eastAsia="LiSu" w:cs="LiSu"/>
          <w:sz w:val="27"/>
          <w:szCs w:val="27"/>
          <w:spacing w:val="-21"/>
        </w:rPr>
        <w:t>常</w:t>
      </w:r>
    </w:p>
    <w:p>
      <w:pPr>
        <w:ind w:left="1894"/>
        <w:spacing w:before="147" w:line="227" w:lineRule="auto"/>
        <w:rPr>
          <w:rFonts w:ascii="KaiTi" w:hAnsi="KaiTi" w:eastAsia="KaiTi" w:cs="KaiTi"/>
          <w:sz w:val="27"/>
          <w:szCs w:val="27"/>
        </w:rPr>
      </w:pPr>
      <w:r>
        <w:rPr>
          <w:rFonts w:ascii="KaiTi" w:hAnsi="KaiTi" w:eastAsia="KaiTi" w:cs="KaiTi"/>
          <w:sz w:val="27"/>
          <w:szCs w:val="27"/>
          <w:spacing w:val="4"/>
        </w:rPr>
        <w:t>3.1.2常规电力电量</w:t>
      </w:r>
    </w:p>
    <w:p>
      <w:pPr>
        <w:ind w:left="1354" w:right="1196" w:firstLine="530"/>
        <w:spacing w:before="101" w:line="287" w:lineRule="auto"/>
        <w:rPr>
          <w:rFonts w:ascii="FangSong" w:hAnsi="FangSong" w:eastAsia="FangSong" w:cs="FangSong"/>
          <w:sz w:val="27"/>
          <w:szCs w:val="27"/>
        </w:rPr>
      </w:pPr>
      <w:r>
        <w:rPr>
          <w:rFonts w:ascii="FangSong" w:hAnsi="FangSong" w:eastAsia="FangSong" w:cs="FangSong"/>
          <w:sz w:val="27"/>
          <w:szCs w:val="27"/>
          <w:spacing w:val="-9"/>
        </w:rPr>
        <w:t>常规电力电量</w:t>
      </w:r>
      <w:r>
        <w:rPr>
          <w:rFonts w:ascii="Times New Roman" w:hAnsi="Times New Roman" w:eastAsia="Times New Roman" w:cs="Times New Roman"/>
          <w:sz w:val="27"/>
          <w:szCs w:val="27"/>
          <w:spacing w:val="-9"/>
        </w:rPr>
        <w:t>Q</w:t>
      </w:r>
      <w:r>
        <w:rPr>
          <w:rFonts w:ascii="FangSong" w:hAnsi="FangSong" w:eastAsia="FangSong" w:cs="FangSong"/>
          <w:sz w:val="27"/>
          <w:szCs w:val="27"/>
          <w:spacing w:val="-9"/>
        </w:rPr>
        <w:t>常为双方约定的合同电量</w:t>
      </w:r>
      <w:r>
        <w:rPr>
          <w:rFonts w:ascii="Times New Roman" w:hAnsi="Times New Roman" w:eastAsia="Times New Roman" w:cs="Times New Roman"/>
          <w:sz w:val="27"/>
          <w:szCs w:val="27"/>
          <w:spacing w:val="-9"/>
        </w:rPr>
        <w:t>Q</w:t>
      </w:r>
      <w:r>
        <w:rPr>
          <w:rFonts w:ascii="FangSong" w:hAnsi="FangSong" w:eastAsia="FangSong" w:cs="FangSong"/>
          <w:sz w:val="27"/>
          <w:szCs w:val="27"/>
          <w:spacing w:val="-9"/>
        </w:rPr>
        <w:t>合与绿色电力电量</w:t>
      </w:r>
      <w:r>
        <w:rPr>
          <w:rFonts w:ascii="Times New Roman" w:hAnsi="Times New Roman" w:eastAsia="Times New Roman" w:cs="Times New Roman"/>
          <w:sz w:val="27"/>
          <w:szCs w:val="27"/>
          <w:spacing w:val="-9"/>
        </w:rPr>
        <w:t>Q </w:t>
      </w:r>
      <w:r>
        <w:rPr>
          <w:rFonts w:ascii="FangSong" w:hAnsi="FangSong" w:eastAsia="FangSong" w:cs="FangSong"/>
          <w:sz w:val="27"/>
          <w:szCs w:val="27"/>
          <w:spacing w:val="-9"/>
        </w:rPr>
        <w:t>之</w:t>
      </w:r>
      <w:r>
        <w:rPr>
          <w:rFonts w:ascii="FangSong" w:hAnsi="FangSong" w:eastAsia="FangSong" w:cs="FangSong"/>
          <w:sz w:val="27"/>
          <w:szCs w:val="27"/>
          <w:spacing w:val="-37"/>
        </w:rPr>
        <w:t xml:space="preserve"> </w:t>
      </w:r>
      <w:r>
        <w:rPr>
          <w:rFonts w:ascii="FangSong" w:hAnsi="FangSong" w:eastAsia="FangSong" w:cs="FangSong"/>
          <w:sz w:val="27"/>
          <w:szCs w:val="27"/>
          <w:spacing w:val="-9"/>
        </w:rPr>
        <w:t>差</w:t>
      </w:r>
      <w:r>
        <w:rPr>
          <w:rFonts w:ascii="FangSong" w:hAnsi="FangSong" w:eastAsia="FangSong" w:cs="FangSong"/>
          <w:sz w:val="27"/>
          <w:szCs w:val="27"/>
          <w:spacing w:val="-64"/>
        </w:rPr>
        <w:t xml:space="preserve"> </w:t>
      </w:r>
      <w:r>
        <w:rPr>
          <w:rFonts w:ascii="FangSong" w:hAnsi="FangSong" w:eastAsia="FangSong" w:cs="FangSong"/>
          <w:sz w:val="27"/>
          <w:szCs w:val="27"/>
          <w:spacing w:val="-9"/>
        </w:rPr>
        <w:t>，</w:t>
      </w:r>
      <w:r>
        <w:rPr>
          <w:rFonts w:ascii="FangSong" w:hAnsi="FangSong" w:eastAsia="FangSong" w:cs="FangSong"/>
          <w:sz w:val="27"/>
          <w:szCs w:val="27"/>
        </w:rPr>
        <w:t xml:space="preserve"> </w:t>
      </w:r>
      <w:r>
        <w:rPr>
          <w:rFonts w:ascii="FangSong" w:hAnsi="FangSong" w:eastAsia="FangSong" w:cs="FangSong"/>
          <w:sz w:val="27"/>
          <w:szCs w:val="27"/>
          <w:spacing w:val="-3"/>
        </w:rPr>
        <w:t>若未开展绿色电力交易，</w:t>
      </w:r>
      <w:r>
        <w:rPr>
          <w:rFonts w:ascii="Times New Roman" w:hAnsi="Times New Roman" w:eastAsia="Times New Roman" w:cs="Times New Roman"/>
          <w:sz w:val="27"/>
          <w:szCs w:val="27"/>
          <w:spacing w:val="-3"/>
        </w:rPr>
        <w:t>Q  </w:t>
      </w:r>
      <w:r>
        <w:rPr>
          <w:rFonts w:ascii="FangSong" w:hAnsi="FangSong" w:eastAsia="FangSong" w:cs="FangSong"/>
          <w:sz w:val="27"/>
          <w:szCs w:val="27"/>
          <w:spacing w:val="-3"/>
        </w:rPr>
        <w:t>为0。</w:t>
      </w:r>
    </w:p>
    <w:p>
      <w:pPr>
        <w:ind w:left="4844"/>
        <w:spacing w:before="57" w:line="227" w:lineRule="auto"/>
        <w:rPr>
          <w:rFonts w:ascii="KaiTi" w:hAnsi="KaiTi" w:eastAsia="KaiTi" w:cs="KaiTi"/>
          <w:sz w:val="27"/>
          <w:szCs w:val="27"/>
        </w:rPr>
      </w:pPr>
      <w:r>
        <w:rPr>
          <w:rFonts w:ascii="SimSun" w:hAnsi="SimSun" w:eastAsia="SimSun" w:cs="SimSun"/>
          <w:sz w:val="27"/>
          <w:szCs w:val="27"/>
          <w:spacing w:val="-6"/>
        </w:rPr>
        <w:t>Q</w:t>
      </w:r>
      <w:r>
        <w:rPr>
          <w:rFonts w:ascii="SimSun" w:hAnsi="SimSun" w:eastAsia="SimSun" w:cs="SimSun"/>
          <w:sz w:val="27"/>
          <w:szCs w:val="27"/>
          <w:spacing w:val="-50"/>
        </w:rPr>
        <w:t xml:space="preserve"> </w:t>
      </w:r>
      <w:r>
        <w:rPr>
          <w:rFonts w:ascii="KaiTi" w:hAnsi="KaiTi" w:eastAsia="KaiTi" w:cs="KaiTi"/>
          <w:sz w:val="27"/>
          <w:szCs w:val="27"/>
          <w:spacing w:val="-6"/>
        </w:rPr>
        <w:t>常=</w:t>
      </w:r>
      <w:r>
        <w:rPr>
          <w:rFonts w:ascii="SimSun" w:hAnsi="SimSun" w:eastAsia="SimSun" w:cs="SimSun"/>
          <w:sz w:val="27"/>
          <w:szCs w:val="27"/>
          <w:spacing w:val="-6"/>
        </w:rPr>
        <w:t>Q</w:t>
      </w:r>
      <w:r>
        <w:rPr>
          <w:rFonts w:ascii="SimSun" w:hAnsi="SimSun" w:eastAsia="SimSun" w:cs="SimSun"/>
          <w:sz w:val="27"/>
          <w:szCs w:val="27"/>
          <w:spacing w:val="-62"/>
        </w:rPr>
        <w:t xml:space="preserve"> </w:t>
      </w:r>
      <w:r>
        <w:rPr>
          <w:rFonts w:ascii="KaiTi" w:hAnsi="KaiTi" w:eastAsia="KaiTi" w:cs="KaiTi"/>
          <w:sz w:val="27"/>
          <w:szCs w:val="27"/>
          <w:spacing w:val="-6"/>
        </w:rPr>
        <w:t>合-</w:t>
      </w:r>
      <w:r>
        <w:rPr>
          <w:rFonts w:ascii="SimSun" w:hAnsi="SimSun" w:eastAsia="SimSun" w:cs="SimSun"/>
          <w:sz w:val="27"/>
          <w:szCs w:val="27"/>
          <w:spacing w:val="-6"/>
        </w:rPr>
        <w:t>Q</w:t>
      </w:r>
      <w:r>
        <w:rPr>
          <w:rFonts w:ascii="SimSun" w:hAnsi="SimSun" w:eastAsia="SimSun" w:cs="SimSun"/>
          <w:sz w:val="27"/>
          <w:szCs w:val="27"/>
          <w:spacing w:val="-21"/>
        </w:rPr>
        <w:t xml:space="preserve"> </w:t>
      </w:r>
      <w:r>
        <w:rPr>
          <w:rFonts w:ascii="KaiTi" w:hAnsi="KaiTi" w:eastAsia="KaiTi" w:cs="KaiTi"/>
          <w:sz w:val="27"/>
          <w:szCs w:val="27"/>
          <w:spacing w:val="-6"/>
        </w:rPr>
        <w:t>绿</w:t>
      </w:r>
    </w:p>
    <w:p>
      <w:pPr>
        <w:ind w:left="1904"/>
        <w:spacing w:before="96" w:line="227" w:lineRule="auto"/>
        <w:rPr>
          <w:rFonts w:ascii="KaiTi" w:hAnsi="KaiTi" w:eastAsia="KaiTi" w:cs="KaiTi"/>
          <w:sz w:val="27"/>
          <w:szCs w:val="27"/>
        </w:rPr>
      </w:pPr>
      <w:r>
        <w:rPr>
          <w:rFonts w:ascii="KaiTi" w:hAnsi="KaiTi" w:eastAsia="KaiTi" w:cs="KaiTi"/>
          <w:sz w:val="27"/>
          <w:szCs w:val="27"/>
          <w:spacing w:val="5"/>
        </w:rPr>
        <w:t>3.1.3价格参数</w:t>
      </w:r>
    </w:p>
    <w:p>
      <w:pPr>
        <w:ind w:left="1364" w:right="1215" w:firstLine="510"/>
        <w:spacing w:before="106" w:line="294" w:lineRule="auto"/>
        <w:rPr>
          <w:rFonts w:ascii="FangSong" w:hAnsi="FangSong" w:eastAsia="FangSong" w:cs="FangSong"/>
          <w:sz w:val="27"/>
          <w:szCs w:val="27"/>
        </w:rPr>
      </w:pPr>
      <w:r>
        <w:rPr>
          <w:rFonts w:ascii="SimSun" w:hAnsi="SimSun" w:eastAsia="SimSun" w:cs="SimSun"/>
          <w:sz w:val="27"/>
          <w:szCs w:val="27"/>
          <w:spacing w:val="-8"/>
        </w:rPr>
        <w:t>P</w:t>
      </w:r>
      <w:r>
        <w:rPr>
          <w:rFonts w:ascii="SimSun" w:hAnsi="SimSun" w:eastAsia="SimSun" w:cs="SimSun"/>
          <w:sz w:val="27"/>
          <w:szCs w:val="27"/>
          <w:spacing w:val="-47"/>
        </w:rPr>
        <w:t xml:space="preserve"> </w:t>
      </w:r>
      <w:r>
        <w:rPr>
          <w:rFonts w:ascii="FangSong" w:hAnsi="FangSong" w:eastAsia="FangSong" w:cs="FangSong"/>
          <w:sz w:val="27"/>
          <w:szCs w:val="27"/>
          <w:spacing w:val="-8"/>
        </w:rPr>
        <w:t>常批为履约月北京市全市场常规电力中长期交易批发合同的电能量加</w:t>
      </w:r>
      <w:r>
        <w:rPr>
          <w:rFonts w:ascii="FangSong" w:hAnsi="FangSong" w:eastAsia="FangSong" w:cs="FangSong"/>
          <w:sz w:val="27"/>
          <w:szCs w:val="27"/>
        </w:rPr>
        <w:t xml:space="preserve"> </w:t>
      </w:r>
      <w:r>
        <w:rPr>
          <w:rFonts w:ascii="FangSong" w:hAnsi="FangSong" w:eastAsia="FangSong" w:cs="FangSong"/>
          <w:sz w:val="27"/>
          <w:szCs w:val="27"/>
          <w:spacing w:val="-6"/>
        </w:rPr>
        <w:t>权平均价；</w:t>
      </w:r>
      <w:r>
        <w:rPr>
          <w:rFonts w:ascii="SimSun" w:hAnsi="SimSun" w:eastAsia="SimSun" w:cs="SimSun"/>
          <w:sz w:val="27"/>
          <w:szCs w:val="27"/>
          <w:spacing w:val="-6"/>
        </w:rPr>
        <w:t>P</w:t>
      </w:r>
      <w:r>
        <w:rPr>
          <w:rFonts w:ascii="FangSong" w:hAnsi="FangSong" w:eastAsia="FangSong" w:cs="FangSong"/>
          <w:sz w:val="27"/>
          <w:szCs w:val="27"/>
          <w:spacing w:val="-6"/>
        </w:rPr>
        <w:t>常传为履约月签约售电公司的常规电力中长期交易批发合同的</w:t>
      </w:r>
      <w:r>
        <w:rPr>
          <w:rFonts w:ascii="FangSong" w:hAnsi="FangSong" w:eastAsia="FangSong" w:cs="FangSong"/>
          <w:sz w:val="27"/>
          <w:szCs w:val="27"/>
          <w:spacing w:val="17"/>
        </w:rPr>
        <w:t xml:space="preserve"> </w:t>
      </w:r>
      <w:r>
        <w:rPr>
          <w:rFonts w:ascii="FangSong" w:hAnsi="FangSong" w:eastAsia="FangSong" w:cs="FangSong"/>
          <w:sz w:val="27"/>
          <w:szCs w:val="27"/>
          <w:spacing w:val="-19"/>
        </w:rPr>
        <w:t>电能量加权平均价；</w:t>
      </w:r>
      <w:r>
        <w:rPr>
          <w:rFonts w:ascii="SimSun" w:hAnsi="SimSun" w:eastAsia="SimSun" w:cs="SimSun"/>
          <w:sz w:val="27"/>
          <w:szCs w:val="27"/>
          <w:spacing w:val="-19"/>
        </w:rPr>
        <w:t>P</w:t>
      </w:r>
      <w:r>
        <w:rPr>
          <w:rFonts w:ascii="FangSong" w:hAnsi="FangSong" w:eastAsia="FangSong" w:cs="FangSong"/>
          <w:sz w:val="27"/>
          <w:szCs w:val="27"/>
          <w:spacing w:val="-19"/>
        </w:rPr>
        <w:t>常批、</w:t>
      </w:r>
      <w:r>
        <w:rPr>
          <w:rFonts w:ascii="SimSun" w:hAnsi="SimSun" w:eastAsia="SimSun" w:cs="SimSun"/>
          <w:sz w:val="27"/>
          <w:szCs w:val="27"/>
          <w:spacing w:val="-19"/>
        </w:rPr>
        <w:t>P</w:t>
      </w:r>
      <w:r>
        <w:rPr>
          <w:rFonts w:ascii="SimSun" w:hAnsi="SimSun" w:eastAsia="SimSun" w:cs="SimSun"/>
          <w:sz w:val="27"/>
          <w:szCs w:val="27"/>
          <w:spacing w:val="-57"/>
        </w:rPr>
        <w:t xml:space="preserve"> </w:t>
      </w:r>
      <w:r>
        <w:rPr>
          <w:rFonts w:ascii="FangSong" w:hAnsi="FangSong" w:eastAsia="FangSong" w:cs="FangSong"/>
          <w:sz w:val="27"/>
          <w:szCs w:val="27"/>
          <w:spacing w:val="-19"/>
        </w:rPr>
        <w:t>常售价格构成中包括年度交易分月合同、月度合</w:t>
      </w:r>
    </w:p>
    <w:p>
      <w:pPr>
        <w:pStyle w:val="BodyText"/>
        <w:spacing w:line="255" w:lineRule="auto"/>
        <w:rPr/>
      </w:pPr>
      <w:r/>
    </w:p>
    <w:p>
      <w:pPr>
        <w:ind w:left="4944"/>
        <w:spacing w:before="60" w:line="184" w:lineRule="auto"/>
        <w:rPr>
          <w:rFonts w:ascii="LiSu" w:hAnsi="LiSu" w:eastAsia="LiSu" w:cs="LiSu"/>
          <w:sz w:val="18"/>
          <w:szCs w:val="18"/>
        </w:rPr>
      </w:pPr>
      <w:r>
        <w:rPr>
          <w:rFonts w:ascii="LiSu" w:hAnsi="LiSu" w:eastAsia="LiSu" w:cs="LiSu"/>
          <w:sz w:val="18"/>
          <w:szCs w:val="18"/>
          <w:spacing w:val="-8"/>
        </w:rPr>
        <w:t>第</w:t>
      </w:r>
      <w:r>
        <w:rPr>
          <w:rFonts w:ascii="LiSu" w:hAnsi="LiSu" w:eastAsia="LiSu" w:cs="LiSu"/>
          <w:sz w:val="18"/>
          <w:szCs w:val="18"/>
          <w:spacing w:val="-17"/>
        </w:rPr>
        <w:t xml:space="preserve"> </w:t>
      </w:r>
      <w:r>
        <w:rPr>
          <w:rFonts w:ascii="LiSu" w:hAnsi="LiSu" w:eastAsia="LiSu" w:cs="LiSu"/>
          <w:sz w:val="18"/>
          <w:szCs w:val="18"/>
          <w:spacing w:val="-8"/>
        </w:rPr>
        <w:t>6</w:t>
      </w:r>
      <w:r>
        <w:rPr>
          <w:rFonts w:ascii="LiSu" w:hAnsi="LiSu" w:eastAsia="LiSu" w:cs="LiSu"/>
          <w:sz w:val="18"/>
          <w:szCs w:val="18"/>
          <w:spacing w:val="-18"/>
        </w:rPr>
        <w:t xml:space="preserve"> </w:t>
      </w:r>
      <w:r>
        <w:rPr>
          <w:rFonts w:ascii="LiSu" w:hAnsi="LiSu" w:eastAsia="LiSu" w:cs="LiSu"/>
          <w:sz w:val="18"/>
          <w:szCs w:val="18"/>
          <w:spacing w:val="-8"/>
        </w:rPr>
        <w:t>页</w:t>
      </w:r>
      <w:r>
        <w:rPr>
          <w:rFonts w:ascii="LiSu" w:hAnsi="LiSu" w:eastAsia="LiSu" w:cs="LiSu"/>
          <w:sz w:val="18"/>
          <w:szCs w:val="18"/>
          <w:spacing w:val="-19"/>
        </w:rPr>
        <w:t xml:space="preserve"> </w:t>
      </w:r>
      <w:r>
        <w:rPr>
          <w:rFonts w:ascii="LiSu" w:hAnsi="LiSu" w:eastAsia="LiSu" w:cs="LiSu"/>
          <w:sz w:val="18"/>
          <w:szCs w:val="18"/>
          <w:spacing w:val="-8"/>
        </w:rPr>
        <w:t>共</w:t>
      </w:r>
      <w:r>
        <w:rPr>
          <w:rFonts w:ascii="LiSu" w:hAnsi="LiSu" w:eastAsia="LiSu" w:cs="LiSu"/>
          <w:sz w:val="18"/>
          <w:szCs w:val="18"/>
          <w:spacing w:val="-8"/>
        </w:rPr>
        <w:t xml:space="preserve"> </w:t>
      </w:r>
      <w:r>
        <w:rPr>
          <w:rFonts w:ascii="LiSu" w:hAnsi="LiSu" w:eastAsia="LiSu" w:cs="LiSu"/>
          <w:sz w:val="18"/>
          <w:szCs w:val="18"/>
          <w:spacing w:val="-8"/>
        </w:rPr>
        <w:t>1</w:t>
      </w:r>
      <w:r>
        <w:rPr>
          <w:rFonts w:ascii="LiSu" w:hAnsi="LiSu" w:eastAsia="LiSu" w:cs="LiSu"/>
          <w:sz w:val="18"/>
          <w:szCs w:val="18"/>
          <w:spacing w:val="-13"/>
        </w:rPr>
        <w:t xml:space="preserve"> </w:t>
      </w:r>
      <w:r>
        <w:rPr>
          <w:rFonts w:ascii="LiSu" w:hAnsi="LiSu" w:eastAsia="LiSu" w:cs="LiSu"/>
          <w:sz w:val="18"/>
          <w:szCs w:val="18"/>
          <w:spacing w:val="-8"/>
        </w:rPr>
        <w:t>7</w:t>
      </w:r>
      <w:r>
        <w:rPr>
          <w:rFonts w:ascii="LiSu" w:hAnsi="LiSu" w:eastAsia="LiSu" w:cs="LiSu"/>
          <w:sz w:val="18"/>
          <w:szCs w:val="18"/>
          <w:spacing w:val="-18"/>
        </w:rPr>
        <w:t xml:space="preserve"> </w:t>
      </w:r>
      <w:r>
        <w:rPr>
          <w:rFonts w:ascii="LiSu" w:hAnsi="LiSu" w:eastAsia="LiSu" w:cs="LiSu"/>
          <w:sz w:val="18"/>
          <w:szCs w:val="18"/>
          <w:spacing w:val="-8"/>
        </w:rPr>
        <w:t>页</w:t>
      </w:r>
    </w:p>
    <w:p>
      <w:pPr>
        <w:spacing w:line="184" w:lineRule="auto"/>
        <w:sectPr>
          <w:footerReference w:type="default" r:id="rId10"/>
          <w:pgSz w:w="11900" w:h="16840"/>
          <w:pgMar w:top="1404" w:right="308" w:bottom="789" w:left="415" w:header="0" w:footer="206" w:gutter="0"/>
        </w:sectPr>
        <w:rPr>
          <w:rFonts w:ascii="LiSu" w:hAnsi="LiSu" w:eastAsia="LiSu" w:cs="LiSu"/>
          <w:sz w:val="18"/>
          <w:szCs w:val="18"/>
        </w:rPr>
      </w:pPr>
    </w:p>
    <w:p>
      <w:pPr>
        <w:pStyle w:val="BodyText"/>
        <w:ind w:left="104" w:right="1409" w:firstLine="9"/>
        <w:spacing w:before="50" w:line="322" w:lineRule="auto"/>
        <w:rPr>
          <w:rFonts w:ascii="FangSong" w:hAnsi="FangSong" w:eastAsia="FangSong" w:cs="FangSong"/>
          <w:sz w:val="25"/>
          <w:szCs w:val="25"/>
        </w:rPr>
      </w:pPr>
      <w:r>
        <w:rPr>
          <w:rFonts w:ascii="FangSong" w:hAnsi="FangSong" w:eastAsia="FangSong" w:cs="FangSong"/>
          <w:sz w:val="25"/>
          <w:szCs w:val="25"/>
          <w:spacing w:val="-3"/>
        </w:rPr>
        <w:t>同、月内合同、用户侧合同电量转让交易合同。</w:t>
      </w:r>
      <w:r>
        <w:rPr>
          <w:rFonts w:ascii="FangSong" w:hAnsi="FangSong" w:eastAsia="FangSong" w:cs="FangSong"/>
          <w:sz w:val="25"/>
          <w:szCs w:val="25"/>
          <w:spacing w:val="-3"/>
        </w:rPr>
        <w:t xml:space="preserve"> </w:t>
      </w:r>
      <w:r>
        <w:rPr>
          <w:sz w:val="25"/>
          <w:szCs w:val="25"/>
          <w:spacing w:val="-3"/>
        </w:rPr>
        <w:t>P </w:t>
      </w:r>
      <w:r>
        <w:rPr>
          <w:rFonts w:ascii="FangSong" w:hAnsi="FangSong" w:eastAsia="FangSong" w:cs="FangSong"/>
          <w:sz w:val="25"/>
          <w:szCs w:val="25"/>
          <w:spacing w:val="-3"/>
        </w:rPr>
        <w:t>营批由交易中心在履约月</w:t>
      </w:r>
      <w:r>
        <w:rPr>
          <w:rFonts w:ascii="FangSong" w:hAnsi="FangSong" w:eastAsia="FangSong" w:cs="FangSong"/>
          <w:sz w:val="25"/>
          <w:szCs w:val="25"/>
          <w:spacing w:val="14"/>
        </w:rPr>
        <w:t xml:space="preserve"> </w:t>
      </w:r>
      <w:r>
        <w:rPr>
          <w:rFonts w:ascii="FangSong" w:hAnsi="FangSong" w:eastAsia="FangSong" w:cs="FangSong"/>
          <w:sz w:val="25"/>
          <w:szCs w:val="25"/>
          <w:spacing w:val="-3"/>
        </w:rPr>
        <w:t>最后一</w:t>
      </w:r>
      <w:r>
        <w:rPr>
          <w:rFonts w:ascii="FangSong" w:hAnsi="FangSong" w:eastAsia="FangSong" w:cs="FangSong"/>
          <w:sz w:val="25"/>
          <w:szCs w:val="25"/>
          <w:spacing w:val="-40"/>
        </w:rPr>
        <w:t xml:space="preserve"> </w:t>
      </w:r>
      <w:r>
        <w:rPr>
          <w:rFonts w:ascii="FangSong" w:hAnsi="FangSong" w:eastAsia="FangSong" w:cs="FangSong"/>
          <w:sz w:val="25"/>
          <w:szCs w:val="25"/>
          <w:spacing w:val="-3"/>
        </w:rPr>
        <w:t>日前在交易平台发布。</w:t>
      </w:r>
    </w:p>
    <w:p>
      <w:pPr>
        <w:ind w:left="694"/>
        <w:spacing w:before="1" w:line="222" w:lineRule="auto"/>
        <w:rPr>
          <w:rFonts w:ascii="KaiTi" w:hAnsi="KaiTi" w:eastAsia="KaiTi" w:cs="KaiTi"/>
          <w:sz w:val="25"/>
          <w:szCs w:val="25"/>
        </w:rPr>
      </w:pPr>
      <w:r>
        <w:rPr>
          <w:rFonts w:ascii="KaiTi" w:hAnsi="KaiTi" w:eastAsia="KaiTi" w:cs="KaiTi"/>
          <w:sz w:val="25"/>
          <w:szCs w:val="25"/>
          <w:spacing w:val="13"/>
        </w:rPr>
        <w:t>3.2绿色电力合同电量电价</w:t>
      </w:r>
    </w:p>
    <w:p>
      <w:pPr>
        <w:ind w:left="644"/>
        <w:spacing w:before="159" w:line="221" w:lineRule="auto"/>
        <w:rPr>
          <w:rFonts w:ascii="FangSong" w:hAnsi="FangSong" w:eastAsia="FangSong" w:cs="FangSong"/>
          <w:sz w:val="25"/>
          <w:szCs w:val="25"/>
        </w:rPr>
      </w:pPr>
      <w:r>
        <w:rPr>
          <w:rFonts w:ascii="FangSong" w:hAnsi="FangSong" w:eastAsia="FangSong" w:cs="FangSong"/>
          <w:sz w:val="25"/>
          <w:szCs w:val="25"/>
          <w:spacing w:val="5"/>
        </w:rPr>
        <w:t>售电公司与零售用户须分别明确绿色电力电能量价格和环境价值。</w:t>
      </w:r>
    </w:p>
    <w:p>
      <w:pPr>
        <w:ind w:left="634"/>
        <w:spacing w:before="128" w:line="229" w:lineRule="auto"/>
        <w:rPr>
          <w:rFonts w:ascii="KaiTi" w:hAnsi="KaiTi" w:eastAsia="KaiTi" w:cs="KaiTi"/>
          <w:sz w:val="25"/>
          <w:szCs w:val="25"/>
        </w:rPr>
      </w:pPr>
      <w:r>
        <w:rPr>
          <w:rFonts w:ascii="KaiTi" w:hAnsi="KaiTi" w:eastAsia="KaiTi" w:cs="KaiTi"/>
          <w:sz w:val="25"/>
          <w:szCs w:val="25"/>
          <w:spacing w:val="12"/>
        </w:rPr>
        <w:t>3.2.1绿色电力电能量价格</w:t>
      </w:r>
    </w:p>
    <w:p>
      <w:pPr>
        <w:ind w:left="104" w:right="1306" w:firstLine="530"/>
        <w:spacing w:before="102" w:line="338" w:lineRule="auto"/>
        <w:rPr>
          <w:rFonts w:ascii="FangSong" w:hAnsi="FangSong" w:eastAsia="FangSong" w:cs="FangSong"/>
          <w:sz w:val="25"/>
          <w:szCs w:val="25"/>
        </w:rPr>
      </w:pPr>
      <w:r>
        <w:rPr>
          <w:rFonts w:ascii="Times New Roman" w:hAnsi="Times New Roman" w:eastAsia="Times New Roman" w:cs="Times New Roman"/>
          <w:sz w:val="25"/>
          <w:szCs w:val="25"/>
          <w:spacing w:val="-6"/>
        </w:rPr>
        <w:t>A</w:t>
      </w:r>
      <w:r>
        <w:rPr>
          <w:rFonts w:ascii="FangSong" w:hAnsi="FangSong" w:eastAsia="FangSong" w:cs="FangSong"/>
          <w:sz w:val="25"/>
          <w:szCs w:val="25"/>
          <w:spacing w:val="-6"/>
        </w:rPr>
        <w:t>固定价格套餐：双方约定，绿色电力电量</w:t>
      </w:r>
      <w:r>
        <w:rPr>
          <w:rFonts w:ascii="Times New Roman" w:hAnsi="Times New Roman" w:eastAsia="Times New Roman" w:cs="Times New Roman"/>
          <w:sz w:val="25"/>
          <w:szCs w:val="25"/>
          <w:spacing w:val="-6"/>
        </w:rPr>
        <w:t>Q</w:t>
      </w:r>
      <w:r>
        <w:rPr>
          <w:rFonts w:ascii="FangSong" w:hAnsi="FangSong" w:eastAsia="FangSong" w:cs="FangSong"/>
          <w:sz w:val="25"/>
          <w:szCs w:val="25"/>
          <w:spacing w:val="-6"/>
        </w:rPr>
        <w:t>最按照固定价格</w:t>
      </w:r>
      <w:r>
        <w:rPr>
          <w:rFonts w:ascii="Times New Roman" w:hAnsi="Times New Roman" w:eastAsia="Times New Roman" w:cs="Times New Roman"/>
          <w:sz w:val="25"/>
          <w:szCs w:val="25"/>
          <w:spacing w:val="-6"/>
        </w:rPr>
        <w:t>P </w:t>
      </w:r>
      <w:r>
        <w:rPr>
          <w:rFonts w:ascii="FangSong" w:hAnsi="FangSong" w:eastAsia="FangSong" w:cs="FangSong"/>
          <w:sz w:val="25"/>
          <w:szCs w:val="25"/>
          <w:spacing w:val="-7"/>
        </w:rPr>
        <w:t>绿田结算，</w:t>
      </w:r>
      <w:r>
        <w:rPr>
          <w:rFonts w:ascii="FangSong" w:hAnsi="FangSong" w:eastAsia="FangSong" w:cs="FangSong"/>
          <w:sz w:val="25"/>
          <w:szCs w:val="25"/>
        </w:rPr>
        <w:t xml:space="preserve"> </w:t>
      </w:r>
      <w:r>
        <w:rPr>
          <w:rFonts w:ascii="FangSong" w:hAnsi="FangSong" w:eastAsia="FangSong" w:cs="FangSong"/>
          <w:sz w:val="25"/>
          <w:szCs w:val="25"/>
          <w:spacing w:val="6"/>
        </w:rPr>
        <w:t>该价格不随市场价格变化。</w:t>
      </w:r>
    </w:p>
    <w:p>
      <w:pPr>
        <w:ind w:left="3755"/>
        <w:spacing w:before="1" w:line="228" w:lineRule="auto"/>
        <w:rPr>
          <w:rFonts w:ascii="KaiTi" w:hAnsi="KaiTi" w:eastAsia="KaiTi" w:cs="KaiTi"/>
          <w:sz w:val="25"/>
          <w:szCs w:val="25"/>
        </w:rPr>
      </w:pPr>
      <w:r>
        <w:rPr>
          <w:rFonts w:ascii="Times New Roman" w:hAnsi="Times New Roman" w:eastAsia="Times New Roman" w:cs="Times New Roman"/>
          <w:sz w:val="25"/>
          <w:szCs w:val="25"/>
          <w:spacing w:val="-18"/>
          <w:w w:val="99"/>
        </w:rPr>
        <w:t>P</w:t>
      </w:r>
      <w:r>
        <w:rPr>
          <w:rFonts w:ascii="Times New Roman" w:hAnsi="Times New Roman" w:eastAsia="Times New Roman" w:cs="Times New Roman"/>
          <w:sz w:val="25"/>
          <w:szCs w:val="25"/>
          <w:spacing w:val="-13"/>
        </w:rPr>
        <w:t xml:space="preserve"> </w:t>
      </w:r>
      <w:r>
        <w:rPr>
          <w:rFonts w:ascii="KaiTi" w:hAnsi="KaiTi" w:eastAsia="KaiTi" w:cs="KaiTi"/>
          <w:sz w:val="25"/>
          <w:szCs w:val="25"/>
          <w:spacing w:val="-18"/>
          <w:w w:val="99"/>
        </w:rPr>
        <w:t>绿=</w:t>
      </w:r>
      <w:r>
        <w:rPr>
          <w:rFonts w:ascii="Times New Roman" w:hAnsi="Times New Roman" w:eastAsia="Times New Roman" w:cs="Times New Roman"/>
          <w:sz w:val="25"/>
          <w:szCs w:val="25"/>
          <w:spacing w:val="-18"/>
          <w:w w:val="99"/>
        </w:rPr>
        <w:t>P</w:t>
      </w:r>
      <w:r>
        <w:rPr>
          <w:rFonts w:ascii="Times New Roman" w:hAnsi="Times New Roman" w:eastAsia="Times New Roman" w:cs="Times New Roman"/>
          <w:sz w:val="25"/>
          <w:szCs w:val="25"/>
          <w:spacing w:val="13"/>
        </w:rPr>
        <w:t xml:space="preserve"> </w:t>
      </w:r>
      <w:r>
        <w:rPr>
          <w:rFonts w:ascii="KaiTi" w:hAnsi="KaiTi" w:eastAsia="KaiTi" w:cs="KaiTi"/>
          <w:sz w:val="25"/>
          <w:szCs w:val="25"/>
          <w:spacing w:val="-18"/>
          <w:w w:val="99"/>
        </w:rPr>
        <w:t>绿圆</w:t>
      </w:r>
    </w:p>
    <w:p>
      <w:pPr>
        <w:ind w:left="104" w:right="1362" w:firstLine="540"/>
        <w:spacing w:before="117" w:line="325" w:lineRule="auto"/>
        <w:jc w:val="both"/>
        <w:rPr>
          <w:rFonts w:ascii="FangSong" w:hAnsi="FangSong" w:eastAsia="FangSong" w:cs="FangSong"/>
          <w:sz w:val="25"/>
          <w:szCs w:val="25"/>
        </w:rPr>
      </w:pPr>
      <w:r>
        <w:rPr>
          <w:rFonts w:ascii="Times New Roman" w:hAnsi="Times New Roman" w:eastAsia="Times New Roman" w:cs="Times New Roman"/>
          <w:sz w:val="25"/>
          <w:szCs w:val="25"/>
          <w:spacing w:val="9"/>
        </w:rPr>
        <w:t>B</w:t>
      </w:r>
      <w:r>
        <w:rPr>
          <w:rFonts w:ascii="FangSong" w:hAnsi="FangSong" w:eastAsia="FangSong" w:cs="FangSong"/>
          <w:sz w:val="25"/>
          <w:szCs w:val="25"/>
          <w:spacing w:val="9"/>
        </w:rPr>
        <w:t>联动价格套餐：双方约定，绿色电力电量</w:t>
      </w:r>
      <w:r>
        <w:rPr>
          <w:rFonts w:ascii="Times New Roman" w:hAnsi="Times New Roman" w:eastAsia="Times New Roman" w:cs="Times New Roman"/>
          <w:sz w:val="25"/>
          <w:szCs w:val="25"/>
          <w:spacing w:val="9"/>
        </w:rPr>
        <w:t>Q  </w:t>
      </w:r>
      <w:r>
        <w:rPr>
          <w:rFonts w:ascii="FangSong" w:hAnsi="FangSong" w:eastAsia="FangSong" w:cs="FangSong"/>
          <w:sz w:val="25"/>
          <w:szCs w:val="25"/>
          <w:spacing w:val="9"/>
        </w:rPr>
        <w:t>按照绿色电力基准价格</w:t>
      </w:r>
      <w:r>
        <w:rPr>
          <w:rFonts w:ascii="FangSong" w:hAnsi="FangSong" w:eastAsia="FangSong" w:cs="FangSong"/>
          <w:sz w:val="25"/>
          <w:szCs w:val="25"/>
          <w:spacing w:val="14"/>
        </w:rPr>
        <w:t xml:space="preserve"> </w:t>
      </w:r>
      <w:r>
        <w:rPr>
          <w:rFonts w:ascii="SimSun" w:hAnsi="SimSun" w:eastAsia="SimSun" w:cs="SimSun"/>
          <w:sz w:val="25"/>
          <w:szCs w:val="25"/>
          <w:spacing w:val="-7"/>
        </w:rPr>
        <w:t>P</w:t>
      </w:r>
      <w:r>
        <w:rPr>
          <w:rFonts w:ascii="FangSong" w:hAnsi="FangSong" w:eastAsia="FangSong" w:cs="FangSong"/>
          <w:sz w:val="25"/>
          <w:szCs w:val="25"/>
          <w:spacing w:val="-7"/>
        </w:rPr>
        <w:t>绿共叠加浮动价格</w:t>
      </w:r>
      <w:r>
        <w:rPr>
          <w:rFonts w:ascii="SimSun" w:hAnsi="SimSun" w:eastAsia="SimSun" w:cs="SimSun"/>
          <w:sz w:val="25"/>
          <w:szCs w:val="25"/>
          <w:spacing w:val="-7"/>
        </w:rPr>
        <w:t>P </w:t>
      </w:r>
      <w:r>
        <w:rPr>
          <w:rFonts w:ascii="FangSong" w:hAnsi="FangSong" w:eastAsia="FangSong" w:cs="FangSong"/>
          <w:sz w:val="25"/>
          <w:szCs w:val="25"/>
          <w:spacing w:val="-7"/>
        </w:rPr>
        <w:t>嫌浮结算。绿色电力基</w:t>
      </w:r>
      <w:r>
        <w:rPr>
          <w:rFonts w:ascii="FangSong" w:hAnsi="FangSong" w:eastAsia="FangSong" w:cs="FangSong"/>
          <w:sz w:val="25"/>
          <w:szCs w:val="25"/>
          <w:spacing w:val="-8"/>
        </w:rPr>
        <w:t>准价格</w:t>
      </w:r>
      <w:r>
        <w:rPr>
          <w:rFonts w:ascii="SimSun" w:hAnsi="SimSun" w:eastAsia="SimSun" w:cs="SimSun"/>
          <w:sz w:val="25"/>
          <w:szCs w:val="25"/>
          <w:spacing w:val="-8"/>
        </w:rPr>
        <w:t>P</w:t>
      </w:r>
      <w:r>
        <w:rPr>
          <w:rFonts w:ascii="SimSun" w:hAnsi="SimSun" w:eastAsia="SimSun" w:cs="SimSun"/>
          <w:sz w:val="25"/>
          <w:szCs w:val="25"/>
          <w:spacing w:val="-55"/>
        </w:rPr>
        <w:t xml:space="preserve"> </w:t>
      </w:r>
      <w:r>
        <w:rPr>
          <w:rFonts w:ascii="FangSong" w:hAnsi="FangSong" w:eastAsia="FangSong" w:cs="FangSong"/>
          <w:sz w:val="25"/>
          <w:szCs w:val="25"/>
          <w:spacing w:val="-8"/>
        </w:rPr>
        <w:t>绿共可以选择绿色电力批</w:t>
      </w:r>
      <w:r>
        <w:rPr>
          <w:rFonts w:ascii="FangSong" w:hAnsi="FangSong" w:eastAsia="FangSong" w:cs="FangSong"/>
          <w:sz w:val="25"/>
          <w:szCs w:val="25"/>
        </w:rPr>
        <w:t xml:space="preserve"> </w:t>
      </w:r>
      <w:r>
        <w:rPr>
          <w:rFonts w:ascii="FangSong" w:hAnsi="FangSong" w:eastAsia="FangSong" w:cs="FangSong"/>
          <w:sz w:val="25"/>
          <w:szCs w:val="25"/>
          <w:spacing w:val="3"/>
        </w:rPr>
        <w:t>发市场合同均价</w:t>
      </w:r>
      <w:r>
        <w:rPr>
          <w:rFonts w:ascii="SimSun" w:hAnsi="SimSun" w:eastAsia="SimSun" w:cs="SimSun"/>
          <w:sz w:val="25"/>
          <w:szCs w:val="25"/>
          <w:spacing w:val="3"/>
        </w:rPr>
        <w:t>P</w:t>
      </w:r>
      <w:r>
        <w:rPr>
          <w:rFonts w:ascii="SimSun" w:hAnsi="SimSun" w:eastAsia="SimSun" w:cs="SimSun"/>
          <w:sz w:val="25"/>
          <w:szCs w:val="25"/>
          <w:spacing w:val="-21"/>
        </w:rPr>
        <w:t xml:space="preserve"> </w:t>
      </w:r>
      <w:r>
        <w:rPr>
          <w:rFonts w:ascii="FangSong" w:hAnsi="FangSong" w:eastAsia="FangSong" w:cs="FangSong"/>
          <w:sz w:val="25"/>
          <w:szCs w:val="25"/>
          <w:spacing w:val="3"/>
        </w:rPr>
        <w:t>绿批作为联动基准，也可以选择签约售电公司的绿色电力</w:t>
      </w:r>
      <w:r>
        <w:rPr>
          <w:rFonts w:ascii="FangSong" w:hAnsi="FangSong" w:eastAsia="FangSong" w:cs="FangSong"/>
          <w:sz w:val="25"/>
          <w:szCs w:val="25"/>
        </w:rPr>
        <w:t xml:space="preserve"> </w:t>
      </w:r>
      <w:r>
        <w:rPr>
          <w:rFonts w:ascii="FangSong" w:hAnsi="FangSong" w:eastAsia="FangSong" w:cs="FangSong"/>
          <w:sz w:val="25"/>
          <w:szCs w:val="25"/>
          <w:spacing w:val="-4"/>
        </w:rPr>
        <w:t>批发合同均价</w:t>
      </w:r>
      <w:r>
        <w:rPr>
          <w:rFonts w:ascii="SimSun" w:hAnsi="SimSun" w:eastAsia="SimSun" w:cs="SimSun"/>
          <w:sz w:val="25"/>
          <w:szCs w:val="25"/>
          <w:spacing w:val="-4"/>
        </w:rPr>
        <w:t>P</w:t>
      </w:r>
      <w:r>
        <w:rPr>
          <w:rFonts w:ascii="SimSun" w:hAnsi="SimSun" w:eastAsia="SimSun" w:cs="SimSun"/>
          <w:sz w:val="25"/>
          <w:szCs w:val="25"/>
          <w:spacing w:val="-24"/>
        </w:rPr>
        <w:t xml:space="preserve"> </w:t>
      </w:r>
      <w:r>
        <w:rPr>
          <w:rFonts w:ascii="FangSong" w:hAnsi="FangSong" w:eastAsia="FangSong" w:cs="FangSong"/>
          <w:sz w:val="25"/>
          <w:szCs w:val="25"/>
          <w:spacing w:val="-4"/>
        </w:rPr>
        <w:t>绿售作为联动基准。</w:t>
      </w:r>
      <w:r>
        <w:rPr>
          <w:rFonts w:ascii="SimSun" w:hAnsi="SimSun" w:eastAsia="SimSun" w:cs="SimSun"/>
          <w:sz w:val="25"/>
          <w:szCs w:val="25"/>
          <w:spacing w:val="-4"/>
        </w:rPr>
        <w:t>P</w:t>
      </w:r>
      <w:r>
        <w:rPr>
          <w:rFonts w:ascii="SimSun" w:hAnsi="SimSun" w:eastAsia="SimSun" w:cs="SimSun"/>
          <w:sz w:val="25"/>
          <w:szCs w:val="25"/>
          <w:spacing w:val="-25"/>
        </w:rPr>
        <w:t xml:space="preserve"> </w:t>
      </w:r>
      <w:r>
        <w:rPr>
          <w:rFonts w:ascii="FangSong" w:hAnsi="FangSong" w:eastAsia="FangSong" w:cs="FangSong"/>
          <w:sz w:val="25"/>
          <w:szCs w:val="25"/>
          <w:spacing w:val="-4"/>
        </w:rPr>
        <w:t>绿浮可以为正值、零、负</w:t>
      </w:r>
      <w:r>
        <w:rPr>
          <w:rFonts w:ascii="FangSong" w:hAnsi="FangSong" w:eastAsia="FangSong" w:cs="FangSong"/>
          <w:sz w:val="25"/>
          <w:szCs w:val="25"/>
          <w:spacing w:val="-5"/>
        </w:rPr>
        <w:t>值。当签约售</w:t>
      </w:r>
      <w:r>
        <w:rPr>
          <w:rFonts w:ascii="FangSong" w:hAnsi="FangSong" w:eastAsia="FangSong" w:cs="FangSong"/>
          <w:sz w:val="25"/>
          <w:szCs w:val="25"/>
        </w:rPr>
        <w:t xml:space="preserve"> </w:t>
      </w:r>
      <w:r>
        <w:rPr>
          <w:rFonts w:ascii="FangSong" w:hAnsi="FangSong" w:eastAsia="FangSong" w:cs="FangSong"/>
          <w:sz w:val="25"/>
          <w:szCs w:val="25"/>
          <w:spacing w:val="-10"/>
        </w:rPr>
        <w:t>电公司未签订绿色电力批发合同时，</w:t>
      </w:r>
      <w:r>
        <w:rPr>
          <w:rFonts w:ascii="SimSun" w:hAnsi="SimSun" w:eastAsia="SimSun" w:cs="SimSun"/>
          <w:sz w:val="25"/>
          <w:szCs w:val="25"/>
          <w:spacing w:val="-10"/>
        </w:rPr>
        <w:t>P </w:t>
      </w:r>
      <w:r>
        <w:rPr>
          <w:rFonts w:ascii="FangSong" w:hAnsi="FangSong" w:eastAsia="FangSong" w:cs="FangSong"/>
          <w:sz w:val="25"/>
          <w:szCs w:val="25"/>
          <w:spacing w:val="-10"/>
        </w:rPr>
        <w:t>绿基默认取值为</w:t>
      </w:r>
      <w:r>
        <w:rPr>
          <w:rFonts w:ascii="SimSun" w:hAnsi="SimSun" w:eastAsia="SimSun" w:cs="SimSun"/>
          <w:sz w:val="25"/>
          <w:szCs w:val="25"/>
          <w:spacing w:val="-10"/>
        </w:rPr>
        <w:t>P</w:t>
      </w:r>
      <w:r>
        <w:rPr>
          <w:rFonts w:ascii="SimSun" w:hAnsi="SimSun" w:eastAsia="SimSun" w:cs="SimSun"/>
          <w:sz w:val="25"/>
          <w:szCs w:val="25"/>
          <w:spacing w:val="-31"/>
        </w:rPr>
        <w:t xml:space="preserve"> </w:t>
      </w:r>
      <w:r>
        <w:rPr>
          <w:rFonts w:ascii="FangSong" w:hAnsi="FangSong" w:eastAsia="FangSong" w:cs="FangSong"/>
          <w:sz w:val="25"/>
          <w:szCs w:val="25"/>
          <w:spacing w:val="-10"/>
        </w:rPr>
        <w:t>绿批。</w:t>
      </w:r>
    </w:p>
    <w:p>
      <w:pPr>
        <w:ind w:left="3404"/>
        <w:spacing w:line="223" w:lineRule="auto"/>
        <w:rPr>
          <w:rFonts w:ascii="FangSong" w:hAnsi="FangSong" w:eastAsia="FangSong" w:cs="FangSong"/>
          <w:sz w:val="25"/>
          <w:szCs w:val="25"/>
        </w:rPr>
      </w:pPr>
      <w:r>
        <w:rPr>
          <w:rFonts w:ascii="Times New Roman" w:hAnsi="Times New Roman" w:eastAsia="Times New Roman" w:cs="Times New Roman"/>
          <w:sz w:val="25"/>
          <w:szCs w:val="25"/>
          <w:spacing w:val="-20"/>
        </w:rPr>
        <w:t>P </w:t>
      </w:r>
      <w:r>
        <w:rPr>
          <w:rFonts w:ascii="FangSong" w:hAnsi="FangSong" w:eastAsia="FangSong" w:cs="FangSong"/>
          <w:sz w:val="25"/>
          <w:szCs w:val="25"/>
          <w:spacing w:val="-20"/>
        </w:rPr>
        <w:t>绿=</w:t>
      </w:r>
      <w:r>
        <w:rPr>
          <w:rFonts w:ascii="Times New Roman" w:hAnsi="Times New Roman" w:eastAsia="Times New Roman" w:cs="Times New Roman"/>
          <w:sz w:val="25"/>
          <w:szCs w:val="25"/>
          <w:spacing w:val="-20"/>
        </w:rPr>
        <w:t>P </w:t>
      </w:r>
      <w:r>
        <w:rPr>
          <w:rFonts w:ascii="FangSong" w:hAnsi="FangSong" w:eastAsia="FangSong" w:cs="FangSong"/>
          <w:sz w:val="25"/>
          <w:szCs w:val="25"/>
          <w:spacing w:val="-20"/>
        </w:rPr>
        <w:t>绿基+</w:t>
      </w:r>
      <w:r>
        <w:rPr>
          <w:rFonts w:ascii="Times New Roman" w:hAnsi="Times New Roman" w:eastAsia="Times New Roman" w:cs="Times New Roman"/>
          <w:sz w:val="25"/>
          <w:szCs w:val="25"/>
          <w:spacing w:val="-20"/>
        </w:rPr>
        <w:t>P</w:t>
      </w:r>
      <w:r>
        <w:rPr>
          <w:rFonts w:ascii="Times New Roman" w:hAnsi="Times New Roman" w:eastAsia="Times New Roman" w:cs="Times New Roman"/>
          <w:sz w:val="25"/>
          <w:szCs w:val="25"/>
          <w:spacing w:val="-15"/>
        </w:rPr>
        <w:t xml:space="preserve"> </w:t>
      </w:r>
      <w:r>
        <w:rPr>
          <w:rFonts w:ascii="FangSong" w:hAnsi="FangSong" w:eastAsia="FangSong" w:cs="FangSong"/>
          <w:sz w:val="25"/>
          <w:szCs w:val="25"/>
          <w:spacing w:val="-20"/>
        </w:rPr>
        <w:t>绿浮</w:t>
      </w:r>
    </w:p>
    <w:p>
      <w:pPr>
        <w:ind w:left="114" w:right="1362" w:firstLine="540"/>
        <w:spacing w:before="114" w:line="320" w:lineRule="auto"/>
        <w:jc w:val="both"/>
        <w:rPr>
          <w:rFonts w:ascii="FangSong" w:hAnsi="FangSong" w:eastAsia="FangSong" w:cs="FangSong"/>
          <w:sz w:val="25"/>
          <w:szCs w:val="25"/>
        </w:rPr>
      </w:pPr>
      <w:r>
        <w:rPr>
          <w:rFonts w:ascii="Times New Roman" w:hAnsi="Times New Roman" w:eastAsia="Times New Roman" w:cs="Times New Roman"/>
          <w:sz w:val="25"/>
          <w:szCs w:val="25"/>
          <w:spacing w:val="4"/>
        </w:rPr>
        <w:t>C</w:t>
      </w:r>
      <w:r>
        <w:rPr>
          <w:rFonts w:ascii="FangSong" w:hAnsi="FangSong" w:eastAsia="FangSong" w:cs="FangSong"/>
          <w:sz w:val="25"/>
          <w:szCs w:val="25"/>
          <w:spacing w:val="4"/>
        </w:rPr>
        <w:t>比例分成套餐：双方约定，绿色电力电量</w:t>
      </w:r>
      <w:r>
        <w:rPr>
          <w:rFonts w:ascii="Times New Roman" w:hAnsi="Times New Roman" w:eastAsia="Times New Roman" w:cs="Times New Roman"/>
          <w:sz w:val="25"/>
          <w:szCs w:val="25"/>
          <w:spacing w:val="4"/>
        </w:rPr>
        <w:t>Q </w:t>
      </w:r>
      <w:r>
        <w:rPr>
          <w:rFonts w:ascii="FangSong" w:hAnsi="FangSong" w:eastAsia="FangSong" w:cs="FangSong"/>
          <w:sz w:val="25"/>
          <w:szCs w:val="25"/>
          <w:spacing w:val="4"/>
        </w:rPr>
        <w:t>在约定固定</w:t>
      </w:r>
      <w:r>
        <w:rPr>
          <w:rFonts w:ascii="FangSong" w:hAnsi="FangSong" w:eastAsia="FangSong" w:cs="FangSong"/>
          <w:sz w:val="25"/>
          <w:szCs w:val="25"/>
          <w:spacing w:val="3"/>
        </w:rPr>
        <w:t>价格</w:t>
      </w:r>
      <w:r>
        <w:rPr>
          <w:rFonts w:ascii="Times New Roman" w:hAnsi="Times New Roman" w:eastAsia="Times New Roman" w:cs="Times New Roman"/>
          <w:sz w:val="25"/>
          <w:szCs w:val="25"/>
          <w:spacing w:val="3"/>
        </w:rPr>
        <w:t>P</w:t>
      </w:r>
      <w:r>
        <w:rPr>
          <w:rFonts w:ascii="Times New Roman" w:hAnsi="Times New Roman" w:eastAsia="Times New Roman" w:cs="Times New Roman"/>
          <w:sz w:val="25"/>
          <w:szCs w:val="25"/>
          <w:spacing w:val="23"/>
        </w:rPr>
        <w:t xml:space="preserve"> </w:t>
      </w:r>
      <w:r>
        <w:rPr>
          <w:rFonts w:ascii="FangSong" w:hAnsi="FangSong" w:eastAsia="FangSong" w:cs="FangSong"/>
          <w:sz w:val="25"/>
          <w:szCs w:val="25"/>
          <w:spacing w:val="3"/>
        </w:rPr>
        <w:t>绿田的</w:t>
      </w:r>
      <w:r>
        <w:rPr>
          <w:rFonts w:ascii="FangSong" w:hAnsi="FangSong" w:eastAsia="FangSong" w:cs="FangSong"/>
          <w:sz w:val="25"/>
          <w:szCs w:val="25"/>
        </w:rPr>
        <w:t xml:space="preserve"> </w:t>
      </w:r>
      <w:r>
        <w:rPr>
          <w:rFonts w:ascii="FangSong" w:hAnsi="FangSong" w:eastAsia="FangSong" w:cs="FangSong"/>
          <w:sz w:val="25"/>
          <w:szCs w:val="25"/>
          <w:spacing w:val="-4"/>
        </w:rPr>
        <w:t>基础上，将固定价格</w:t>
      </w:r>
      <w:r>
        <w:rPr>
          <w:rFonts w:ascii="SimSun" w:hAnsi="SimSun" w:eastAsia="SimSun" w:cs="SimSun"/>
          <w:sz w:val="25"/>
          <w:szCs w:val="25"/>
          <w:spacing w:val="-4"/>
        </w:rPr>
        <w:t>P</w:t>
      </w:r>
      <w:r>
        <w:rPr>
          <w:rFonts w:ascii="SimSun" w:hAnsi="SimSun" w:eastAsia="SimSun" w:cs="SimSun"/>
          <w:sz w:val="25"/>
          <w:szCs w:val="25"/>
          <w:spacing w:val="-12"/>
        </w:rPr>
        <w:t xml:space="preserve"> </w:t>
      </w:r>
      <w:r>
        <w:rPr>
          <w:rFonts w:ascii="FangSong" w:hAnsi="FangSong" w:eastAsia="FangSong" w:cs="FangSong"/>
          <w:sz w:val="25"/>
          <w:szCs w:val="25"/>
          <w:spacing w:val="-4"/>
        </w:rPr>
        <w:t>绿因与绿色电力批发市场合同均价</w:t>
      </w:r>
      <w:r>
        <w:rPr>
          <w:rFonts w:ascii="SimSun" w:hAnsi="SimSun" w:eastAsia="SimSun" w:cs="SimSun"/>
          <w:sz w:val="25"/>
          <w:szCs w:val="25"/>
          <w:spacing w:val="-4"/>
        </w:rPr>
        <w:t>P</w:t>
      </w:r>
      <w:r>
        <w:rPr>
          <w:rFonts w:ascii="SimSun" w:hAnsi="SimSun" w:eastAsia="SimSun" w:cs="SimSun"/>
          <w:sz w:val="25"/>
          <w:szCs w:val="25"/>
          <w:spacing w:val="-34"/>
        </w:rPr>
        <w:t xml:space="preserve"> </w:t>
      </w:r>
      <w:r>
        <w:rPr>
          <w:rFonts w:ascii="FangSong" w:hAnsi="FangSong" w:eastAsia="FangSong" w:cs="FangSong"/>
          <w:sz w:val="25"/>
          <w:szCs w:val="25"/>
          <w:spacing w:val="-4"/>
        </w:rPr>
        <w:t>绿批之间的差值，</w:t>
      </w:r>
      <w:r>
        <w:rPr>
          <w:rFonts w:ascii="FangSong" w:hAnsi="FangSong" w:eastAsia="FangSong" w:cs="FangSong"/>
          <w:sz w:val="25"/>
          <w:szCs w:val="25"/>
        </w:rPr>
        <w:t xml:space="preserve"> </w:t>
      </w:r>
      <w:r>
        <w:rPr>
          <w:rFonts w:ascii="FangSong" w:hAnsi="FangSong" w:eastAsia="FangSong" w:cs="FangSong"/>
          <w:sz w:val="25"/>
          <w:szCs w:val="25"/>
          <w:spacing w:val="6"/>
        </w:rPr>
        <w:t>按照约定的分成比例</w:t>
      </w:r>
      <w:r>
        <w:rPr>
          <w:rFonts w:ascii="SimSun" w:hAnsi="SimSun" w:eastAsia="SimSun" w:cs="SimSun"/>
          <w:sz w:val="25"/>
          <w:szCs w:val="25"/>
          <w:spacing w:val="6"/>
        </w:rPr>
        <w:t>K</w:t>
      </w:r>
      <w:r>
        <w:rPr>
          <w:rFonts w:ascii="SimSun" w:hAnsi="SimSun" w:eastAsia="SimSun" w:cs="SimSun"/>
          <w:sz w:val="25"/>
          <w:szCs w:val="25"/>
          <w:spacing w:val="-64"/>
        </w:rPr>
        <w:t xml:space="preserve"> </w:t>
      </w:r>
      <w:r>
        <w:rPr>
          <w:rFonts w:ascii="FangSong" w:hAnsi="FangSong" w:eastAsia="FangSong" w:cs="FangSong"/>
          <w:sz w:val="25"/>
          <w:szCs w:val="25"/>
          <w:spacing w:val="6"/>
        </w:rPr>
        <w:t>绿传导至零售用户。当上述差值为正时，</w:t>
      </w:r>
      <w:r>
        <w:rPr>
          <w:rFonts w:ascii="FangSong" w:hAnsi="FangSong" w:eastAsia="FangSong" w:cs="FangSong"/>
          <w:sz w:val="25"/>
          <w:szCs w:val="25"/>
          <w:spacing w:val="5"/>
        </w:rPr>
        <w:t>比例</w:t>
      </w:r>
      <w:r>
        <w:rPr>
          <w:rFonts w:ascii="SimSun" w:hAnsi="SimSun" w:eastAsia="SimSun" w:cs="SimSun"/>
          <w:sz w:val="25"/>
          <w:szCs w:val="25"/>
          <w:spacing w:val="5"/>
        </w:rPr>
        <w:t>K</w:t>
      </w:r>
      <w:r>
        <w:rPr>
          <w:rFonts w:ascii="SimSun" w:hAnsi="SimSun" w:eastAsia="SimSun" w:cs="SimSun"/>
          <w:sz w:val="25"/>
          <w:szCs w:val="25"/>
          <w:spacing w:val="-65"/>
        </w:rPr>
        <w:t xml:space="preserve"> </w:t>
      </w:r>
      <w:r>
        <w:rPr>
          <w:rFonts w:ascii="FangSong" w:hAnsi="FangSong" w:eastAsia="FangSong" w:cs="FangSong"/>
          <w:sz w:val="25"/>
          <w:szCs w:val="25"/>
          <w:spacing w:val="5"/>
        </w:rPr>
        <w:t>绿享</w:t>
      </w:r>
      <w:r>
        <w:rPr>
          <w:rFonts w:ascii="FangSong" w:hAnsi="FangSong" w:eastAsia="FangSong" w:cs="FangSong"/>
          <w:sz w:val="25"/>
          <w:szCs w:val="25"/>
        </w:rPr>
        <w:t xml:space="preserve"> </w:t>
      </w:r>
      <w:r>
        <w:rPr>
          <w:rFonts w:ascii="FangSong" w:hAnsi="FangSong" w:eastAsia="FangSong" w:cs="FangSong"/>
          <w:sz w:val="25"/>
          <w:szCs w:val="25"/>
          <w:spacing w:val="-8"/>
        </w:rPr>
        <w:t>部分由零售用户分享，差值为负时，比例</w:t>
      </w:r>
      <w:r>
        <w:rPr>
          <w:rFonts w:ascii="SimSun" w:hAnsi="SimSun" w:eastAsia="SimSun" w:cs="SimSun"/>
          <w:sz w:val="25"/>
          <w:szCs w:val="25"/>
          <w:spacing w:val="-8"/>
        </w:rPr>
        <w:t>K </w:t>
      </w:r>
      <w:r>
        <w:rPr>
          <w:rFonts w:ascii="FangSong" w:hAnsi="FangSong" w:eastAsia="FangSong" w:cs="FangSong"/>
          <w:sz w:val="25"/>
          <w:szCs w:val="25"/>
          <w:spacing w:val="-8"/>
        </w:rPr>
        <w:t>绿担部分由零售用户承担，</w:t>
      </w:r>
      <w:r>
        <w:rPr>
          <w:rFonts w:ascii="SimSun" w:hAnsi="SimSun" w:eastAsia="SimSun" w:cs="SimSun"/>
          <w:sz w:val="25"/>
          <w:szCs w:val="25"/>
          <w:spacing w:val="-8"/>
        </w:rPr>
        <w:t>K </w:t>
      </w:r>
      <w:r>
        <w:rPr>
          <w:rFonts w:ascii="FangSong" w:hAnsi="FangSong" w:eastAsia="FangSong" w:cs="FangSong"/>
          <w:sz w:val="25"/>
          <w:szCs w:val="25"/>
          <w:spacing w:val="-8"/>
        </w:rPr>
        <w:t>(</w:t>
      </w:r>
      <w:r>
        <w:rPr>
          <w:rFonts w:ascii="FangSong" w:hAnsi="FangSong" w:eastAsia="FangSong" w:cs="FangSong"/>
          <w:sz w:val="25"/>
          <w:szCs w:val="25"/>
          <w:spacing w:val="-9"/>
        </w:rPr>
        <w:t xml:space="preserve">  </w:t>
      </w:r>
      <w:r>
        <w:rPr>
          <w:rFonts w:ascii="FangSong" w:hAnsi="FangSong" w:eastAsia="FangSong" w:cs="FangSong"/>
          <w:sz w:val="25"/>
          <w:szCs w:val="25"/>
          <w:spacing w:val="-9"/>
        </w:rPr>
        <w:t>包</w:t>
      </w:r>
      <w:r>
        <w:rPr>
          <w:rFonts w:ascii="FangSong" w:hAnsi="FangSong" w:eastAsia="FangSong" w:cs="FangSong"/>
          <w:sz w:val="25"/>
          <w:szCs w:val="25"/>
        </w:rPr>
        <w:t xml:space="preserve"> </w:t>
      </w:r>
      <w:r>
        <w:rPr>
          <w:rFonts w:ascii="FangSong" w:hAnsi="FangSong" w:eastAsia="FangSong" w:cs="FangSong"/>
          <w:sz w:val="25"/>
          <w:szCs w:val="25"/>
          <w:spacing w:val="-13"/>
        </w:rPr>
        <w:t>括</w:t>
      </w:r>
      <w:r>
        <w:rPr>
          <w:rFonts w:ascii="FangSong" w:hAnsi="FangSong" w:eastAsia="FangSong" w:cs="FangSong"/>
          <w:sz w:val="25"/>
          <w:szCs w:val="25"/>
          <w:spacing w:val="-53"/>
        </w:rPr>
        <w:t xml:space="preserve"> </w:t>
      </w:r>
      <w:r>
        <w:rPr>
          <w:rFonts w:ascii="Times New Roman" w:hAnsi="Times New Roman" w:eastAsia="Times New Roman" w:cs="Times New Roman"/>
          <w:sz w:val="25"/>
          <w:szCs w:val="25"/>
          <w:spacing w:val="-13"/>
        </w:rPr>
        <w:t>K</w:t>
      </w:r>
      <w:r>
        <w:rPr>
          <w:rFonts w:ascii="FangSong" w:hAnsi="FangSong" w:eastAsia="FangSong" w:cs="FangSong"/>
          <w:sz w:val="25"/>
          <w:szCs w:val="25"/>
          <w:spacing w:val="-13"/>
        </w:rPr>
        <w:t>绿享、</w:t>
      </w:r>
      <w:r>
        <w:rPr>
          <w:rFonts w:ascii="Times New Roman" w:hAnsi="Times New Roman" w:eastAsia="Times New Roman" w:cs="Times New Roman"/>
          <w:sz w:val="25"/>
          <w:szCs w:val="25"/>
          <w:spacing w:val="-13"/>
        </w:rPr>
        <w:t>K</w:t>
      </w:r>
      <w:r>
        <w:rPr>
          <w:rFonts w:ascii="FangSong" w:hAnsi="FangSong" w:eastAsia="FangSong" w:cs="FangSong"/>
          <w:sz w:val="25"/>
          <w:szCs w:val="25"/>
          <w:spacing w:val="-13"/>
        </w:rPr>
        <w:t>绿担)取值范围为0至1。</w:t>
      </w:r>
    </w:p>
    <w:p>
      <w:pPr>
        <w:ind w:left="2494"/>
        <w:spacing w:line="212" w:lineRule="auto"/>
        <w:rPr>
          <w:rFonts w:ascii="KaiTi" w:hAnsi="KaiTi" w:eastAsia="KaiTi" w:cs="KaiTi"/>
          <w:sz w:val="25"/>
          <w:szCs w:val="25"/>
        </w:rPr>
      </w:pPr>
      <w:r>
        <w:rPr>
          <w:rFonts w:ascii="Times New Roman" w:hAnsi="Times New Roman" w:eastAsia="Times New Roman" w:cs="Times New Roman"/>
          <w:sz w:val="25"/>
          <w:szCs w:val="25"/>
          <w:spacing w:val="-22"/>
        </w:rPr>
        <w:t>P</w:t>
      </w:r>
      <w:r>
        <w:rPr>
          <w:rFonts w:ascii="Times New Roman" w:hAnsi="Times New Roman" w:eastAsia="Times New Roman" w:cs="Times New Roman"/>
          <w:sz w:val="25"/>
          <w:szCs w:val="25"/>
          <w:spacing w:val="21"/>
        </w:rPr>
        <w:t xml:space="preserve"> </w:t>
      </w:r>
      <w:r>
        <w:rPr>
          <w:rFonts w:ascii="KaiTi" w:hAnsi="KaiTi" w:eastAsia="KaiTi" w:cs="KaiTi"/>
          <w:sz w:val="25"/>
          <w:szCs w:val="25"/>
          <w:spacing w:val="-22"/>
        </w:rPr>
        <w:t>绿=</w:t>
      </w:r>
      <w:r>
        <w:rPr>
          <w:rFonts w:ascii="Times New Roman" w:hAnsi="Times New Roman" w:eastAsia="Times New Roman" w:cs="Times New Roman"/>
          <w:sz w:val="25"/>
          <w:szCs w:val="25"/>
          <w:spacing w:val="-22"/>
        </w:rPr>
        <w:t>P</w:t>
      </w:r>
      <w:r>
        <w:rPr>
          <w:rFonts w:ascii="Times New Roman" w:hAnsi="Times New Roman" w:eastAsia="Times New Roman" w:cs="Times New Roman"/>
          <w:sz w:val="25"/>
          <w:szCs w:val="25"/>
          <w:spacing w:val="13"/>
        </w:rPr>
        <w:t xml:space="preserve"> </w:t>
      </w:r>
      <w:r>
        <w:rPr>
          <w:rFonts w:ascii="KaiTi" w:hAnsi="KaiTi" w:eastAsia="KaiTi" w:cs="KaiTi"/>
          <w:sz w:val="25"/>
          <w:szCs w:val="25"/>
          <w:spacing w:val="-22"/>
        </w:rPr>
        <w:t>绿图-</w:t>
      </w:r>
      <w:r>
        <w:rPr>
          <w:rFonts w:ascii="KaiTi" w:hAnsi="KaiTi" w:eastAsia="KaiTi" w:cs="KaiTi"/>
          <w:sz w:val="25"/>
          <w:szCs w:val="25"/>
          <w:spacing w:val="-22"/>
        </w:rPr>
        <w:t xml:space="preserve"> </w:t>
      </w:r>
      <w:r>
        <w:rPr>
          <w:rFonts w:ascii="Times New Roman" w:hAnsi="Times New Roman" w:eastAsia="Times New Roman" w:cs="Times New Roman"/>
          <w:sz w:val="25"/>
          <w:szCs w:val="25"/>
          <w:spacing w:val="-22"/>
        </w:rPr>
        <w:t>(P</w:t>
      </w:r>
      <w:r>
        <w:rPr>
          <w:rFonts w:ascii="Times New Roman" w:hAnsi="Times New Roman" w:eastAsia="Times New Roman" w:cs="Times New Roman"/>
          <w:sz w:val="25"/>
          <w:szCs w:val="25"/>
          <w:spacing w:val="11"/>
        </w:rPr>
        <w:t xml:space="preserve">  </w:t>
      </w:r>
      <w:r>
        <w:rPr>
          <w:rFonts w:ascii="KaiTi" w:hAnsi="KaiTi" w:eastAsia="KaiTi" w:cs="KaiTi"/>
          <w:sz w:val="25"/>
          <w:szCs w:val="25"/>
          <w:spacing w:val="-22"/>
        </w:rPr>
        <w:t>绿田-</w:t>
      </w:r>
      <w:r>
        <w:rPr>
          <w:rFonts w:ascii="Times New Roman" w:hAnsi="Times New Roman" w:eastAsia="Times New Roman" w:cs="Times New Roman"/>
          <w:sz w:val="25"/>
          <w:szCs w:val="25"/>
          <w:spacing w:val="-22"/>
        </w:rPr>
        <w:t>P</w:t>
      </w:r>
      <w:r>
        <w:rPr>
          <w:rFonts w:ascii="Times New Roman" w:hAnsi="Times New Roman" w:eastAsia="Times New Roman" w:cs="Times New Roman"/>
          <w:sz w:val="25"/>
          <w:szCs w:val="25"/>
          <w:spacing w:val="13"/>
        </w:rPr>
        <w:t xml:space="preserve"> </w:t>
      </w:r>
      <w:r>
        <w:rPr>
          <w:rFonts w:ascii="KaiTi" w:hAnsi="KaiTi" w:eastAsia="KaiTi" w:cs="KaiTi"/>
          <w:sz w:val="25"/>
          <w:szCs w:val="25"/>
          <w:spacing w:val="-22"/>
        </w:rPr>
        <w:t>绿批)×</w:t>
      </w:r>
      <w:r>
        <w:rPr>
          <w:rFonts w:ascii="Times New Roman" w:hAnsi="Times New Roman" w:eastAsia="Times New Roman" w:cs="Times New Roman"/>
          <w:sz w:val="25"/>
          <w:szCs w:val="25"/>
          <w:spacing w:val="-22"/>
        </w:rPr>
        <w:t>K</w:t>
      </w:r>
      <w:r>
        <w:rPr>
          <w:rFonts w:ascii="KaiTi" w:hAnsi="KaiTi" w:eastAsia="KaiTi" w:cs="KaiTi"/>
          <w:sz w:val="25"/>
          <w:szCs w:val="25"/>
          <w:spacing w:val="-22"/>
        </w:rPr>
        <w:t>绿</w:t>
      </w:r>
    </w:p>
    <w:p>
      <w:pPr>
        <w:ind w:left="644"/>
        <w:spacing w:before="165" w:line="230" w:lineRule="auto"/>
        <w:rPr>
          <w:rFonts w:ascii="KaiTi" w:hAnsi="KaiTi" w:eastAsia="KaiTi" w:cs="KaiTi"/>
          <w:sz w:val="25"/>
          <w:szCs w:val="25"/>
        </w:rPr>
      </w:pPr>
      <w:r>
        <w:rPr>
          <w:rFonts w:ascii="KaiTi" w:hAnsi="KaiTi" w:eastAsia="KaiTi" w:cs="KaiTi"/>
          <w:sz w:val="25"/>
          <w:szCs w:val="25"/>
          <w:spacing w:val="15"/>
        </w:rPr>
        <w:t>3.2.2绿色电力电量</w:t>
      </w:r>
    </w:p>
    <w:p>
      <w:pPr>
        <w:ind w:left="94" w:right="1373" w:firstLine="540"/>
        <w:spacing w:before="152" w:line="298" w:lineRule="auto"/>
        <w:rPr>
          <w:rFonts w:ascii="FangSong" w:hAnsi="FangSong" w:eastAsia="FangSong" w:cs="FangSong"/>
          <w:sz w:val="25"/>
          <w:szCs w:val="25"/>
        </w:rPr>
      </w:pPr>
      <w:r>
        <w:rPr>
          <w:rFonts w:ascii="FangSong" w:hAnsi="FangSong" w:eastAsia="FangSong" w:cs="FangSong"/>
          <w:sz w:val="25"/>
          <w:szCs w:val="25"/>
          <w:spacing w:val="-3"/>
        </w:rPr>
        <w:t>绿色电力电量</w:t>
      </w:r>
      <w:r>
        <w:rPr>
          <w:rFonts w:ascii="SimSun" w:hAnsi="SimSun" w:eastAsia="SimSun" w:cs="SimSun"/>
          <w:sz w:val="25"/>
          <w:szCs w:val="25"/>
          <w:spacing w:val="-3"/>
        </w:rPr>
        <w:t>Q</w:t>
      </w:r>
      <w:r>
        <w:rPr>
          <w:rFonts w:ascii="SimSun" w:hAnsi="SimSun" w:eastAsia="SimSun" w:cs="SimSun"/>
          <w:sz w:val="25"/>
          <w:szCs w:val="25"/>
          <w:spacing w:val="58"/>
        </w:rPr>
        <w:t xml:space="preserve"> </w:t>
      </w:r>
      <w:r>
        <w:rPr>
          <w:rFonts w:ascii="FangSong" w:hAnsi="FangSong" w:eastAsia="FangSong" w:cs="FangSong"/>
          <w:sz w:val="25"/>
          <w:szCs w:val="25"/>
          <w:spacing w:val="-3"/>
        </w:rPr>
        <w:t>为</w:t>
      </w:r>
      <w:r>
        <w:rPr>
          <w:rFonts w:ascii="FangSong" w:hAnsi="FangSong" w:eastAsia="FangSong" w:cs="FangSong"/>
          <w:sz w:val="25"/>
          <w:szCs w:val="25"/>
          <w:spacing w:val="-3"/>
        </w:rPr>
        <w:t xml:space="preserve"> </w:t>
      </w:r>
      <w:r>
        <w:rPr>
          <w:rFonts w:ascii="SimSun" w:hAnsi="SimSun" w:eastAsia="SimSun" w:cs="SimSun"/>
          <w:sz w:val="25"/>
          <w:szCs w:val="25"/>
          <w:spacing w:val="-3"/>
        </w:rPr>
        <w:t>Q</w:t>
      </w:r>
      <w:r>
        <w:rPr>
          <w:rFonts w:ascii="SimSun" w:hAnsi="SimSun" w:eastAsia="SimSun" w:cs="SimSun"/>
          <w:sz w:val="25"/>
          <w:szCs w:val="25"/>
          <w:spacing w:val="-53"/>
        </w:rPr>
        <w:t xml:space="preserve"> </w:t>
      </w:r>
      <w:r>
        <w:rPr>
          <w:rFonts w:ascii="FangSong" w:hAnsi="FangSong" w:eastAsia="FangSong" w:cs="FangSong"/>
          <w:sz w:val="25"/>
          <w:szCs w:val="25"/>
          <w:spacing w:val="-3"/>
        </w:rPr>
        <w:t>绿</w:t>
      </w:r>
      <w:r>
        <w:rPr>
          <w:rFonts w:ascii="FangSong" w:hAnsi="FangSong" w:eastAsia="FangSong" w:cs="FangSong"/>
          <w:sz w:val="25"/>
          <w:szCs w:val="25"/>
          <w:spacing w:val="-38"/>
        </w:rPr>
        <w:t xml:space="preserve"> </w:t>
      </w:r>
      <w:r>
        <w:rPr>
          <w:rFonts w:ascii="FangSong" w:hAnsi="FangSong" w:eastAsia="FangSong" w:cs="FangSong"/>
          <w:sz w:val="25"/>
          <w:szCs w:val="25"/>
          <w:spacing w:val="-3"/>
        </w:rPr>
        <w:t>与</w:t>
      </w:r>
      <w:r>
        <w:rPr>
          <w:rFonts w:ascii="SimSun" w:hAnsi="SimSun" w:eastAsia="SimSun" w:cs="SimSun"/>
          <w:sz w:val="25"/>
          <w:szCs w:val="25"/>
          <w:spacing w:val="-3"/>
        </w:rPr>
        <w:t>Q</w:t>
      </w:r>
      <w:r>
        <w:rPr>
          <w:rFonts w:ascii="SimSun" w:hAnsi="SimSun" w:eastAsia="SimSun" w:cs="SimSun"/>
          <w:sz w:val="25"/>
          <w:szCs w:val="25"/>
          <w:spacing w:val="-32"/>
        </w:rPr>
        <w:t xml:space="preserve"> </w:t>
      </w:r>
      <w:r>
        <w:rPr>
          <w:rFonts w:ascii="FangSong" w:hAnsi="FangSong" w:eastAsia="FangSong" w:cs="FangSong"/>
          <w:sz w:val="25"/>
          <w:szCs w:val="25"/>
          <w:spacing w:val="-3"/>
        </w:rPr>
        <w:t>绿分中的较小值，</w:t>
      </w:r>
      <w:r>
        <w:rPr>
          <w:rFonts w:ascii="SimSun" w:hAnsi="SimSun" w:eastAsia="SimSun" w:cs="SimSun"/>
          <w:sz w:val="25"/>
          <w:szCs w:val="25"/>
          <w:spacing w:val="-3"/>
        </w:rPr>
        <w:t>Q</w:t>
      </w:r>
      <w:r>
        <w:rPr>
          <w:rFonts w:ascii="SimSun" w:hAnsi="SimSun" w:eastAsia="SimSun" w:cs="SimSun"/>
          <w:sz w:val="25"/>
          <w:szCs w:val="25"/>
          <w:spacing w:val="-52"/>
        </w:rPr>
        <w:t xml:space="preserve"> </w:t>
      </w:r>
      <w:r>
        <w:rPr>
          <w:rFonts w:ascii="FangSong" w:hAnsi="FangSong" w:eastAsia="FangSong" w:cs="FangSong"/>
          <w:sz w:val="25"/>
          <w:szCs w:val="25"/>
          <w:spacing w:val="-3"/>
        </w:rPr>
        <w:t>雷为双方约定的绿色电</w:t>
      </w:r>
      <w:r>
        <w:rPr>
          <w:rFonts w:ascii="FangSong" w:hAnsi="FangSong" w:eastAsia="FangSong" w:cs="FangSong"/>
          <w:sz w:val="25"/>
          <w:szCs w:val="25"/>
        </w:rPr>
        <w:t xml:space="preserve"> </w:t>
      </w:r>
      <w:r>
        <w:rPr>
          <w:rFonts w:ascii="FangSong" w:hAnsi="FangSong" w:eastAsia="FangSong" w:cs="FangSong"/>
          <w:sz w:val="25"/>
          <w:szCs w:val="25"/>
          <w:spacing w:val="-3"/>
        </w:rPr>
        <w:t>力需求电量，</w:t>
      </w:r>
      <w:r>
        <w:rPr>
          <w:rFonts w:ascii="FangSong" w:hAnsi="FangSong" w:eastAsia="FangSong" w:cs="FangSong"/>
          <w:sz w:val="25"/>
          <w:szCs w:val="25"/>
          <w:spacing w:val="-75"/>
        </w:rPr>
        <w:t xml:space="preserve"> </w:t>
      </w:r>
      <w:r>
        <w:rPr>
          <w:rFonts w:ascii="Times New Roman" w:hAnsi="Times New Roman" w:eastAsia="Times New Roman" w:cs="Times New Roman"/>
          <w:sz w:val="25"/>
          <w:szCs w:val="25"/>
          <w:spacing w:val="-3"/>
        </w:rPr>
        <w:t>Q</w:t>
      </w:r>
      <w:r>
        <w:rPr>
          <w:rFonts w:ascii="FangSong" w:hAnsi="FangSong" w:eastAsia="FangSong" w:cs="FangSong"/>
          <w:sz w:val="25"/>
          <w:szCs w:val="25"/>
          <w:spacing w:val="-3"/>
        </w:rPr>
        <w:t>绿分为售电公司向零售用户关联的绿色电力分配电量。</w:t>
      </w:r>
    </w:p>
    <w:p>
      <w:pPr>
        <w:ind w:left="2955"/>
        <w:spacing w:before="56" w:line="220" w:lineRule="auto"/>
        <w:rPr>
          <w:rFonts w:ascii="SimSun" w:hAnsi="SimSun" w:eastAsia="SimSun" w:cs="SimSun"/>
          <w:sz w:val="25"/>
          <w:szCs w:val="25"/>
        </w:rPr>
      </w:pPr>
      <w:r>
        <w:rPr>
          <w:rFonts w:ascii="SimSun" w:hAnsi="SimSun" w:eastAsia="SimSun" w:cs="SimSun"/>
          <w:sz w:val="25"/>
          <w:szCs w:val="25"/>
          <w:spacing w:val="-6"/>
        </w:rPr>
        <w:t>Q绿=</w:t>
      </w:r>
      <w:r>
        <w:rPr>
          <w:rFonts w:ascii="SimSun" w:hAnsi="SimSun" w:eastAsia="SimSun" w:cs="SimSun"/>
          <w:sz w:val="19"/>
          <w:szCs w:val="19"/>
          <w:spacing w:val="-6"/>
        </w:rPr>
        <w:t>min(Q</w:t>
      </w:r>
      <w:r>
        <w:rPr>
          <w:rFonts w:ascii="SimSun" w:hAnsi="SimSun" w:eastAsia="SimSun" w:cs="SimSun"/>
          <w:sz w:val="19"/>
          <w:szCs w:val="19"/>
          <w:spacing w:val="17"/>
        </w:rPr>
        <w:t xml:space="preserve">    </w:t>
      </w:r>
      <w:r>
        <w:rPr>
          <w:rFonts w:ascii="SimSun" w:hAnsi="SimSun" w:eastAsia="SimSun" w:cs="SimSun"/>
          <w:sz w:val="25"/>
          <w:szCs w:val="25"/>
          <w:spacing w:val="-6"/>
        </w:rPr>
        <w:t>雷，Q绿分)</w:t>
      </w:r>
    </w:p>
    <w:p>
      <w:pPr>
        <w:ind w:left="624"/>
        <w:spacing w:before="136" w:line="230" w:lineRule="auto"/>
        <w:rPr>
          <w:rFonts w:ascii="KaiTi" w:hAnsi="KaiTi" w:eastAsia="KaiTi" w:cs="KaiTi"/>
          <w:sz w:val="25"/>
          <w:szCs w:val="25"/>
        </w:rPr>
      </w:pPr>
      <w:r>
        <w:rPr>
          <w:rFonts w:ascii="KaiTi" w:hAnsi="KaiTi" w:eastAsia="KaiTi" w:cs="KaiTi"/>
          <w:sz w:val="25"/>
          <w:szCs w:val="25"/>
          <w:spacing w:val="13"/>
        </w:rPr>
        <w:t>3.2.3绿色电力环境价值</w:t>
      </w:r>
    </w:p>
    <w:p>
      <w:pPr>
        <w:ind w:left="104" w:right="1368" w:firstLine="530"/>
        <w:spacing w:before="144" w:line="319" w:lineRule="auto"/>
        <w:rPr>
          <w:rFonts w:ascii="FangSong" w:hAnsi="FangSong" w:eastAsia="FangSong" w:cs="FangSong"/>
          <w:sz w:val="25"/>
          <w:szCs w:val="25"/>
        </w:rPr>
      </w:pPr>
      <w:r>
        <w:rPr>
          <w:rFonts w:ascii="FangSong" w:hAnsi="FangSong" w:eastAsia="FangSong" w:cs="FangSong"/>
          <w:sz w:val="25"/>
          <w:szCs w:val="25"/>
          <w:spacing w:val="10"/>
        </w:rPr>
        <w:t>绿色电力零售交易中环境价值</w:t>
      </w:r>
      <w:r>
        <w:rPr>
          <w:rFonts w:ascii="SimSun" w:hAnsi="SimSun" w:eastAsia="SimSun" w:cs="SimSun"/>
          <w:sz w:val="25"/>
          <w:szCs w:val="25"/>
          <w:spacing w:val="10"/>
        </w:rPr>
        <w:t>P</w:t>
      </w:r>
      <w:r>
        <w:rPr>
          <w:rFonts w:ascii="SimSun" w:hAnsi="SimSun" w:eastAsia="SimSun" w:cs="SimSun"/>
          <w:sz w:val="25"/>
          <w:szCs w:val="25"/>
          <w:spacing w:val="-8"/>
        </w:rPr>
        <w:t xml:space="preserve"> </w:t>
      </w:r>
      <w:r>
        <w:rPr>
          <w:rFonts w:ascii="FangSong" w:hAnsi="FangSong" w:eastAsia="FangSong" w:cs="FangSong"/>
          <w:sz w:val="25"/>
          <w:szCs w:val="25"/>
          <w:spacing w:val="10"/>
        </w:rPr>
        <w:t>环按该零售用户对应绿色电力批发合</w:t>
      </w:r>
      <w:r>
        <w:rPr>
          <w:rFonts w:ascii="FangSong" w:hAnsi="FangSong" w:eastAsia="FangSong" w:cs="FangSong"/>
          <w:sz w:val="25"/>
          <w:szCs w:val="25"/>
        </w:rPr>
        <w:t xml:space="preserve"> </w:t>
      </w:r>
      <w:r>
        <w:rPr>
          <w:rFonts w:ascii="FangSong" w:hAnsi="FangSong" w:eastAsia="FangSong" w:cs="FangSong"/>
          <w:sz w:val="25"/>
          <w:szCs w:val="25"/>
          <w:spacing w:val="10"/>
        </w:rPr>
        <w:t>同的环境价值传导形成。绿色电力批发合同与零售合同对应关系</w:t>
      </w:r>
      <w:r>
        <w:rPr>
          <w:rFonts w:ascii="FangSong" w:hAnsi="FangSong" w:eastAsia="FangSong" w:cs="FangSong"/>
          <w:sz w:val="25"/>
          <w:szCs w:val="25"/>
          <w:spacing w:val="9"/>
        </w:rPr>
        <w:t>由售电公</w:t>
      </w:r>
      <w:r>
        <w:rPr>
          <w:rFonts w:ascii="FangSong" w:hAnsi="FangSong" w:eastAsia="FangSong" w:cs="FangSong"/>
          <w:sz w:val="25"/>
          <w:szCs w:val="25"/>
        </w:rPr>
        <w:t xml:space="preserve"> </w:t>
      </w:r>
      <w:r>
        <w:rPr>
          <w:rFonts w:ascii="FangSong" w:hAnsi="FangSong" w:eastAsia="FangSong" w:cs="FangSong"/>
          <w:sz w:val="25"/>
          <w:szCs w:val="25"/>
          <w:spacing w:val="10"/>
        </w:rPr>
        <w:t>司提交，形成零售用户绿色电力分配电量。零售用户的环境价值结算电量</w:t>
      </w:r>
      <w:r>
        <w:rPr>
          <w:rFonts w:ascii="FangSong" w:hAnsi="FangSong" w:eastAsia="FangSong" w:cs="FangSong"/>
          <w:sz w:val="25"/>
          <w:szCs w:val="25"/>
          <w:spacing w:val="1"/>
        </w:rPr>
        <w:t xml:space="preserve"> </w:t>
      </w:r>
      <w:r>
        <w:rPr>
          <w:rFonts w:ascii="FangSong" w:hAnsi="FangSong" w:eastAsia="FangSong" w:cs="FangSong"/>
          <w:sz w:val="25"/>
          <w:szCs w:val="25"/>
          <w:spacing w:val="17"/>
        </w:rPr>
        <w:t>取发电企业对应上网电量(机制外)、零售用户实际用电量、售电公司实</w:t>
      </w:r>
      <w:r>
        <w:rPr>
          <w:rFonts w:ascii="FangSong" w:hAnsi="FangSong" w:eastAsia="FangSong" w:cs="FangSong"/>
          <w:sz w:val="25"/>
          <w:szCs w:val="25"/>
          <w:spacing w:val="17"/>
        </w:rPr>
        <w:t xml:space="preserve"> </w:t>
      </w:r>
      <w:r>
        <w:rPr>
          <w:rFonts w:ascii="FangSong" w:hAnsi="FangSong" w:eastAsia="FangSong" w:cs="FangSong"/>
          <w:sz w:val="25"/>
          <w:szCs w:val="25"/>
          <w:spacing w:val="6"/>
        </w:rPr>
        <w:t>际向零售用户关联的绿色电力分配电量三者的最小值。</w:t>
      </w:r>
    </w:p>
    <w:p>
      <w:pPr>
        <w:ind w:left="3584"/>
        <w:spacing w:before="247" w:line="222" w:lineRule="auto"/>
        <w:rPr>
          <w:rFonts w:ascii="FangSong" w:hAnsi="FangSong" w:eastAsia="FangSong" w:cs="FangSong"/>
          <w:sz w:val="19"/>
          <w:szCs w:val="19"/>
        </w:rPr>
      </w:pPr>
      <w:r>
        <w:rPr>
          <w:rFonts w:ascii="FangSong" w:hAnsi="FangSong" w:eastAsia="FangSong" w:cs="FangSong"/>
          <w:sz w:val="19"/>
          <w:szCs w:val="19"/>
          <w:spacing w:val="-15"/>
        </w:rPr>
        <w:t>第</w:t>
      </w:r>
      <w:r>
        <w:rPr>
          <w:rFonts w:ascii="FangSong" w:hAnsi="FangSong" w:eastAsia="FangSong" w:cs="FangSong"/>
          <w:sz w:val="19"/>
          <w:szCs w:val="19"/>
          <w:spacing w:val="-28"/>
        </w:rPr>
        <w:t xml:space="preserve"> </w:t>
      </w:r>
      <w:r>
        <w:rPr>
          <w:rFonts w:ascii="FangSong" w:hAnsi="FangSong" w:eastAsia="FangSong" w:cs="FangSong"/>
          <w:sz w:val="19"/>
          <w:szCs w:val="19"/>
          <w:spacing w:val="-15"/>
        </w:rPr>
        <w:t>7</w:t>
      </w:r>
      <w:r>
        <w:rPr>
          <w:rFonts w:ascii="FangSong" w:hAnsi="FangSong" w:eastAsia="FangSong" w:cs="FangSong"/>
          <w:sz w:val="19"/>
          <w:szCs w:val="19"/>
          <w:spacing w:val="-18"/>
        </w:rPr>
        <w:t xml:space="preserve"> </w:t>
      </w:r>
      <w:r>
        <w:rPr>
          <w:rFonts w:ascii="FangSong" w:hAnsi="FangSong" w:eastAsia="FangSong" w:cs="FangSong"/>
          <w:sz w:val="19"/>
          <w:szCs w:val="19"/>
          <w:spacing w:val="-15"/>
        </w:rPr>
        <w:t>页</w:t>
      </w:r>
      <w:r>
        <w:rPr>
          <w:rFonts w:ascii="FangSong" w:hAnsi="FangSong" w:eastAsia="FangSong" w:cs="FangSong"/>
          <w:sz w:val="19"/>
          <w:szCs w:val="19"/>
          <w:spacing w:val="-21"/>
        </w:rPr>
        <w:t xml:space="preserve"> </w:t>
      </w:r>
      <w:r>
        <w:rPr>
          <w:rFonts w:ascii="FangSong" w:hAnsi="FangSong" w:eastAsia="FangSong" w:cs="FangSong"/>
          <w:sz w:val="19"/>
          <w:szCs w:val="19"/>
          <w:spacing w:val="-15"/>
        </w:rPr>
        <w:t>共</w:t>
      </w:r>
      <w:r>
        <w:rPr>
          <w:rFonts w:ascii="FangSong" w:hAnsi="FangSong" w:eastAsia="FangSong" w:cs="FangSong"/>
          <w:sz w:val="19"/>
          <w:szCs w:val="19"/>
          <w:spacing w:val="-18"/>
        </w:rPr>
        <w:t xml:space="preserve"> </w:t>
      </w:r>
      <w:r>
        <w:rPr>
          <w:rFonts w:ascii="FangSong" w:hAnsi="FangSong" w:eastAsia="FangSong" w:cs="FangSong"/>
          <w:sz w:val="19"/>
          <w:szCs w:val="19"/>
          <w:spacing w:val="-15"/>
        </w:rPr>
        <w:t>1</w:t>
      </w:r>
      <w:r>
        <w:rPr>
          <w:rFonts w:ascii="FangSong" w:hAnsi="FangSong" w:eastAsia="FangSong" w:cs="FangSong"/>
          <w:sz w:val="19"/>
          <w:szCs w:val="19"/>
          <w:spacing w:val="-29"/>
        </w:rPr>
        <w:t xml:space="preserve"> </w:t>
      </w:r>
      <w:r>
        <w:rPr>
          <w:rFonts w:ascii="FangSong" w:hAnsi="FangSong" w:eastAsia="FangSong" w:cs="FangSong"/>
          <w:sz w:val="19"/>
          <w:szCs w:val="19"/>
          <w:spacing w:val="-15"/>
        </w:rPr>
        <w:t>7</w:t>
      </w:r>
      <w:r>
        <w:rPr>
          <w:rFonts w:ascii="FangSong" w:hAnsi="FangSong" w:eastAsia="FangSong" w:cs="FangSong"/>
          <w:sz w:val="19"/>
          <w:szCs w:val="19"/>
          <w:spacing w:val="-17"/>
        </w:rPr>
        <w:t xml:space="preserve"> </w:t>
      </w:r>
      <w:r>
        <w:rPr>
          <w:rFonts w:ascii="FangSong" w:hAnsi="FangSong" w:eastAsia="FangSong" w:cs="FangSong"/>
          <w:sz w:val="19"/>
          <w:szCs w:val="19"/>
          <w:spacing w:val="-15"/>
        </w:rPr>
        <w:t>页</w:t>
      </w:r>
    </w:p>
    <w:p>
      <w:pPr>
        <w:spacing w:line="222" w:lineRule="auto"/>
        <w:sectPr>
          <w:footerReference w:type="default" r:id="rId12"/>
          <w:pgSz w:w="11900" w:h="16840"/>
          <w:pgMar w:top="1392" w:right="318" w:bottom="789" w:left="1785" w:header="0" w:footer="209" w:gutter="0"/>
        </w:sectPr>
        <w:rPr>
          <w:rFonts w:ascii="FangSong" w:hAnsi="FangSong" w:eastAsia="FangSong" w:cs="FangSong"/>
          <w:sz w:val="19"/>
          <w:szCs w:val="19"/>
        </w:rPr>
      </w:pPr>
    </w:p>
    <w:p>
      <w:pPr>
        <w:ind w:left="548"/>
        <w:spacing w:before="55" w:line="222" w:lineRule="auto"/>
        <w:outlineLvl w:val="3"/>
        <w:rPr>
          <w:rFonts w:ascii="FangSong" w:hAnsi="FangSong" w:eastAsia="FangSong" w:cs="FangSong"/>
          <w:sz w:val="27"/>
          <w:szCs w:val="27"/>
        </w:rPr>
      </w:pPr>
      <w:r>
        <w:rPr>
          <w:rFonts w:ascii="FangSong" w:hAnsi="FangSong" w:eastAsia="FangSong" w:cs="FangSong"/>
          <w:sz w:val="27"/>
          <w:szCs w:val="27"/>
          <w:b/>
          <w:bCs/>
          <w:spacing w:val="-6"/>
        </w:rPr>
        <w:t>3.2.4绿色电力封顶总价</w:t>
      </w:r>
    </w:p>
    <w:p>
      <w:pPr>
        <w:ind w:left="4" w:right="1432" w:firstLine="540"/>
        <w:spacing w:before="163" w:line="331" w:lineRule="auto"/>
        <w:jc w:val="both"/>
        <w:rPr>
          <w:rFonts w:ascii="SimSun" w:hAnsi="SimSun" w:eastAsia="SimSun" w:cs="SimSun"/>
          <w:sz w:val="24"/>
          <w:szCs w:val="24"/>
        </w:rPr>
      </w:pPr>
      <w:r>
        <w:rPr>
          <w:rFonts w:ascii="FangSong" w:hAnsi="FangSong" w:eastAsia="FangSong" w:cs="FangSong"/>
          <w:sz w:val="24"/>
          <w:szCs w:val="24"/>
          <w:spacing w:val="11"/>
        </w:rPr>
        <w:t>双方须约定绿色电力零售合同封顶总价</w:t>
      </w:r>
      <w:r>
        <w:rPr>
          <w:rFonts w:ascii="Times New Roman" w:hAnsi="Times New Roman" w:eastAsia="Times New Roman" w:cs="Times New Roman"/>
          <w:sz w:val="24"/>
          <w:szCs w:val="24"/>
          <w:spacing w:val="11"/>
        </w:rPr>
        <w:t>P</w:t>
      </w:r>
      <w:r>
        <w:rPr>
          <w:rFonts w:ascii="FangSong" w:hAnsi="FangSong" w:eastAsia="FangSong" w:cs="FangSong"/>
          <w:sz w:val="24"/>
          <w:szCs w:val="24"/>
          <w:spacing w:val="11"/>
        </w:rPr>
        <w:t>最封总(即电能量价格与环境价</w:t>
      </w:r>
      <w:r>
        <w:rPr>
          <w:rFonts w:ascii="FangSong" w:hAnsi="FangSong" w:eastAsia="FangSong" w:cs="FangSong"/>
          <w:sz w:val="24"/>
          <w:szCs w:val="24"/>
          <w:spacing w:val="10"/>
        </w:rPr>
        <w:t xml:space="preserve"> </w:t>
      </w:r>
      <w:r>
        <w:rPr>
          <w:rFonts w:ascii="FangSong" w:hAnsi="FangSong" w:eastAsia="FangSong" w:cs="FangSong"/>
          <w:sz w:val="24"/>
          <w:szCs w:val="24"/>
          <w:spacing w:val="28"/>
        </w:rPr>
        <w:t>值之和的上限),当零售用户按照绿色电力套餐计算的电能量价格与环境</w:t>
      </w:r>
      <w:r>
        <w:rPr>
          <w:rFonts w:ascii="FangSong" w:hAnsi="FangSong" w:eastAsia="FangSong" w:cs="FangSong"/>
          <w:sz w:val="24"/>
          <w:szCs w:val="24"/>
          <w:spacing w:val="7"/>
        </w:rPr>
        <w:t xml:space="preserve"> </w:t>
      </w:r>
      <w:r>
        <w:rPr>
          <w:rFonts w:ascii="FangSong" w:hAnsi="FangSong" w:eastAsia="FangSong" w:cs="FangSong"/>
          <w:sz w:val="24"/>
          <w:szCs w:val="24"/>
          <w:spacing w:val="5"/>
        </w:rPr>
        <w:t>价值之和超过</w:t>
      </w:r>
      <w:r>
        <w:rPr>
          <w:rFonts w:ascii="SimSun" w:hAnsi="SimSun" w:eastAsia="SimSun" w:cs="SimSun"/>
          <w:sz w:val="24"/>
          <w:szCs w:val="24"/>
          <w:spacing w:val="5"/>
        </w:rPr>
        <w:t>P </w:t>
      </w:r>
      <w:r>
        <w:rPr>
          <w:rFonts w:ascii="FangSong" w:hAnsi="FangSong" w:eastAsia="FangSong" w:cs="FangSong"/>
          <w:sz w:val="24"/>
          <w:szCs w:val="24"/>
          <w:spacing w:val="5"/>
        </w:rPr>
        <w:t>绿封总时，零售用户按照绿色电力套餐计算的电能量价格取值</w:t>
      </w:r>
      <w:r>
        <w:rPr>
          <w:rFonts w:ascii="FangSong" w:hAnsi="FangSong" w:eastAsia="FangSong" w:cs="FangSong"/>
          <w:sz w:val="24"/>
          <w:szCs w:val="24"/>
          <w:spacing w:val="11"/>
        </w:rPr>
        <w:t xml:space="preserve"> </w:t>
      </w:r>
      <w:r>
        <w:rPr>
          <w:rFonts w:ascii="FangSong" w:hAnsi="FangSong" w:eastAsia="FangSong" w:cs="FangSong"/>
          <w:sz w:val="24"/>
          <w:szCs w:val="24"/>
          <w:spacing w:val="-6"/>
        </w:rPr>
        <w:t>为</w:t>
      </w:r>
      <w:r>
        <w:rPr>
          <w:rFonts w:ascii="FangSong" w:hAnsi="FangSong" w:eastAsia="FangSong" w:cs="FangSong"/>
          <w:sz w:val="24"/>
          <w:szCs w:val="24"/>
          <w:spacing w:val="-59"/>
        </w:rPr>
        <w:t xml:space="preserve"> </w:t>
      </w:r>
      <w:r>
        <w:rPr>
          <w:rFonts w:ascii="Times New Roman" w:hAnsi="Times New Roman" w:eastAsia="Times New Roman" w:cs="Times New Roman"/>
          <w:sz w:val="24"/>
          <w:szCs w:val="24"/>
          <w:spacing w:val="-6"/>
        </w:rPr>
        <w:t>P</w:t>
      </w:r>
      <w:r>
        <w:rPr>
          <w:rFonts w:ascii="Times New Roman" w:hAnsi="Times New Roman" w:eastAsia="Times New Roman" w:cs="Times New Roman"/>
          <w:sz w:val="24"/>
          <w:szCs w:val="24"/>
          <w:spacing w:val="31"/>
        </w:rPr>
        <w:t xml:space="preserve"> </w:t>
      </w:r>
      <w:r>
        <w:rPr>
          <w:rFonts w:ascii="FangSong" w:hAnsi="FangSong" w:eastAsia="FangSong" w:cs="FangSong"/>
          <w:sz w:val="24"/>
          <w:szCs w:val="24"/>
          <w:spacing w:val="-6"/>
        </w:rPr>
        <w:t>绿封越减去环境价值</w:t>
      </w:r>
      <w:r>
        <w:rPr>
          <w:rFonts w:ascii="Times New Roman" w:hAnsi="Times New Roman" w:eastAsia="Times New Roman" w:cs="Times New Roman"/>
          <w:sz w:val="24"/>
          <w:szCs w:val="24"/>
          <w:spacing w:val="-6"/>
        </w:rPr>
        <w:t>P</w:t>
      </w:r>
      <w:r>
        <w:rPr>
          <w:rFonts w:ascii="Times New Roman" w:hAnsi="Times New Roman" w:eastAsia="Times New Roman" w:cs="Times New Roman"/>
          <w:sz w:val="24"/>
          <w:szCs w:val="24"/>
          <w:spacing w:val="30"/>
          <w:w w:val="101"/>
        </w:rPr>
        <w:t xml:space="preserve"> </w:t>
      </w:r>
      <w:r>
        <w:rPr>
          <w:rFonts w:ascii="FangSong" w:hAnsi="FangSong" w:eastAsia="FangSong" w:cs="FangSong"/>
          <w:sz w:val="24"/>
          <w:szCs w:val="24"/>
          <w:spacing w:val="-6"/>
        </w:rPr>
        <w:t>绿环。绿色电力零售合同封顶总价</w:t>
      </w:r>
      <w:r>
        <w:rPr>
          <w:rFonts w:ascii="Times New Roman" w:hAnsi="Times New Roman" w:eastAsia="Times New Roman" w:cs="Times New Roman"/>
          <w:sz w:val="24"/>
          <w:szCs w:val="24"/>
          <w:spacing w:val="-6"/>
        </w:rPr>
        <w:t>P</w:t>
      </w:r>
      <w:r>
        <w:rPr>
          <w:rFonts w:ascii="FangSong" w:hAnsi="FangSong" w:eastAsia="FangSong" w:cs="FangSong"/>
          <w:sz w:val="24"/>
          <w:szCs w:val="24"/>
          <w:spacing w:val="-6"/>
        </w:rPr>
        <w:t>最封总须大于等于</w:t>
      </w:r>
      <w:r>
        <w:rPr>
          <w:rFonts w:ascii="FangSong" w:hAnsi="FangSong" w:eastAsia="FangSong" w:cs="FangSong"/>
          <w:sz w:val="24"/>
          <w:szCs w:val="24"/>
        </w:rPr>
        <w:t xml:space="preserve"> </w:t>
      </w:r>
      <w:r>
        <w:rPr>
          <w:rFonts w:ascii="FangSong" w:hAnsi="FangSong" w:eastAsia="FangSong" w:cs="FangSong"/>
          <w:sz w:val="24"/>
          <w:szCs w:val="24"/>
          <w:spacing w:val="17"/>
        </w:rPr>
        <w:t>绿色电力电能量价格</w:t>
      </w:r>
      <w:r>
        <w:rPr>
          <w:rFonts w:ascii="SimSun" w:hAnsi="SimSun" w:eastAsia="SimSun" w:cs="SimSun"/>
          <w:sz w:val="24"/>
          <w:szCs w:val="24"/>
          <w:spacing w:val="17"/>
        </w:rPr>
        <w:t>P。</w:t>
      </w:r>
    </w:p>
    <w:p>
      <w:pPr>
        <w:ind w:left="548"/>
        <w:spacing w:line="222" w:lineRule="auto"/>
        <w:outlineLvl w:val="3"/>
        <w:rPr>
          <w:rFonts w:ascii="FangSong" w:hAnsi="FangSong" w:eastAsia="FangSong" w:cs="FangSong"/>
          <w:sz w:val="27"/>
          <w:szCs w:val="27"/>
        </w:rPr>
      </w:pPr>
      <w:r>
        <w:rPr>
          <w:rFonts w:ascii="FangSong" w:hAnsi="FangSong" w:eastAsia="FangSong" w:cs="FangSong"/>
          <w:sz w:val="27"/>
          <w:szCs w:val="27"/>
          <w:b/>
          <w:bCs/>
          <w:spacing w:val="-1"/>
        </w:rPr>
        <w:t>3.2.5价格参数</w:t>
      </w:r>
    </w:p>
    <w:p>
      <w:pPr>
        <w:pStyle w:val="BodyText"/>
        <w:ind w:left="4" w:right="1414" w:firstLine="520"/>
        <w:spacing w:before="136" w:line="329" w:lineRule="auto"/>
        <w:jc w:val="both"/>
        <w:rPr>
          <w:rFonts w:ascii="FangSong" w:hAnsi="FangSong" w:eastAsia="FangSong" w:cs="FangSong"/>
          <w:sz w:val="24"/>
          <w:szCs w:val="24"/>
        </w:rPr>
      </w:pPr>
      <w:r>
        <w:rPr>
          <w:rFonts w:ascii="SimSun" w:hAnsi="SimSun" w:eastAsia="SimSun" w:cs="SimSun"/>
          <w:sz w:val="24"/>
          <w:szCs w:val="24"/>
          <w:spacing w:val="14"/>
        </w:rPr>
        <w:t>P</w:t>
      </w:r>
      <w:r>
        <w:rPr>
          <w:rFonts w:ascii="SimSun" w:hAnsi="SimSun" w:eastAsia="SimSun" w:cs="SimSun"/>
          <w:sz w:val="24"/>
          <w:szCs w:val="24"/>
          <w:spacing w:val="-21"/>
        </w:rPr>
        <w:t xml:space="preserve"> </w:t>
      </w:r>
      <w:r>
        <w:rPr>
          <w:rFonts w:ascii="FangSong" w:hAnsi="FangSong" w:eastAsia="FangSong" w:cs="FangSong"/>
          <w:sz w:val="24"/>
          <w:szCs w:val="24"/>
          <w:spacing w:val="14"/>
        </w:rPr>
        <w:t>绿批为履约月北京市全市场绿色电力中长期交易批发合同的电能量加</w:t>
      </w:r>
      <w:r>
        <w:rPr>
          <w:rFonts w:ascii="FangSong" w:hAnsi="FangSong" w:eastAsia="FangSong" w:cs="FangSong"/>
          <w:sz w:val="24"/>
          <w:szCs w:val="24"/>
        </w:rPr>
        <w:t xml:space="preserve"> </w:t>
      </w:r>
      <w:r>
        <w:rPr>
          <w:rFonts w:ascii="FangSong" w:hAnsi="FangSong" w:eastAsia="FangSong" w:cs="FangSong"/>
          <w:sz w:val="24"/>
          <w:szCs w:val="24"/>
          <w:spacing w:val="11"/>
        </w:rPr>
        <w:t>权平均价；</w:t>
      </w:r>
      <w:r>
        <w:rPr>
          <w:rFonts w:ascii="FangSong" w:hAnsi="FangSong" w:eastAsia="FangSong" w:cs="FangSong"/>
          <w:sz w:val="24"/>
          <w:szCs w:val="24"/>
          <w:spacing w:val="-35"/>
        </w:rPr>
        <w:t xml:space="preserve"> </w:t>
      </w:r>
      <w:r>
        <w:rPr>
          <w:rFonts w:ascii="Times New Roman" w:hAnsi="Times New Roman" w:eastAsia="Times New Roman" w:cs="Times New Roman"/>
          <w:sz w:val="24"/>
          <w:szCs w:val="24"/>
          <w:spacing w:val="11"/>
        </w:rPr>
        <w:t>P</w:t>
      </w:r>
      <w:r>
        <w:rPr>
          <w:rFonts w:ascii="Times New Roman" w:hAnsi="Times New Roman" w:eastAsia="Times New Roman" w:cs="Times New Roman"/>
          <w:sz w:val="24"/>
          <w:szCs w:val="24"/>
          <w:spacing w:val="30"/>
          <w:w w:val="101"/>
        </w:rPr>
        <w:t xml:space="preserve"> </w:t>
      </w:r>
      <w:r>
        <w:rPr>
          <w:rFonts w:ascii="FangSong" w:hAnsi="FangSong" w:eastAsia="FangSong" w:cs="FangSong"/>
          <w:sz w:val="24"/>
          <w:szCs w:val="24"/>
          <w:spacing w:val="11"/>
        </w:rPr>
        <w:t>绿估为履约月签约售电公司的绿色电力中长期交易批发合同的</w:t>
      </w:r>
      <w:r>
        <w:rPr>
          <w:rFonts w:ascii="FangSong" w:hAnsi="FangSong" w:eastAsia="FangSong" w:cs="FangSong"/>
          <w:sz w:val="24"/>
          <w:szCs w:val="24"/>
        </w:rPr>
        <w:t xml:space="preserve"> </w:t>
      </w:r>
      <w:r>
        <w:rPr>
          <w:rFonts w:ascii="FangSong" w:hAnsi="FangSong" w:eastAsia="FangSong" w:cs="FangSong"/>
          <w:sz w:val="24"/>
          <w:szCs w:val="24"/>
          <w:spacing w:val="-1"/>
        </w:rPr>
        <w:t>电能量加权平均价；</w:t>
      </w:r>
      <w:r>
        <w:rPr>
          <w:rFonts w:ascii="FangSong" w:hAnsi="FangSong" w:eastAsia="FangSong" w:cs="FangSong"/>
          <w:sz w:val="24"/>
          <w:szCs w:val="24"/>
          <w:spacing w:val="-40"/>
        </w:rPr>
        <w:t xml:space="preserve"> </w:t>
      </w:r>
      <w:r>
        <w:rPr>
          <w:rFonts w:ascii="Times New Roman" w:hAnsi="Times New Roman" w:eastAsia="Times New Roman" w:cs="Times New Roman"/>
          <w:sz w:val="24"/>
          <w:szCs w:val="24"/>
          <w:spacing w:val="-1"/>
        </w:rPr>
        <w:t>P </w:t>
      </w:r>
      <w:r>
        <w:rPr>
          <w:rFonts w:ascii="FangSong" w:hAnsi="FangSong" w:eastAsia="FangSong" w:cs="FangSong"/>
          <w:sz w:val="24"/>
          <w:szCs w:val="24"/>
          <w:spacing w:val="-1"/>
        </w:rPr>
        <w:t>绿批、</w:t>
      </w:r>
      <w:r>
        <w:rPr>
          <w:rFonts w:ascii="Times New Roman" w:hAnsi="Times New Roman" w:eastAsia="Times New Roman" w:cs="Times New Roman"/>
          <w:sz w:val="24"/>
          <w:szCs w:val="24"/>
          <w:spacing w:val="-1"/>
        </w:rPr>
        <w:t>P </w:t>
      </w:r>
      <w:r>
        <w:rPr>
          <w:rFonts w:ascii="FangSong" w:hAnsi="FangSong" w:eastAsia="FangSong" w:cs="FangSong"/>
          <w:sz w:val="24"/>
          <w:szCs w:val="24"/>
          <w:spacing w:val="-1"/>
        </w:rPr>
        <w:t>绿售价格构成中包括多</w:t>
      </w:r>
      <w:r>
        <w:rPr>
          <w:rFonts w:ascii="FangSong" w:hAnsi="FangSong" w:eastAsia="FangSong" w:cs="FangSong"/>
          <w:sz w:val="24"/>
          <w:szCs w:val="24"/>
          <w:spacing w:val="-2"/>
        </w:rPr>
        <w:t>年</w:t>
      </w:r>
      <w:r>
        <w:rPr>
          <w:rFonts w:ascii="Times New Roman" w:hAnsi="Times New Roman" w:eastAsia="Times New Roman" w:cs="Times New Roman"/>
          <w:sz w:val="24"/>
          <w:szCs w:val="24"/>
          <w:spacing w:val="-2"/>
        </w:rPr>
        <w:t>PPA</w:t>
      </w:r>
      <w:r>
        <w:rPr>
          <w:rFonts w:ascii="Times New Roman" w:hAnsi="Times New Roman" w:eastAsia="Times New Roman" w:cs="Times New Roman"/>
          <w:sz w:val="24"/>
          <w:szCs w:val="24"/>
          <w:spacing w:val="-16"/>
        </w:rPr>
        <w:t xml:space="preserve"> </w:t>
      </w:r>
      <w:r>
        <w:rPr>
          <w:rFonts w:ascii="FangSong" w:hAnsi="FangSong" w:eastAsia="FangSong" w:cs="FangSong"/>
          <w:sz w:val="24"/>
          <w:szCs w:val="24"/>
          <w:spacing w:val="-2"/>
        </w:rPr>
        <w:t>及年度交易分月合</w:t>
      </w:r>
      <w:r>
        <w:rPr>
          <w:rFonts w:ascii="FangSong" w:hAnsi="FangSong" w:eastAsia="FangSong" w:cs="FangSong"/>
          <w:sz w:val="24"/>
          <w:szCs w:val="24"/>
        </w:rPr>
        <w:t xml:space="preserve"> </w:t>
      </w:r>
      <w:r>
        <w:rPr>
          <w:rFonts w:ascii="FangSong" w:hAnsi="FangSong" w:eastAsia="FangSong" w:cs="FangSong"/>
          <w:sz w:val="24"/>
          <w:szCs w:val="24"/>
          <w:spacing w:val="10"/>
        </w:rPr>
        <w:t>同、月度合同、月内合同，不含环境价值。</w:t>
      </w:r>
      <w:r>
        <w:rPr>
          <w:rFonts w:ascii="FangSong" w:hAnsi="FangSong" w:eastAsia="FangSong" w:cs="FangSong"/>
          <w:sz w:val="24"/>
          <w:szCs w:val="24"/>
          <w:spacing w:val="10"/>
        </w:rPr>
        <w:t xml:space="preserve"> </w:t>
      </w:r>
      <w:r>
        <w:rPr>
          <w:sz w:val="24"/>
          <w:szCs w:val="24"/>
          <w:spacing w:val="10"/>
        </w:rPr>
        <w:t>P </w:t>
      </w:r>
      <w:r>
        <w:rPr>
          <w:rFonts w:ascii="FangSong" w:hAnsi="FangSong" w:eastAsia="FangSong" w:cs="FangSong"/>
          <w:sz w:val="24"/>
          <w:szCs w:val="24"/>
          <w:spacing w:val="10"/>
        </w:rPr>
        <w:t>绿批由交易</w:t>
      </w:r>
      <w:r>
        <w:rPr>
          <w:rFonts w:ascii="FangSong" w:hAnsi="FangSong" w:eastAsia="FangSong" w:cs="FangSong"/>
          <w:sz w:val="24"/>
          <w:szCs w:val="24"/>
          <w:spacing w:val="9"/>
        </w:rPr>
        <w:t>中心在履约月最后</w:t>
      </w:r>
      <w:r>
        <w:rPr>
          <w:rFonts w:ascii="FangSong" w:hAnsi="FangSong" w:eastAsia="FangSong" w:cs="FangSong"/>
          <w:sz w:val="24"/>
          <w:szCs w:val="24"/>
        </w:rPr>
        <w:t xml:space="preserve"> </w:t>
      </w:r>
      <w:r>
        <w:rPr>
          <w:rFonts w:ascii="FangSong" w:hAnsi="FangSong" w:eastAsia="FangSong" w:cs="FangSong"/>
          <w:sz w:val="24"/>
          <w:szCs w:val="24"/>
          <w:spacing w:val="6"/>
        </w:rPr>
        <w:t>一</w:t>
      </w:r>
      <w:r>
        <w:rPr>
          <w:rFonts w:ascii="FangSong" w:hAnsi="FangSong" w:eastAsia="FangSong" w:cs="FangSong"/>
          <w:sz w:val="24"/>
          <w:szCs w:val="24"/>
          <w:spacing w:val="-28"/>
        </w:rPr>
        <w:t xml:space="preserve"> </w:t>
      </w:r>
      <w:r>
        <w:rPr>
          <w:rFonts w:ascii="FangSong" w:hAnsi="FangSong" w:eastAsia="FangSong" w:cs="FangSong"/>
          <w:sz w:val="24"/>
          <w:szCs w:val="24"/>
          <w:spacing w:val="6"/>
        </w:rPr>
        <w:t>日前在交易平台发布。</w:t>
      </w:r>
    </w:p>
    <w:p>
      <w:pPr>
        <w:ind w:left="548"/>
        <w:spacing w:line="222" w:lineRule="auto"/>
        <w:outlineLvl w:val="3"/>
        <w:rPr>
          <w:rFonts w:ascii="FangSong" w:hAnsi="FangSong" w:eastAsia="FangSong" w:cs="FangSong"/>
          <w:sz w:val="27"/>
          <w:szCs w:val="27"/>
        </w:rPr>
      </w:pPr>
      <w:r>
        <w:rPr>
          <w:rFonts w:ascii="FangSong" w:hAnsi="FangSong" w:eastAsia="FangSong" w:cs="FangSong"/>
          <w:sz w:val="27"/>
          <w:szCs w:val="27"/>
          <w:b/>
          <w:bCs/>
          <w:spacing w:val="-2"/>
        </w:rPr>
        <w:t>3.3偏差电量电价</w:t>
      </w:r>
    </w:p>
    <w:p>
      <w:pPr>
        <w:ind w:left="4" w:right="1384" w:firstLine="540"/>
        <w:spacing w:before="164" w:line="291" w:lineRule="auto"/>
        <w:rPr>
          <w:rFonts w:ascii="FangSong" w:hAnsi="FangSong" w:eastAsia="FangSong" w:cs="FangSong"/>
          <w:sz w:val="24"/>
          <w:szCs w:val="24"/>
        </w:rPr>
      </w:pPr>
      <w:r>
        <w:rPr>
          <w:rFonts w:ascii="FangSong" w:hAnsi="FangSong" w:eastAsia="FangSong" w:cs="FangSong"/>
          <w:sz w:val="24"/>
          <w:szCs w:val="24"/>
          <w:spacing w:val="22"/>
        </w:rPr>
        <w:t>3.3.</w:t>
      </w:r>
      <w:r>
        <w:rPr>
          <w:rFonts w:ascii="FangSong" w:hAnsi="FangSong" w:eastAsia="FangSong" w:cs="FangSong"/>
          <w:sz w:val="24"/>
          <w:szCs w:val="24"/>
          <w:spacing w:val="-54"/>
        </w:rPr>
        <w:t xml:space="preserve"> </w:t>
      </w:r>
      <w:r>
        <w:rPr>
          <w:rFonts w:ascii="FangSong" w:hAnsi="FangSong" w:eastAsia="FangSong" w:cs="FangSong"/>
          <w:sz w:val="24"/>
          <w:szCs w:val="24"/>
          <w:spacing w:val="22"/>
        </w:rPr>
        <w:t>1零售用户实际用电量与零售合同电量的差值为偏差电量。实际</w:t>
      </w:r>
      <w:r>
        <w:rPr>
          <w:rFonts w:ascii="FangSong" w:hAnsi="FangSong" w:eastAsia="FangSong" w:cs="FangSong"/>
          <w:sz w:val="24"/>
          <w:szCs w:val="24"/>
        </w:rPr>
        <w:t xml:space="preserve"> </w:t>
      </w:r>
      <w:r>
        <w:rPr>
          <w:rFonts w:ascii="FangSong" w:hAnsi="FangSong" w:eastAsia="FangSong" w:cs="FangSong"/>
          <w:sz w:val="24"/>
          <w:szCs w:val="24"/>
          <w:spacing w:val="23"/>
        </w:rPr>
        <w:t>用电量超出合同电量的部分为超用电量，记为</w:t>
      </w:r>
      <w:r>
        <w:rPr>
          <w:rFonts w:ascii="FangSong" w:hAnsi="FangSong" w:eastAsia="FangSong" w:cs="FangSong"/>
          <w:sz w:val="24"/>
          <w:szCs w:val="24"/>
          <w:spacing w:val="22"/>
        </w:rPr>
        <w:t>正值，少于合同电量的部分</w:t>
      </w:r>
      <w:r>
        <w:rPr>
          <w:rFonts w:ascii="FangSong" w:hAnsi="FangSong" w:eastAsia="FangSong" w:cs="FangSong"/>
          <w:sz w:val="24"/>
          <w:szCs w:val="24"/>
        </w:rPr>
        <w:t xml:space="preserve"> </w:t>
      </w:r>
      <w:r>
        <w:rPr>
          <w:rFonts w:ascii="FangSong" w:hAnsi="FangSong" w:eastAsia="FangSong" w:cs="FangSong"/>
          <w:sz w:val="24"/>
          <w:szCs w:val="24"/>
          <w:spacing w:val="14"/>
        </w:rPr>
        <w:t>为少用电量，记为负值。</w:t>
      </w:r>
    </w:p>
    <w:p>
      <w:pPr>
        <w:ind w:left="4" w:right="1416" w:firstLine="540"/>
        <w:spacing w:before="178" w:line="303" w:lineRule="auto"/>
        <w:rPr>
          <w:rFonts w:ascii="FangSong" w:hAnsi="FangSong" w:eastAsia="FangSong" w:cs="FangSong"/>
          <w:sz w:val="24"/>
          <w:szCs w:val="24"/>
        </w:rPr>
      </w:pPr>
      <w:r>
        <w:rPr>
          <w:rFonts w:ascii="FangSong" w:hAnsi="FangSong" w:eastAsia="FangSong" w:cs="FangSong"/>
          <w:sz w:val="24"/>
          <w:szCs w:val="24"/>
          <w:spacing w:val="23"/>
        </w:rPr>
        <w:t>3.3.2零售用户偏差电量结算，可采用“售电公司全担”或“零售用</w:t>
      </w:r>
      <w:r>
        <w:rPr>
          <w:rFonts w:ascii="FangSong" w:hAnsi="FangSong" w:eastAsia="FangSong" w:cs="FangSong"/>
          <w:sz w:val="24"/>
          <w:szCs w:val="24"/>
          <w:spacing w:val="16"/>
        </w:rPr>
        <w:t xml:space="preserve"> </w:t>
      </w:r>
      <w:r>
        <w:rPr>
          <w:rFonts w:ascii="FangSong" w:hAnsi="FangSong" w:eastAsia="FangSong" w:cs="FangSong"/>
          <w:sz w:val="24"/>
          <w:szCs w:val="24"/>
          <w:spacing w:val="21"/>
        </w:rPr>
        <w:t>户共担”偏差责任方式。零售用户偏差电量结算时，“售电公司全担”是</w:t>
      </w:r>
      <w:r>
        <w:rPr>
          <w:rFonts w:ascii="FangSong" w:hAnsi="FangSong" w:eastAsia="FangSong" w:cs="FangSong"/>
          <w:sz w:val="24"/>
          <w:szCs w:val="24"/>
          <w:spacing w:val="12"/>
        </w:rPr>
        <w:t xml:space="preserve"> </w:t>
      </w:r>
      <w:r>
        <w:rPr>
          <w:rFonts w:ascii="FangSong" w:hAnsi="FangSong" w:eastAsia="FangSong" w:cs="FangSong"/>
          <w:sz w:val="24"/>
          <w:szCs w:val="24"/>
          <w:spacing w:val="21"/>
        </w:rPr>
        <w:t>指售电公司不对零售用户偏差电量进行考核，“零售用户共担”是指售电</w:t>
      </w:r>
      <w:r>
        <w:rPr>
          <w:rFonts w:ascii="FangSong" w:hAnsi="FangSong" w:eastAsia="FangSong" w:cs="FangSong"/>
          <w:sz w:val="24"/>
          <w:szCs w:val="24"/>
          <w:spacing w:val="14"/>
        </w:rPr>
        <w:t xml:space="preserve"> </w:t>
      </w:r>
      <w:r>
        <w:rPr>
          <w:rFonts w:ascii="FangSong" w:hAnsi="FangSong" w:eastAsia="FangSong" w:cs="FangSong"/>
          <w:sz w:val="24"/>
          <w:szCs w:val="24"/>
          <w:spacing w:val="16"/>
        </w:rPr>
        <w:t>公司对零售用户偏差电量进行考核。</w:t>
      </w:r>
    </w:p>
    <w:p>
      <w:pPr>
        <w:ind w:left="4" w:right="1401" w:firstLine="540"/>
        <w:spacing w:before="165" w:line="298" w:lineRule="auto"/>
        <w:rPr>
          <w:rFonts w:ascii="FangSong" w:hAnsi="FangSong" w:eastAsia="FangSong" w:cs="FangSong"/>
          <w:sz w:val="24"/>
          <w:szCs w:val="24"/>
        </w:rPr>
      </w:pPr>
      <w:r>
        <w:rPr>
          <w:rFonts w:ascii="FangSong" w:hAnsi="FangSong" w:eastAsia="FangSong" w:cs="FangSong"/>
          <w:sz w:val="24"/>
          <w:szCs w:val="24"/>
          <w:spacing w:val="24"/>
        </w:rPr>
        <w:t>3.3.3当选择“售电公司全担”方式时，零售用户超用电量按照常规</w:t>
      </w:r>
      <w:r>
        <w:rPr>
          <w:rFonts w:ascii="FangSong" w:hAnsi="FangSong" w:eastAsia="FangSong" w:cs="FangSong"/>
          <w:sz w:val="24"/>
          <w:szCs w:val="24"/>
        </w:rPr>
        <w:t xml:space="preserve"> </w:t>
      </w:r>
      <w:r>
        <w:rPr>
          <w:rFonts w:ascii="FangSong" w:hAnsi="FangSong" w:eastAsia="FangSong" w:cs="FangSong"/>
          <w:sz w:val="24"/>
          <w:szCs w:val="24"/>
          <w:spacing w:val="19"/>
        </w:rPr>
        <w:t>电力电能量价格</w:t>
      </w:r>
      <w:r>
        <w:rPr>
          <w:rFonts w:ascii="SimSun" w:hAnsi="SimSun" w:eastAsia="SimSun" w:cs="SimSun"/>
          <w:sz w:val="24"/>
          <w:szCs w:val="24"/>
          <w:spacing w:val="19"/>
        </w:rPr>
        <w:t>P</w:t>
      </w:r>
      <w:r>
        <w:rPr>
          <w:rFonts w:ascii="SimSun" w:hAnsi="SimSun" w:eastAsia="SimSun" w:cs="SimSun"/>
          <w:sz w:val="24"/>
          <w:szCs w:val="24"/>
          <w:spacing w:val="56"/>
        </w:rPr>
        <w:t xml:space="preserve"> </w:t>
      </w:r>
      <w:r>
        <w:rPr>
          <w:rFonts w:ascii="FangSong" w:hAnsi="FangSong" w:eastAsia="FangSong" w:cs="FangSong"/>
          <w:sz w:val="24"/>
          <w:szCs w:val="24"/>
          <w:spacing w:val="19"/>
        </w:rPr>
        <w:t>结算，零售用户少用电量按照零售合同实际电能量均价</w:t>
      </w:r>
      <w:r>
        <w:rPr>
          <w:rFonts w:ascii="FangSong" w:hAnsi="FangSong" w:eastAsia="FangSong" w:cs="FangSong"/>
          <w:sz w:val="24"/>
          <w:szCs w:val="24"/>
        </w:rPr>
        <w:t xml:space="preserve"> </w:t>
      </w:r>
      <w:r>
        <w:rPr>
          <w:rFonts w:ascii="SimSun" w:hAnsi="SimSun" w:eastAsia="SimSun" w:cs="SimSun"/>
          <w:sz w:val="24"/>
          <w:szCs w:val="24"/>
          <w:spacing w:val="21"/>
        </w:rPr>
        <w:t>P</w:t>
      </w:r>
      <w:r>
        <w:rPr>
          <w:rFonts w:ascii="FangSong" w:hAnsi="FangSong" w:eastAsia="FangSong" w:cs="FangSong"/>
          <w:sz w:val="24"/>
          <w:szCs w:val="24"/>
          <w:spacing w:val="21"/>
        </w:rPr>
        <w:t>台结算。零售合同实际电能量均价</w:t>
      </w:r>
      <w:r>
        <w:rPr>
          <w:rFonts w:ascii="SimSun" w:hAnsi="SimSun" w:eastAsia="SimSun" w:cs="SimSun"/>
          <w:sz w:val="24"/>
          <w:szCs w:val="24"/>
          <w:spacing w:val="21"/>
        </w:rPr>
        <w:t>P</w:t>
      </w:r>
      <w:r>
        <w:rPr>
          <w:rFonts w:ascii="FangSong" w:hAnsi="FangSong" w:eastAsia="FangSong" w:cs="FangSong"/>
          <w:sz w:val="24"/>
          <w:szCs w:val="24"/>
          <w:spacing w:val="21"/>
        </w:rPr>
        <w:t>合为常规电力与</w:t>
      </w:r>
      <w:r>
        <w:rPr>
          <w:rFonts w:ascii="FangSong" w:hAnsi="FangSong" w:eastAsia="FangSong" w:cs="FangSong"/>
          <w:sz w:val="24"/>
          <w:szCs w:val="24"/>
          <w:spacing w:val="20"/>
        </w:rPr>
        <w:t>绿色电力的电能量价</w:t>
      </w:r>
      <w:r>
        <w:rPr>
          <w:rFonts w:ascii="FangSong" w:hAnsi="FangSong" w:eastAsia="FangSong" w:cs="FangSong"/>
          <w:sz w:val="24"/>
          <w:szCs w:val="24"/>
        </w:rPr>
        <w:t xml:space="preserve"> </w:t>
      </w:r>
      <w:r>
        <w:rPr>
          <w:rFonts w:ascii="FangSong" w:hAnsi="FangSong" w:eastAsia="FangSong" w:cs="FangSong"/>
          <w:sz w:val="24"/>
          <w:szCs w:val="24"/>
          <w:spacing w:val="12"/>
        </w:rPr>
        <w:t>格加权平均值。</w:t>
      </w:r>
    </w:p>
    <w:p>
      <w:pPr>
        <w:ind w:left="4" w:right="1429" w:firstLine="540"/>
        <w:spacing w:before="181" w:line="319" w:lineRule="auto"/>
        <w:rPr>
          <w:rFonts w:ascii="FangSong" w:hAnsi="FangSong" w:eastAsia="FangSong" w:cs="FangSong"/>
          <w:sz w:val="24"/>
          <w:szCs w:val="24"/>
        </w:rPr>
      </w:pPr>
      <w:r>
        <w:rPr>
          <w:rFonts w:ascii="FangSong" w:hAnsi="FangSong" w:eastAsia="FangSong" w:cs="FangSong"/>
          <w:sz w:val="24"/>
          <w:szCs w:val="24"/>
          <w:spacing w:val="23"/>
        </w:rPr>
        <w:t>3.3.4当选择“零售用户共担”方式时，售电公司与零售用</w:t>
      </w:r>
      <w:r>
        <w:rPr>
          <w:rFonts w:ascii="FangSong" w:hAnsi="FangSong" w:eastAsia="FangSong" w:cs="FangSong"/>
          <w:sz w:val="24"/>
          <w:szCs w:val="24"/>
          <w:spacing w:val="22"/>
        </w:rPr>
        <w:t>户约定偏</w:t>
      </w:r>
      <w:r>
        <w:rPr>
          <w:rFonts w:ascii="FangSong" w:hAnsi="FangSong" w:eastAsia="FangSong" w:cs="FangSong"/>
          <w:sz w:val="24"/>
          <w:szCs w:val="24"/>
        </w:rPr>
        <w:t xml:space="preserve"> </w:t>
      </w:r>
      <w:r>
        <w:rPr>
          <w:rFonts w:ascii="FangSong" w:hAnsi="FangSong" w:eastAsia="FangSong" w:cs="FangSong"/>
          <w:sz w:val="24"/>
          <w:szCs w:val="24"/>
          <w:spacing w:val="10"/>
        </w:rPr>
        <w:t>差共担价格</w:t>
      </w:r>
      <w:r>
        <w:rPr>
          <w:rFonts w:ascii="SimSun" w:hAnsi="SimSun" w:eastAsia="SimSun" w:cs="SimSun"/>
          <w:sz w:val="24"/>
          <w:szCs w:val="24"/>
          <w:spacing w:val="10"/>
        </w:rPr>
        <w:t>P</w:t>
      </w:r>
      <w:r>
        <w:rPr>
          <w:rFonts w:ascii="FangSong" w:hAnsi="FangSong" w:eastAsia="FangSong" w:cs="FangSong"/>
          <w:sz w:val="24"/>
          <w:szCs w:val="24"/>
          <w:spacing w:val="10"/>
        </w:rPr>
        <w:t>共担，</w:t>
      </w:r>
      <w:r>
        <w:rPr>
          <w:rFonts w:ascii="SimSun" w:hAnsi="SimSun" w:eastAsia="SimSun" w:cs="SimSun"/>
          <w:sz w:val="24"/>
          <w:szCs w:val="24"/>
          <w:spacing w:val="10"/>
        </w:rPr>
        <w:t>P</w:t>
      </w:r>
      <w:r>
        <w:rPr>
          <w:rFonts w:ascii="SimSun" w:hAnsi="SimSun" w:eastAsia="SimSun" w:cs="SimSun"/>
          <w:sz w:val="24"/>
          <w:szCs w:val="24"/>
          <w:spacing w:val="-48"/>
        </w:rPr>
        <w:t xml:space="preserve"> </w:t>
      </w:r>
      <w:r>
        <w:rPr>
          <w:rFonts w:ascii="FangSong" w:hAnsi="FangSong" w:eastAsia="FangSong" w:cs="FangSong"/>
          <w:sz w:val="24"/>
          <w:szCs w:val="24"/>
          <w:spacing w:val="10"/>
        </w:rPr>
        <w:t>共担取值范围为0-5元/兆瓦时；零售用户超用电量按照</w:t>
      </w:r>
      <w:r>
        <w:rPr>
          <w:rFonts w:ascii="FangSong" w:hAnsi="FangSong" w:eastAsia="FangSong" w:cs="FangSong"/>
          <w:sz w:val="24"/>
          <w:szCs w:val="24"/>
        </w:rPr>
        <w:t xml:space="preserve"> </w:t>
      </w:r>
      <w:r>
        <w:rPr>
          <w:rFonts w:ascii="SimSun" w:hAnsi="SimSun" w:eastAsia="SimSun" w:cs="SimSun"/>
          <w:sz w:val="24"/>
          <w:szCs w:val="24"/>
          <w:spacing w:val="3"/>
        </w:rPr>
        <w:t>P</w:t>
      </w:r>
      <w:r>
        <w:rPr>
          <w:rFonts w:ascii="SimSun" w:hAnsi="SimSun" w:eastAsia="SimSun" w:cs="SimSun"/>
          <w:sz w:val="24"/>
          <w:szCs w:val="24"/>
          <w:spacing w:val="87"/>
        </w:rPr>
        <w:t xml:space="preserve"> </w:t>
      </w:r>
      <w:r>
        <w:rPr>
          <w:rFonts w:ascii="FangSong" w:hAnsi="FangSong" w:eastAsia="FangSong" w:cs="FangSong"/>
          <w:sz w:val="24"/>
          <w:szCs w:val="24"/>
          <w:spacing w:val="3"/>
        </w:rPr>
        <w:t>与</w:t>
      </w:r>
      <w:r>
        <w:rPr>
          <w:rFonts w:ascii="FangSong" w:hAnsi="FangSong" w:eastAsia="FangSong" w:cs="FangSong"/>
          <w:sz w:val="24"/>
          <w:szCs w:val="24"/>
          <w:spacing w:val="3"/>
        </w:rPr>
        <w:t xml:space="preserve"> </w:t>
      </w:r>
      <w:r>
        <w:rPr>
          <w:rFonts w:ascii="SimSun" w:hAnsi="SimSun" w:eastAsia="SimSun" w:cs="SimSun"/>
          <w:sz w:val="24"/>
          <w:szCs w:val="24"/>
          <w:spacing w:val="3"/>
        </w:rPr>
        <w:t>P</w:t>
      </w:r>
      <w:r>
        <w:rPr>
          <w:rFonts w:ascii="SimSun" w:hAnsi="SimSun" w:eastAsia="SimSun" w:cs="SimSun"/>
          <w:sz w:val="24"/>
          <w:szCs w:val="24"/>
          <w:spacing w:val="-34"/>
        </w:rPr>
        <w:t xml:space="preserve"> </w:t>
      </w:r>
      <w:r>
        <w:rPr>
          <w:rFonts w:ascii="FangSong" w:hAnsi="FangSong" w:eastAsia="FangSong" w:cs="FangSong"/>
          <w:sz w:val="24"/>
          <w:szCs w:val="24"/>
          <w:spacing w:val="3"/>
        </w:rPr>
        <w:t>共担之和结算，少用电量按照</w:t>
      </w:r>
      <w:r>
        <w:rPr>
          <w:rFonts w:ascii="SimSun" w:hAnsi="SimSun" w:eastAsia="SimSun" w:cs="SimSun"/>
          <w:sz w:val="24"/>
          <w:szCs w:val="24"/>
          <w:spacing w:val="3"/>
        </w:rPr>
        <w:t>P</w:t>
      </w:r>
      <w:r>
        <w:rPr>
          <w:rFonts w:ascii="SimSun" w:hAnsi="SimSun" w:eastAsia="SimSun" w:cs="SimSun"/>
          <w:sz w:val="24"/>
          <w:szCs w:val="24"/>
          <w:spacing w:val="-55"/>
        </w:rPr>
        <w:t xml:space="preserve"> </w:t>
      </w:r>
      <w:r>
        <w:rPr>
          <w:rFonts w:ascii="FangSong" w:hAnsi="FangSong" w:eastAsia="FangSong" w:cs="FangSong"/>
          <w:sz w:val="24"/>
          <w:szCs w:val="24"/>
          <w:spacing w:val="3"/>
        </w:rPr>
        <w:t>合与</w:t>
      </w:r>
      <w:r>
        <w:rPr>
          <w:rFonts w:ascii="SimSun" w:hAnsi="SimSun" w:eastAsia="SimSun" w:cs="SimSun"/>
          <w:sz w:val="24"/>
          <w:szCs w:val="24"/>
          <w:spacing w:val="3"/>
        </w:rPr>
        <w:t>P</w:t>
      </w:r>
      <w:r>
        <w:rPr>
          <w:rFonts w:ascii="SimSun" w:hAnsi="SimSun" w:eastAsia="SimSun" w:cs="SimSun"/>
          <w:sz w:val="24"/>
          <w:szCs w:val="24"/>
          <w:spacing w:val="-24"/>
        </w:rPr>
        <w:t xml:space="preserve"> </w:t>
      </w:r>
      <w:r>
        <w:rPr>
          <w:rFonts w:ascii="FangSong" w:hAnsi="FangSong" w:eastAsia="FangSong" w:cs="FangSong"/>
          <w:sz w:val="24"/>
          <w:szCs w:val="24"/>
          <w:spacing w:val="3"/>
        </w:rPr>
        <w:t>共担之差结算。售电公司与零售</w:t>
      </w:r>
      <w:r>
        <w:rPr>
          <w:rFonts w:ascii="FangSong" w:hAnsi="FangSong" w:eastAsia="FangSong" w:cs="FangSong"/>
          <w:sz w:val="24"/>
          <w:szCs w:val="24"/>
        </w:rPr>
        <w:t xml:space="preserve"> </w:t>
      </w:r>
      <w:r>
        <w:rPr>
          <w:rFonts w:ascii="FangSong" w:hAnsi="FangSong" w:eastAsia="FangSong" w:cs="FangSong"/>
          <w:sz w:val="24"/>
          <w:szCs w:val="24"/>
          <w:spacing w:val="18"/>
        </w:rPr>
        <w:t>用户可约定允许偏差范围[-</w:t>
      </w:r>
      <w:r>
        <w:rPr>
          <w:rFonts w:ascii="SimSun" w:hAnsi="SimSun" w:eastAsia="SimSun" w:cs="SimSun"/>
          <w:sz w:val="24"/>
          <w:szCs w:val="24"/>
          <w:spacing w:val="18"/>
        </w:rPr>
        <w:t>U%,U%],U</w:t>
      </w:r>
      <w:r>
        <w:rPr>
          <w:rFonts w:ascii="SimSun" w:hAnsi="SimSun" w:eastAsia="SimSun" w:cs="SimSun"/>
          <w:sz w:val="24"/>
          <w:szCs w:val="24"/>
          <w:spacing w:val="121"/>
        </w:rPr>
        <w:t xml:space="preserve"> </w:t>
      </w:r>
      <w:r>
        <w:rPr>
          <w:rFonts w:ascii="FangSong" w:hAnsi="FangSong" w:eastAsia="FangSong" w:cs="FangSong"/>
          <w:sz w:val="24"/>
          <w:szCs w:val="24"/>
          <w:spacing w:val="18"/>
        </w:rPr>
        <w:t>取值应大于等于5,取整数；对于允</w:t>
      </w:r>
      <w:r>
        <w:rPr>
          <w:rFonts w:ascii="FangSong" w:hAnsi="FangSong" w:eastAsia="FangSong" w:cs="FangSong"/>
          <w:sz w:val="24"/>
          <w:szCs w:val="24"/>
        </w:rPr>
        <w:t xml:space="preserve"> </w:t>
      </w:r>
      <w:r>
        <w:rPr>
          <w:rFonts w:ascii="FangSong" w:hAnsi="FangSong" w:eastAsia="FangSong" w:cs="FangSong"/>
          <w:sz w:val="24"/>
          <w:szCs w:val="24"/>
          <w:spacing w:val="15"/>
        </w:rPr>
        <w:t>许偏差范围内的偏差电量，</w:t>
      </w:r>
      <w:r>
        <w:rPr>
          <w:rFonts w:ascii="FangSong" w:hAnsi="FangSong" w:eastAsia="FangSong" w:cs="FangSong"/>
          <w:sz w:val="24"/>
          <w:szCs w:val="24"/>
          <w:spacing w:val="-61"/>
        </w:rPr>
        <w:t xml:space="preserve"> </w:t>
      </w:r>
      <w:r>
        <w:rPr>
          <w:rFonts w:ascii="SimSun" w:hAnsi="SimSun" w:eastAsia="SimSun" w:cs="SimSun"/>
          <w:sz w:val="24"/>
          <w:szCs w:val="24"/>
          <w:spacing w:val="15"/>
        </w:rPr>
        <w:t>P</w:t>
      </w:r>
      <w:r>
        <w:rPr>
          <w:rFonts w:ascii="FangSong" w:hAnsi="FangSong" w:eastAsia="FangSong" w:cs="FangSong"/>
          <w:sz w:val="24"/>
          <w:szCs w:val="24"/>
          <w:spacing w:val="15"/>
        </w:rPr>
        <w:t>共担取值为零，对于超出允许偏差范围的对应</w:t>
      </w:r>
      <w:r>
        <w:rPr>
          <w:rFonts w:ascii="FangSong" w:hAnsi="FangSong" w:eastAsia="FangSong" w:cs="FangSong"/>
          <w:sz w:val="24"/>
          <w:szCs w:val="24"/>
        </w:rPr>
        <w:t xml:space="preserve"> </w:t>
      </w:r>
      <w:r>
        <w:rPr>
          <w:rFonts w:ascii="FangSong" w:hAnsi="FangSong" w:eastAsia="FangSong" w:cs="FangSong"/>
          <w:sz w:val="24"/>
          <w:szCs w:val="24"/>
          <w:spacing w:val="-7"/>
        </w:rPr>
        <w:t>偏差电量，</w:t>
      </w:r>
      <w:r>
        <w:rPr>
          <w:rFonts w:ascii="FangSong" w:hAnsi="FangSong" w:eastAsia="FangSong" w:cs="FangSong"/>
          <w:sz w:val="24"/>
          <w:szCs w:val="24"/>
          <w:spacing w:val="-67"/>
        </w:rPr>
        <w:t xml:space="preserve"> </w:t>
      </w:r>
      <w:r>
        <w:rPr>
          <w:rFonts w:ascii="Times New Roman" w:hAnsi="Times New Roman" w:eastAsia="Times New Roman" w:cs="Times New Roman"/>
          <w:sz w:val="24"/>
          <w:szCs w:val="24"/>
          <w:spacing w:val="-7"/>
        </w:rPr>
        <w:t>P</w:t>
      </w:r>
      <w:r>
        <w:rPr>
          <w:rFonts w:ascii="Times New Roman" w:hAnsi="Times New Roman" w:eastAsia="Times New Roman" w:cs="Times New Roman"/>
          <w:sz w:val="24"/>
          <w:szCs w:val="24"/>
          <w:spacing w:val="20"/>
          <w:w w:val="101"/>
        </w:rPr>
        <w:t xml:space="preserve"> </w:t>
      </w:r>
      <w:r>
        <w:rPr>
          <w:rFonts w:ascii="FangSong" w:hAnsi="FangSong" w:eastAsia="FangSong" w:cs="FangSong"/>
          <w:sz w:val="24"/>
          <w:szCs w:val="24"/>
          <w:spacing w:val="-7"/>
        </w:rPr>
        <w:t>共担取值为约定值。</w:t>
      </w:r>
    </w:p>
    <w:p>
      <w:pPr>
        <w:pStyle w:val="BodyText"/>
        <w:spacing w:line="318" w:lineRule="auto"/>
        <w:rPr/>
      </w:pPr>
      <w:r/>
    </w:p>
    <w:p>
      <w:pPr>
        <w:ind w:left="3525"/>
        <w:spacing w:before="60" w:line="222" w:lineRule="auto"/>
        <w:rPr>
          <w:rFonts w:ascii="FangSong" w:hAnsi="FangSong" w:eastAsia="FangSong" w:cs="FangSong"/>
          <w:sz w:val="18"/>
          <w:szCs w:val="18"/>
        </w:rPr>
      </w:pPr>
      <w:r>
        <w:rPr>
          <w:rFonts w:ascii="FangSong" w:hAnsi="FangSong" w:eastAsia="FangSong" w:cs="FangSong"/>
          <w:sz w:val="18"/>
          <w:szCs w:val="18"/>
          <w:spacing w:val="-12"/>
        </w:rPr>
        <w:t>第</w:t>
      </w:r>
      <w:r>
        <w:rPr>
          <w:rFonts w:ascii="FangSong" w:hAnsi="FangSong" w:eastAsia="FangSong" w:cs="FangSong"/>
          <w:sz w:val="18"/>
          <w:szCs w:val="18"/>
          <w:spacing w:val="-14"/>
        </w:rPr>
        <w:t xml:space="preserve"> </w:t>
      </w:r>
      <w:r>
        <w:rPr>
          <w:rFonts w:ascii="FangSong" w:hAnsi="FangSong" w:eastAsia="FangSong" w:cs="FangSong"/>
          <w:sz w:val="18"/>
          <w:szCs w:val="18"/>
          <w:spacing w:val="-12"/>
        </w:rPr>
        <w:t>8</w:t>
      </w:r>
      <w:r>
        <w:rPr>
          <w:rFonts w:ascii="FangSong" w:hAnsi="FangSong" w:eastAsia="FangSong" w:cs="FangSong"/>
          <w:sz w:val="18"/>
          <w:szCs w:val="18"/>
          <w:spacing w:val="-12"/>
        </w:rPr>
        <w:t xml:space="preserve"> </w:t>
      </w:r>
      <w:r>
        <w:rPr>
          <w:rFonts w:ascii="FangSong" w:hAnsi="FangSong" w:eastAsia="FangSong" w:cs="FangSong"/>
          <w:sz w:val="18"/>
          <w:szCs w:val="18"/>
          <w:spacing w:val="-12"/>
        </w:rPr>
        <w:t>页</w:t>
      </w:r>
      <w:r>
        <w:rPr>
          <w:rFonts w:ascii="FangSong" w:hAnsi="FangSong" w:eastAsia="FangSong" w:cs="FangSong"/>
          <w:sz w:val="18"/>
          <w:szCs w:val="18"/>
          <w:spacing w:val="-12"/>
        </w:rPr>
        <w:t xml:space="preserve"> </w:t>
      </w:r>
      <w:r>
        <w:rPr>
          <w:rFonts w:ascii="FangSong" w:hAnsi="FangSong" w:eastAsia="FangSong" w:cs="FangSong"/>
          <w:sz w:val="18"/>
          <w:szCs w:val="18"/>
          <w:spacing w:val="-12"/>
        </w:rPr>
        <w:t>共</w:t>
      </w:r>
      <w:r>
        <w:rPr>
          <w:rFonts w:ascii="FangSong" w:hAnsi="FangSong" w:eastAsia="FangSong" w:cs="FangSong"/>
          <w:sz w:val="18"/>
          <w:szCs w:val="18"/>
          <w:spacing w:val="-12"/>
        </w:rPr>
        <w:t xml:space="preserve"> </w:t>
      </w:r>
      <w:r>
        <w:rPr>
          <w:rFonts w:ascii="FangSong" w:hAnsi="FangSong" w:eastAsia="FangSong" w:cs="FangSong"/>
          <w:sz w:val="18"/>
          <w:szCs w:val="18"/>
          <w:spacing w:val="-12"/>
        </w:rPr>
        <w:t>1</w:t>
      </w:r>
      <w:r>
        <w:rPr>
          <w:rFonts w:ascii="FangSong" w:hAnsi="FangSong" w:eastAsia="FangSong" w:cs="FangSong"/>
          <w:sz w:val="18"/>
          <w:szCs w:val="18"/>
          <w:spacing w:val="-17"/>
        </w:rPr>
        <w:t xml:space="preserve"> </w:t>
      </w:r>
      <w:r>
        <w:rPr>
          <w:rFonts w:ascii="FangSong" w:hAnsi="FangSong" w:eastAsia="FangSong" w:cs="FangSong"/>
          <w:sz w:val="18"/>
          <w:szCs w:val="18"/>
          <w:spacing w:val="-12"/>
        </w:rPr>
        <w:t>7</w:t>
      </w:r>
      <w:r>
        <w:rPr>
          <w:rFonts w:ascii="FangSong" w:hAnsi="FangSong" w:eastAsia="FangSong" w:cs="FangSong"/>
          <w:sz w:val="18"/>
          <w:szCs w:val="18"/>
          <w:spacing w:val="-12"/>
        </w:rPr>
        <w:t xml:space="preserve"> </w:t>
      </w:r>
      <w:r>
        <w:rPr>
          <w:rFonts w:ascii="FangSong" w:hAnsi="FangSong" w:eastAsia="FangSong" w:cs="FangSong"/>
          <w:sz w:val="18"/>
          <w:szCs w:val="18"/>
          <w:spacing w:val="-12"/>
        </w:rPr>
        <w:t>页</w:t>
      </w:r>
    </w:p>
    <w:p>
      <w:pPr>
        <w:spacing w:line="222" w:lineRule="auto"/>
        <w:sectPr>
          <w:footerReference w:type="default" r:id="rId13"/>
          <w:pgSz w:w="11900" w:h="16840"/>
          <w:pgMar w:top="1339" w:right="320" w:bottom="789" w:left="1785" w:header="0" w:footer="225" w:gutter="0"/>
        </w:sectPr>
        <w:rPr>
          <w:rFonts w:ascii="FangSong" w:hAnsi="FangSong" w:eastAsia="FangSong" w:cs="FangSong"/>
          <w:sz w:val="18"/>
          <w:szCs w:val="18"/>
        </w:rPr>
      </w:pPr>
    </w:p>
    <w:p>
      <w:pPr>
        <w:ind w:left="94" w:right="1455" w:firstLine="530"/>
        <w:spacing w:before="50" w:line="309" w:lineRule="auto"/>
        <w:rPr>
          <w:rFonts w:ascii="FangSong" w:hAnsi="FangSong" w:eastAsia="FangSong" w:cs="FangSong"/>
          <w:sz w:val="25"/>
          <w:szCs w:val="25"/>
        </w:rPr>
      </w:pPr>
      <w:r>
        <w:rPr>
          <w:rFonts w:ascii="FangSong" w:hAnsi="FangSong" w:eastAsia="FangSong" w:cs="FangSong"/>
          <w:sz w:val="25"/>
          <w:szCs w:val="25"/>
          <w:spacing w:val="11"/>
        </w:rPr>
        <w:t>3.3.5因偏差免责等政策减免售电公司偏差考核费用的，</w:t>
      </w:r>
      <w:r>
        <w:rPr>
          <w:rFonts w:ascii="FangSong" w:hAnsi="FangSong" w:eastAsia="FangSong" w:cs="FangSong"/>
          <w:sz w:val="25"/>
          <w:szCs w:val="25"/>
          <w:spacing w:val="10"/>
        </w:rPr>
        <w:t>相应零售合</w:t>
      </w:r>
      <w:r>
        <w:rPr>
          <w:rFonts w:ascii="FangSong" w:hAnsi="FangSong" w:eastAsia="FangSong" w:cs="FangSong"/>
          <w:sz w:val="25"/>
          <w:szCs w:val="25"/>
        </w:rPr>
        <w:t xml:space="preserve"> </w:t>
      </w:r>
      <w:r>
        <w:rPr>
          <w:rFonts w:ascii="FangSong" w:hAnsi="FangSong" w:eastAsia="FangSong" w:cs="FangSong"/>
          <w:sz w:val="25"/>
          <w:szCs w:val="25"/>
          <w:spacing w:val="-3"/>
        </w:rPr>
        <w:t>同约定的偏差共担价格</w:t>
      </w:r>
      <w:r>
        <w:rPr>
          <w:rFonts w:ascii="SimSun" w:hAnsi="SimSun" w:eastAsia="SimSun" w:cs="SimSun"/>
          <w:sz w:val="25"/>
          <w:szCs w:val="25"/>
          <w:spacing w:val="-3"/>
        </w:rPr>
        <w:t>P</w:t>
      </w:r>
      <w:r>
        <w:rPr>
          <w:rFonts w:ascii="FangSong" w:hAnsi="FangSong" w:eastAsia="FangSong" w:cs="FangSong"/>
          <w:sz w:val="25"/>
          <w:szCs w:val="25"/>
          <w:spacing w:val="-3"/>
        </w:rPr>
        <w:t>共扣取值为零。</w:t>
      </w:r>
    </w:p>
    <w:p>
      <w:pPr>
        <w:ind w:left="628"/>
        <w:spacing w:before="1" w:line="220" w:lineRule="auto"/>
        <w:outlineLvl w:val="3"/>
        <w:rPr>
          <w:rFonts w:ascii="FangSong" w:hAnsi="FangSong" w:eastAsia="FangSong" w:cs="FangSong"/>
          <w:sz w:val="25"/>
          <w:szCs w:val="25"/>
        </w:rPr>
      </w:pPr>
      <w:r>
        <w:rPr>
          <w:rFonts w:ascii="FangSong" w:hAnsi="FangSong" w:eastAsia="FangSong" w:cs="FangSong"/>
          <w:sz w:val="25"/>
          <w:szCs w:val="25"/>
          <w:b/>
          <w:bCs/>
          <w:spacing w:val="13"/>
        </w:rPr>
        <w:t>3.4售电公司收益分享</w:t>
      </w:r>
    </w:p>
    <w:p>
      <w:pPr>
        <w:ind w:left="94" w:right="1425" w:firstLine="530"/>
        <w:spacing w:before="143" w:line="294" w:lineRule="auto"/>
        <w:rPr>
          <w:rFonts w:ascii="FangSong" w:hAnsi="FangSong" w:eastAsia="FangSong" w:cs="FangSong"/>
          <w:sz w:val="25"/>
          <w:szCs w:val="25"/>
        </w:rPr>
      </w:pPr>
      <w:r>
        <w:rPr>
          <w:rFonts w:ascii="FangSong" w:hAnsi="FangSong" w:eastAsia="FangSong" w:cs="FangSong"/>
          <w:sz w:val="25"/>
          <w:szCs w:val="25"/>
          <w:spacing w:val="12"/>
        </w:rPr>
        <w:t>3.4.1零售用户向售电公司结算的费用包括电能量电</w:t>
      </w:r>
      <w:r>
        <w:rPr>
          <w:rFonts w:ascii="FangSong" w:hAnsi="FangSong" w:eastAsia="FangSong" w:cs="FangSong"/>
          <w:sz w:val="25"/>
          <w:szCs w:val="25"/>
          <w:spacing w:val="11"/>
        </w:rPr>
        <w:t>费、绿色电力环</w:t>
      </w:r>
      <w:r>
        <w:rPr>
          <w:rFonts w:ascii="FangSong" w:hAnsi="FangSong" w:eastAsia="FangSong" w:cs="FangSong"/>
          <w:sz w:val="25"/>
          <w:szCs w:val="25"/>
        </w:rPr>
        <w:t xml:space="preserve"> </w:t>
      </w:r>
      <w:r>
        <w:rPr>
          <w:rFonts w:ascii="FangSong" w:hAnsi="FangSong" w:eastAsia="FangSong" w:cs="FangSong"/>
          <w:sz w:val="25"/>
          <w:szCs w:val="25"/>
          <w:spacing w:val="9"/>
        </w:rPr>
        <w:t>境价值费用，其中电能量电费包括常规电力合同电量电</w:t>
      </w:r>
      <w:r>
        <w:rPr>
          <w:rFonts w:ascii="FangSong" w:hAnsi="FangSong" w:eastAsia="FangSong" w:cs="FangSong"/>
          <w:sz w:val="25"/>
          <w:szCs w:val="25"/>
          <w:spacing w:val="8"/>
        </w:rPr>
        <w:t>费、绿色电力合同</w:t>
      </w:r>
      <w:r>
        <w:rPr>
          <w:rFonts w:ascii="FangSong" w:hAnsi="FangSong" w:eastAsia="FangSong" w:cs="FangSong"/>
          <w:sz w:val="25"/>
          <w:szCs w:val="25"/>
        </w:rPr>
        <w:t xml:space="preserve"> </w:t>
      </w:r>
      <w:r>
        <w:rPr>
          <w:rFonts w:ascii="FangSong" w:hAnsi="FangSong" w:eastAsia="FangSong" w:cs="FangSong"/>
          <w:sz w:val="25"/>
          <w:szCs w:val="25"/>
          <w:spacing w:val="3"/>
        </w:rPr>
        <w:t>电量电费、偏差电量电费。零售用户按零售套餐计算的电能量均价</w:t>
      </w:r>
      <w:r>
        <w:rPr>
          <w:rFonts w:ascii="Times New Roman" w:hAnsi="Times New Roman" w:eastAsia="Times New Roman" w:cs="Times New Roman"/>
          <w:sz w:val="25"/>
          <w:szCs w:val="25"/>
          <w:spacing w:val="3"/>
        </w:rPr>
        <w:t>P</w:t>
      </w:r>
      <w:r>
        <w:rPr>
          <w:rFonts w:ascii="FangSong" w:hAnsi="FangSong" w:eastAsia="FangSong" w:cs="FangSong"/>
          <w:sz w:val="25"/>
          <w:szCs w:val="25"/>
          <w:spacing w:val="3"/>
        </w:rPr>
        <w:t>计算为</w:t>
      </w:r>
      <w:r>
        <w:rPr>
          <w:rFonts w:ascii="FangSong" w:hAnsi="FangSong" w:eastAsia="FangSong" w:cs="FangSong"/>
          <w:sz w:val="25"/>
          <w:szCs w:val="25"/>
        </w:rPr>
        <w:t xml:space="preserve"> </w:t>
      </w:r>
      <w:r>
        <w:rPr>
          <w:rFonts w:ascii="FangSong" w:hAnsi="FangSong" w:eastAsia="FangSong" w:cs="FangSong"/>
          <w:sz w:val="25"/>
          <w:szCs w:val="25"/>
          <w:spacing w:val="2"/>
        </w:rPr>
        <w:t>电能量电费除以用电量。</w:t>
      </w:r>
    </w:p>
    <w:p>
      <w:pPr>
        <w:ind w:left="94" w:right="1425" w:firstLine="530"/>
        <w:spacing w:before="147" w:line="300" w:lineRule="auto"/>
        <w:rPr>
          <w:rFonts w:ascii="FangSong" w:hAnsi="FangSong" w:eastAsia="FangSong" w:cs="FangSong"/>
          <w:sz w:val="25"/>
          <w:szCs w:val="25"/>
        </w:rPr>
      </w:pPr>
      <w:r>
        <w:rPr>
          <w:rFonts w:ascii="FangSong" w:hAnsi="FangSong" w:eastAsia="FangSong" w:cs="FangSong"/>
          <w:sz w:val="25"/>
          <w:szCs w:val="25"/>
          <w:spacing w:val="7"/>
        </w:rPr>
        <w:t>3.4.2零售用户按零售套餐计算的电能量均价</w:t>
      </w:r>
      <w:r>
        <w:rPr>
          <w:rFonts w:ascii="Times New Roman" w:hAnsi="Times New Roman" w:eastAsia="Times New Roman" w:cs="Times New Roman"/>
          <w:sz w:val="25"/>
          <w:szCs w:val="25"/>
          <w:spacing w:val="7"/>
        </w:rPr>
        <w:t>P</w:t>
      </w:r>
      <w:r>
        <w:rPr>
          <w:rFonts w:ascii="FangSong" w:hAnsi="FangSong" w:eastAsia="FangSong" w:cs="FangSong"/>
          <w:sz w:val="25"/>
          <w:szCs w:val="25"/>
          <w:spacing w:val="7"/>
        </w:rPr>
        <w:t>计算在“北京燃煤基准</w:t>
      </w:r>
      <w:r>
        <w:rPr>
          <w:rFonts w:ascii="FangSong" w:hAnsi="FangSong" w:eastAsia="FangSong" w:cs="FangSong"/>
          <w:sz w:val="25"/>
          <w:szCs w:val="25"/>
        </w:rPr>
        <w:t xml:space="preserve"> </w:t>
      </w:r>
      <w:r>
        <w:rPr>
          <w:rFonts w:ascii="FangSong" w:hAnsi="FangSong" w:eastAsia="FangSong" w:cs="FangSong"/>
          <w:sz w:val="25"/>
          <w:szCs w:val="25"/>
          <w:spacing w:val="10"/>
        </w:rPr>
        <w:t>价±20%”范围内形成，上限为431.76元/兆瓦时，下限为287.84元/兆瓦</w:t>
      </w:r>
      <w:r>
        <w:rPr>
          <w:rFonts w:ascii="FangSong" w:hAnsi="FangSong" w:eastAsia="FangSong" w:cs="FangSong"/>
          <w:sz w:val="25"/>
          <w:szCs w:val="25"/>
          <w:spacing w:val="7"/>
        </w:rPr>
        <w:t xml:space="preserve"> </w:t>
      </w:r>
      <w:r>
        <w:rPr>
          <w:rFonts w:ascii="FangSong" w:hAnsi="FangSong" w:eastAsia="FangSong" w:cs="FangSong"/>
          <w:sz w:val="25"/>
          <w:szCs w:val="25"/>
          <w:spacing w:val="2"/>
        </w:rPr>
        <w:t>时，当</w:t>
      </w:r>
      <w:r>
        <w:rPr>
          <w:rFonts w:ascii="Times New Roman" w:hAnsi="Times New Roman" w:eastAsia="Times New Roman" w:cs="Times New Roman"/>
          <w:sz w:val="25"/>
          <w:szCs w:val="25"/>
          <w:spacing w:val="2"/>
        </w:rPr>
        <w:t>P </w:t>
      </w:r>
      <w:r>
        <w:rPr>
          <w:rFonts w:ascii="FangSong" w:hAnsi="FangSong" w:eastAsia="FangSong" w:cs="FangSong"/>
          <w:sz w:val="25"/>
          <w:szCs w:val="25"/>
          <w:spacing w:val="2"/>
        </w:rPr>
        <w:t>计算超过上限时，取值为431.76元/兆瓦时，</w:t>
      </w:r>
      <w:r>
        <w:rPr>
          <w:rFonts w:ascii="FangSong" w:hAnsi="FangSong" w:eastAsia="FangSong" w:cs="FangSong"/>
          <w:sz w:val="25"/>
          <w:szCs w:val="25"/>
          <w:spacing w:val="1"/>
        </w:rPr>
        <w:t>当</w:t>
      </w:r>
      <w:r>
        <w:rPr>
          <w:rFonts w:ascii="Times New Roman" w:hAnsi="Times New Roman" w:eastAsia="Times New Roman" w:cs="Times New Roman"/>
          <w:sz w:val="25"/>
          <w:szCs w:val="25"/>
          <w:spacing w:val="1"/>
        </w:rPr>
        <w:t>P</w:t>
      </w:r>
      <w:r>
        <w:rPr>
          <w:rFonts w:ascii="FangSong" w:hAnsi="FangSong" w:eastAsia="FangSong" w:cs="FangSong"/>
          <w:sz w:val="25"/>
          <w:szCs w:val="25"/>
          <w:spacing w:val="1"/>
        </w:rPr>
        <w:t>计算低于下限时，</w:t>
      </w:r>
      <w:r>
        <w:rPr>
          <w:rFonts w:ascii="FangSong" w:hAnsi="FangSong" w:eastAsia="FangSong" w:cs="FangSong"/>
          <w:sz w:val="25"/>
          <w:szCs w:val="25"/>
        </w:rPr>
        <w:t xml:space="preserve"> </w:t>
      </w:r>
      <w:r>
        <w:rPr>
          <w:rFonts w:ascii="FangSong" w:hAnsi="FangSong" w:eastAsia="FangSong" w:cs="FangSong"/>
          <w:sz w:val="25"/>
          <w:szCs w:val="25"/>
          <w:spacing w:val="11"/>
        </w:rPr>
        <w:t>取值为287.84元/兆瓦时。</w:t>
      </w:r>
    </w:p>
    <w:p>
      <w:pPr>
        <w:ind w:left="94" w:right="1426" w:firstLine="530"/>
        <w:spacing w:before="137" w:line="312" w:lineRule="auto"/>
        <w:rPr>
          <w:rFonts w:ascii="FangSong" w:hAnsi="FangSong" w:eastAsia="FangSong" w:cs="FangSong"/>
          <w:sz w:val="19"/>
          <w:szCs w:val="19"/>
        </w:rPr>
      </w:pPr>
      <w:r>
        <w:rPr>
          <w:rFonts w:ascii="FangSong" w:hAnsi="FangSong" w:eastAsia="FangSong" w:cs="FangSong"/>
          <w:sz w:val="25"/>
          <w:szCs w:val="25"/>
          <w:spacing w:val="21"/>
        </w:rPr>
        <w:t>3.4.3当售电公司月度批零价差(△)满足△&gt;1.2×(</w:t>
      </w:r>
      <w:r>
        <w:rPr>
          <w:rFonts w:ascii="FangSong" w:hAnsi="FangSong" w:eastAsia="FangSong" w:cs="FangSong"/>
          <w:sz w:val="25"/>
          <w:szCs w:val="25"/>
          <w:spacing w:val="20"/>
        </w:rPr>
        <w:t>2025年度市场</w:t>
      </w:r>
      <w:r>
        <w:rPr>
          <w:rFonts w:ascii="FangSong" w:hAnsi="FangSong" w:eastAsia="FangSong" w:cs="FangSong"/>
          <w:sz w:val="25"/>
          <w:szCs w:val="25"/>
        </w:rPr>
        <w:t xml:space="preserve"> </w:t>
      </w:r>
      <w:r>
        <w:rPr>
          <w:rFonts w:ascii="FangSong" w:hAnsi="FangSong" w:eastAsia="FangSong" w:cs="FangSong"/>
          <w:sz w:val="25"/>
          <w:szCs w:val="25"/>
          <w:spacing w:val="12"/>
        </w:rPr>
        <w:t>平均批零价差)时，超额部分金额(△-1.2</w:t>
      </w:r>
      <w:r>
        <w:rPr>
          <w:rFonts w:ascii="FangSong" w:hAnsi="FangSong" w:eastAsia="FangSong" w:cs="FangSong"/>
          <w:sz w:val="25"/>
          <w:szCs w:val="25"/>
          <w:spacing w:val="11"/>
        </w:rPr>
        <w:t>×年度平均价差)按照售电公司</w:t>
      </w:r>
      <w:r>
        <w:rPr>
          <w:rFonts w:ascii="FangSong" w:hAnsi="FangSong" w:eastAsia="FangSong" w:cs="FangSong"/>
          <w:sz w:val="25"/>
          <w:szCs w:val="25"/>
        </w:rPr>
        <w:t xml:space="preserve"> </w:t>
      </w:r>
      <w:r>
        <w:rPr>
          <w:rFonts w:ascii="FangSong" w:hAnsi="FangSong" w:eastAsia="FangSong" w:cs="FangSong"/>
          <w:sz w:val="25"/>
          <w:szCs w:val="25"/>
          <w:spacing w:val="7"/>
        </w:rPr>
        <w:t>与零售用户协商确定的比例进行分享，分享比例应</w:t>
      </w:r>
      <w:r>
        <w:rPr>
          <w:rFonts w:ascii="FangSong" w:hAnsi="FangSong" w:eastAsia="FangSong" w:cs="FangSong"/>
          <w:sz w:val="25"/>
          <w:szCs w:val="25"/>
          <w:spacing w:val="6"/>
        </w:rPr>
        <w:t>大幅向零售用户倾斜。</w:t>
      </w:r>
      <w:r>
        <w:rPr>
          <w:rFonts w:ascii="FangSong" w:hAnsi="FangSong" w:eastAsia="FangSong" w:cs="FangSong"/>
          <w:sz w:val="25"/>
          <w:szCs w:val="25"/>
        </w:rPr>
        <w:t xml:space="preserve"> </w:t>
      </w:r>
      <w:r>
        <w:rPr>
          <w:rFonts w:ascii="FangSong" w:hAnsi="FangSong" w:eastAsia="FangSong" w:cs="FangSong"/>
          <w:sz w:val="25"/>
          <w:szCs w:val="25"/>
          <w:spacing w:val="9"/>
        </w:rPr>
        <w:t>售电公司月度批发购电均价计算时包括合同电</w:t>
      </w:r>
      <w:r>
        <w:rPr>
          <w:rFonts w:ascii="FangSong" w:hAnsi="FangSong" w:eastAsia="FangSong" w:cs="FangSong"/>
          <w:sz w:val="25"/>
          <w:szCs w:val="25"/>
          <w:spacing w:val="8"/>
        </w:rPr>
        <w:t>费和偏差电费，不包括差额</w:t>
      </w:r>
      <w:r>
        <w:rPr>
          <w:rFonts w:ascii="FangSong" w:hAnsi="FangSong" w:eastAsia="FangSong" w:cs="FangSong"/>
          <w:sz w:val="25"/>
          <w:szCs w:val="25"/>
        </w:rPr>
        <w:t xml:space="preserve"> </w:t>
      </w:r>
      <w:r>
        <w:rPr>
          <w:rFonts w:ascii="FangSong" w:hAnsi="FangSong" w:eastAsia="FangSong" w:cs="FangSong"/>
          <w:sz w:val="19"/>
          <w:szCs w:val="19"/>
          <w:spacing w:val="-10"/>
        </w:rPr>
        <w:t>资</w:t>
      </w:r>
      <w:r>
        <w:rPr>
          <w:rFonts w:ascii="FangSong" w:hAnsi="FangSong" w:eastAsia="FangSong" w:cs="FangSong"/>
          <w:sz w:val="19"/>
          <w:szCs w:val="19"/>
          <w:spacing w:val="9"/>
        </w:rPr>
        <w:t xml:space="preserve"> </w:t>
      </w:r>
      <w:r>
        <w:rPr>
          <w:rFonts w:ascii="FangSong" w:hAnsi="FangSong" w:eastAsia="FangSong" w:cs="FangSong"/>
          <w:sz w:val="19"/>
          <w:szCs w:val="19"/>
          <w:spacing w:val="-10"/>
        </w:rPr>
        <w:t>金</w:t>
      </w:r>
      <w:r>
        <w:rPr>
          <w:rFonts w:ascii="FangSong" w:hAnsi="FangSong" w:eastAsia="FangSong" w:cs="FangSong"/>
          <w:sz w:val="19"/>
          <w:szCs w:val="19"/>
          <w:spacing w:val="-10"/>
        </w:rPr>
        <w:t xml:space="preserve"> </w:t>
      </w:r>
      <w:r>
        <w:rPr>
          <w:rFonts w:ascii="FangSong" w:hAnsi="FangSong" w:eastAsia="FangSong" w:cs="FangSong"/>
          <w:sz w:val="19"/>
          <w:szCs w:val="19"/>
          <w:spacing w:val="-10"/>
        </w:rPr>
        <w:t>。</w:t>
      </w:r>
    </w:p>
    <w:p>
      <w:pPr>
        <w:ind w:left="94" w:right="1430" w:firstLine="530"/>
        <w:spacing w:before="180" w:line="272" w:lineRule="auto"/>
        <w:rPr>
          <w:rFonts w:ascii="FangSong" w:hAnsi="FangSong" w:eastAsia="FangSong" w:cs="FangSong"/>
          <w:sz w:val="25"/>
          <w:szCs w:val="25"/>
        </w:rPr>
      </w:pPr>
      <w:r>
        <w:rPr>
          <w:rFonts w:ascii="FangSong" w:hAnsi="FangSong" w:eastAsia="FangSong" w:cs="FangSong"/>
          <w:sz w:val="25"/>
          <w:szCs w:val="25"/>
          <w:spacing w:val="3"/>
        </w:rPr>
        <w:t>3.4.4双方约定收益分享比例</w:t>
      </w:r>
      <w:r>
        <w:rPr>
          <w:rFonts w:ascii="Times New Roman" w:hAnsi="Times New Roman" w:eastAsia="Times New Roman" w:cs="Times New Roman"/>
          <w:sz w:val="25"/>
          <w:szCs w:val="25"/>
          <w:spacing w:val="3"/>
        </w:rPr>
        <w:t>F</w:t>
      </w:r>
      <w:r>
        <w:rPr>
          <w:rFonts w:ascii="FangSong" w:hAnsi="FangSong" w:eastAsia="FangSong" w:cs="FangSong"/>
          <w:sz w:val="25"/>
          <w:szCs w:val="25"/>
          <w:spacing w:val="3"/>
        </w:rPr>
        <w:t>分享，取值可选为100%、9</w:t>
      </w:r>
      <w:r>
        <w:rPr>
          <w:rFonts w:ascii="FangSong" w:hAnsi="FangSong" w:eastAsia="FangSong" w:cs="FangSong"/>
          <w:sz w:val="25"/>
          <w:szCs w:val="25"/>
          <w:spacing w:val="2"/>
        </w:rPr>
        <w:t>0%、80%,向零</w:t>
      </w:r>
      <w:r>
        <w:rPr>
          <w:rFonts w:ascii="FangSong" w:hAnsi="FangSong" w:eastAsia="FangSong" w:cs="FangSong"/>
          <w:sz w:val="25"/>
          <w:szCs w:val="25"/>
        </w:rPr>
        <w:t xml:space="preserve"> </w:t>
      </w:r>
      <w:r>
        <w:rPr>
          <w:rFonts w:ascii="FangSong" w:hAnsi="FangSong" w:eastAsia="FangSong" w:cs="FangSong"/>
          <w:sz w:val="25"/>
          <w:szCs w:val="25"/>
          <w:spacing w:val="-1"/>
        </w:rPr>
        <w:t>售用户分享电价为售电公司超额部分收益折价与</w:t>
      </w:r>
      <w:r>
        <w:rPr>
          <w:rFonts w:ascii="SimSun" w:hAnsi="SimSun" w:eastAsia="SimSun" w:cs="SimSun"/>
          <w:sz w:val="25"/>
          <w:szCs w:val="25"/>
          <w:spacing w:val="-1"/>
        </w:rPr>
        <w:t>F</w:t>
      </w:r>
      <w:r>
        <w:rPr>
          <w:rFonts w:ascii="SimSun" w:hAnsi="SimSun" w:eastAsia="SimSun" w:cs="SimSun"/>
          <w:sz w:val="25"/>
          <w:szCs w:val="25"/>
          <w:spacing w:val="-63"/>
        </w:rPr>
        <w:t xml:space="preserve"> </w:t>
      </w:r>
      <w:r>
        <w:rPr>
          <w:rFonts w:ascii="FangSong" w:hAnsi="FangSong" w:eastAsia="FangSong" w:cs="FangSong"/>
          <w:sz w:val="25"/>
          <w:szCs w:val="25"/>
          <w:spacing w:val="-1"/>
        </w:rPr>
        <w:t>分享的乘积。</w:t>
      </w:r>
    </w:p>
    <w:p>
      <w:pPr>
        <w:ind w:left="94" w:right="1536" w:firstLine="530"/>
        <w:spacing w:before="120" w:line="273" w:lineRule="auto"/>
        <w:rPr>
          <w:rFonts w:ascii="FangSong" w:hAnsi="FangSong" w:eastAsia="FangSong" w:cs="FangSong"/>
          <w:sz w:val="25"/>
          <w:szCs w:val="25"/>
        </w:rPr>
      </w:pPr>
      <w:r>
        <w:rPr>
          <w:rFonts w:ascii="FangSong" w:hAnsi="FangSong" w:eastAsia="FangSong" w:cs="FangSong"/>
          <w:sz w:val="25"/>
          <w:szCs w:val="25"/>
          <w:spacing w:val="8"/>
        </w:rPr>
        <w:t>3.4.5零售用户向售电公司支付的电能量费用为零售套餐计算的电能</w:t>
      </w:r>
      <w:r>
        <w:rPr>
          <w:rFonts w:ascii="FangSong" w:hAnsi="FangSong" w:eastAsia="FangSong" w:cs="FangSong"/>
          <w:sz w:val="25"/>
          <w:szCs w:val="25"/>
          <w:spacing w:val="10"/>
        </w:rPr>
        <w:t xml:space="preserve"> </w:t>
      </w:r>
      <w:r>
        <w:rPr>
          <w:rFonts w:ascii="FangSong" w:hAnsi="FangSong" w:eastAsia="FangSong" w:cs="FangSong"/>
          <w:sz w:val="25"/>
          <w:szCs w:val="25"/>
          <w:spacing w:val="-8"/>
        </w:rPr>
        <w:t>量均价</w:t>
      </w:r>
      <w:r>
        <w:rPr>
          <w:rFonts w:ascii="SimSun" w:hAnsi="SimSun" w:eastAsia="SimSun" w:cs="SimSun"/>
          <w:sz w:val="25"/>
          <w:szCs w:val="25"/>
          <w:spacing w:val="-8"/>
        </w:rPr>
        <w:t>P</w:t>
      </w:r>
      <w:r>
        <w:rPr>
          <w:rFonts w:ascii="SimSun" w:hAnsi="SimSun" w:eastAsia="SimSun" w:cs="SimSun"/>
          <w:sz w:val="25"/>
          <w:szCs w:val="25"/>
          <w:spacing w:val="-34"/>
        </w:rPr>
        <w:t xml:space="preserve"> </w:t>
      </w:r>
      <w:r>
        <w:rPr>
          <w:rFonts w:ascii="FangSong" w:hAnsi="FangSong" w:eastAsia="FangSong" w:cs="FangSong"/>
          <w:sz w:val="25"/>
          <w:szCs w:val="25"/>
          <w:spacing w:val="-8"/>
        </w:rPr>
        <w:t>计算与向零售用户分享电价</w:t>
      </w:r>
      <w:r>
        <w:rPr>
          <w:rFonts w:ascii="SimSun" w:hAnsi="SimSun" w:eastAsia="SimSun" w:cs="SimSun"/>
          <w:sz w:val="25"/>
          <w:szCs w:val="25"/>
          <w:spacing w:val="-8"/>
        </w:rPr>
        <w:t>P</w:t>
      </w:r>
      <w:r>
        <w:rPr>
          <w:rFonts w:ascii="SimSun" w:hAnsi="SimSun" w:eastAsia="SimSun" w:cs="SimSun"/>
          <w:sz w:val="25"/>
          <w:szCs w:val="25"/>
          <w:spacing w:val="-64"/>
        </w:rPr>
        <w:t xml:space="preserve"> </w:t>
      </w:r>
      <w:r>
        <w:rPr>
          <w:rFonts w:ascii="FangSong" w:hAnsi="FangSong" w:eastAsia="FangSong" w:cs="FangSong"/>
          <w:sz w:val="25"/>
          <w:szCs w:val="25"/>
          <w:spacing w:val="-8"/>
        </w:rPr>
        <w:t>分享之差与实</w:t>
      </w:r>
      <w:r>
        <w:rPr>
          <w:rFonts w:ascii="FangSong" w:hAnsi="FangSong" w:eastAsia="FangSong" w:cs="FangSong"/>
          <w:sz w:val="25"/>
          <w:szCs w:val="25"/>
          <w:spacing w:val="-9"/>
        </w:rPr>
        <w:t>际用电量的乘积。</w:t>
      </w:r>
    </w:p>
    <w:p>
      <w:pPr>
        <w:ind w:left="94" w:right="1476" w:firstLine="530"/>
        <w:spacing w:before="141" w:line="268" w:lineRule="auto"/>
        <w:rPr>
          <w:rFonts w:ascii="FangSong" w:hAnsi="FangSong" w:eastAsia="FangSong" w:cs="FangSong"/>
          <w:sz w:val="25"/>
          <w:szCs w:val="25"/>
        </w:rPr>
      </w:pPr>
      <w:r>
        <w:rPr>
          <w:rFonts w:ascii="FangSong" w:hAnsi="FangSong" w:eastAsia="FangSong" w:cs="FangSong"/>
          <w:sz w:val="25"/>
          <w:szCs w:val="25"/>
          <w:spacing w:val="10"/>
        </w:rPr>
        <w:t>3.4.6收益分享后的月度零售市场均价、</w:t>
      </w:r>
      <w:r>
        <w:rPr>
          <w:rFonts w:ascii="FangSong" w:hAnsi="FangSong" w:eastAsia="FangSong" w:cs="FangSong"/>
          <w:sz w:val="25"/>
          <w:szCs w:val="25"/>
          <w:spacing w:val="9"/>
        </w:rPr>
        <w:t>2025年度市场平均批零价差</w:t>
      </w:r>
      <w:r>
        <w:rPr>
          <w:rFonts w:ascii="FangSong" w:hAnsi="FangSong" w:eastAsia="FangSong" w:cs="FangSong"/>
          <w:sz w:val="25"/>
          <w:szCs w:val="25"/>
        </w:rPr>
        <w:t xml:space="preserve"> </w:t>
      </w:r>
      <w:r>
        <w:rPr>
          <w:rFonts w:ascii="FangSong" w:hAnsi="FangSong" w:eastAsia="FangSong" w:cs="FangSong"/>
          <w:sz w:val="25"/>
          <w:szCs w:val="25"/>
          <w:spacing w:val="2"/>
        </w:rPr>
        <w:t>由交易中心在交易平台发布。</w:t>
      </w:r>
    </w:p>
    <w:p>
      <w:pPr>
        <w:pStyle w:val="BodyText"/>
        <w:spacing w:line="403" w:lineRule="auto"/>
        <w:rPr/>
      </w:pPr>
      <w:r/>
    </w:p>
    <w:p>
      <w:pPr>
        <w:ind w:left="3159"/>
        <w:spacing w:before="98" w:line="221" w:lineRule="auto"/>
        <w:outlineLvl w:val="2"/>
        <w:rPr>
          <w:rFonts w:ascii="SimHei" w:hAnsi="SimHei" w:eastAsia="SimHei" w:cs="SimHei"/>
          <w:sz w:val="30"/>
          <w:szCs w:val="30"/>
        </w:rPr>
      </w:pPr>
      <w:r>
        <w:rPr>
          <w:rFonts w:ascii="SimHei" w:hAnsi="SimHei" w:eastAsia="SimHei" w:cs="SimHei"/>
          <w:sz w:val="30"/>
          <w:szCs w:val="30"/>
          <w:b/>
          <w:bCs/>
          <w:spacing w:val="11"/>
        </w:rPr>
        <w:t>第四章零售结算</w:t>
      </w:r>
    </w:p>
    <w:p>
      <w:pPr>
        <w:ind w:left="94" w:right="1430" w:firstLine="530"/>
        <w:spacing w:before="139" w:line="291" w:lineRule="auto"/>
        <w:rPr>
          <w:rFonts w:ascii="FangSong" w:hAnsi="FangSong" w:eastAsia="FangSong" w:cs="FangSong"/>
          <w:sz w:val="25"/>
          <w:szCs w:val="25"/>
        </w:rPr>
      </w:pPr>
      <w:r>
        <w:rPr>
          <w:rFonts w:ascii="FangSong" w:hAnsi="FangSong" w:eastAsia="FangSong" w:cs="FangSong"/>
          <w:sz w:val="25"/>
          <w:szCs w:val="25"/>
          <w:spacing w:val="11"/>
        </w:rPr>
        <w:t>4.1甲方实际用电量以电网企业抄录并推送至交易中心的电量为</w:t>
      </w:r>
      <w:r>
        <w:rPr>
          <w:rFonts w:ascii="FangSong" w:hAnsi="FangSong" w:eastAsia="FangSong" w:cs="FangSong"/>
          <w:sz w:val="25"/>
          <w:szCs w:val="25"/>
          <w:spacing w:val="10"/>
        </w:rPr>
        <w:t>准。</w:t>
      </w:r>
      <w:r>
        <w:rPr>
          <w:rFonts w:ascii="FangSong" w:hAnsi="FangSong" w:eastAsia="FangSong" w:cs="FangSong"/>
          <w:sz w:val="25"/>
          <w:szCs w:val="25"/>
        </w:rPr>
        <w:t xml:space="preserve"> </w:t>
      </w:r>
      <w:r>
        <w:rPr>
          <w:rFonts w:ascii="FangSong" w:hAnsi="FangSong" w:eastAsia="FangSong" w:cs="FangSong"/>
          <w:sz w:val="25"/>
          <w:szCs w:val="25"/>
          <w:spacing w:val="16"/>
        </w:rPr>
        <w:t>本合同履行期间，若电能计量点(或营销户号)发生变更，甲方应自主及</w:t>
      </w:r>
      <w:r>
        <w:rPr>
          <w:rFonts w:ascii="FangSong" w:hAnsi="FangSong" w:eastAsia="FangSong" w:cs="FangSong"/>
          <w:sz w:val="25"/>
          <w:szCs w:val="25"/>
          <w:spacing w:val="15"/>
        </w:rPr>
        <w:t xml:space="preserve"> </w:t>
      </w:r>
      <w:r>
        <w:rPr>
          <w:rFonts w:ascii="FangSong" w:hAnsi="FangSong" w:eastAsia="FangSong" w:cs="FangSong"/>
          <w:sz w:val="25"/>
          <w:szCs w:val="25"/>
          <w:spacing w:val="4"/>
        </w:rPr>
        <w:t>时完成营销业务系统以及交易平台的信息变更。</w:t>
      </w:r>
    </w:p>
    <w:p>
      <w:pPr>
        <w:ind w:left="94" w:right="1432" w:firstLine="530"/>
        <w:spacing w:before="120" w:line="290" w:lineRule="auto"/>
        <w:rPr>
          <w:rFonts w:ascii="FangSong" w:hAnsi="FangSong" w:eastAsia="FangSong" w:cs="FangSong"/>
          <w:sz w:val="25"/>
          <w:szCs w:val="25"/>
        </w:rPr>
      </w:pPr>
      <w:r>
        <w:rPr>
          <w:rFonts w:ascii="FangSong" w:hAnsi="FangSong" w:eastAsia="FangSong" w:cs="FangSong"/>
          <w:sz w:val="25"/>
          <w:szCs w:val="25"/>
          <w:spacing w:val="12"/>
        </w:rPr>
        <w:t>4.2交易中心根据相关交易规则、政府主管部门文件要求及《北</w:t>
      </w:r>
      <w:r>
        <w:rPr>
          <w:rFonts w:ascii="FangSong" w:hAnsi="FangSong" w:eastAsia="FangSong" w:cs="FangSong"/>
          <w:sz w:val="25"/>
          <w:szCs w:val="25"/>
          <w:spacing w:val="11"/>
        </w:rPr>
        <w:t>京市</w:t>
      </w:r>
      <w:r>
        <w:rPr>
          <w:rFonts w:ascii="FangSong" w:hAnsi="FangSong" w:eastAsia="FangSong" w:cs="FangSong"/>
          <w:sz w:val="25"/>
          <w:szCs w:val="25"/>
        </w:rPr>
        <w:t xml:space="preserve"> </w:t>
      </w:r>
      <w:r>
        <w:rPr>
          <w:rFonts w:ascii="FangSong" w:hAnsi="FangSong" w:eastAsia="FangSong" w:cs="FangSong"/>
          <w:sz w:val="25"/>
          <w:szCs w:val="25"/>
          <w:spacing w:val="15"/>
        </w:rPr>
        <w:t>电力市场化直接交易结算指引(2026年)》要求，按照甲乙双方协商签订</w:t>
      </w:r>
      <w:r>
        <w:rPr>
          <w:rFonts w:ascii="FangSong" w:hAnsi="FangSong" w:eastAsia="FangSong" w:cs="FangSong"/>
          <w:sz w:val="25"/>
          <w:szCs w:val="25"/>
        </w:rPr>
        <w:t xml:space="preserve"> </w:t>
      </w:r>
      <w:r>
        <w:rPr>
          <w:rFonts w:ascii="FangSong" w:hAnsi="FangSong" w:eastAsia="FangSong" w:cs="FangSong"/>
          <w:sz w:val="25"/>
          <w:szCs w:val="25"/>
          <w:spacing w:val="5"/>
        </w:rPr>
        <w:t>的零售套餐结算参数，按月开展零售市场线上结算并</w:t>
      </w:r>
      <w:r>
        <w:rPr>
          <w:rFonts w:ascii="FangSong" w:hAnsi="FangSong" w:eastAsia="FangSong" w:cs="FangSong"/>
          <w:sz w:val="25"/>
          <w:szCs w:val="25"/>
          <w:spacing w:val="4"/>
        </w:rPr>
        <w:t>出具结算依据。</w:t>
      </w:r>
    </w:p>
    <w:p>
      <w:pPr>
        <w:pStyle w:val="BodyText"/>
        <w:spacing w:line="350" w:lineRule="auto"/>
        <w:rPr/>
      </w:pPr>
      <w:r/>
    </w:p>
    <w:p>
      <w:pPr>
        <w:ind w:left="3574"/>
        <w:spacing w:before="62" w:line="219" w:lineRule="auto"/>
        <w:rPr>
          <w:rFonts w:ascii="SimSun" w:hAnsi="SimSun" w:eastAsia="SimSun" w:cs="SimSun"/>
          <w:sz w:val="19"/>
          <w:szCs w:val="19"/>
        </w:rPr>
      </w:pPr>
      <w:r>
        <w:rPr>
          <w:rFonts w:ascii="SimSun" w:hAnsi="SimSun" w:eastAsia="SimSun" w:cs="SimSun"/>
          <w:sz w:val="19"/>
          <w:szCs w:val="19"/>
          <w:spacing w:val="-10"/>
        </w:rPr>
        <w:t>第</w:t>
      </w:r>
      <w:r>
        <w:rPr>
          <w:rFonts w:ascii="SimSun" w:hAnsi="SimSun" w:eastAsia="SimSun" w:cs="SimSun"/>
          <w:sz w:val="19"/>
          <w:szCs w:val="19"/>
          <w:spacing w:val="-35"/>
        </w:rPr>
        <w:t xml:space="preserve"> </w:t>
      </w:r>
      <w:r>
        <w:rPr>
          <w:rFonts w:ascii="SimSun" w:hAnsi="SimSun" w:eastAsia="SimSun" w:cs="SimSun"/>
          <w:sz w:val="19"/>
          <w:szCs w:val="19"/>
          <w:spacing w:val="-10"/>
        </w:rPr>
        <w:t>9</w:t>
      </w:r>
      <w:r>
        <w:rPr>
          <w:rFonts w:ascii="SimSun" w:hAnsi="SimSun" w:eastAsia="SimSun" w:cs="SimSun"/>
          <w:sz w:val="19"/>
          <w:szCs w:val="19"/>
          <w:spacing w:val="-31"/>
        </w:rPr>
        <w:t xml:space="preserve"> </w:t>
      </w:r>
      <w:r>
        <w:rPr>
          <w:rFonts w:ascii="SimSun" w:hAnsi="SimSun" w:eastAsia="SimSun" w:cs="SimSun"/>
          <w:sz w:val="19"/>
          <w:szCs w:val="19"/>
          <w:spacing w:val="-10"/>
        </w:rPr>
        <w:t>页</w:t>
      </w:r>
      <w:r>
        <w:rPr>
          <w:rFonts w:ascii="SimSun" w:hAnsi="SimSun" w:eastAsia="SimSun" w:cs="SimSun"/>
          <w:sz w:val="19"/>
          <w:szCs w:val="19"/>
          <w:spacing w:val="-37"/>
        </w:rPr>
        <w:t xml:space="preserve"> </w:t>
      </w:r>
      <w:r>
        <w:rPr>
          <w:rFonts w:ascii="SimSun" w:hAnsi="SimSun" w:eastAsia="SimSun" w:cs="SimSun"/>
          <w:sz w:val="19"/>
          <w:szCs w:val="19"/>
          <w:spacing w:val="-10"/>
        </w:rPr>
        <w:t>共</w:t>
      </w:r>
      <w:r>
        <w:rPr>
          <w:rFonts w:ascii="SimSun" w:hAnsi="SimSun" w:eastAsia="SimSun" w:cs="SimSun"/>
          <w:sz w:val="19"/>
          <w:szCs w:val="19"/>
          <w:spacing w:val="-22"/>
        </w:rPr>
        <w:t xml:space="preserve"> </w:t>
      </w:r>
      <w:r>
        <w:rPr>
          <w:rFonts w:ascii="SimSun" w:hAnsi="SimSun" w:eastAsia="SimSun" w:cs="SimSun"/>
          <w:sz w:val="19"/>
          <w:szCs w:val="19"/>
          <w:spacing w:val="-10"/>
        </w:rPr>
        <w:t>1</w:t>
      </w:r>
      <w:r>
        <w:rPr>
          <w:rFonts w:ascii="SimSun" w:hAnsi="SimSun" w:eastAsia="SimSun" w:cs="SimSun"/>
          <w:sz w:val="19"/>
          <w:szCs w:val="19"/>
          <w:spacing w:val="-32"/>
        </w:rPr>
        <w:t xml:space="preserve"> </w:t>
      </w:r>
      <w:r>
        <w:rPr>
          <w:rFonts w:ascii="SimSun" w:hAnsi="SimSun" w:eastAsia="SimSun" w:cs="SimSun"/>
          <w:sz w:val="19"/>
          <w:szCs w:val="19"/>
          <w:spacing w:val="-10"/>
        </w:rPr>
        <w:t>7</w:t>
      </w:r>
      <w:r>
        <w:rPr>
          <w:rFonts w:ascii="SimSun" w:hAnsi="SimSun" w:eastAsia="SimSun" w:cs="SimSun"/>
          <w:sz w:val="19"/>
          <w:szCs w:val="19"/>
          <w:spacing w:val="-31"/>
        </w:rPr>
        <w:t xml:space="preserve"> </w:t>
      </w:r>
      <w:r>
        <w:rPr>
          <w:rFonts w:ascii="SimSun" w:hAnsi="SimSun" w:eastAsia="SimSun" w:cs="SimSun"/>
          <w:sz w:val="19"/>
          <w:szCs w:val="19"/>
          <w:spacing w:val="-10"/>
        </w:rPr>
        <w:t>页</w:t>
      </w:r>
    </w:p>
    <w:p>
      <w:pPr>
        <w:spacing w:line="219" w:lineRule="auto"/>
        <w:sectPr>
          <w:footerReference w:type="default" r:id="rId14"/>
          <w:pgSz w:w="11900" w:h="16840"/>
          <w:pgMar w:top="1355" w:right="310" w:bottom="789" w:left="1785" w:header="0" w:footer="225" w:gutter="0"/>
        </w:sectPr>
        <w:rPr>
          <w:rFonts w:ascii="SimSun" w:hAnsi="SimSun" w:eastAsia="SimSun" w:cs="SimSun"/>
          <w:sz w:val="19"/>
          <w:szCs w:val="19"/>
        </w:rPr>
      </w:pPr>
    </w:p>
    <w:p>
      <w:pPr>
        <w:ind w:left="104" w:right="1560" w:firstLine="540"/>
        <w:spacing w:before="45" w:line="304" w:lineRule="auto"/>
        <w:rPr>
          <w:rFonts w:ascii="FangSong" w:hAnsi="FangSong" w:eastAsia="FangSong" w:cs="FangSong"/>
          <w:sz w:val="24"/>
          <w:szCs w:val="24"/>
        </w:rPr>
      </w:pPr>
      <w:r>
        <w:rPr>
          <w:rFonts w:ascii="FangSong" w:hAnsi="FangSong" w:eastAsia="FangSong" w:cs="FangSong"/>
          <w:sz w:val="24"/>
          <w:szCs w:val="24"/>
          <w:spacing w:val="15"/>
        </w:rPr>
        <w:t>4.3按照北京市2026年年度交易方案，零售合同的电能量价格在“北</w:t>
      </w:r>
      <w:r>
        <w:rPr>
          <w:rFonts w:ascii="FangSong" w:hAnsi="FangSong" w:eastAsia="FangSong" w:cs="FangSong"/>
          <w:sz w:val="24"/>
          <w:szCs w:val="24"/>
          <w:spacing w:val="3"/>
        </w:rPr>
        <w:t xml:space="preserve"> </w:t>
      </w:r>
      <w:r>
        <w:rPr>
          <w:rFonts w:ascii="FangSong" w:hAnsi="FangSong" w:eastAsia="FangSong" w:cs="FangSong"/>
          <w:sz w:val="24"/>
          <w:szCs w:val="24"/>
          <w:spacing w:val="15"/>
        </w:rPr>
        <w:t>京燃煤基准价±20%”范围内形成，即287.84至431.76元/兆瓦时之间。</w:t>
      </w:r>
      <w:r>
        <w:rPr>
          <w:rFonts w:ascii="FangSong" w:hAnsi="FangSong" w:eastAsia="FangSong" w:cs="FangSong"/>
          <w:sz w:val="24"/>
          <w:szCs w:val="24"/>
          <w:spacing w:val="4"/>
        </w:rPr>
        <w:t xml:space="preserve"> </w:t>
      </w:r>
      <w:r>
        <w:rPr>
          <w:rFonts w:ascii="FangSong" w:hAnsi="FangSong" w:eastAsia="FangSong" w:cs="FangSong"/>
          <w:sz w:val="24"/>
          <w:szCs w:val="24"/>
          <w:spacing w:val="1"/>
        </w:rPr>
        <w:t>零售用户与售电公司按套餐形成的常规电力电能量价格</w:t>
      </w:r>
      <w:r>
        <w:rPr>
          <w:rFonts w:ascii="Times New Roman" w:hAnsi="Times New Roman" w:eastAsia="Times New Roman" w:cs="Times New Roman"/>
          <w:sz w:val="24"/>
          <w:szCs w:val="24"/>
          <w:spacing w:val="1"/>
        </w:rPr>
        <w:t>P</w:t>
      </w:r>
      <w:r>
        <w:rPr>
          <w:rFonts w:ascii="FangSong" w:hAnsi="FangSong" w:eastAsia="FangSong" w:cs="FangSong"/>
          <w:sz w:val="24"/>
          <w:szCs w:val="24"/>
          <w:spacing w:val="1"/>
        </w:rPr>
        <w:t>常及</w:t>
      </w:r>
      <w:r>
        <w:rPr>
          <w:rFonts w:ascii="Times New Roman" w:hAnsi="Times New Roman" w:eastAsia="Times New Roman" w:cs="Times New Roman"/>
          <w:sz w:val="24"/>
          <w:szCs w:val="24"/>
          <w:spacing w:val="1"/>
        </w:rPr>
        <w:t>P</w:t>
      </w:r>
      <w:r>
        <w:rPr>
          <w:rFonts w:ascii="Times New Roman" w:hAnsi="Times New Roman" w:eastAsia="Times New Roman" w:cs="Times New Roman"/>
          <w:sz w:val="24"/>
          <w:szCs w:val="24"/>
          <w:spacing w:val="32"/>
          <w:w w:val="101"/>
        </w:rPr>
        <w:t xml:space="preserve"> </w:t>
      </w:r>
      <w:r>
        <w:rPr>
          <w:rFonts w:ascii="FangSong" w:hAnsi="FangSong" w:eastAsia="FangSong" w:cs="FangSong"/>
          <w:sz w:val="24"/>
          <w:szCs w:val="24"/>
          <w:spacing w:val="1"/>
        </w:rPr>
        <w:t>常国，绿色电</w:t>
      </w:r>
      <w:r>
        <w:rPr>
          <w:rFonts w:ascii="FangSong" w:hAnsi="FangSong" w:eastAsia="FangSong" w:cs="FangSong"/>
          <w:sz w:val="24"/>
          <w:szCs w:val="24"/>
        </w:rPr>
        <w:t xml:space="preserve"> </w:t>
      </w:r>
      <w:r>
        <w:rPr>
          <w:rFonts w:ascii="FangSong" w:hAnsi="FangSong" w:eastAsia="FangSong" w:cs="FangSong"/>
          <w:sz w:val="24"/>
          <w:szCs w:val="24"/>
          <w:spacing w:val="-3"/>
        </w:rPr>
        <w:t>力电能量价格</w:t>
      </w:r>
      <w:r>
        <w:rPr>
          <w:rFonts w:ascii="Times New Roman" w:hAnsi="Times New Roman" w:eastAsia="Times New Roman" w:cs="Times New Roman"/>
          <w:sz w:val="24"/>
          <w:szCs w:val="24"/>
          <w:spacing w:val="-3"/>
        </w:rPr>
        <w:t>P</w:t>
      </w:r>
      <w:r>
        <w:rPr>
          <w:rFonts w:ascii="Times New Roman" w:hAnsi="Times New Roman" w:eastAsia="Times New Roman" w:cs="Times New Roman"/>
          <w:sz w:val="24"/>
          <w:szCs w:val="24"/>
          <w:spacing w:val="20"/>
        </w:rPr>
        <w:t xml:space="preserve">  </w:t>
      </w:r>
      <w:r>
        <w:rPr>
          <w:rFonts w:ascii="FangSong" w:hAnsi="FangSong" w:eastAsia="FangSong" w:cs="FangSong"/>
          <w:sz w:val="24"/>
          <w:szCs w:val="24"/>
          <w:spacing w:val="-3"/>
        </w:rPr>
        <w:t>及</w:t>
      </w:r>
      <w:r>
        <w:rPr>
          <w:rFonts w:ascii="FangSong" w:hAnsi="FangSong" w:eastAsia="FangSong" w:cs="FangSong"/>
          <w:sz w:val="24"/>
          <w:szCs w:val="24"/>
          <w:spacing w:val="-3"/>
        </w:rPr>
        <w:t xml:space="preserve"> </w:t>
      </w:r>
      <w:r>
        <w:rPr>
          <w:rFonts w:ascii="Times New Roman" w:hAnsi="Times New Roman" w:eastAsia="Times New Roman" w:cs="Times New Roman"/>
          <w:sz w:val="24"/>
          <w:szCs w:val="24"/>
          <w:spacing w:val="-3"/>
        </w:rPr>
        <w:t>P</w:t>
      </w:r>
      <w:r>
        <w:rPr>
          <w:rFonts w:ascii="Times New Roman" w:hAnsi="Times New Roman" w:eastAsia="Times New Roman" w:cs="Times New Roman"/>
          <w:sz w:val="24"/>
          <w:szCs w:val="24"/>
          <w:spacing w:val="21"/>
          <w:w w:val="101"/>
        </w:rPr>
        <w:t xml:space="preserve"> </w:t>
      </w:r>
      <w:r>
        <w:rPr>
          <w:rFonts w:ascii="FangSong" w:hAnsi="FangSong" w:eastAsia="FangSong" w:cs="FangSong"/>
          <w:sz w:val="24"/>
          <w:szCs w:val="24"/>
          <w:spacing w:val="-3"/>
        </w:rPr>
        <w:t>绿田，按零售套餐计算</w:t>
      </w:r>
      <w:r>
        <w:rPr>
          <w:rFonts w:ascii="FangSong" w:hAnsi="FangSong" w:eastAsia="FangSong" w:cs="FangSong"/>
          <w:sz w:val="24"/>
          <w:szCs w:val="24"/>
          <w:spacing w:val="-4"/>
        </w:rPr>
        <w:t>的电能量均价</w:t>
      </w:r>
      <w:r>
        <w:rPr>
          <w:rFonts w:ascii="Times New Roman" w:hAnsi="Times New Roman" w:eastAsia="Times New Roman" w:cs="Times New Roman"/>
          <w:sz w:val="24"/>
          <w:szCs w:val="24"/>
          <w:spacing w:val="-4"/>
        </w:rPr>
        <w:t>P</w:t>
      </w:r>
      <w:r>
        <w:rPr>
          <w:rFonts w:ascii="FangSong" w:hAnsi="FangSong" w:eastAsia="FangSong" w:cs="FangSong"/>
          <w:sz w:val="24"/>
          <w:szCs w:val="24"/>
          <w:spacing w:val="-4"/>
        </w:rPr>
        <w:t>计算均应在上述范</w:t>
      </w:r>
      <w:r>
        <w:rPr>
          <w:rFonts w:ascii="FangSong" w:hAnsi="FangSong" w:eastAsia="FangSong" w:cs="FangSong"/>
          <w:sz w:val="24"/>
          <w:szCs w:val="24"/>
        </w:rPr>
        <w:t xml:space="preserve"> </w:t>
      </w:r>
      <w:r>
        <w:rPr>
          <w:rFonts w:ascii="FangSong" w:hAnsi="FangSong" w:eastAsia="FangSong" w:cs="FangSong"/>
          <w:sz w:val="24"/>
          <w:szCs w:val="24"/>
          <w:spacing w:val="-1"/>
        </w:rPr>
        <w:t>围内。</w:t>
      </w:r>
    </w:p>
    <w:p>
      <w:pPr>
        <w:ind w:left="104" w:right="1536" w:firstLine="540"/>
        <w:spacing w:before="197" w:line="309" w:lineRule="auto"/>
        <w:rPr>
          <w:rFonts w:ascii="FangSong" w:hAnsi="FangSong" w:eastAsia="FangSong" w:cs="FangSong"/>
          <w:sz w:val="24"/>
          <w:szCs w:val="24"/>
        </w:rPr>
      </w:pPr>
      <w:r>
        <w:rPr>
          <w:rFonts w:ascii="FangSong" w:hAnsi="FangSong" w:eastAsia="FangSong" w:cs="FangSong"/>
          <w:sz w:val="24"/>
          <w:szCs w:val="24"/>
          <w:spacing w:val="24"/>
        </w:rPr>
        <w:t>4.4本合同约定的零售价格非用户最终到户价格。甲方(各时段)用</w:t>
      </w:r>
      <w:r>
        <w:rPr>
          <w:rFonts w:ascii="FangSong" w:hAnsi="FangSong" w:eastAsia="FangSong" w:cs="FangSong"/>
          <w:sz w:val="24"/>
          <w:szCs w:val="24"/>
          <w:spacing w:val="18"/>
        </w:rPr>
        <w:t xml:space="preserve"> </w:t>
      </w:r>
      <w:r>
        <w:rPr>
          <w:rFonts w:ascii="FangSong" w:hAnsi="FangSong" w:eastAsia="FangSong" w:cs="FangSong"/>
          <w:sz w:val="24"/>
          <w:szCs w:val="24"/>
          <w:spacing w:val="20"/>
        </w:rPr>
        <w:t>电到户价格由电能量价格(以此作为平段价格参与峰谷浮动)、绿色电力</w:t>
      </w:r>
      <w:r>
        <w:rPr>
          <w:rFonts w:ascii="FangSong" w:hAnsi="FangSong" w:eastAsia="FangSong" w:cs="FangSong"/>
          <w:sz w:val="24"/>
          <w:szCs w:val="24"/>
          <w:spacing w:val="18"/>
        </w:rPr>
        <w:t xml:space="preserve"> </w:t>
      </w:r>
      <w:r>
        <w:rPr>
          <w:rFonts w:ascii="FangSong" w:hAnsi="FangSong" w:eastAsia="FangSong" w:cs="FangSong"/>
          <w:sz w:val="24"/>
          <w:szCs w:val="24"/>
          <w:spacing w:val="12"/>
        </w:rPr>
        <w:t>环境价值费用、北京电网输配电价、上网环节线损费用、系统运行费用、</w:t>
      </w:r>
      <w:r>
        <w:rPr>
          <w:rFonts w:ascii="FangSong" w:hAnsi="FangSong" w:eastAsia="FangSong" w:cs="FangSong"/>
          <w:sz w:val="24"/>
          <w:szCs w:val="24"/>
          <w:spacing w:val="5"/>
        </w:rPr>
        <w:t xml:space="preserve"> </w:t>
      </w:r>
      <w:r>
        <w:rPr>
          <w:rFonts w:ascii="FangSong" w:hAnsi="FangSong" w:eastAsia="FangSong" w:cs="FangSong"/>
          <w:sz w:val="24"/>
          <w:szCs w:val="24"/>
          <w:spacing w:val="14"/>
        </w:rPr>
        <w:t>政府性基金及附加、新增损益等构成。电能量价</w:t>
      </w:r>
      <w:r>
        <w:rPr>
          <w:rFonts w:ascii="FangSong" w:hAnsi="FangSong" w:eastAsia="FangSong" w:cs="FangSong"/>
          <w:sz w:val="24"/>
          <w:szCs w:val="24"/>
          <w:spacing w:val="13"/>
        </w:rPr>
        <w:t>格按双方约定的零售结算</w:t>
      </w:r>
      <w:r>
        <w:rPr>
          <w:rFonts w:ascii="FangSong" w:hAnsi="FangSong" w:eastAsia="FangSong" w:cs="FangSong"/>
          <w:sz w:val="24"/>
          <w:szCs w:val="24"/>
        </w:rPr>
        <w:t xml:space="preserve"> </w:t>
      </w:r>
      <w:r>
        <w:rPr>
          <w:rFonts w:ascii="FangSong" w:hAnsi="FangSong" w:eastAsia="FangSong" w:cs="FangSong"/>
          <w:sz w:val="24"/>
          <w:szCs w:val="24"/>
          <w:spacing w:val="10"/>
        </w:rPr>
        <w:t>模式计算得出，为零售用户最终向售电公司支付的电能量价格。</w:t>
      </w:r>
    </w:p>
    <w:p>
      <w:pPr>
        <w:ind w:left="104" w:right="1459" w:firstLine="540"/>
        <w:spacing w:before="174" w:line="303" w:lineRule="auto"/>
        <w:rPr>
          <w:rFonts w:ascii="FangSong" w:hAnsi="FangSong" w:eastAsia="FangSong" w:cs="FangSong"/>
          <w:sz w:val="24"/>
          <w:szCs w:val="24"/>
        </w:rPr>
      </w:pPr>
      <w:r>
        <w:rPr>
          <w:rFonts w:ascii="FangSong" w:hAnsi="FangSong" w:eastAsia="FangSong" w:cs="FangSong"/>
          <w:sz w:val="24"/>
          <w:szCs w:val="24"/>
          <w:spacing w:val="11"/>
        </w:rPr>
        <w:t>4.5零售用户峰谷分时浮动、北京电网输配电价、上网环节线损费用、</w:t>
      </w:r>
      <w:r>
        <w:rPr>
          <w:rFonts w:ascii="FangSong" w:hAnsi="FangSong" w:eastAsia="FangSong" w:cs="FangSong"/>
          <w:sz w:val="24"/>
          <w:szCs w:val="24"/>
          <w:spacing w:val="7"/>
        </w:rPr>
        <w:t xml:space="preserve"> </w:t>
      </w:r>
      <w:r>
        <w:rPr>
          <w:rFonts w:ascii="FangSong" w:hAnsi="FangSong" w:eastAsia="FangSong" w:cs="FangSong"/>
          <w:sz w:val="24"/>
          <w:szCs w:val="24"/>
          <w:spacing w:val="14"/>
        </w:rPr>
        <w:t>系统运行费用、政府性基金及附加、新增损</w:t>
      </w:r>
      <w:r>
        <w:rPr>
          <w:rFonts w:ascii="FangSong" w:hAnsi="FangSong" w:eastAsia="FangSong" w:cs="FangSong"/>
          <w:sz w:val="24"/>
          <w:szCs w:val="24"/>
          <w:spacing w:val="13"/>
        </w:rPr>
        <w:t>益、基本电价、功率因数调整</w:t>
      </w:r>
      <w:r>
        <w:rPr>
          <w:rFonts w:ascii="FangSong" w:hAnsi="FangSong" w:eastAsia="FangSong" w:cs="FangSong"/>
          <w:sz w:val="24"/>
          <w:szCs w:val="24"/>
        </w:rPr>
        <w:t xml:space="preserve">  </w:t>
      </w:r>
      <w:r>
        <w:rPr>
          <w:rFonts w:ascii="FangSong" w:hAnsi="FangSong" w:eastAsia="FangSong" w:cs="FangSong"/>
          <w:sz w:val="24"/>
          <w:szCs w:val="24"/>
          <w:spacing w:val="14"/>
        </w:rPr>
        <w:t>电费等事宜由国网北京市电力公司按照国家和北</w:t>
      </w:r>
      <w:r>
        <w:rPr>
          <w:rFonts w:ascii="FangSong" w:hAnsi="FangSong" w:eastAsia="FangSong" w:cs="FangSong"/>
          <w:sz w:val="24"/>
          <w:szCs w:val="24"/>
          <w:spacing w:val="13"/>
        </w:rPr>
        <w:t>京市价格主管部门相关文</w:t>
      </w:r>
      <w:r>
        <w:rPr>
          <w:rFonts w:ascii="FangSong" w:hAnsi="FangSong" w:eastAsia="FangSong" w:cs="FangSong"/>
          <w:sz w:val="24"/>
          <w:szCs w:val="24"/>
        </w:rPr>
        <w:t xml:space="preserve">  </w:t>
      </w:r>
      <w:r>
        <w:rPr>
          <w:rFonts w:ascii="FangSong" w:hAnsi="FangSong" w:eastAsia="FangSong" w:cs="FangSong"/>
          <w:sz w:val="24"/>
          <w:szCs w:val="24"/>
          <w:spacing w:val="10"/>
        </w:rPr>
        <w:t>件执行。</w:t>
      </w:r>
    </w:p>
    <w:p>
      <w:pPr>
        <w:ind w:left="104" w:right="1537" w:firstLine="540"/>
        <w:spacing w:before="162" w:line="289" w:lineRule="auto"/>
        <w:rPr>
          <w:rFonts w:ascii="FangSong" w:hAnsi="FangSong" w:eastAsia="FangSong" w:cs="FangSong"/>
          <w:sz w:val="24"/>
          <w:szCs w:val="24"/>
        </w:rPr>
      </w:pPr>
      <w:r>
        <w:rPr>
          <w:rFonts w:ascii="FangSong" w:hAnsi="FangSong" w:eastAsia="FangSong" w:cs="FangSong"/>
          <w:sz w:val="24"/>
          <w:szCs w:val="24"/>
          <w:spacing w:val="17"/>
        </w:rPr>
        <w:t>4.6绿色电力零售交易在保证环境价值可追踪溯源的</w:t>
      </w:r>
      <w:r>
        <w:rPr>
          <w:rFonts w:ascii="FangSong" w:hAnsi="FangSong" w:eastAsia="FangSong" w:cs="FangSong"/>
          <w:sz w:val="24"/>
          <w:szCs w:val="24"/>
          <w:spacing w:val="16"/>
        </w:rPr>
        <w:t>前提下，电能量</w:t>
      </w:r>
      <w:r>
        <w:rPr>
          <w:rFonts w:ascii="FangSong" w:hAnsi="FangSong" w:eastAsia="FangSong" w:cs="FangSong"/>
          <w:sz w:val="24"/>
          <w:szCs w:val="24"/>
        </w:rPr>
        <w:t xml:space="preserve"> </w:t>
      </w:r>
      <w:r>
        <w:rPr>
          <w:rFonts w:ascii="FangSong" w:hAnsi="FangSong" w:eastAsia="FangSong" w:cs="FangSong"/>
          <w:sz w:val="24"/>
          <w:szCs w:val="24"/>
          <w:spacing w:val="14"/>
        </w:rPr>
        <w:t>部分按照“合同电量照付不议、偏差电量偏差</w:t>
      </w:r>
      <w:r>
        <w:rPr>
          <w:rFonts w:ascii="FangSong" w:hAnsi="FangSong" w:eastAsia="FangSong" w:cs="FangSong"/>
          <w:sz w:val="24"/>
          <w:szCs w:val="24"/>
          <w:spacing w:val="13"/>
        </w:rPr>
        <w:t>结算”开展结算。环境价值</w:t>
      </w:r>
      <w:r>
        <w:rPr>
          <w:rFonts w:ascii="FangSong" w:hAnsi="FangSong" w:eastAsia="FangSong" w:cs="FangSong"/>
          <w:sz w:val="24"/>
          <w:szCs w:val="24"/>
        </w:rPr>
        <w:t xml:space="preserve"> </w:t>
      </w:r>
      <w:r>
        <w:rPr>
          <w:rFonts w:ascii="FangSong" w:hAnsi="FangSong" w:eastAsia="FangSong" w:cs="FangSong"/>
          <w:sz w:val="24"/>
          <w:szCs w:val="24"/>
          <w:spacing w:val="8"/>
        </w:rPr>
        <w:t>按取小原则优先结算，以兆瓦时为单位取整数。</w:t>
      </w:r>
    </w:p>
    <w:p>
      <w:pPr>
        <w:ind w:left="104" w:right="1541" w:firstLine="540"/>
        <w:spacing w:before="162" w:line="309" w:lineRule="auto"/>
        <w:rPr>
          <w:rFonts w:ascii="FangSong" w:hAnsi="FangSong" w:eastAsia="FangSong" w:cs="FangSong"/>
          <w:sz w:val="24"/>
          <w:szCs w:val="24"/>
        </w:rPr>
      </w:pPr>
      <w:r>
        <w:rPr>
          <w:rFonts w:ascii="SimSun" w:hAnsi="SimSun" w:eastAsia="SimSun" w:cs="SimSun"/>
          <w:sz w:val="24"/>
          <w:szCs w:val="24"/>
          <w:spacing w:val="12"/>
        </w:rPr>
        <w:t>4.7 </w:t>
      </w:r>
      <w:r>
        <w:rPr>
          <w:rFonts w:ascii="FangSong" w:hAnsi="FangSong" w:eastAsia="FangSong" w:cs="FangSong"/>
          <w:sz w:val="24"/>
          <w:szCs w:val="24"/>
          <w:spacing w:val="12"/>
        </w:rPr>
        <w:t>乙方向甲方关联的绿色电力分配电量应等于本合同约定的绿色电</w:t>
      </w:r>
      <w:r>
        <w:rPr>
          <w:rFonts w:ascii="FangSong" w:hAnsi="FangSong" w:eastAsia="FangSong" w:cs="FangSong"/>
          <w:sz w:val="24"/>
          <w:szCs w:val="24"/>
          <w:spacing w:val="12"/>
        </w:rPr>
        <w:t xml:space="preserve"> </w:t>
      </w:r>
      <w:r>
        <w:rPr>
          <w:rFonts w:ascii="FangSong" w:hAnsi="FangSong" w:eastAsia="FangSong" w:cs="FangSong"/>
          <w:sz w:val="24"/>
          <w:szCs w:val="24"/>
          <w:spacing w:val="7"/>
        </w:rPr>
        <w:t>力需求电量</w:t>
      </w:r>
      <w:r>
        <w:rPr>
          <w:rFonts w:ascii="SimSun" w:hAnsi="SimSun" w:eastAsia="SimSun" w:cs="SimSun"/>
          <w:sz w:val="24"/>
          <w:szCs w:val="24"/>
          <w:spacing w:val="7"/>
        </w:rPr>
        <w:t>Q</w:t>
      </w:r>
      <w:r>
        <w:rPr>
          <w:rFonts w:ascii="SimSun" w:hAnsi="SimSun" w:eastAsia="SimSun" w:cs="SimSun"/>
          <w:sz w:val="24"/>
          <w:szCs w:val="24"/>
          <w:spacing w:val="-33"/>
        </w:rPr>
        <w:t xml:space="preserve"> </w:t>
      </w:r>
      <w:r>
        <w:rPr>
          <w:rFonts w:ascii="FangSong" w:hAnsi="FangSong" w:eastAsia="FangSong" w:cs="FangSong"/>
          <w:sz w:val="24"/>
          <w:szCs w:val="24"/>
          <w:spacing w:val="7"/>
        </w:rPr>
        <w:t>绿雷，当绿色电力分配电量大于绿色电力需求电量时，在结算</w:t>
      </w:r>
      <w:r>
        <w:rPr>
          <w:rFonts w:ascii="FangSong" w:hAnsi="FangSong" w:eastAsia="FangSong" w:cs="FangSong"/>
          <w:sz w:val="24"/>
          <w:szCs w:val="24"/>
        </w:rPr>
        <w:t xml:space="preserve"> </w:t>
      </w:r>
      <w:r>
        <w:rPr>
          <w:rFonts w:ascii="FangSong" w:hAnsi="FangSong" w:eastAsia="FangSong" w:cs="FangSong"/>
          <w:sz w:val="24"/>
          <w:szCs w:val="24"/>
          <w:spacing w:val="25"/>
        </w:rPr>
        <w:t>时乙方向甲方关联的对应电量等比例削减(取整数),</w:t>
      </w:r>
      <w:r>
        <w:rPr>
          <w:rFonts w:ascii="FangSong" w:hAnsi="FangSong" w:eastAsia="FangSong" w:cs="FangSong"/>
          <w:sz w:val="24"/>
          <w:szCs w:val="24"/>
          <w:spacing w:val="24"/>
        </w:rPr>
        <w:t>直至二者相等。合</w:t>
      </w:r>
      <w:r>
        <w:rPr>
          <w:rFonts w:ascii="FangSong" w:hAnsi="FangSong" w:eastAsia="FangSong" w:cs="FangSong"/>
          <w:sz w:val="24"/>
          <w:szCs w:val="24"/>
        </w:rPr>
        <w:t xml:space="preserve"> </w:t>
      </w:r>
      <w:r>
        <w:rPr>
          <w:rFonts w:ascii="FangSong" w:hAnsi="FangSong" w:eastAsia="FangSong" w:cs="FangSong"/>
          <w:sz w:val="24"/>
          <w:szCs w:val="24"/>
          <w:spacing w:val="16"/>
        </w:rPr>
        <w:t>同双方若与发电企业签订多年</w:t>
      </w:r>
      <w:r>
        <w:rPr>
          <w:rFonts w:ascii="Times New Roman" w:hAnsi="Times New Roman" w:eastAsia="Times New Roman" w:cs="Times New Roman"/>
          <w:sz w:val="24"/>
          <w:szCs w:val="24"/>
        </w:rPr>
        <w:t>PPA</w:t>
      </w:r>
      <w:r>
        <w:rPr>
          <w:rFonts w:ascii="FangSong" w:hAnsi="FangSong" w:eastAsia="FangSong" w:cs="FangSong"/>
          <w:sz w:val="24"/>
          <w:szCs w:val="24"/>
          <w:spacing w:val="16"/>
        </w:rPr>
        <w:t>购电协议，乙方须将相应合同定向等量</w:t>
      </w:r>
      <w:r>
        <w:rPr>
          <w:rFonts w:ascii="FangSong" w:hAnsi="FangSong" w:eastAsia="FangSong" w:cs="FangSong"/>
          <w:sz w:val="24"/>
          <w:szCs w:val="24"/>
        </w:rPr>
        <w:t xml:space="preserve"> </w:t>
      </w:r>
      <w:r>
        <w:rPr>
          <w:rFonts w:ascii="FangSong" w:hAnsi="FangSong" w:eastAsia="FangSong" w:cs="FangSong"/>
          <w:sz w:val="24"/>
          <w:szCs w:val="24"/>
          <w:spacing w:val="8"/>
        </w:rPr>
        <w:t>分配至甲方，不得分配给其他零售用户。</w:t>
      </w:r>
    </w:p>
    <w:p>
      <w:pPr>
        <w:ind w:left="104" w:right="1459" w:firstLine="540"/>
        <w:spacing w:before="182" w:line="276" w:lineRule="auto"/>
        <w:rPr>
          <w:rFonts w:ascii="FangSong" w:hAnsi="FangSong" w:eastAsia="FangSong" w:cs="FangSong"/>
          <w:sz w:val="24"/>
          <w:szCs w:val="24"/>
        </w:rPr>
      </w:pPr>
      <w:r>
        <w:rPr>
          <w:rFonts w:ascii="FangSong" w:hAnsi="FangSong" w:eastAsia="FangSong" w:cs="FangSong"/>
          <w:sz w:val="24"/>
          <w:szCs w:val="24"/>
          <w:spacing w:val="11"/>
        </w:rPr>
        <w:t>4.8售电公司依据零售用户实际用电量以平段电价方式计算零售收入。</w:t>
      </w:r>
      <w:r>
        <w:rPr>
          <w:rFonts w:ascii="FangSong" w:hAnsi="FangSong" w:eastAsia="FangSong" w:cs="FangSong"/>
          <w:sz w:val="24"/>
          <w:szCs w:val="24"/>
          <w:spacing w:val="6"/>
        </w:rPr>
        <w:t xml:space="preserve"> </w:t>
      </w:r>
      <w:r>
        <w:rPr>
          <w:rFonts w:ascii="FangSong" w:hAnsi="FangSong" w:eastAsia="FangSong" w:cs="FangSong"/>
          <w:sz w:val="24"/>
          <w:szCs w:val="24"/>
          <w:spacing w:val="8"/>
        </w:rPr>
        <w:t>售电公司收益为零售市场收入减去批发市场支出。</w:t>
      </w:r>
    </w:p>
    <w:p>
      <w:pPr>
        <w:pStyle w:val="BodyText"/>
        <w:spacing w:line="415" w:lineRule="auto"/>
        <w:rPr/>
      </w:pPr>
      <w:r/>
    </w:p>
    <w:p>
      <w:pPr>
        <w:ind w:left="2279"/>
        <w:spacing w:before="95" w:line="221" w:lineRule="auto"/>
        <w:rPr>
          <w:rFonts w:ascii="SimHei" w:hAnsi="SimHei" w:eastAsia="SimHei" w:cs="SimHei"/>
          <w:sz w:val="29"/>
          <w:szCs w:val="29"/>
        </w:rPr>
      </w:pPr>
      <w:r>
        <w:rPr>
          <w:rFonts w:ascii="SimHei" w:hAnsi="SimHei" w:eastAsia="SimHei" w:cs="SimHei"/>
          <w:sz w:val="29"/>
          <w:szCs w:val="29"/>
          <w:b/>
          <w:bCs/>
          <w:spacing w:val="2"/>
        </w:rPr>
        <w:t>第五章合同生效、变更和解除</w:t>
      </w:r>
    </w:p>
    <w:p>
      <w:pPr>
        <w:ind w:left="104" w:right="1556" w:firstLine="540"/>
        <w:spacing w:before="123" w:line="331" w:lineRule="auto"/>
        <w:jc w:val="both"/>
        <w:rPr>
          <w:rFonts w:ascii="FangSong" w:hAnsi="FangSong" w:eastAsia="FangSong" w:cs="FangSong"/>
          <w:sz w:val="24"/>
          <w:szCs w:val="24"/>
        </w:rPr>
      </w:pPr>
      <w:r>
        <w:rPr>
          <w:rFonts w:ascii="FangSong" w:hAnsi="FangSong" w:eastAsia="FangSong" w:cs="FangSong"/>
          <w:sz w:val="24"/>
          <w:szCs w:val="24"/>
          <w:spacing w:val="16"/>
        </w:rPr>
        <w:t>5.1本合同经甲乙双方签订并加盖印章后生效。甲乙双方须将签订的</w:t>
      </w:r>
      <w:r>
        <w:rPr>
          <w:rFonts w:ascii="FangSong" w:hAnsi="FangSong" w:eastAsia="FangSong" w:cs="FangSong"/>
          <w:sz w:val="24"/>
          <w:szCs w:val="24"/>
          <w:spacing w:val="6"/>
        </w:rPr>
        <w:t xml:space="preserve"> </w:t>
      </w:r>
      <w:r>
        <w:rPr>
          <w:rFonts w:ascii="FangSong" w:hAnsi="FangSong" w:eastAsia="FangSong" w:cs="FangSong"/>
          <w:sz w:val="24"/>
          <w:szCs w:val="24"/>
          <w:spacing w:val="12"/>
        </w:rPr>
        <w:t>纸质合同提交至交易中心登记备案，并在交易平台</w:t>
      </w:r>
      <w:r>
        <w:rPr>
          <w:rFonts w:ascii="FangSong" w:hAnsi="FangSong" w:eastAsia="FangSong" w:cs="FangSong"/>
          <w:sz w:val="24"/>
          <w:szCs w:val="24"/>
          <w:spacing w:val="11"/>
        </w:rPr>
        <w:t>完成零售结算参数双方</w:t>
      </w:r>
      <w:r>
        <w:rPr>
          <w:rFonts w:ascii="FangSong" w:hAnsi="FangSong" w:eastAsia="FangSong" w:cs="FangSong"/>
          <w:sz w:val="24"/>
          <w:szCs w:val="24"/>
        </w:rPr>
        <w:t xml:space="preserve"> </w:t>
      </w:r>
      <w:r>
        <w:rPr>
          <w:rFonts w:ascii="FangSong" w:hAnsi="FangSong" w:eastAsia="FangSong" w:cs="FangSong"/>
          <w:sz w:val="24"/>
          <w:szCs w:val="24"/>
          <w:spacing w:val="12"/>
        </w:rPr>
        <w:t>确认、上传本合同扫描件，作为双方建立代理关系的依据。甲乙双方须保</w:t>
      </w:r>
      <w:r>
        <w:rPr>
          <w:rFonts w:ascii="FangSong" w:hAnsi="FangSong" w:eastAsia="FangSong" w:cs="FangSong"/>
          <w:sz w:val="24"/>
          <w:szCs w:val="24"/>
          <w:spacing w:val="13"/>
        </w:rPr>
        <w:t xml:space="preserve"> </w:t>
      </w:r>
      <w:r>
        <w:rPr>
          <w:rFonts w:ascii="FangSong" w:hAnsi="FangSong" w:eastAsia="FangSong" w:cs="FangSong"/>
          <w:sz w:val="24"/>
          <w:szCs w:val="24"/>
          <w:spacing w:val="11"/>
        </w:rPr>
        <w:t>证纸质文件、扫描件、平台录入参数一致。交易中心将以本合同为依据进</w:t>
      </w:r>
    </w:p>
    <w:p>
      <w:pPr>
        <w:pStyle w:val="BodyText"/>
        <w:spacing w:line="243" w:lineRule="auto"/>
        <w:rPr/>
      </w:pPr>
      <w:r/>
    </w:p>
    <w:p>
      <w:pPr>
        <w:ind w:left="3495"/>
        <w:spacing w:before="56" w:line="219" w:lineRule="auto"/>
        <w:rPr>
          <w:rFonts w:ascii="SimSun" w:hAnsi="SimSun" w:eastAsia="SimSun" w:cs="SimSun"/>
          <w:sz w:val="17"/>
          <w:szCs w:val="17"/>
        </w:rPr>
      </w:pPr>
      <w:r>
        <w:rPr>
          <w:rFonts w:ascii="SimSun" w:hAnsi="SimSun" w:eastAsia="SimSun" w:cs="SimSun"/>
          <w:sz w:val="17"/>
          <w:szCs w:val="17"/>
          <w:spacing w:val="-11"/>
        </w:rPr>
        <w:t>第</w:t>
      </w:r>
      <w:r>
        <w:rPr>
          <w:rFonts w:ascii="SimSun" w:hAnsi="SimSun" w:eastAsia="SimSun" w:cs="SimSun"/>
          <w:sz w:val="17"/>
          <w:szCs w:val="17"/>
          <w:spacing w:val="-7"/>
        </w:rPr>
        <w:t xml:space="preserve"> </w:t>
      </w:r>
      <w:r>
        <w:rPr>
          <w:rFonts w:ascii="SimSun" w:hAnsi="SimSun" w:eastAsia="SimSun" w:cs="SimSun"/>
          <w:sz w:val="17"/>
          <w:szCs w:val="17"/>
          <w:spacing w:val="-11"/>
        </w:rPr>
        <w:t>1</w:t>
      </w:r>
      <w:r>
        <w:rPr>
          <w:rFonts w:ascii="SimSun" w:hAnsi="SimSun" w:eastAsia="SimSun" w:cs="SimSun"/>
          <w:sz w:val="17"/>
          <w:szCs w:val="17"/>
          <w:spacing w:val="-24"/>
        </w:rPr>
        <w:t xml:space="preserve"> </w:t>
      </w:r>
      <w:r>
        <w:rPr>
          <w:rFonts w:ascii="SimSun" w:hAnsi="SimSun" w:eastAsia="SimSun" w:cs="SimSun"/>
          <w:sz w:val="17"/>
          <w:szCs w:val="17"/>
          <w:spacing w:val="-11"/>
        </w:rPr>
        <w:t>0</w:t>
      </w:r>
      <w:r>
        <w:rPr>
          <w:rFonts w:ascii="SimSun" w:hAnsi="SimSun" w:eastAsia="SimSun" w:cs="SimSun"/>
          <w:sz w:val="17"/>
          <w:szCs w:val="17"/>
          <w:spacing w:val="-21"/>
        </w:rPr>
        <w:t xml:space="preserve"> </w:t>
      </w:r>
      <w:r>
        <w:rPr>
          <w:rFonts w:ascii="SimSun" w:hAnsi="SimSun" w:eastAsia="SimSun" w:cs="SimSun"/>
          <w:sz w:val="17"/>
          <w:szCs w:val="17"/>
          <w:spacing w:val="-11"/>
        </w:rPr>
        <w:t>页</w:t>
      </w:r>
      <w:r>
        <w:rPr>
          <w:rFonts w:ascii="SimSun" w:hAnsi="SimSun" w:eastAsia="SimSun" w:cs="SimSun"/>
          <w:sz w:val="17"/>
          <w:szCs w:val="17"/>
          <w:spacing w:val="-26"/>
        </w:rPr>
        <w:t xml:space="preserve"> </w:t>
      </w:r>
      <w:r>
        <w:rPr>
          <w:rFonts w:ascii="SimSun" w:hAnsi="SimSun" w:eastAsia="SimSun" w:cs="SimSun"/>
          <w:sz w:val="17"/>
          <w:szCs w:val="17"/>
          <w:spacing w:val="-11"/>
        </w:rPr>
        <w:t>共</w:t>
      </w:r>
      <w:r>
        <w:rPr>
          <w:rFonts w:ascii="SimSun" w:hAnsi="SimSun" w:eastAsia="SimSun" w:cs="SimSun"/>
          <w:sz w:val="17"/>
          <w:szCs w:val="17"/>
          <w:spacing w:val="-13"/>
        </w:rPr>
        <w:t xml:space="preserve"> </w:t>
      </w:r>
      <w:r>
        <w:rPr>
          <w:rFonts w:ascii="SimSun" w:hAnsi="SimSun" w:eastAsia="SimSun" w:cs="SimSun"/>
          <w:sz w:val="17"/>
          <w:szCs w:val="17"/>
          <w:spacing w:val="-11"/>
        </w:rPr>
        <w:t>1</w:t>
      </w:r>
      <w:r>
        <w:rPr>
          <w:rFonts w:ascii="SimSun" w:hAnsi="SimSun" w:eastAsia="SimSun" w:cs="SimSun"/>
          <w:sz w:val="17"/>
          <w:szCs w:val="17"/>
          <w:spacing w:val="-21"/>
        </w:rPr>
        <w:t xml:space="preserve"> </w:t>
      </w:r>
      <w:r>
        <w:rPr>
          <w:rFonts w:ascii="SimSun" w:hAnsi="SimSun" w:eastAsia="SimSun" w:cs="SimSun"/>
          <w:sz w:val="17"/>
          <w:szCs w:val="17"/>
          <w:spacing w:val="-11"/>
        </w:rPr>
        <w:t>7</w:t>
      </w:r>
      <w:r>
        <w:rPr>
          <w:rFonts w:ascii="SimSun" w:hAnsi="SimSun" w:eastAsia="SimSun" w:cs="SimSun"/>
          <w:sz w:val="17"/>
          <w:szCs w:val="17"/>
          <w:spacing w:val="-21"/>
        </w:rPr>
        <w:t xml:space="preserve"> </w:t>
      </w:r>
      <w:r>
        <w:rPr>
          <w:rFonts w:ascii="SimSun" w:hAnsi="SimSun" w:eastAsia="SimSun" w:cs="SimSun"/>
          <w:sz w:val="17"/>
          <w:szCs w:val="17"/>
          <w:spacing w:val="-11"/>
        </w:rPr>
        <w:t>页</w:t>
      </w:r>
    </w:p>
    <w:p>
      <w:pPr>
        <w:spacing w:line="219" w:lineRule="auto"/>
        <w:sectPr>
          <w:footerReference w:type="default" r:id="rId15"/>
          <w:pgSz w:w="11900" w:h="16840"/>
          <w:pgMar w:top="1364" w:right="330" w:bottom="819" w:left="1785" w:header="0" w:footer="200" w:gutter="0"/>
        </w:sectPr>
        <w:rPr>
          <w:rFonts w:ascii="SimSun" w:hAnsi="SimSun" w:eastAsia="SimSun" w:cs="SimSun"/>
          <w:sz w:val="17"/>
          <w:szCs w:val="17"/>
        </w:rPr>
      </w:pPr>
    </w:p>
    <w:p>
      <w:pPr>
        <w:ind w:left="33" w:right="1220"/>
        <w:spacing w:before="53" w:line="310" w:lineRule="auto"/>
        <w:rPr>
          <w:rFonts w:ascii="FangSong" w:hAnsi="FangSong" w:eastAsia="FangSong" w:cs="FangSong"/>
          <w:sz w:val="26"/>
          <w:szCs w:val="26"/>
        </w:rPr>
      </w:pPr>
      <w:r>
        <w:rPr>
          <w:rFonts w:ascii="FangSong" w:hAnsi="FangSong" w:eastAsia="FangSong" w:cs="FangSong"/>
          <w:sz w:val="26"/>
          <w:szCs w:val="26"/>
          <w:b/>
          <w:bCs/>
          <w:spacing w:val="8"/>
        </w:rPr>
        <w:t>行零售市场月度结算，如纸质合同和平台录入结算</w:t>
      </w:r>
      <w:r>
        <w:rPr>
          <w:rFonts w:ascii="FangSong" w:hAnsi="FangSong" w:eastAsia="FangSong" w:cs="FangSong"/>
          <w:sz w:val="26"/>
          <w:szCs w:val="26"/>
          <w:b/>
          <w:bCs/>
          <w:spacing w:val="7"/>
        </w:rPr>
        <w:t>参数两者有差异，交易</w:t>
      </w:r>
      <w:r>
        <w:rPr>
          <w:rFonts w:ascii="FangSong" w:hAnsi="FangSong" w:eastAsia="FangSong" w:cs="FangSong"/>
          <w:sz w:val="26"/>
          <w:szCs w:val="26"/>
        </w:rPr>
        <w:t xml:space="preserve"> </w:t>
      </w:r>
      <w:r>
        <w:rPr>
          <w:rFonts w:ascii="FangSong" w:hAnsi="FangSong" w:eastAsia="FangSong" w:cs="FangSong"/>
          <w:sz w:val="26"/>
          <w:szCs w:val="26"/>
          <w:b/>
          <w:bCs/>
          <w:spacing w:val="3"/>
        </w:rPr>
        <w:t>中心以交易平台录入数据为准开展结算。</w:t>
      </w:r>
    </w:p>
    <w:p>
      <w:pPr>
        <w:ind w:left="29" w:right="1160" w:firstLine="540"/>
        <w:spacing w:before="6" w:line="291" w:lineRule="auto"/>
        <w:rPr>
          <w:rFonts w:ascii="FangSong" w:hAnsi="FangSong" w:eastAsia="FangSong" w:cs="FangSong"/>
          <w:sz w:val="26"/>
          <w:szCs w:val="26"/>
        </w:rPr>
      </w:pPr>
      <w:r>
        <w:rPr>
          <w:rFonts w:ascii="FangSong" w:hAnsi="FangSong" w:eastAsia="FangSong" w:cs="FangSong"/>
          <w:sz w:val="26"/>
          <w:szCs w:val="26"/>
          <w:spacing w:val="13"/>
        </w:rPr>
        <w:t>5.2甲乙双方可对本合同中尚未履约月份的零售结算参数进行变更，</w:t>
      </w:r>
      <w:r>
        <w:rPr>
          <w:rFonts w:ascii="FangSong" w:hAnsi="FangSong" w:eastAsia="FangSong" w:cs="FangSong"/>
          <w:sz w:val="26"/>
          <w:szCs w:val="26"/>
          <w:spacing w:val="6"/>
        </w:rPr>
        <w:t xml:space="preserve"> </w:t>
      </w:r>
      <w:r>
        <w:rPr>
          <w:rFonts w:ascii="FangSong" w:hAnsi="FangSong" w:eastAsia="FangSong" w:cs="FangSong"/>
          <w:sz w:val="26"/>
          <w:szCs w:val="26"/>
          <w:spacing w:val="11"/>
        </w:rPr>
        <w:t>须在交易平台进行零售结算参数的调整，并同步将变更后的《北京市电力</w:t>
      </w:r>
      <w:r>
        <w:rPr>
          <w:rFonts w:ascii="FangSong" w:hAnsi="FangSong" w:eastAsia="FangSong" w:cs="FangSong"/>
          <w:sz w:val="26"/>
          <w:szCs w:val="26"/>
        </w:rPr>
        <w:t xml:space="preserve"> </w:t>
      </w:r>
      <w:r>
        <w:rPr>
          <w:rFonts w:ascii="FangSong" w:hAnsi="FangSong" w:eastAsia="FangSong" w:cs="FangSong"/>
          <w:sz w:val="26"/>
          <w:szCs w:val="26"/>
          <w:spacing w:val="19"/>
        </w:rPr>
        <w:t>零售交易结算参数变更表(2026年)》提交至交易中心备案。在未同步完</w:t>
      </w:r>
      <w:r>
        <w:rPr>
          <w:rFonts w:ascii="FangSong" w:hAnsi="FangSong" w:eastAsia="FangSong" w:cs="FangSong"/>
          <w:sz w:val="26"/>
          <w:szCs w:val="26"/>
          <w:spacing w:val="11"/>
        </w:rPr>
        <w:t xml:space="preserve"> </w:t>
      </w:r>
      <w:r>
        <w:rPr>
          <w:rFonts w:ascii="FangSong" w:hAnsi="FangSong" w:eastAsia="FangSong" w:cs="FangSong"/>
          <w:sz w:val="26"/>
          <w:szCs w:val="26"/>
          <w:spacing w:val="11"/>
        </w:rPr>
        <w:t>成平台调整、纸质文件备案前，仍按照调整前的合同履行。当甲方更换售</w:t>
      </w:r>
      <w:r>
        <w:rPr>
          <w:rFonts w:ascii="FangSong" w:hAnsi="FangSong" w:eastAsia="FangSong" w:cs="FangSong"/>
          <w:sz w:val="26"/>
          <w:szCs w:val="26"/>
          <w:spacing w:val="9"/>
        </w:rPr>
        <w:t xml:space="preserve"> </w:t>
      </w:r>
      <w:r>
        <w:rPr>
          <w:rFonts w:ascii="FangSong" w:hAnsi="FangSong" w:eastAsia="FangSong" w:cs="FangSong"/>
          <w:sz w:val="26"/>
          <w:szCs w:val="26"/>
          <w:spacing w:val="12"/>
        </w:rPr>
        <w:t>电公司时，须重新签订《北京市电力零售市场购售电合同》并完成登记备</w:t>
      </w:r>
      <w:r>
        <w:rPr>
          <w:rFonts w:ascii="FangSong" w:hAnsi="FangSong" w:eastAsia="FangSong" w:cs="FangSong"/>
          <w:sz w:val="26"/>
          <w:szCs w:val="26"/>
          <w:spacing w:val="3"/>
        </w:rPr>
        <w:t xml:space="preserve"> </w:t>
      </w:r>
      <w:r>
        <w:rPr>
          <w:rFonts w:ascii="FangSong" w:hAnsi="FangSong" w:eastAsia="FangSong" w:cs="FangSong"/>
          <w:sz w:val="26"/>
          <w:szCs w:val="26"/>
          <w:spacing w:val="7"/>
        </w:rPr>
        <w:t>案，新合同于备案次月生效。</w:t>
      </w:r>
    </w:p>
    <w:p>
      <w:pPr>
        <w:ind w:left="29" w:right="1171" w:firstLine="540"/>
        <w:spacing w:before="165" w:line="278" w:lineRule="auto"/>
        <w:rPr>
          <w:rFonts w:ascii="FangSong" w:hAnsi="FangSong" w:eastAsia="FangSong" w:cs="FangSong"/>
          <w:sz w:val="26"/>
          <w:szCs w:val="26"/>
        </w:rPr>
      </w:pPr>
      <w:r>
        <w:rPr>
          <w:rFonts w:ascii="FangSong" w:hAnsi="FangSong" w:eastAsia="FangSong" w:cs="FangSong"/>
          <w:sz w:val="26"/>
          <w:szCs w:val="26"/>
          <w:spacing w:val="16"/>
        </w:rPr>
        <w:t>5.3因国家法律、法规发生变化或者政府有关部门、能源监管机构出</w:t>
      </w:r>
      <w:r>
        <w:rPr>
          <w:rFonts w:ascii="FangSong" w:hAnsi="FangSong" w:eastAsia="FangSong" w:cs="FangSong"/>
          <w:sz w:val="26"/>
          <w:szCs w:val="26"/>
        </w:rPr>
        <w:t xml:space="preserve"> </w:t>
      </w:r>
      <w:r>
        <w:rPr>
          <w:rFonts w:ascii="FangSong" w:hAnsi="FangSong" w:eastAsia="FangSong" w:cs="FangSong"/>
          <w:sz w:val="26"/>
          <w:szCs w:val="26"/>
          <w:spacing w:val="12"/>
        </w:rPr>
        <w:t>台有关规定、规则，导致双方不能正常履行合同约定时，双方依据法律法</w:t>
      </w:r>
      <w:r>
        <w:rPr>
          <w:rFonts w:ascii="FangSong" w:hAnsi="FangSong" w:eastAsia="FangSong" w:cs="FangSong"/>
          <w:sz w:val="26"/>
          <w:szCs w:val="26"/>
          <w:spacing w:val="2"/>
        </w:rPr>
        <w:t xml:space="preserve"> </w:t>
      </w:r>
      <w:r>
        <w:rPr>
          <w:rFonts w:ascii="FangSong" w:hAnsi="FangSong" w:eastAsia="FangSong" w:cs="FangSong"/>
          <w:sz w:val="26"/>
          <w:szCs w:val="26"/>
          <w:spacing w:val="8"/>
        </w:rPr>
        <w:t>规妥善解决。</w:t>
      </w:r>
    </w:p>
    <w:p>
      <w:pPr>
        <w:ind w:left="29" w:right="1168" w:firstLine="540"/>
        <w:spacing w:before="133" w:line="265" w:lineRule="auto"/>
        <w:rPr>
          <w:rFonts w:ascii="FangSong" w:hAnsi="FangSong" w:eastAsia="FangSong" w:cs="FangSong"/>
          <w:sz w:val="26"/>
          <w:szCs w:val="26"/>
        </w:rPr>
      </w:pPr>
      <w:r>
        <w:rPr>
          <w:rFonts w:ascii="FangSong" w:hAnsi="FangSong" w:eastAsia="FangSong" w:cs="FangSong"/>
          <w:sz w:val="26"/>
          <w:szCs w:val="26"/>
          <w:spacing w:val="16"/>
        </w:rPr>
        <w:t>5.4任何一方发生下列事件，另一方有权在发出书面解除通知后解除</w:t>
      </w:r>
      <w:r>
        <w:rPr>
          <w:rFonts w:ascii="FangSong" w:hAnsi="FangSong" w:eastAsia="FangSong" w:cs="FangSong"/>
          <w:sz w:val="26"/>
          <w:szCs w:val="26"/>
          <w:spacing w:val="3"/>
        </w:rPr>
        <w:t xml:space="preserve"> </w:t>
      </w:r>
      <w:r>
        <w:rPr>
          <w:rFonts w:ascii="FangSong" w:hAnsi="FangSong" w:eastAsia="FangSong" w:cs="FangSong"/>
          <w:sz w:val="26"/>
          <w:szCs w:val="26"/>
        </w:rPr>
        <w:t>本合同：</w:t>
      </w:r>
    </w:p>
    <w:p>
      <w:pPr>
        <w:ind w:left="29" w:right="1192" w:firstLine="540"/>
        <w:spacing w:before="146" w:line="264" w:lineRule="auto"/>
        <w:rPr>
          <w:rFonts w:ascii="FangSong" w:hAnsi="FangSong" w:eastAsia="FangSong" w:cs="FangSong"/>
          <w:sz w:val="26"/>
          <w:szCs w:val="26"/>
        </w:rPr>
      </w:pPr>
      <w:r>
        <w:rPr>
          <w:rFonts w:ascii="FangSong" w:hAnsi="FangSong" w:eastAsia="FangSong" w:cs="FangSong"/>
          <w:sz w:val="26"/>
          <w:szCs w:val="26"/>
          <w:spacing w:val="15"/>
        </w:rPr>
        <w:t>5.4.1一方不具备法律法规、电力交易规则确定的参与电</w:t>
      </w:r>
      <w:r>
        <w:rPr>
          <w:rFonts w:ascii="FangSong" w:hAnsi="FangSong" w:eastAsia="FangSong" w:cs="FangSong"/>
          <w:sz w:val="26"/>
          <w:szCs w:val="26"/>
          <w:spacing w:val="14"/>
        </w:rPr>
        <w:t>力市场的准</w:t>
      </w:r>
      <w:r>
        <w:rPr>
          <w:rFonts w:ascii="FangSong" w:hAnsi="FangSong" w:eastAsia="FangSong" w:cs="FangSong"/>
          <w:sz w:val="26"/>
          <w:szCs w:val="26"/>
        </w:rPr>
        <w:t xml:space="preserve"> </w:t>
      </w:r>
      <w:r>
        <w:rPr>
          <w:rFonts w:ascii="FangSong" w:hAnsi="FangSong" w:eastAsia="FangSong" w:cs="FangSong"/>
          <w:sz w:val="26"/>
          <w:szCs w:val="26"/>
          <w:spacing w:val="5"/>
        </w:rPr>
        <w:t>入条件或退出电力市场。</w:t>
      </w:r>
    </w:p>
    <w:p>
      <w:pPr>
        <w:ind w:left="570"/>
        <w:spacing w:before="124" w:line="220" w:lineRule="auto"/>
        <w:rPr>
          <w:rFonts w:ascii="FangSong" w:hAnsi="FangSong" w:eastAsia="FangSong" w:cs="FangSong"/>
          <w:sz w:val="26"/>
          <w:szCs w:val="26"/>
        </w:rPr>
      </w:pPr>
      <w:r>
        <w:rPr>
          <w:rFonts w:ascii="FangSong" w:hAnsi="FangSong" w:eastAsia="FangSong" w:cs="FangSong"/>
          <w:sz w:val="26"/>
          <w:szCs w:val="26"/>
          <w:spacing w:val="8"/>
        </w:rPr>
        <w:t>5.4.2一方被申请破产、清算或被吊销营业执照。</w:t>
      </w:r>
    </w:p>
    <w:p>
      <w:pPr>
        <w:ind w:left="29" w:right="1167" w:firstLine="540"/>
        <w:spacing w:before="119" w:line="266" w:lineRule="auto"/>
        <w:rPr>
          <w:rFonts w:ascii="FangSong" w:hAnsi="FangSong" w:eastAsia="FangSong" w:cs="FangSong"/>
          <w:sz w:val="26"/>
          <w:szCs w:val="26"/>
        </w:rPr>
      </w:pPr>
      <w:r>
        <w:rPr>
          <w:rFonts w:ascii="FangSong" w:hAnsi="FangSong" w:eastAsia="FangSong" w:cs="FangSong"/>
          <w:sz w:val="26"/>
          <w:szCs w:val="26"/>
          <w:spacing w:val="16"/>
        </w:rPr>
        <w:t>5.4.3一方与另一实体联合、合并或将其</w:t>
      </w:r>
      <w:r>
        <w:rPr>
          <w:rFonts w:ascii="FangSong" w:hAnsi="FangSong" w:eastAsia="FangSong" w:cs="FangSong"/>
          <w:sz w:val="26"/>
          <w:szCs w:val="26"/>
          <w:spacing w:val="15"/>
        </w:rPr>
        <w:t>所有或大部分资产转移给另</w:t>
      </w:r>
      <w:r>
        <w:rPr>
          <w:rFonts w:ascii="FangSong" w:hAnsi="FangSong" w:eastAsia="FangSong" w:cs="FangSong"/>
          <w:sz w:val="26"/>
          <w:szCs w:val="26"/>
        </w:rPr>
        <w:t xml:space="preserve"> </w:t>
      </w:r>
      <w:r>
        <w:rPr>
          <w:rFonts w:ascii="FangSong" w:hAnsi="FangSong" w:eastAsia="FangSong" w:cs="FangSong"/>
          <w:sz w:val="26"/>
          <w:szCs w:val="26"/>
          <w:spacing w:val="8"/>
        </w:rPr>
        <w:t>一实体，而该存续的企业不能合理地承担其在本合同项下的所有义务。</w:t>
      </w:r>
    </w:p>
    <w:p>
      <w:pPr>
        <w:ind w:right="1170" w:firstLine="570"/>
        <w:spacing w:before="113" w:line="272" w:lineRule="auto"/>
        <w:rPr>
          <w:rFonts w:ascii="SimHei" w:hAnsi="SimHei" w:eastAsia="SimHei" w:cs="SimHei"/>
          <w:sz w:val="26"/>
          <w:szCs w:val="26"/>
        </w:rPr>
      </w:pPr>
      <w:r>
        <w:rPr>
          <w:rFonts w:ascii="FangSong" w:hAnsi="FangSong" w:eastAsia="FangSong" w:cs="FangSong"/>
          <w:sz w:val="26"/>
          <w:szCs w:val="26"/>
          <w:spacing w:val="15"/>
        </w:rPr>
        <w:t>5.4.4被行政机关、行政机关授权的单位、司法机关列入不良信用单</w:t>
      </w:r>
      <w:r>
        <w:rPr>
          <w:rFonts w:ascii="FangSong" w:hAnsi="FangSong" w:eastAsia="FangSong" w:cs="FangSong"/>
          <w:sz w:val="26"/>
          <w:szCs w:val="26"/>
          <w:spacing w:val="17"/>
        </w:rPr>
        <w:t xml:space="preserve"> </w:t>
      </w:r>
      <w:r>
        <w:rPr>
          <w:rFonts w:ascii="SimHei" w:hAnsi="SimHei" w:eastAsia="SimHei" w:cs="SimHei"/>
          <w:sz w:val="26"/>
          <w:szCs w:val="26"/>
          <w:spacing w:val="-5"/>
        </w:rPr>
        <w:t>位</w:t>
      </w:r>
      <w:r>
        <w:rPr>
          <w:rFonts w:ascii="SimHei" w:hAnsi="SimHei" w:eastAsia="SimHei" w:cs="SimHei"/>
          <w:sz w:val="26"/>
          <w:szCs w:val="26"/>
          <w:spacing w:val="-68"/>
        </w:rPr>
        <w:t xml:space="preserve"> </w:t>
      </w:r>
      <w:r>
        <w:rPr>
          <w:rFonts w:ascii="SimHei" w:hAnsi="SimHei" w:eastAsia="SimHei" w:cs="SimHei"/>
          <w:sz w:val="26"/>
          <w:szCs w:val="26"/>
          <w:spacing w:val="-5"/>
        </w:rPr>
        <w:t>。</w:t>
      </w:r>
    </w:p>
    <w:p>
      <w:pPr>
        <w:pStyle w:val="BodyText"/>
        <w:spacing w:line="369" w:lineRule="auto"/>
        <w:rPr/>
      </w:pPr>
      <w:r/>
    </w:p>
    <w:p>
      <w:pPr>
        <w:ind w:left="3114"/>
        <w:spacing w:before="102" w:line="222" w:lineRule="auto"/>
        <w:outlineLvl w:val="2"/>
        <w:rPr>
          <w:rFonts w:ascii="SimHei" w:hAnsi="SimHei" w:eastAsia="SimHei" w:cs="SimHei"/>
          <w:sz w:val="31"/>
          <w:szCs w:val="31"/>
        </w:rPr>
      </w:pPr>
      <w:r>
        <w:rPr>
          <w:rFonts w:ascii="SimHei" w:hAnsi="SimHei" w:eastAsia="SimHei" w:cs="SimHei"/>
          <w:sz w:val="31"/>
          <w:szCs w:val="31"/>
          <w:b/>
          <w:bCs/>
          <w:spacing w:val="11"/>
        </w:rPr>
        <w:t>第六章违约和赔偿</w:t>
      </w:r>
    </w:p>
    <w:p>
      <w:pPr>
        <w:ind w:left="29" w:right="1186" w:firstLine="540"/>
        <w:spacing w:before="119" w:line="266" w:lineRule="auto"/>
        <w:rPr>
          <w:rFonts w:ascii="FangSong" w:hAnsi="FangSong" w:eastAsia="FangSong" w:cs="FangSong"/>
          <w:sz w:val="26"/>
          <w:szCs w:val="26"/>
        </w:rPr>
      </w:pPr>
      <w:r>
        <w:rPr>
          <w:rFonts w:ascii="FangSong" w:hAnsi="FangSong" w:eastAsia="FangSong" w:cs="FangSong"/>
          <w:sz w:val="26"/>
          <w:szCs w:val="26"/>
          <w:spacing w:val="15"/>
        </w:rPr>
        <w:t>6.1任一方违反本合同约定条款视为违约，合同守约方有权要求违约</w:t>
      </w:r>
      <w:r>
        <w:rPr>
          <w:rFonts w:ascii="FangSong" w:hAnsi="FangSong" w:eastAsia="FangSong" w:cs="FangSong"/>
          <w:sz w:val="26"/>
          <w:szCs w:val="26"/>
          <w:spacing w:val="16"/>
        </w:rPr>
        <w:t xml:space="preserve"> </w:t>
      </w:r>
      <w:r>
        <w:rPr>
          <w:rFonts w:ascii="FangSong" w:hAnsi="FangSong" w:eastAsia="FangSong" w:cs="FangSong"/>
          <w:sz w:val="26"/>
          <w:szCs w:val="26"/>
          <w:spacing w:val="7"/>
        </w:rPr>
        <w:t>方赔偿违约造成的经济损失。</w:t>
      </w:r>
    </w:p>
    <w:p>
      <w:pPr>
        <w:ind w:left="570"/>
        <w:spacing w:before="142" w:line="223" w:lineRule="auto"/>
        <w:rPr>
          <w:rFonts w:ascii="FangSong" w:hAnsi="FangSong" w:eastAsia="FangSong" w:cs="FangSong"/>
          <w:sz w:val="26"/>
          <w:szCs w:val="26"/>
        </w:rPr>
      </w:pPr>
      <w:r>
        <w:rPr>
          <w:rFonts w:ascii="FangSong" w:hAnsi="FangSong" w:eastAsia="FangSong" w:cs="FangSong"/>
          <w:sz w:val="26"/>
          <w:szCs w:val="26"/>
          <w:spacing w:val="7"/>
        </w:rPr>
        <w:t>6.2违约的处理原则：</w:t>
      </w:r>
    </w:p>
    <w:p>
      <w:pPr>
        <w:ind w:left="29" w:right="1161" w:firstLine="540"/>
        <w:spacing w:before="121" w:line="311" w:lineRule="auto"/>
        <w:jc w:val="both"/>
        <w:rPr>
          <w:rFonts w:ascii="FangSong" w:hAnsi="FangSong" w:eastAsia="FangSong" w:cs="FangSong"/>
          <w:sz w:val="26"/>
          <w:szCs w:val="26"/>
        </w:rPr>
      </w:pPr>
      <w:r>
        <w:rPr>
          <w:rFonts w:ascii="FangSong" w:hAnsi="FangSong" w:eastAsia="FangSong" w:cs="FangSong"/>
          <w:sz w:val="26"/>
          <w:szCs w:val="26"/>
          <w:spacing w:val="12"/>
        </w:rPr>
        <w:t>在本合同履行期限届满前，任何一方明确表示或以自己的行为表明不</w:t>
      </w:r>
      <w:r>
        <w:rPr>
          <w:rFonts w:ascii="FangSong" w:hAnsi="FangSong" w:eastAsia="FangSong" w:cs="FangSong"/>
          <w:sz w:val="26"/>
          <w:szCs w:val="26"/>
          <w:spacing w:val="12"/>
        </w:rPr>
        <w:t xml:space="preserve"> </w:t>
      </w:r>
      <w:r>
        <w:rPr>
          <w:rFonts w:ascii="FangSong" w:hAnsi="FangSong" w:eastAsia="FangSong" w:cs="FangSong"/>
          <w:sz w:val="26"/>
          <w:szCs w:val="26"/>
          <w:spacing w:val="12"/>
        </w:rPr>
        <w:t>履行合同义务的，另一方可在履行期限届满前解除合同并要求其承担相应</w:t>
      </w:r>
      <w:r>
        <w:rPr>
          <w:rFonts w:ascii="FangSong" w:hAnsi="FangSong" w:eastAsia="FangSong" w:cs="FangSong"/>
          <w:sz w:val="26"/>
          <w:szCs w:val="26"/>
          <w:spacing w:val="12"/>
        </w:rPr>
        <w:t xml:space="preserve"> </w:t>
      </w:r>
      <w:r>
        <w:rPr>
          <w:rFonts w:ascii="FangSong" w:hAnsi="FangSong" w:eastAsia="FangSong" w:cs="FangSong"/>
          <w:sz w:val="26"/>
          <w:szCs w:val="26"/>
          <w:spacing w:val="6"/>
        </w:rPr>
        <w:t>的违约责任，因不可抗力导致的除外。</w:t>
      </w:r>
    </w:p>
    <w:p>
      <w:pPr>
        <w:ind w:left="570"/>
        <w:spacing w:before="1" w:line="222" w:lineRule="auto"/>
        <w:rPr>
          <w:rFonts w:ascii="FangSong" w:hAnsi="FangSong" w:eastAsia="FangSong" w:cs="FangSong"/>
          <w:sz w:val="26"/>
          <w:szCs w:val="26"/>
        </w:rPr>
      </w:pPr>
      <w:r>
        <w:rPr>
          <w:rFonts w:ascii="FangSong" w:hAnsi="FangSong" w:eastAsia="FangSong" w:cs="FangSong"/>
          <w:sz w:val="26"/>
          <w:szCs w:val="26"/>
          <w:spacing w:val="9"/>
        </w:rPr>
        <w:t>6.3违约赔偿：</w:t>
      </w:r>
    </w:p>
    <w:p>
      <w:pPr>
        <w:ind w:left="570"/>
        <w:spacing w:before="134" w:line="220" w:lineRule="auto"/>
        <w:rPr>
          <w:rFonts w:ascii="FangSong" w:hAnsi="FangSong" w:eastAsia="FangSong" w:cs="FangSong"/>
          <w:sz w:val="26"/>
          <w:szCs w:val="26"/>
        </w:rPr>
      </w:pPr>
      <w:r>
        <w:rPr>
          <w:rFonts w:ascii="FangSong" w:hAnsi="FangSong" w:eastAsia="FangSong" w:cs="FangSong"/>
          <w:sz w:val="26"/>
          <w:szCs w:val="26"/>
          <w:spacing w:val="19"/>
        </w:rPr>
        <w:t>如发生提交虚假信息、停产、变更、退市等行为，影响企业</w:t>
      </w:r>
      <w:r>
        <w:rPr>
          <w:rFonts w:ascii="FangSong" w:hAnsi="FangSong" w:eastAsia="FangSong" w:cs="FangSong"/>
          <w:sz w:val="26"/>
          <w:szCs w:val="26"/>
          <w:spacing w:val="18"/>
        </w:rPr>
        <w:t>(单位)</w:t>
      </w:r>
    </w:p>
    <w:p>
      <w:pPr>
        <w:pStyle w:val="BodyText"/>
        <w:spacing w:line="348" w:lineRule="auto"/>
        <w:rPr/>
      </w:pPr>
      <w:r/>
    </w:p>
    <w:p>
      <w:pPr>
        <w:ind w:left="3659"/>
        <w:spacing w:before="62" w:line="219" w:lineRule="auto"/>
        <w:rPr>
          <w:rFonts w:ascii="SimSun" w:hAnsi="SimSun" w:eastAsia="SimSun" w:cs="SimSun"/>
          <w:sz w:val="19"/>
          <w:szCs w:val="19"/>
        </w:rPr>
      </w:pPr>
      <w:r>
        <w:rPr>
          <w:rFonts w:ascii="SimSun" w:hAnsi="SimSun" w:eastAsia="SimSun" w:cs="SimSun"/>
          <w:sz w:val="19"/>
          <w:szCs w:val="19"/>
          <w:spacing w:val="-13"/>
        </w:rPr>
        <w:t>第</w:t>
      </w:r>
      <w:r>
        <w:rPr>
          <w:rFonts w:ascii="SimSun" w:hAnsi="SimSun" w:eastAsia="SimSun" w:cs="SimSun"/>
          <w:sz w:val="19"/>
          <w:szCs w:val="19"/>
          <w:spacing w:val="-23"/>
        </w:rPr>
        <w:t xml:space="preserve"> </w:t>
      </w:r>
      <w:r>
        <w:rPr>
          <w:rFonts w:ascii="SimSun" w:hAnsi="SimSun" w:eastAsia="SimSun" w:cs="SimSun"/>
          <w:sz w:val="19"/>
          <w:szCs w:val="19"/>
          <w:spacing w:val="-13"/>
        </w:rPr>
        <w:t>1</w:t>
      </w:r>
      <w:r>
        <w:rPr>
          <w:rFonts w:ascii="SimSun" w:hAnsi="SimSun" w:eastAsia="SimSun" w:cs="SimSun"/>
          <w:sz w:val="19"/>
          <w:szCs w:val="19"/>
          <w:spacing w:val="-23"/>
        </w:rPr>
        <w:t xml:space="preserve"> </w:t>
      </w:r>
      <w:r>
        <w:rPr>
          <w:rFonts w:ascii="SimSun" w:hAnsi="SimSun" w:eastAsia="SimSun" w:cs="SimSun"/>
          <w:sz w:val="19"/>
          <w:szCs w:val="19"/>
          <w:spacing w:val="-13"/>
        </w:rPr>
        <w:t>1</w:t>
      </w:r>
      <w:r>
        <w:rPr>
          <w:rFonts w:ascii="SimSun" w:hAnsi="SimSun" w:eastAsia="SimSun" w:cs="SimSun"/>
          <w:sz w:val="19"/>
          <w:szCs w:val="19"/>
          <w:spacing w:val="-32"/>
        </w:rPr>
        <w:t xml:space="preserve"> </w:t>
      </w:r>
      <w:r>
        <w:rPr>
          <w:rFonts w:ascii="SimSun" w:hAnsi="SimSun" w:eastAsia="SimSun" w:cs="SimSun"/>
          <w:sz w:val="19"/>
          <w:szCs w:val="19"/>
          <w:spacing w:val="-13"/>
        </w:rPr>
        <w:t>页</w:t>
      </w:r>
      <w:r>
        <w:rPr>
          <w:rFonts w:ascii="SimSun" w:hAnsi="SimSun" w:eastAsia="SimSun" w:cs="SimSun"/>
          <w:sz w:val="19"/>
          <w:szCs w:val="19"/>
          <w:spacing w:val="-38"/>
        </w:rPr>
        <w:t xml:space="preserve"> </w:t>
      </w:r>
      <w:r>
        <w:rPr>
          <w:rFonts w:ascii="SimSun" w:hAnsi="SimSun" w:eastAsia="SimSun" w:cs="SimSun"/>
          <w:sz w:val="19"/>
          <w:szCs w:val="19"/>
          <w:spacing w:val="-13"/>
        </w:rPr>
        <w:t>共</w:t>
      </w:r>
      <w:r>
        <w:rPr>
          <w:rFonts w:ascii="SimSun" w:hAnsi="SimSun" w:eastAsia="SimSun" w:cs="SimSun"/>
          <w:sz w:val="19"/>
          <w:szCs w:val="19"/>
          <w:spacing w:val="-23"/>
        </w:rPr>
        <w:t xml:space="preserve"> </w:t>
      </w:r>
      <w:r>
        <w:rPr>
          <w:rFonts w:ascii="SimSun" w:hAnsi="SimSun" w:eastAsia="SimSun" w:cs="SimSun"/>
          <w:sz w:val="19"/>
          <w:szCs w:val="19"/>
          <w:spacing w:val="-13"/>
        </w:rPr>
        <w:t>1</w:t>
      </w:r>
      <w:r>
        <w:rPr>
          <w:rFonts w:ascii="SimSun" w:hAnsi="SimSun" w:eastAsia="SimSun" w:cs="SimSun"/>
          <w:sz w:val="19"/>
          <w:szCs w:val="19"/>
          <w:spacing w:val="-33"/>
        </w:rPr>
        <w:t xml:space="preserve"> </w:t>
      </w:r>
      <w:r>
        <w:rPr>
          <w:rFonts w:ascii="SimSun" w:hAnsi="SimSun" w:eastAsia="SimSun" w:cs="SimSun"/>
          <w:sz w:val="19"/>
          <w:szCs w:val="19"/>
          <w:spacing w:val="-13"/>
        </w:rPr>
        <w:t>7</w:t>
      </w:r>
      <w:r>
        <w:rPr>
          <w:rFonts w:ascii="SimSun" w:hAnsi="SimSun" w:eastAsia="SimSun" w:cs="SimSun"/>
          <w:sz w:val="19"/>
          <w:szCs w:val="19"/>
          <w:spacing w:val="-32"/>
        </w:rPr>
        <w:t xml:space="preserve"> </w:t>
      </w:r>
      <w:r>
        <w:rPr>
          <w:rFonts w:ascii="SimSun" w:hAnsi="SimSun" w:eastAsia="SimSun" w:cs="SimSun"/>
          <w:sz w:val="19"/>
          <w:szCs w:val="19"/>
          <w:spacing w:val="-13"/>
        </w:rPr>
        <w:t>页</w:t>
      </w:r>
    </w:p>
    <w:p>
      <w:pPr>
        <w:spacing w:line="219" w:lineRule="auto"/>
        <w:sectPr>
          <w:footerReference w:type="default" r:id="rId16"/>
          <w:pgSz w:w="11900" w:h="16840"/>
          <w:pgMar w:top="1379" w:right="310" w:bottom="789" w:left="1680" w:header="0" w:footer="225" w:gutter="0"/>
        </w:sectPr>
        <w:rPr>
          <w:rFonts w:ascii="SimSun" w:hAnsi="SimSun" w:eastAsia="SimSun" w:cs="SimSun"/>
          <w:sz w:val="19"/>
          <w:szCs w:val="19"/>
        </w:rPr>
      </w:pPr>
    </w:p>
    <w:p>
      <w:pPr>
        <w:ind w:right="1443"/>
        <w:spacing w:before="53" w:line="326" w:lineRule="auto"/>
        <w:rPr>
          <w:rFonts w:ascii="KaiTi" w:hAnsi="KaiTi" w:eastAsia="KaiTi" w:cs="KaiTi"/>
          <w:sz w:val="26"/>
          <w:szCs w:val="26"/>
        </w:rPr>
      </w:pPr>
      <w:r>
        <w:rPr>
          <w:rFonts w:ascii="KaiTi" w:hAnsi="KaiTi" w:eastAsia="KaiTi" w:cs="KaiTi"/>
          <w:sz w:val="26"/>
          <w:szCs w:val="26"/>
          <w:spacing w:val="6"/>
        </w:rPr>
        <w:t>履行合同义务的情形，违约方给守约方造成的一切直接及间接损失，由违</w:t>
      </w:r>
      <w:r>
        <w:rPr>
          <w:rFonts w:ascii="KaiTi" w:hAnsi="KaiTi" w:eastAsia="KaiTi" w:cs="KaiTi"/>
          <w:sz w:val="26"/>
          <w:szCs w:val="26"/>
          <w:spacing w:val="3"/>
        </w:rPr>
        <w:t xml:space="preserve"> </w:t>
      </w:r>
      <w:r>
        <w:rPr>
          <w:rFonts w:ascii="KaiTi" w:hAnsi="KaiTi" w:eastAsia="KaiTi" w:cs="KaiTi"/>
          <w:sz w:val="26"/>
          <w:szCs w:val="26"/>
        </w:rPr>
        <w:t>约方承担违约赔偿责任。</w:t>
      </w:r>
    </w:p>
    <w:p>
      <w:pPr>
        <w:ind w:left="530"/>
        <w:spacing w:line="221" w:lineRule="auto"/>
        <w:rPr>
          <w:rFonts w:ascii="FangSong" w:hAnsi="FangSong" w:eastAsia="FangSong" w:cs="FangSong"/>
          <w:sz w:val="26"/>
          <w:szCs w:val="26"/>
        </w:rPr>
      </w:pPr>
      <w:r>
        <w:rPr>
          <w:rFonts w:ascii="FangSong" w:hAnsi="FangSong" w:eastAsia="FangSong" w:cs="FangSong"/>
          <w:sz w:val="26"/>
          <w:szCs w:val="26"/>
          <w:spacing w:val="12"/>
        </w:rPr>
        <w:t>6.4违约金计算及支付方式</w:t>
      </w:r>
    </w:p>
    <w:p>
      <w:pPr>
        <w:ind w:right="1408" w:firstLine="560"/>
        <w:spacing w:before="186" w:line="393" w:lineRule="auto"/>
        <w:rPr>
          <w:rFonts w:ascii="FangSong" w:hAnsi="FangSong" w:eastAsia="FangSong" w:cs="FangSong"/>
          <w:sz w:val="26"/>
          <w:szCs w:val="26"/>
        </w:rPr>
      </w:pPr>
      <w:r>
        <w:rPr>
          <w:rFonts w:ascii="FangSong" w:hAnsi="FangSong" w:eastAsia="FangSong" w:cs="FangSong"/>
          <w:sz w:val="26"/>
          <w:szCs w:val="26"/>
          <w:spacing w:val="6"/>
        </w:rPr>
        <w:t>违约方应向守约方支付违约造成的经济损失，违约金由双方自行结算</w:t>
      </w:r>
      <w:r>
        <w:rPr>
          <w:rFonts w:ascii="FangSong" w:hAnsi="FangSong" w:eastAsia="FangSong" w:cs="FangSong"/>
          <w:sz w:val="26"/>
          <w:szCs w:val="26"/>
          <w:spacing w:val="9"/>
        </w:rPr>
        <w:t xml:space="preserve"> </w:t>
      </w:r>
      <w:r>
        <w:rPr>
          <w:rFonts w:ascii="FangSong" w:hAnsi="FangSong" w:eastAsia="FangSong" w:cs="FangSong"/>
          <w:sz w:val="26"/>
          <w:szCs w:val="26"/>
        </w:rPr>
        <w:t>赔偿。具体如下：</w:t>
      </w:r>
      <w:r>
        <w:rPr>
          <w:rFonts w:ascii="FangSong" w:hAnsi="FangSong" w:eastAsia="FangSong" w:cs="FangSong"/>
          <w:sz w:val="26"/>
          <w:szCs w:val="26"/>
          <w:spacing w:val="-99"/>
        </w:rPr>
        <w:t xml:space="preserve"> </w:t>
      </w:r>
      <w:r>
        <w:rPr>
          <w:rFonts w:ascii="FangSong" w:hAnsi="FangSong" w:eastAsia="FangSong" w:cs="FangSong"/>
          <w:sz w:val="26"/>
          <w:szCs w:val="26"/>
          <w:u w:val="single" w:color="auto"/>
          <w:spacing w:val="34"/>
        </w:rPr>
        <w:t xml:space="preserve">  </w:t>
      </w:r>
      <w:r>
        <w:rPr>
          <w:rFonts w:ascii="FangSong" w:hAnsi="FangSong" w:eastAsia="FangSong" w:cs="FangSong"/>
          <w:sz w:val="26"/>
          <w:szCs w:val="26"/>
          <w:u w:val="single" w:color="auto"/>
        </w:rPr>
        <w:t>无</w:t>
      </w:r>
      <w:r>
        <w:rPr>
          <w:rFonts w:ascii="FangSong" w:hAnsi="FangSong" w:eastAsia="FangSong" w:cs="FangSong"/>
          <w:sz w:val="26"/>
          <w:szCs w:val="26"/>
          <w:u w:val="single" w:color="auto"/>
        </w:rPr>
        <w:t xml:space="preserve">                                             </w:t>
      </w:r>
    </w:p>
    <w:p>
      <w:pPr>
        <w:pStyle w:val="BodyText"/>
        <w:spacing w:before="29"/>
        <w:tabs>
          <w:tab w:val="left" w:pos="8530"/>
        </w:tabs>
        <w:rPr/>
      </w:pPr>
      <w:r>
        <w:rPr>
          <w:u w:val="single" w:color="auto"/>
        </w:rPr>
        <w:tab/>
      </w:r>
    </w:p>
    <w:p>
      <w:pPr>
        <w:pStyle w:val="BodyText"/>
        <w:spacing w:before="279"/>
        <w:tabs>
          <w:tab w:val="left" w:pos="8530"/>
        </w:tabs>
        <w:rPr/>
      </w:pPr>
      <w:r>
        <w:rPr>
          <w:u w:val="single" w:color="auto"/>
        </w:rPr>
        <w:tab/>
      </w:r>
    </w:p>
    <w:p>
      <w:pPr>
        <w:pStyle w:val="BodyText"/>
        <w:spacing w:before="288"/>
        <w:tabs>
          <w:tab w:val="left" w:pos="8530"/>
        </w:tabs>
        <w:rPr/>
      </w:pPr>
      <w:r>
        <w:rPr>
          <w:u w:val="single" w:color="auto"/>
        </w:rPr>
        <w:tab/>
      </w:r>
    </w:p>
    <w:p>
      <w:pPr>
        <w:pStyle w:val="BodyText"/>
        <w:spacing w:line="342" w:lineRule="auto"/>
        <w:rPr/>
      </w:pPr>
      <w:r/>
    </w:p>
    <w:p>
      <w:pPr>
        <w:ind w:left="3054"/>
        <w:spacing w:before="98" w:line="222" w:lineRule="auto"/>
        <w:outlineLvl w:val="2"/>
        <w:rPr>
          <w:rFonts w:ascii="SimHei" w:hAnsi="SimHei" w:eastAsia="SimHei" w:cs="SimHei"/>
          <w:sz w:val="30"/>
          <w:szCs w:val="30"/>
        </w:rPr>
      </w:pPr>
      <w:r>
        <w:rPr>
          <w:rFonts w:ascii="SimHei" w:hAnsi="SimHei" w:eastAsia="SimHei" w:cs="SimHei"/>
          <w:sz w:val="30"/>
          <w:szCs w:val="30"/>
          <w:b/>
          <w:bCs/>
          <w:spacing w:val="14"/>
        </w:rPr>
        <w:t>第七章争议的解决</w:t>
      </w:r>
    </w:p>
    <w:p>
      <w:pPr>
        <w:ind w:right="1424" w:firstLine="560"/>
        <w:spacing w:before="120" w:line="319" w:lineRule="auto"/>
        <w:tabs>
          <w:tab w:val="left" w:pos="160"/>
        </w:tabs>
        <w:jc w:val="both"/>
        <w:rPr>
          <w:rFonts w:ascii="FangSong" w:hAnsi="FangSong" w:eastAsia="FangSong" w:cs="FangSong"/>
          <w:sz w:val="26"/>
          <w:szCs w:val="26"/>
        </w:rPr>
      </w:pPr>
      <w:r>
        <w:rPr>
          <w:rFonts w:ascii="FangSong" w:hAnsi="FangSong" w:eastAsia="FangSong" w:cs="FangSong"/>
          <w:sz w:val="26"/>
          <w:szCs w:val="26"/>
          <w:spacing w:val="10"/>
        </w:rPr>
        <w:t>7.1凡因执行本合同所发生的与本合同有关</w:t>
      </w:r>
      <w:r>
        <w:rPr>
          <w:rFonts w:ascii="FangSong" w:hAnsi="FangSong" w:eastAsia="FangSong" w:cs="FangSong"/>
          <w:sz w:val="26"/>
          <w:szCs w:val="26"/>
          <w:spacing w:val="9"/>
        </w:rPr>
        <w:t>的一切争议，双方应协商</w:t>
      </w:r>
      <w:r>
        <w:rPr>
          <w:rFonts w:ascii="FangSong" w:hAnsi="FangSong" w:eastAsia="FangSong" w:cs="FangSong"/>
          <w:sz w:val="26"/>
          <w:szCs w:val="26"/>
        </w:rPr>
        <w:t xml:space="preserve"> </w:t>
      </w:r>
      <w:r>
        <w:rPr>
          <w:rFonts w:ascii="FangSong" w:hAnsi="FangSong" w:eastAsia="FangSong" w:cs="FangSong"/>
          <w:sz w:val="26"/>
          <w:szCs w:val="26"/>
          <w:spacing w:val="8"/>
        </w:rPr>
        <w:t>解决，也可提请政府相关部门进行调解。协商或调解不成的，按</w:t>
      </w:r>
      <w:r>
        <w:rPr>
          <w:rFonts w:ascii="FangSong" w:hAnsi="FangSong" w:eastAsia="FangSong" w:cs="FangSong"/>
          <w:sz w:val="26"/>
          <w:szCs w:val="26"/>
          <w:u w:val="single" w:color="auto"/>
          <w:spacing w:val="8"/>
        </w:rPr>
        <w:t>方</w:t>
      </w:r>
      <w:r>
        <w:rPr>
          <w:rFonts w:ascii="FangSong" w:hAnsi="FangSong" w:eastAsia="FangSong" w:cs="FangSong"/>
          <w:sz w:val="26"/>
          <w:szCs w:val="26"/>
          <w:u w:val="single" w:color="auto"/>
          <w:spacing w:val="-14"/>
        </w:rPr>
        <w:t xml:space="preserve"> </w:t>
      </w:r>
      <w:r>
        <w:rPr>
          <w:rFonts w:ascii="FangSong" w:hAnsi="FangSong" w:eastAsia="FangSong" w:cs="FangSong"/>
          <w:sz w:val="26"/>
          <w:szCs w:val="26"/>
          <w:u w:val="single" w:color="auto"/>
          <w:spacing w:val="8"/>
        </w:rPr>
        <w:t>式</w:t>
      </w:r>
      <w:r>
        <w:rPr>
          <w:rFonts w:ascii="FangSong" w:hAnsi="FangSong" w:eastAsia="FangSong" w:cs="FangSong"/>
          <w:sz w:val="26"/>
          <w:szCs w:val="26"/>
          <w:u w:val="single" w:color="auto"/>
          <w:spacing w:val="-21"/>
        </w:rPr>
        <w:t xml:space="preserve"> </w:t>
      </w:r>
      <w:r>
        <w:rPr>
          <w:rFonts w:ascii="FangSong" w:hAnsi="FangSong" w:eastAsia="FangSong" w:cs="FangSong"/>
          <w:sz w:val="26"/>
          <w:szCs w:val="26"/>
          <w:u w:val="single" w:color="auto"/>
          <w:spacing w:val="8"/>
        </w:rPr>
        <w:t>二</w:t>
      </w:r>
      <w:r>
        <w:rPr>
          <w:rFonts w:ascii="FangSong" w:hAnsi="FangSong" w:eastAsia="FangSong" w:cs="FangSong"/>
          <w:sz w:val="26"/>
          <w:szCs w:val="26"/>
        </w:rPr>
        <w:t xml:space="preserve"> </w:t>
      </w:r>
      <w:r>
        <w:rPr>
          <w:rFonts w:ascii="FangSong" w:hAnsi="FangSong" w:eastAsia="FangSong" w:cs="FangSong"/>
          <w:sz w:val="26"/>
          <w:szCs w:val="26"/>
        </w:rPr>
        <w:tab/>
      </w:r>
      <w:r>
        <w:rPr>
          <w:rFonts w:ascii="FangSong" w:hAnsi="FangSong" w:eastAsia="FangSong" w:cs="FangSong"/>
          <w:sz w:val="26"/>
          <w:szCs w:val="26"/>
          <w:spacing w:val="13"/>
        </w:rPr>
        <w:t>(方式一或方式二)解决：</w:t>
      </w:r>
    </w:p>
    <w:p>
      <w:pPr>
        <w:ind w:right="1449" w:firstLine="560"/>
        <w:spacing w:before="3" w:line="304" w:lineRule="auto"/>
        <w:rPr>
          <w:rFonts w:ascii="FangSong" w:hAnsi="FangSong" w:eastAsia="FangSong" w:cs="FangSong"/>
          <w:sz w:val="26"/>
          <w:szCs w:val="26"/>
        </w:rPr>
      </w:pPr>
      <w:r>
        <w:rPr>
          <w:rFonts w:ascii="FangSong" w:hAnsi="FangSong" w:eastAsia="FangSong" w:cs="FangSong"/>
          <w:sz w:val="26"/>
          <w:szCs w:val="26"/>
          <w:spacing w:val="5"/>
        </w:rPr>
        <w:t>方式一：双方同意提请北京仲裁委员会，请求按照其仲裁规则进</w:t>
      </w:r>
      <w:r>
        <w:rPr>
          <w:rFonts w:ascii="FangSong" w:hAnsi="FangSong" w:eastAsia="FangSong" w:cs="FangSong"/>
          <w:sz w:val="26"/>
          <w:szCs w:val="26"/>
          <w:spacing w:val="4"/>
        </w:rPr>
        <w:t>行仲</w:t>
      </w:r>
      <w:r>
        <w:rPr>
          <w:rFonts w:ascii="FangSong" w:hAnsi="FangSong" w:eastAsia="FangSong" w:cs="FangSong"/>
          <w:sz w:val="26"/>
          <w:szCs w:val="26"/>
        </w:rPr>
        <w:t xml:space="preserve"> </w:t>
      </w:r>
      <w:r>
        <w:rPr>
          <w:rFonts w:ascii="FangSong" w:hAnsi="FangSong" w:eastAsia="FangSong" w:cs="FangSong"/>
          <w:sz w:val="26"/>
          <w:szCs w:val="26"/>
          <w:spacing w:val="2"/>
        </w:rPr>
        <w:t>裁，仲裁裁决是终局的，对各方均具有法律约束力。</w:t>
      </w:r>
    </w:p>
    <w:p>
      <w:pPr>
        <w:ind w:right="1388" w:firstLine="560"/>
        <w:spacing w:before="2" w:line="324" w:lineRule="auto"/>
        <w:rPr>
          <w:rFonts w:ascii="FangSong" w:hAnsi="FangSong" w:eastAsia="FangSong" w:cs="FangSong"/>
          <w:sz w:val="26"/>
          <w:szCs w:val="26"/>
        </w:rPr>
      </w:pPr>
      <w:r>
        <w:rPr>
          <w:rFonts w:ascii="FangSong" w:hAnsi="FangSong" w:eastAsia="FangSong" w:cs="FangSong"/>
          <w:sz w:val="26"/>
          <w:szCs w:val="26"/>
          <w:spacing w:val="7"/>
        </w:rPr>
        <w:t>方式二：双方依法提请任意一方所在地人民法院通过民事诉讼程序解</w:t>
      </w:r>
      <w:r>
        <w:rPr>
          <w:rFonts w:ascii="FangSong" w:hAnsi="FangSong" w:eastAsia="FangSong" w:cs="FangSong"/>
          <w:sz w:val="26"/>
          <w:szCs w:val="26"/>
        </w:rPr>
        <w:t xml:space="preserve"> </w:t>
      </w:r>
      <w:r>
        <w:rPr>
          <w:rFonts w:ascii="FangSong" w:hAnsi="FangSong" w:eastAsia="FangSong" w:cs="FangSong"/>
          <w:sz w:val="26"/>
          <w:szCs w:val="26"/>
          <w:spacing w:val="-8"/>
        </w:rPr>
        <w:t>决。</w:t>
      </w:r>
    </w:p>
    <w:p>
      <w:pPr>
        <w:pStyle w:val="BodyText"/>
        <w:spacing w:line="248" w:lineRule="auto"/>
        <w:rPr/>
      </w:pPr>
      <w:r/>
    </w:p>
    <w:p>
      <w:pPr>
        <w:ind w:left="3484"/>
        <w:spacing w:before="98" w:line="222" w:lineRule="auto"/>
        <w:outlineLvl w:val="2"/>
        <w:rPr>
          <w:rFonts w:ascii="SimHei" w:hAnsi="SimHei" w:eastAsia="SimHei" w:cs="SimHei"/>
          <w:sz w:val="30"/>
          <w:szCs w:val="30"/>
        </w:rPr>
      </w:pPr>
      <w:r>
        <w:rPr>
          <w:rFonts w:ascii="SimHei" w:hAnsi="SimHei" w:eastAsia="SimHei" w:cs="SimHei"/>
          <w:sz w:val="30"/>
          <w:szCs w:val="30"/>
          <w:b/>
          <w:bCs/>
          <w:spacing w:val="29"/>
        </w:rPr>
        <w:t>第八章附则</w:t>
      </w:r>
    </w:p>
    <w:p>
      <w:pPr>
        <w:ind w:right="1339" w:firstLine="560"/>
        <w:spacing w:before="101" w:line="297" w:lineRule="auto"/>
        <w:rPr>
          <w:rFonts w:ascii="FangSong" w:hAnsi="FangSong" w:eastAsia="FangSong" w:cs="FangSong"/>
          <w:sz w:val="26"/>
          <w:szCs w:val="26"/>
        </w:rPr>
      </w:pPr>
      <w:r>
        <w:rPr>
          <w:rFonts w:ascii="FangSong" w:hAnsi="FangSong" w:eastAsia="FangSong" w:cs="FangSong"/>
          <w:sz w:val="26"/>
          <w:szCs w:val="26"/>
          <w:spacing w:val="11"/>
        </w:rPr>
        <w:t>8.1甲乙双方对交易信息须履行保密义务，不得泄露商业机密。甲乙</w:t>
      </w:r>
      <w:r>
        <w:rPr>
          <w:rFonts w:ascii="FangSong" w:hAnsi="FangSong" w:eastAsia="FangSong" w:cs="FangSong"/>
          <w:sz w:val="26"/>
          <w:szCs w:val="26"/>
          <w:spacing w:val="9"/>
        </w:rPr>
        <w:t xml:space="preserve"> </w:t>
      </w:r>
      <w:r>
        <w:rPr>
          <w:rFonts w:ascii="FangSong" w:hAnsi="FangSong" w:eastAsia="FangSong" w:cs="FangSong"/>
          <w:sz w:val="26"/>
          <w:szCs w:val="26"/>
          <w:spacing w:val="11"/>
        </w:rPr>
        <w:t>双方均保证其从另一方取得的所有无法自公</w:t>
      </w:r>
      <w:r>
        <w:rPr>
          <w:rFonts w:ascii="FangSong" w:hAnsi="FangSong" w:eastAsia="FangSong" w:cs="FangSong"/>
          <w:sz w:val="26"/>
          <w:szCs w:val="26"/>
          <w:spacing w:val="10"/>
        </w:rPr>
        <w:t>开渠道获得的资料和文件(包</w:t>
      </w:r>
      <w:r>
        <w:rPr>
          <w:rFonts w:ascii="FangSong" w:hAnsi="FangSong" w:eastAsia="FangSong" w:cs="FangSong"/>
          <w:sz w:val="26"/>
          <w:szCs w:val="26"/>
        </w:rPr>
        <w:t xml:space="preserve"> </w:t>
      </w:r>
      <w:r>
        <w:rPr>
          <w:rFonts w:ascii="FangSong" w:hAnsi="FangSong" w:eastAsia="FangSong" w:cs="FangSong"/>
          <w:sz w:val="26"/>
          <w:szCs w:val="26"/>
          <w:spacing w:val="5"/>
        </w:rPr>
        <w:t>括财务、技术等内容)予以保密。未经该资料和文件的原提供方书面同意，</w:t>
      </w:r>
      <w:r>
        <w:rPr>
          <w:rFonts w:ascii="FangSong" w:hAnsi="FangSong" w:eastAsia="FangSong" w:cs="FangSong"/>
          <w:sz w:val="26"/>
          <w:szCs w:val="26"/>
          <w:spacing w:val="3"/>
        </w:rPr>
        <w:t xml:space="preserve"> </w:t>
      </w:r>
      <w:r>
        <w:rPr>
          <w:rFonts w:ascii="FangSong" w:hAnsi="FangSong" w:eastAsia="FangSong" w:cs="FangSong"/>
          <w:sz w:val="26"/>
          <w:szCs w:val="26"/>
          <w:spacing w:val="6"/>
        </w:rPr>
        <w:t>不得向任何第三方透露该资料和文件的全部或任何部分，但按照法律、法</w:t>
      </w:r>
      <w:r>
        <w:rPr>
          <w:rFonts w:ascii="FangSong" w:hAnsi="FangSong" w:eastAsia="FangSong" w:cs="FangSong"/>
          <w:sz w:val="26"/>
          <w:szCs w:val="26"/>
          <w:spacing w:val="14"/>
        </w:rPr>
        <w:t xml:space="preserve"> </w:t>
      </w:r>
      <w:r>
        <w:rPr>
          <w:rFonts w:ascii="FangSong" w:hAnsi="FangSong" w:eastAsia="FangSong" w:cs="FangSong"/>
          <w:sz w:val="26"/>
          <w:szCs w:val="26"/>
          <w:spacing w:val="7"/>
        </w:rPr>
        <w:t>规规定可做出披露的情况除外，政府监管部门、市场交易机构等具备查阅</w:t>
      </w:r>
      <w:r>
        <w:rPr>
          <w:rFonts w:ascii="FangSong" w:hAnsi="FangSong" w:eastAsia="FangSong" w:cs="FangSong"/>
          <w:sz w:val="26"/>
          <w:szCs w:val="26"/>
          <w:spacing w:val="3"/>
        </w:rPr>
        <w:t xml:space="preserve"> </w:t>
      </w:r>
      <w:r>
        <w:rPr>
          <w:rFonts w:ascii="FangSong" w:hAnsi="FangSong" w:eastAsia="FangSong" w:cs="FangSong"/>
          <w:sz w:val="26"/>
          <w:szCs w:val="26"/>
          <w:spacing w:val="-2"/>
        </w:rPr>
        <w:t>资格的单位除外。</w:t>
      </w:r>
    </w:p>
    <w:p>
      <w:pPr>
        <w:ind w:left="560"/>
        <w:spacing w:before="117" w:line="219" w:lineRule="auto"/>
        <w:rPr>
          <w:rFonts w:ascii="FangSong" w:hAnsi="FangSong" w:eastAsia="FangSong" w:cs="FangSong"/>
          <w:sz w:val="26"/>
          <w:szCs w:val="26"/>
        </w:rPr>
      </w:pPr>
      <w:r>
        <w:rPr>
          <w:rFonts w:ascii="FangSong" w:hAnsi="FangSong" w:eastAsia="FangSong" w:cs="FangSong"/>
          <w:sz w:val="26"/>
          <w:szCs w:val="26"/>
          <w:spacing w:val="4"/>
        </w:rPr>
        <w:t>8.2本合同中保密的条款在本合同解除后仍然有效。</w:t>
      </w:r>
    </w:p>
    <w:p>
      <w:pPr>
        <w:ind w:right="1410" w:firstLine="560"/>
        <w:spacing w:before="126" w:line="277" w:lineRule="auto"/>
        <w:rPr>
          <w:rFonts w:ascii="FangSong" w:hAnsi="FangSong" w:eastAsia="FangSong" w:cs="FangSong"/>
          <w:sz w:val="26"/>
          <w:szCs w:val="26"/>
        </w:rPr>
      </w:pPr>
      <w:r>
        <w:rPr>
          <w:rFonts w:ascii="FangSong" w:hAnsi="FangSong" w:eastAsia="FangSong" w:cs="FangSong"/>
          <w:sz w:val="26"/>
          <w:szCs w:val="26"/>
          <w:spacing w:val="10"/>
        </w:rPr>
        <w:t>8.3本合同及其附件构成双方就本合同标的达成的全部内容，应视为</w:t>
      </w:r>
      <w:r>
        <w:rPr>
          <w:rFonts w:ascii="FangSong" w:hAnsi="FangSong" w:eastAsia="FangSong" w:cs="FangSong"/>
          <w:sz w:val="26"/>
          <w:szCs w:val="26"/>
          <w:spacing w:val="7"/>
        </w:rPr>
        <w:t xml:space="preserve"> </w:t>
      </w:r>
      <w:r>
        <w:rPr>
          <w:rFonts w:ascii="FangSong" w:hAnsi="FangSong" w:eastAsia="FangSong" w:cs="FangSong"/>
          <w:sz w:val="26"/>
          <w:szCs w:val="26"/>
          <w:spacing w:val="6"/>
        </w:rPr>
        <w:t>构成合同文件不可分割的部分。交易中心按本合同约定的结算模式出具结</w:t>
      </w:r>
      <w:r>
        <w:rPr>
          <w:rFonts w:ascii="FangSong" w:hAnsi="FangSong" w:eastAsia="FangSong" w:cs="FangSong"/>
          <w:sz w:val="26"/>
          <w:szCs w:val="26"/>
          <w:spacing w:val="2"/>
        </w:rPr>
        <w:t xml:space="preserve"> </w:t>
      </w:r>
      <w:r>
        <w:rPr>
          <w:rFonts w:ascii="FangSong" w:hAnsi="FangSong" w:eastAsia="FangSong" w:cs="FangSong"/>
          <w:sz w:val="26"/>
          <w:szCs w:val="26"/>
          <w:spacing w:val="-2"/>
        </w:rPr>
        <w:t>算依据。</w:t>
      </w:r>
    </w:p>
    <w:p>
      <w:pPr>
        <w:pStyle w:val="BodyText"/>
        <w:spacing w:line="256" w:lineRule="auto"/>
        <w:rPr/>
      </w:pPr>
      <w:r/>
    </w:p>
    <w:p>
      <w:pPr>
        <w:pStyle w:val="BodyText"/>
        <w:spacing w:line="257" w:lineRule="auto"/>
        <w:rPr/>
      </w:pPr>
      <w:r/>
    </w:p>
    <w:p>
      <w:pPr>
        <w:ind w:left="3590"/>
        <w:spacing w:before="62" w:line="219" w:lineRule="auto"/>
        <w:rPr>
          <w:rFonts w:ascii="SimSun" w:hAnsi="SimSun" w:eastAsia="SimSun" w:cs="SimSun"/>
          <w:sz w:val="19"/>
          <w:szCs w:val="19"/>
        </w:rPr>
      </w:pPr>
      <w:r>
        <w:rPr>
          <w:rFonts w:ascii="SimSun" w:hAnsi="SimSun" w:eastAsia="SimSun" w:cs="SimSun"/>
          <w:sz w:val="19"/>
          <w:szCs w:val="19"/>
          <w:spacing w:val="-1"/>
        </w:rPr>
        <w:t>第12</w:t>
      </w:r>
      <w:r>
        <w:rPr>
          <w:rFonts w:ascii="SimSun" w:hAnsi="SimSun" w:eastAsia="SimSun" w:cs="SimSun"/>
          <w:sz w:val="19"/>
          <w:szCs w:val="19"/>
          <w:spacing w:val="-11"/>
        </w:rPr>
        <w:t xml:space="preserve"> </w:t>
      </w:r>
      <w:r>
        <w:rPr>
          <w:rFonts w:ascii="SimSun" w:hAnsi="SimSun" w:eastAsia="SimSun" w:cs="SimSun"/>
          <w:sz w:val="19"/>
          <w:szCs w:val="19"/>
          <w:spacing w:val="-1"/>
        </w:rPr>
        <w:t>页</w:t>
      </w:r>
      <w:r>
        <w:rPr>
          <w:rFonts w:ascii="SimSun" w:hAnsi="SimSun" w:eastAsia="SimSun" w:cs="SimSun"/>
          <w:sz w:val="19"/>
          <w:szCs w:val="19"/>
          <w:spacing w:val="-41"/>
        </w:rPr>
        <w:t xml:space="preserve"> </w:t>
      </w:r>
      <w:r>
        <w:rPr>
          <w:rFonts w:ascii="SimSun" w:hAnsi="SimSun" w:eastAsia="SimSun" w:cs="SimSun"/>
          <w:sz w:val="19"/>
          <w:szCs w:val="19"/>
          <w:spacing w:val="-1"/>
        </w:rPr>
        <w:t>共</w:t>
      </w:r>
      <w:r>
        <w:rPr>
          <w:rFonts w:ascii="SimSun" w:hAnsi="SimSun" w:eastAsia="SimSun" w:cs="SimSun"/>
          <w:sz w:val="19"/>
          <w:szCs w:val="19"/>
          <w:spacing w:val="-26"/>
        </w:rPr>
        <w:t xml:space="preserve"> </w:t>
      </w:r>
      <w:r>
        <w:rPr>
          <w:rFonts w:ascii="SimSun" w:hAnsi="SimSun" w:eastAsia="SimSun" w:cs="SimSun"/>
          <w:sz w:val="19"/>
          <w:szCs w:val="19"/>
          <w:spacing w:val="-1"/>
        </w:rPr>
        <w:t>1</w:t>
      </w:r>
      <w:r>
        <w:rPr>
          <w:rFonts w:ascii="SimSun" w:hAnsi="SimSun" w:eastAsia="SimSun" w:cs="SimSun"/>
          <w:sz w:val="19"/>
          <w:szCs w:val="19"/>
          <w:spacing w:val="-36"/>
        </w:rPr>
        <w:t xml:space="preserve"> </w:t>
      </w:r>
      <w:r>
        <w:rPr>
          <w:rFonts w:ascii="SimSun" w:hAnsi="SimSun" w:eastAsia="SimSun" w:cs="SimSun"/>
          <w:sz w:val="19"/>
          <w:szCs w:val="19"/>
          <w:spacing w:val="-1"/>
        </w:rPr>
        <w:t>7</w:t>
      </w:r>
      <w:r>
        <w:rPr>
          <w:rFonts w:ascii="SimSun" w:hAnsi="SimSun" w:eastAsia="SimSun" w:cs="SimSun"/>
          <w:sz w:val="19"/>
          <w:szCs w:val="19"/>
          <w:spacing w:val="-36"/>
        </w:rPr>
        <w:t xml:space="preserve"> </w:t>
      </w:r>
      <w:r>
        <w:rPr>
          <w:rFonts w:ascii="SimSun" w:hAnsi="SimSun" w:eastAsia="SimSun" w:cs="SimSun"/>
          <w:sz w:val="19"/>
          <w:szCs w:val="19"/>
          <w:spacing w:val="-1"/>
        </w:rPr>
        <w:t>页</w:t>
      </w:r>
    </w:p>
    <w:p>
      <w:pPr>
        <w:spacing w:line="219" w:lineRule="auto"/>
        <w:sectPr>
          <w:footerReference w:type="default" r:id="rId17"/>
          <w:pgSz w:w="11900" w:h="16840"/>
          <w:pgMar w:top="1316" w:right="310" w:bottom="819" w:left="1629" w:header="0" w:footer="200" w:gutter="0"/>
        </w:sectPr>
        <w:rPr>
          <w:rFonts w:ascii="SimSun" w:hAnsi="SimSun" w:eastAsia="SimSun" w:cs="SimSun"/>
          <w:sz w:val="19"/>
          <w:szCs w:val="19"/>
        </w:rPr>
      </w:pPr>
    </w:p>
    <w:p>
      <w:pPr>
        <w:ind w:left="124" w:right="1322" w:firstLine="510"/>
        <w:spacing w:before="53" w:line="288" w:lineRule="auto"/>
        <w:rPr>
          <w:rFonts w:ascii="FangSong" w:hAnsi="FangSong" w:eastAsia="FangSong" w:cs="FangSong"/>
          <w:sz w:val="21"/>
          <w:szCs w:val="21"/>
        </w:rPr>
      </w:pPr>
      <w:r>
        <w:rPr>
          <w:rFonts w:ascii="FangSong" w:hAnsi="FangSong" w:eastAsia="FangSong" w:cs="FangSong"/>
          <w:sz w:val="26"/>
          <w:szCs w:val="26"/>
          <w:spacing w:val="6"/>
        </w:rPr>
        <w:t>8.4本合同的订立、效力、解释、履行和争议</w:t>
      </w:r>
      <w:r>
        <w:rPr>
          <w:rFonts w:ascii="FangSong" w:hAnsi="FangSong" w:eastAsia="FangSong" w:cs="FangSong"/>
          <w:sz w:val="26"/>
          <w:szCs w:val="26"/>
          <w:spacing w:val="5"/>
        </w:rPr>
        <w:t>解决均适用中华人民共</w:t>
      </w:r>
      <w:r>
        <w:rPr>
          <w:rFonts w:ascii="FangSong" w:hAnsi="FangSong" w:eastAsia="FangSong" w:cs="FangSong"/>
          <w:sz w:val="26"/>
          <w:szCs w:val="26"/>
        </w:rPr>
        <w:t xml:space="preserve"> </w:t>
      </w:r>
      <w:r>
        <w:rPr>
          <w:rFonts w:ascii="FangSong" w:hAnsi="FangSong" w:eastAsia="FangSong" w:cs="FangSong"/>
          <w:sz w:val="21"/>
          <w:szCs w:val="21"/>
          <w:spacing w:val="-16"/>
        </w:rPr>
        <w:t>和</w:t>
      </w:r>
      <w:r>
        <w:rPr>
          <w:rFonts w:ascii="FangSong" w:hAnsi="FangSong" w:eastAsia="FangSong" w:cs="FangSong"/>
          <w:sz w:val="21"/>
          <w:szCs w:val="21"/>
          <w:spacing w:val="-16"/>
        </w:rPr>
        <w:t xml:space="preserve"> </w:t>
      </w:r>
      <w:r>
        <w:rPr>
          <w:rFonts w:ascii="FangSong" w:hAnsi="FangSong" w:eastAsia="FangSong" w:cs="FangSong"/>
          <w:sz w:val="21"/>
          <w:szCs w:val="21"/>
          <w:spacing w:val="-16"/>
        </w:rPr>
        <w:t>国</w:t>
      </w:r>
      <w:r>
        <w:rPr>
          <w:rFonts w:ascii="FangSong" w:hAnsi="FangSong" w:eastAsia="FangSong" w:cs="FangSong"/>
          <w:sz w:val="21"/>
          <w:szCs w:val="21"/>
          <w:spacing w:val="-28"/>
        </w:rPr>
        <w:t xml:space="preserve"> </w:t>
      </w:r>
      <w:r>
        <w:rPr>
          <w:rFonts w:ascii="FangSong" w:hAnsi="FangSong" w:eastAsia="FangSong" w:cs="FangSong"/>
          <w:sz w:val="21"/>
          <w:szCs w:val="21"/>
          <w:spacing w:val="-16"/>
        </w:rPr>
        <w:t>法</w:t>
      </w:r>
      <w:r>
        <w:rPr>
          <w:rFonts w:ascii="FangSong" w:hAnsi="FangSong" w:eastAsia="FangSong" w:cs="FangSong"/>
          <w:sz w:val="21"/>
          <w:szCs w:val="21"/>
          <w:spacing w:val="-36"/>
        </w:rPr>
        <w:t xml:space="preserve"> </w:t>
      </w:r>
      <w:r>
        <w:rPr>
          <w:rFonts w:ascii="FangSong" w:hAnsi="FangSong" w:eastAsia="FangSong" w:cs="FangSong"/>
          <w:sz w:val="21"/>
          <w:szCs w:val="21"/>
          <w:spacing w:val="-16"/>
        </w:rPr>
        <w:t>律</w:t>
      </w:r>
      <w:r>
        <w:rPr>
          <w:rFonts w:ascii="FangSong" w:hAnsi="FangSong" w:eastAsia="FangSong" w:cs="FangSong"/>
          <w:sz w:val="21"/>
          <w:szCs w:val="21"/>
          <w:spacing w:val="-48"/>
        </w:rPr>
        <w:t xml:space="preserve"> </w:t>
      </w:r>
      <w:r>
        <w:rPr>
          <w:rFonts w:ascii="FangSong" w:hAnsi="FangSong" w:eastAsia="FangSong" w:cs="FangSong"/>
          <w:sz w:val="21"/>
          <w:szCs w:val="21"/>
          <w:spacing w:val="-16"/>
        </w:rPr>
        <w:t>。</w:t>
      </w:r>
    </w:p>
    <w:p>
      <w:pPr>
        <w:ind w:left="124" w:right="1319" w:firstLine="510"/>
        <w:spacing w:before="119" w:line="291" w:lineRule="auto"/>
        <w:rPr>
          <w:rFonts w:ascii="FangSong" w:hAnsi="FangSong" w:eastAsia="FangSong" w:cs="FangSong"/>
          <w:sz w:val="21"/>
          <w:szCs w:val="21"/>
        </w:rPr>
      </w:pPr>
      <w:r>
        <w:rPr>
          <w:rFonts w:ascii="FangSong" w:hAnsi="FangSong" w:eastAsia="FangSong" w:cs="FangSong"/>
          <w:sz w:val="26"/>
          <w:szCs w:val="26"/>
          <w:spacing w:val="6"/>
        </w:rPr>
        <w:t>8.5本合同签署页及附件一、附件二须由甲乙双方法</w:t>
      </w:r>
      <w:r>
        <w:rPr>
          <w:rFonts w:ascii="FangSong" w:hAnsi="FangSong" w:eastAsia="FangSong" w:cs="FangSong"/>
          <w:sz w:val="26"/>
          <w:szCs w:val="26"/>
          <w:spacing w:val="5"/>
        </w:rPr>
        <w:t>定代表人或授权</w:t>
      </w:r>
      <w:r>
        <w:rPr>
          <w:rFonts w:ascii="FangSong" w:hAnsi="FangSong" w:eastAsia="FangSong" w:cs="FangSong"/>
          <w:sz w:val="26"/>
          <w:szCs w:val="26"/>
        </w:rPr>
        <w:t xml:space="preserve"> </w:t>
      </w:r>
      <w:r>
        <w:rPr>
          <w:rFonts w:ascii="FangSong" w:hAnsi="FangSong" w:eastAsia="FangSong" w:cs="FangSong"/>
          <w:sz w:val="26"/>
          <w:szCs w:val="26"/>
          <w:spacing w:val="1"/>
        </w:rPr>
        <w:t>代理人签署并加盖公章或合同专用章后生效，合同正文及附件须加盖骑缝</w:t>
      </w:r>
      <w:r>
        <w:rPr>
          <w:rFonts w:ascii="FangSong" w:hAnsi="FangSong" w:eastAsia="FangSong" w:cs="FangSong"/>
          <w:sz w:val="26"/>
          <w:szCs w:val="26"/>
          <w:spacing w:val="5"/>
        </w:rPr>
        <w:t xml:space="preserve"> </w:t>
      </w:r>
      <w:r>
        <w:rPr>
          <w:rFonts w:ascii="FangSong" w:hAnsi="FangSong" w:eastAsia="FangSong" w:cs="FangSong"/>
          <w:sz w:val="26"/>
          <w:szCs w:val="26"/>
          <w:spacing w:val="1"/>
        </w:rPr>
        <w:t>章。合同签订日期以双方中最后一方签署并加盖公章或合同专用</w:t>
      </w:r>
      <w:r>
        <w:rPr>
          <w:rFonts w:ascii="FangSong" w:hAnsi="FangSong" w:eastAsia="FangSong" w:cs="FangSong"/>
          <w:sz w:val="26"/>
          <w:szCs w:val="26"/>
        </w:rPr>
        <w:t>章的日期</w:t>
      </w:r>
      <w:r>
        <w:rPr>
          <w:rFonts w:ascii="FangSong" w:hAnsi="FangSong" w:eastAsia="FangSong" w:cs="FangSong"/>
          <w:sz w:val="26"/>
          <w:szCs w:val="26"/>
        </w:rPr>
        <w:t xml:space="preserve"> </w:t>
      </w:r>
      <w:r>
        <w:rPr>
          <w:rFonts w:ascii="FangSong" w:hAnsi="FangSong" w:eastAsia="FangSong" w:cs="FangSong"/>
          <w:sz w:val="21"/>
          <w:szCs w:val="21"/>
          <w:spacing w:val="-13"/>
        </w:rPr>
        <w:t>为</w:t>
      </w:r>
      <w:r>
        <w:rPr>
          <w:rFonts w:ascii="FangSong" w:hAnsi="FangSong" w:eastAsia="FangSong" w:cs="FangSong"/>
          <w:sz w:val="21"/>
          <w:szCs w:val="21"/>
          <w:spacing w:val="-22"/>
        </w:rPr>
        <w:t xml:space="preserve"> </w:t>
      </w:r>
      <w:r>
        <w:rPr>
          <w:rFonts w:ascii="FangSong" w:hAnsi="FangSong" w:eastAsia="FangSong" w:cs="FangSong"/>
          <w:sz w:val="21"/>
          <w:szCs w:val="21"/>
          <w:spacing w:val="-13"/>
        </w:rPr>
        <w:t>准</w:t>
      </w:r>
      <w:r>
        <w:rPr>
          <w:rFonts w:ascii="FangSong" w:hAnsi="FangSong" w:eastAsia="FangSong" w:cs="FangSong"/>
          <w:sz w:val="21"/>
          <w:szCs w:val="21"/>
          <w:spacing w:val="-37"/>
        </w:rPr>
        <w:t xml:space="preserve"> </w:t>
      </w:r>
      <w:r>
        <w:rPr>
          <w:rFonts w:ascii="FangSong" w:hAnsi="FangSong" w:eastAsia="FangSong" w:cs="FangSong"/>
          <w:sz w:val="21"/>
          <w:szCs w:val="21"/>
          <w:spacing w:val="-13"/>
        </w:rPr>
        <w:t>。</w:t>
      </w:r>
    </w:p>
    <w:p>
      <w:pPr>
        <w:ind w:left="124" w:right="1319" w:firstLine="510"/>
        <w:spacing w:before="132" w:line="266" w:lineRule="auto"/>
        <w:rPr>
          <w:rFonts w:ascii="FangSong" w:hAnsi="FangSong" w:eastAsia="FangSong" w:cs="FangSong"/>
          <w:sz w:val="26"/>
          <w:szCs w:val="26"/>
        </w:rPr>
      </w:pPr>
      <w:r>
        <w:rPr>
          <w:rFonts w:ascii="FangSong" w:hAnsi="FangSong" w:eastAsia="FangSong" w:cs="FangSong"/>
          <w:sz w:val="26"/>
          <w:szCs w:val="26"/>
          <w:spacing w:val="-1"/>
        </w:rPr>
        <w:t>8.6本合同一式</w:t>
      </w:r>
      <w:r>
        <w:rPr>
          <w:rFonts w:ascii="FangSong" w:hAnsi="FangSong" w:eastAsia="FangSong" w:cs="FangSong"/>
          <w:sz w:val="26"/>
          <w:szCs w:val="26"/>
          <w:u w:val="dotted" w:color="auto"/>
          <w:spacing w:val="-1"/>
        </w:rPr>
        <w:t xml:space="preserve"> </w:t>
      </w:r>
      <w:r>
        <w:rPr>
          <w:rFonts w:ascii="FangSong" w:hAnsi="FangSong" w:eastAsia="FangSong" w:cs="FangSong"/>
          <w:sz w:val="26"/>
          <w:szCs w:val="26"/>
          <w:u w:val="single" w:color="auto"/>
          <w:spacing w:val="-1"/>
        </w:rPr>
        <w:t>叁</w:t>
      </w:r>
      <w:r>
        <w:rPr>
          <w:rFonts w:ascii="FangSong" w:hAnsi="FangSong" w:eastAsia="FangSong" w:cs="FangSong"/>
          <w:sz w:val="26"/>
          <w:szCs w:val="26"/>
          <w:spacing w:val="-1"/>
        </w:rPr>
        <w:t xml:space="preserve">    </w:t>
      </w:r>
      <w:r>
        <w:rPr>
          <w:rFonts w:ascii="FangSong" w:hAnsi="FangSong" w:eastAsia="FangSong" w:cs="FangSong"/>
          <w:sz w:val="26"/>
          <w:szCs w:val="26"/>
          <w:spacing w:val="-1"/>
        </w:rPr>
        <w:t>份，甲、乙双方各执</w:t>
      </w:r>
      <w:r>
        <w:rPr>
          <w:rFonts w:ascii="FangSong" w:hAnsi="FangSong" w:eastAsia="FangSong" w:cs="FangSong"/>
          <w:sz w:val="26"/>
          <w:szCs w:val="26"/>
          <w:u w:val="single" w:color="auto"/>
          <w:spacing w:val="20"/>
        </w:rPr>
        <w:t xml:space="preserve">    </w:t>
      </w:r>
      <w:r>
        <w:rPr>
          <w:rFonts w:ascii="FangSong" w:hAnsi="FangSong" w:eastAsia="FangSong" w:cs="FangSong"/>
          <w:sz w:val="26"/>
          <w:szCs w:val="26"/>
          <w:u w:val="single" w:color="auto"/>
          <w:spacing w:val="-1"/>
        </w:rPr>
        <w:t>壹</w:t>
      </w:r>
      <w:r>
        <w:rPr>
          <w:rFonts w:ascii="FangSong" w:hAnsi="FangSong" w:eastAsia="FangSong" w:cs="FangSong"/>
          <w:sz w:val="26"/>
          <w:szCs w:val="26"/>
          <w:spacing w:val="-1"/>
        </w:rPr>
        <w:t>份，报首都电力交</w:t>
      </w:r>
      <w:r>
        <w:rPr>
          <w:rFonts w:ascii="FangSong" w:hAnsi="FangSong" w:eastAsia="FangSong" w:cs="FangSong"/>
          <w:sz w:val="26"/>
          <w:szCs w:val="26"/>
          <w:spacing w:val="1"/>
        </w:rPr>
        <w:t xml:space="preserve"> </w:t>
      </w:r>
      <w:r>
        <w:rPr>
          <w:rFonts w:ascii="FangSong" w:hAnsi="FangSong" w:eastAsia="FangSong" w:cs="FangSong"/>
          <w:sz w:val="26"/>
          <w:szCs w:val="26"/>
          <w:spacing w:val="-4"/>
        </w:rPr>
        <w:t>易中心备案一份，具有同等法律效力。</w:t>
      </w:r>
    </w:p>
    <w:p>
      <w:pPr>
        <w:ind w:left="785"/>
        <w:spacing w:before="217" w:line="222" w:lineRule="auto"/>
        <w:rPr>
          <w:rFonts w:ascii="FangSong" w:hAnsi="FangSong" w:eastAsia="FangSong" w:cs="FangSong"/>
          <w:sz w:val="26"/>
          <w:szCs w:val="26"/>
        </w:rPr>
      </w:pPr>
      <w:r>
        <w:rPr>
          <w:rFonts w:ascii="FangSong" w:hAnsi="FangSong" w:eastAsia="FangSong" w:cs="FangSong"/>
          <w:sz w:val="26"/>
          <w:szCs w:val="26"/>
          <w:spacing w:val="5"/>
        </w:rPr>
        <w:t>(以下无正文，为签署页)</w:t>
      </w:r>
    </w:p>
    <w:p>
      <w:pPr>
        <w:pStyle w:val="BodyText"/>
        <w:spacing w:line="321" w:lineRule="auto"/>
        <w:rPr/>
      </w:pPr>
      <w:r/>
    </w:p>
    <w:p>
      <w:pPr>
        <w:ind w:left="94"/>
        <w:spacing w:before="85" w:line="218" w:lineRule="auto"/>
        <w:rPr>
          <w:rFonts w:ascii="FangSong" w:hAnsi="FangSong" w:eastAsia="FangSong" w:cs="FangSong"/>
          <w:sz w:val="26"/>
          <w:szCs w:val="26"/>
        </w:rPr>
      </w:pPr>
      <w:r>
        <w:drawing>
          <wp:anchor distT="0" distB="0" distL="0" distR="0" simplePos="0" relativeHeight="251696128" behindDoc="0" locked="0" layoutInCell="1" allowOverlap="1">
            <wp:simplePos x="0" y="0"/>
            <wp:positionH relativeFrom="column">
              <wp:posOffset>2797189</wp:posOffset>
            </wp:positionH>
            <wp:positionV relativeFrom="paragraph">
              <wp:posOffset>-669501</wp:posOffset>
            </wp:positionV>
            <wp:extent cx="1416012" cy="1435053"/>
            <wp:effectExtent l="0" t="0" r="0" b="0"/>
            <wp:wrapNone/>
            <wp:docPr id="62" name="IM 62"/>
            <wp:cNvGraphicFramePr/>
            <a:graphic>
              <a:graphicData uri="http://schemas.openxmlformats.org/drawingml/2006/picture">
                <pic:pic>
                  <pic:nvPicPr>
                    <pic:cNvPr id="62" name="IM 62"/>
                    <pic:cNvPicPr/>
                  </pic:nvPicPr>
                  <pic:blipFill>
                    <a:blip r:embed="rId19"/>
                    <a:stretch>
                      <a:fillRect/>
                    </a:stretch>
                  </pic:blipFill>
                  <pic:spPr>
                    <a:xfrm rot="0">
                      <a:off x="0" y="0"/>
                      <a:ext cx="1416012" cy="1435053"/>
                    </a:xfrm>
                    <a:prstGeom prst="rect">
                      <a:avLst/>
                    </a:prstGeom>
                  </pic:spPr>
                </pic:pic>
              </a:graphicData>
            </a:graphic>
          </wp:anchor>
        </w:drawing>
      </w:r>
      <w:r>
        <w:rPr>
          <w:rFonts w:ascii="SimSun" w:hAnsi="SimSun" w:eastAsia="SimSun" w:cs="SimSun"/>
          <w:sz w:val="26"/>
          <w:szCs w:val="26"/>
          <w:spacing w:val="-18"/>
          <w:position w:val="8"/>
        </w:rPr>
        <w:t>附</w:t>
      </w:r>
      <w:r>
        <w:rPr>
          <w:rFonts w:ascii="SimSun" w:hAnsi="SimSun" w:eastAsia="SimSun" w:cs="SimSun"/>
          <w:sz w:val="26"/>
          <w:szCs w:val="26"/>
          <w:spacing w:val="68"/>
          <w:position w:val="8"/>
        </w:rPr>
        <w:t xml:space="preserve"> </w:t>
      </w:r>
      <w:r>
        <w:rPr>
          <w:rFonts w:ascii="SimSun" w:hAnsi="SimSun" w:eastAsia="SimSun" w:cs="SimSun"/>
          <w:sz w:val="26"/>
          <w:szCs w:val="26"/>
          <w:spacing w:val="-18"/>
          <w:position w:val="3"/>
        </w:rPr>
        <w:t>作</w:t>
      </w:r>
      <w:r>
        <w:rPr>
          <w:rFonts w:ascii="FangSong" w:hAnsi="FangSong" w:eastAsia="FangSong" w:cs="FangSong"/>
          <w:sz w:val="26"/>
          <w:szCs w:val="26"/>
          <w:spacing w:val="-18"/>
          <w:position w:val="3"/>
        </w:rPr>
        <w:t>附</w:t>
      </w:r>
      <w:r>
        <w:rPr>
          <w:sz w:val="26"/>
          <w:szCs w:val="26"/>
          <w:position w:val="-5"/>
        </w:rPr>
        <w:drawing>
          <wp:inline distT="0" distB="0" distL="0" distR="0">
            <wp:extent cx="191082" cy="199230"/>
            <wp:effectExtent l="0" t="0" r="0" b="0"/>
            <wp:docPr id="64" name="IM 64"/>
            <wp:cNvGraphicFramePr/>
            <a:graphic>
              <a:graphicData uri="http://schemas.openxmlformats.org/drawingml/2006/picture">
                <pic:pic>
                  <pic:nvPicPr>
                    <pic:cNvPr id="64" name="IM 64"/>
                    <pic:cNvPicPr/>
                  </pic:nvPicPr>
                  <pic:blipFill>
                    <a:blip r:embed="rId20"/>
                    <a:stretch>
                      <a:fillRect/>
                    </a:stretch>
                  </pic:blipFill>
                  <pic:spPr>
                    <a:xfrm rot="0">
                      <a:off x="0" y="0"/>
                      <a:ext cx="191082" cy="199230"/>
                    </a:xfrm>
                    <a:prstGeom prst="rect">
                      <a:avLst/>
                    </a:prstGeom>
                  </pic:spPr>
                </pic:pic>
              </a:graphicData>
            </a:graphic>
          </wp:inline>
        </w:drawing>
      </w:r>
      <w:r>
        <w:rPr>
          <w:rFonts w:ascii="FangSong" w:hAnsi="FangSong" w:eastAsia="FangSong" w:cs="FangSong"/>
          <w:sz w:val="26"/>
          <w:szCs w:val="26"/>
          <w:spacing w:val="-18"/>
          <w:position w:val="-1"/>
        </w:rPr>
        <w:t>一</w:t>
      </w:r>
      <w:r>
        <w:rPr>
          <w:rFonts w:ascii="SimSun" w:hAnsi="SimSun" w:eastAsia="SimSun" w:cs="SimSun"/>
          <w:sz w:val="26"/>
          <w:szCs w:val="26"/>
          <w:spacing w:val="-18"/>
        </w:rPr>
        <w:t>:</w:t>
      </w:r>
      <w:r>
        <w:rPr>
          <w:rFonts w:ascii="FangSong" w:hAnsi="FangSong" w:eastAsia="FangSong" w:cs="FangSong"/>
          <w:sz w:val="26"/>
          <w:szCs w:val="26"/>
          <w:spacing w:val="-18"/>
        </w:rPr>
        <w:t>：</w:t>
      </w:r>
      <w:r>
        <w:rPr>
          <w:rFonts w:ascii="FangSong" w:hAnsi="FangSong" w:eastAsia="FangSong" w:cs="FangSong"/>
          <w:sz w:val="26"/>
          <w:szCs w:val="26"/>
          <w:b/>
          <w:bCs/>
          <w:spacing w:val="-18"/>
          <w:position w:val="-1"/>
        </w:rPr>
        <w:t>《</w:t>
      </w:r>
      <w:r>
        <w:rPr>
          <w:rFonts w:ascii="FangSong" w:hAnsi="FangSong" w:eastAsia="FangSong" w:cs="FangSong"/>
          <w:sz w:val="26"/>
          <w:szCs w:val="26"/>
          <w:spacing w:val="-18"/>
          <w:position w:val="-1"/>
        </w:rPr>
        <w:t>煤电容量电价政策知情书》</w:t>
      </w:r>
    </w:p>
    <w:p>
      <w:pPr>
        <w:ind w:left="674"/>
        <w:spacing w:before="198" w:line="221" w:lineRule="auto"/>
        <w:rPr>
          <w:rFonts w:ascii="FangSong" w:hAnsi="FangSong" w:eastAsia="FangSong" w:cs="FangSong"/>
          <w:sz w:val="21"/>
          <w:szCs w:val="21"/>
        </w:rPr>
      </w:pPr>
      <w:r>
        <w:rPr>
          <w:rFonts w:ascii="FangSong" w:hAnsi="FangSong" w:eastAsia="FangSong" w:cs="FangSong"/>
          <w:sz w:val="21"/>
          <w:szCs w:val="21"/>
          <w:spacing w:val="-18"/>
        </w:rPr>
        <w:t>附</w:t>
      </w:r>
      <w:r>
        <w:rPr>
          <w:rFonts w:ascii="FangSong" w:hAnsi="FangSong" w:eastAsia="FangSong" w:cs="FangSong"/>
          <w:sz w:val="21"/>
          <w:szCs w:val="21"/>
          <w:spacing w:val="-36"/>
        </w:rPr>
        <w:t xml:space="preserve"> </w:t>
      </w:r>
      <w:r>
        <w:rPr>
          <w:rFonts w:ascii="FangSong" w:hAnsi="FangSong" w:eastAsia="FangSong" w:cs="FangSong"/>
          <w:sz w:val="21"/>
          <w:szCs w:val="21"/>
          <w:spacing w:val="-18"/>
        </w:rPr>
        <w:t>件</w:t>
      </w:r>
      <w:r>
        <w:rPr>
          <w:rFonts w:ascii="FangSong" w:hAnsi="FangSong" w:eastAsia="FangSong" w:cs="FangSong"/>
          <w:sz w:val="21"/>
          <w:szCs w:val="21"/>
          <w:spacing w:val="-34"/>
        </w:rPr>
        <w:t xml:space="preserve"> </w:t>
      </w:r>
      <w:r>
        <w:rPr>
          <w:rFonts w:ascii="FangSong" w:hAnsi="FangSong" w:eastAsia="FangSong" w:cs="FangSong"/>
          <w:sz w:val="21"/>
          <w:szCs w:val="21"/>
          <w:spacing w:val="-18"/>
        </w:rPr>
        <w:t>二</w:t>
      </w:r>
      <w:r>
        <w:rPr>
          <w:rFonts w:ascii="FangSong" w:hAnsi="FangSong" w:eastAsia="FangSong" w:cs="FangSong"/>
          <w:sz w:val="21"/>
          <w:szCs w:val="21"/>
          <w:spacing w:val="-18"/>
        </w:rPr>
        <w:t xml:space="preserve"> </w:t>
      </w:r>
      <w:r>
        <w:rPr>
          <w:rFonts w:ascii="FangSong" w:hAnsi="FangSong" w:eastAsia="FangSong" w:cs="FangSong"/>
          <w:sz w:val="21"/>
          <w:szCs w:val="21"/>
          <w:spacing w:val="-18"/>
        </w:rPr>
        <w:t>：</w:t>
      </w:r>
      <w:r>
        <w:rPr>
          <w:rFonts w:ascii="FangSong" w:hAnsi="FangSong" w:eastAsia="FangSong" w:cs="FangSong"/>
          <w:sz w:val="21"/>
          <w:szCs w:val="21"/>
          <w:spacing w:val="-54"/>
        </w:rPr>
        <w:t xml:space="preserve"> </w:t>
      </w:r>
      <w:r>
        <w:rPr>
          <w:rFonts w:ascii="FangSong" w:hAnsi="FangSong" w:eastAsia="FangSong" w:cs="FangSong"/>
          <w:sz w:val="21"/>
          <w:szCs w:val="21"/>
          <w:spacing w:val="-18"/>
        </w:rPr>
        <w:t>《</w:t>
      </w:r>
      <w:r>
        <w:rPr>
          <w:rFonts w:ascii="FangSong" w:hAnsi="FangSong" w:eastAsia="FangSong" w:cs="FangSong"/>
          <w:sz w:val="21"/>
          <w:szCs w:val="21"/>
          <w:spacing w:val="-14"/>
        </w:rPr>
        <w:t xml:space="preserve"> </w:t>
      </w:r>
      <w:r>
        <w:rPr>
          <w:rFonts w:ascii="FangSong" w:hAnsi="FangSong" w:eastAsia="FangSong" w:cs="FangSong"/>
          <w:sz w:val="21"/>
          <w:szCs w:val="21"/>
          <w:spacing w:val="-18"/>
        </w:rPr>
        <w:t>北</w:t>
      </w:r>
      <w:r>
        <w:rPr>
          <w:rFonts w:ascii="FangSong" w:hAnsi="FangSong" w:eastAsia="FangSong" w:cs="FangSong"/>
          <w:sz w:val="21"/>
          <w:szCs w:val="21"/>
          <w:spacing w:val="-35"/>
        </w:rPr>
        <w:t xml:space="preserve"> </w:t>
      </w:r>
      <w:r>
        <w:rPr>
          <w:rFonts w:ascii="FangSong" w:hAnsi="FangSong" w:eastAsia="FangSong" w:cs="FangSong"/>
          <w:sz w:val="21"/>
          <w:szCs w:val="21"/>
          <w:spacing w:val="-18"/>
        </w:rPr>
        <w:t>京</w:t>
      </w:r>
      <w:r>
        <w:rPr>
          <w:rFonts w:ascii="FangSong" w:hAnsi="FangSong" w:eastAsia="FangSong" w:cs="FangSong"/>
          <w:sz w:val="21"/>
          <w:szCs w:val="21"/>
          <w:spacing w:val="-35"/>
        </w:rPr>
        <w:t xml:space="preserve"> </w:t>
      </w:r>
      <w:r>
        <w:rPr>
          <w:rFonts w:ascii="FangSong" w:hAnsi="FangSong" w:eastAsia="FangSong" w:cs="FangSong"/>
          <w:sz w:val="21"/>
          <w:szCs w:val="21"/>
          <w:spacing w:val="-18"/>
        </w:rPr>
        <w:t>市</w:t>
      </w:r>
      <w:r>
        <w:rPr>
          <w:rFonts w:ascii="FangSong" w:hAnsi="FangSong" w:eastAsia="FangSong" w:cs="FangSong"/>
          <w:sz w:val="21"/>
          <w:szCs w:val="21"/>
          <w:spacing w:val="-17"/>
        </w:rPr>
        <w:t xml:space="preserve"> </w:t>
      </w:r>
      <w:r>
        <w:rPr>
          <w:rFonts w:ascii="FangSong" w:hAnsi="FangSong" w:eastAsia="FangSong" w:cs="FangSong"/>
          <w:sz w:val="21"/>
          <w:szCs w:val="21"/>
          <w:spacing w:val="-18"/>
        </w:rPr>
        <w:t>电</w:t>
      </w:r>
      <w:r>
        <w:rPr>
          <w:rFonts w:ascii="FangSong" w:hAnsi="FangSong" w:eastAsia="FangSong" w:cs="FangSong"/>
          <w:sz w:val="21"/>
          <w:szCs w:val="21"/>
          <w:spacing w:val="-37"/>
        </w:rPr>
        <w:t xml:space="preserve"> </w:t>
      </w:r>
      <w:r>
        <w:rPr>
          <w:rFonts w:ascii="FangSong" w:hAnsi="FangSong" w:eastAsia="FangSong" w:cs="FangSong"/>
          <w:sz w:val="21"/>
          <w:szCs w:val="21"/>
          <w:spacing w:val="-18"/>
        </w:rPr>
        <w:t>力</w:t>
      </w:r>
      <w:r>
        <w:rPr>
          <w:rFonts w:ascii="FangSong" w:hAnsi="FangSong" w:eastAsia="FangSong" w:cs="FangSong"/>
          <w:sz w:val="21"/>
          <w:szCs w:val="21"/>
          <w:spacing w:val="-40"/>
        </w:rPr>
        <w:t xml:space="preserve"> </w:t>
      </w:r>
      <w:r>
        <w:rPr>
          <w:rFonts w:ascii="FangSong" w:hAnsi="FangSong" w:eastAsia="FangSong" w:cs="FangSong"/>
          <w:sz w:val="21"/>
          <w:szCs w:val="21"/>
          <w:spacing w:val="-18"/>
        </w:rPr>
        <w:t>零</w:t>
      </w:r>
      <w:r>
        <w:rPr>
          <w:rFonts w:ascii="FangSong" w:hAnsi="FangSong" w:eastAsia="FangSong" w:cs="FangSong"/>
          <w:sz w:val="21"/>
          <w:szCs w:val="21"/>
          <w:spacing w:val="-28"/>
        </w:rPr>
        <w:t xml:space="preserve"> </w:t>
      </w:r>
      <w:r>
        <w:rPr>
          <w:rFonts w:ascii="FangSong" w:hAnsi="FangSong" w:eastAsia="FangSong" w:cs="FangSong"/>
          <w:sz w:val="21"/>
          <w:szCs w:val="21"/>
          <w:spacing w:val="-18"/>
        </w:rPr>
        <w:t>售</w:t>
      </w:r>
      <w:r>
        <w:rPr>
          <w:rFonts w:ascii="FangSong" w:hAnsi="FangSong" w:eastAsia="FangSong" w:cs="FangSong"/>
          <w:sz w:val="21"/>
          <w:szCs w:val="21"/>
          <w:spacing w:val="-36"/>
        </w:rPr>
        <w:t xml:space="preserve"> </w:t>
      </w:r>
      <w:r>
        <w:rPr>
          <w:rFonts w:ascii="FangSong" w:hAnsi="FangSong" w:eastAsia="FangSong" w:cs="FangSong"/>
          <w:sz w:val="21"/>
          <w:szCs w:val="21"/>
          <w:spacing w:val="-18"/>
        </w:rPr>
        <w:t>交</w:t>
      </w:r>
      <w:r>
        <w:rPr>
          <w:rFonts w:ascii="FangSong" w:hAnsi="FangSong" w:eastAsia="FangSong" w:cs="FangSong"/>
          <w:sz w:val="21"/>
          <w:szCs w:val="21"/>
          <w:spacing w:val="-33"/>
        </w:rPr>
        <w:t xml:space="preserve"> </w:t>
      </w:r>
      <w:r>
        <w:rPr>
          <w:rFonts w:ascii="FangSong" w:hAnsi="FangSong" w:eastAsia="FangSong" w:cs="FangSong"/>
          <w:sz w:val="21"/>
          <w:szCs w:val="21"/>
          <w:spacing w:val="-18"/>
        </w:rPr>
        <w:t>易</w:t>
      </w:r>
      <w:r>
        <w:rPr>
          <w:rFonts w:ascii="FangSong" w:hAnsi="FangSong" w:eastAsia="FangSong" w:cs="FangSong"/>
          <w:sz w:val="21"/>
          <w:szCs w:val="21"/>
          <w:spacing w:val="-36"/>
        </w:rPr>
        <w:t xml:space="preserve"> </w:t>
      </w:r>
      <w:r>
        <w:rPr>
          <w:rFonts w:ascii="FangSong" w:hAnsi="FangSong" w:eastAsia="FangSong" w:cs="FangSong"/>
          <w:sz w:val="21"/>
          <w:szCs w:val="21"/>
          <w:spacing w:val="-18"/>
        </w:rPr>
        <w:t>结</w:t>
      </w:r>
      <w:r>
        <w:rPr>
          <w:rFonts w:ascii="FangSong" w:hAnsi="FangSong" w:eastAsia="FangSong" w:cs="FangSong"/>
          <w:sz w:val="21"/>
          <w:szCs w:val="21"/>
          <w:spacing w:val="-41"/>
        </w:rPr>
        <w:t xml:space="preserve"> </w:t>
      </w:r>
      <w:r>
        <w:rPr>
          <w:rFonts w:ascii="FangSong" w:hAnsi="FangSong" w:eastAsia="FangSong" w:cs="FangSong"/>
          <w:sz w:val="21"/>
          <w:szCs w:val="21"/>
          <w:spacing w:val="-18"/>
        </w:rPr>
        <w:t>算</w:t>
      </w:r>
      <w:r>
        <w:rPr>
          <w:rFonts w:ascii="FangSong" w:hAnsi="FangSong" w:eastAsia="FangSong" w:cs="FangSong"/>
          <w:sz w:val="21"/>
          <w:szCs w:val="21"/>
          <w:spacing w:val="-37"/>
        </w:rPr>
        <w:t xml:space="preserve"> </w:t>
      </w:r>
      <w:r>
        <w:rPr>
          <w:rFonts w:ascii="FangSong" w:hAnsi="FangSong" w:eastAsia="FangSong" w:cs="FangSong"/>
          <w:sz w:val="21"/>
          <w:szCs w:val="21"/>
          <w:spacing w:val="-18"/>
        </w:rPr>
        <w:t>参</w:t>
      </w:r>
      <w:r>
        <w:rPr>
          <w:rFonts w:ascii="FangSong" w:hAnsi="FangSong" w:eastAsia="FangSong" w:cs="FangSong"/>
          <w:sz w:val="21"/>
          <w:szCs w:val="21"/>
          <w:spacing w:val="-41"/>
        </w:rPr>
        <w:t xml:space="preserve"> </w:t>
      </w:r>
      <w:r>
        <w:rPr>
          <w:rFonts w:ascii="FangSong" w:hAnsi="FangSong" w:eastAsia="FangSong" w:cs="FangSong"/>
          <w:sz w:val="21"/>
          <w:szCs w:val="21"/>
          <w:spacing w:val="-18"/>
        </w:rPr>
        <w:t>数</w:t>
      </w:r>
      <w:r>
        <w:rPr>
          <w:rFonts w:ascii="FangSong" w:hAnsi="FangSong" w:eastAsia="FangSong" w:cs="FangSong"/>
          <w:sz w:val="21"/>
          <w:szCs w:val="21"/>
          <w:spacing w:val="-38"/>
        </w:rPr>
        <w:t xml:space="preserve"> </w:t>
      </w:r>
      <w:r>
        <w:rPr>
          <w:rFonts w:ascii="FangSong" w:hAnsi="FangSong" w:eastAsia="FangSong" w:cs="FangSong"/>
          <w:sz w:val="21"/>
          <w:szCs w:val="21"/>
          <w:spacing w:val="-18"/>
        </w:rPr>
        <w:t>表</w:t>
      </w:r>
      <w:r>
        <w:rPr>
          <w:rFonts w:ascii="FangSong" w:hAnsi="FangSong" w:eastAsia="FangSong" w:cs="FangSong"/>
          <w:sz w:val="21"/>
          <w:szCs w:val="21"/>
          <w:spacing w:val="-18"/>
        </w:rPr>
        <w:t xml:space="preserve"> </w:t>
      </w:r>
      <w:r>
        <w:rPr>
          <w:rFonts w:ascii="FangSong" w:hAnsi="FangSong" w:eastAsia="FangSong" w:cs="FangSong"/>
          <w:sz w:val="21"/>
          <w:szCs w:val="21"/>
          <w:spacing w:val="-18"/>
        </w:rPr>
        <w:t>(</w:t>
      </w:r>
      <w:r>
        <w:rPr>
          <w:rFonts w:ascii="FangSong" w:hAnsi="FangSong" w:eastAsia="FangSong" w:cs="FangSong"/>
          <w:sz w:val="21"/>
          <w:szCs w:val="21"/>
          <w:spacing w:val="-41"/>
        </w:rPr>
        <w:t xml:space="preserve"> </w:t>
      </w:r>
      <w:r>
        <w:rPr>
          <w:rFonts w:ascii="FangSong" w:hAnsi="FangSong" w:eastAsia="FangSong" w:cs="FangSong"/>
          <w:sz w:val="21"/>
          <w:szCs w:val="21"/>
          <w:spacing w:val="-18"/>
        </w:rPr>
        <w:t>.</w:t>
      </w:r>
      <w:r>
        <w:rPr>
          <w:rFonts w:ascii="FangSong" w:hAnsi="FangSong" w:eastAsia="FangSong" w:cs="FangSong"/>
          <w:sz w:val="21"/>
          <w:szCs w:val="21"/>
          <w:spacing w:val="-44"/>
        </w:rPr>
        <w:t xml:space="preserve"> </w:t>
      </w:r>
      <w:r>
        <w:rPr>
          <w:rFonts w:ascii="FangSong" w:hAnsi="FangSong" w:eastAsia="FangSong" w:cs="FangSong"/>
          <w:sz w:val="21"/>
          <w:szCs w:val="21"/>
          <w:spacing w:val="-18"/>
        </w:rPr>
        <w:t>2</w:t>
      </w:r>
      <w:r>
        <w:rPr>
          <w:rFonts w:ascii="FangSong" w:hAnsi="FangSong" w:eastAsia="FangSong" w:cs="FangSong"/>
          <w:sz w:val="21"/>
          <w:szCs w:val="21"/>
          <w:spacing w:val="-45"/>
        </w:rPr>
        <w:t xml:space="preserve"> </w:t>
      </w:r>
      <w:r>
        <w:rPr>
          <w:rFonts w:ascii="FangSong" w:hAnsi="FangSong" w:eastAsia="FangSong" w:cs="FangSong"/>
          <w:sz w:val="21"/>
          <w:szCs w:val="21"/>
          <w:spacing w:val="-18"/>
        </w:rPr>
        <w:t>0</w:t>
      </w:r>
      <w:r>
        <w:rPr>
          <w:rFonts w:ascii="FangSong" w:hAnsi="FangSong" w:eastAsia="FangSong" w:cs="FangSong"/>
          <w:sz w:val="21"/>
          <w:szCs w:val="21"/>
          <w:spacing w:val="-45"/>
        </w:rPr>
        <w:t xml:space="preserve"> </w:t>
      </w:r>
      <w:r>
        <w:rPr>
          <w:rFonts w:ascii="FangSong" w:hAnsi="FangSong" w:eastAsia="FangSong" w:cs="FangSong"/>
          <w:sz w:val="21"/>
          <w:szCs w:val="21"/>
          <w:spacing w:val="-18"/>
        </w:rPr>
        <w:t>2</w:t>
      </w:r>
      <w:r>
        <w:rPr>
          <w:rFonts w:ascii="FangSong" w:hAnsi="FangSong" w:eastAsia="FangSong" w:cs="FangSong"/>
          <w:sz w:val="21"/>
          <w:szCs w:val="21"/>
          <w:spacing w:val="-45"/>
        </w:rPr>
        <w:t xml:space="preserve"> </w:t>
      </w:r>
      <w:r>
        <w:rPr>
          <w:rFonts w:ascii="FangSong" w:hAnsi="FangSong" w:eastAsia="FangSong" w:cs="FangSong"/>
          <w:sz w:val="21"/>
          <w:szCs w:val="21"/>
          <w:spacing w:val="-18"/>
        </w:rPr>
        <w:t>6</w:t>
      </w:r>
      <w:r>
        <w:rPr>
          <w:rFonts w:ascii="FangSong" w:hAnsi="FangSong" w:eastAsia="FangSong" w:cs="FangSong"/>
          <w:sz w:val="21"/>
          <w:szCs w:val="21"/>
          <w:spacing w:val="-36"/>
        </w:rPr>
        <w:t xml:space="preserve"> </w:t>
      </w:r>
      <w:r>
        <w:rPr>
          <w:rFonts w:ascii="FangSong" w:hAnsi="FangSong" w:eastAsia="FangSong" w:cs="FangSong"/>
          <w:sz w:val="21"/>
          <w:szCs w:val="21"/>
          <w:spacing w:val="-18"/>
        </w:rPr>
        <w:t>年</w:t>
      </w:r>
      <w:r>
        <w:rPr>
          <w:rFonts w:ascii="FangSong" w:hAnsi="FangSong" w:eastAsia="FangSong" w:cs="FangSong"/>
          <w:sz w:val="21"/>
          <w:szCs w:val="21"/>
          <w:spacing w:val="-46"/>
        </w:rPr>
        <w:t xml:space="preserve"> </w:t>
      </w:r>
      <w:r>
        <w:rPr>
          <w:rFonts w:ascii="FangSong" w:hAnsi="FangSong" w:eastAsia="FangSong" w:cs="FangSong"/>
          <w:sz w:val="21"/>
          <w:szCs w:val="21"/>
          <w:spacing w:val="-18"/>
        </w:rPr>
        <w:t>)</w:t>
      </w:r>
      <w:r>
        <w:rPr>
          <w:rFonts w:ascii="FangSong" w:hAnsi="FangSong" w:eastAsia="FangSong" w:cs="FangSong"/>
          <w:sz w:val="21"/>
          <w:szCs w:val="21"/>
          <w:spacing w:val="-35"/>
        </w:rPr>
        <w:t xml:space="preserve"> </w:t>
      </w:r>
      <w:r>
        <w:rPr>
          <w:rFonts w:ascii="FangSong" w:hAnsi="FangSong" w:eastAsia="FangSong" w:cs="FangSong"/>
          <w:sz w:val="21"/>
          <w:szCs w:val="21"/>
          <w:spacing w:val="-18"/>
        </w:rPr>
        <w:t>》</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3558"/>
        <w:spacing w:before="69" w:line="184" w:lineRule="auto"/>
        <w:rPr>
          <w:rFonts w:ascii="LiSu" w:hAnsi="LiSu" w:eastAsia="LiSu" w:cs="LiSu"/>
          <w:sz w:val="21"/>
          <w:szCs w:val="21"/>
        </w:rPr>
      </w:pPr>
      <w:r>
        <w:rPr>
          <w:rFonts w:ascii="LiSu" w:hAnsi="LiSu" w:eastAsia="LiSu" w:cs="LiSu"/>
          <w:sz w:val="21"/>
          <w:szCs w:val="21"/>
          <w:b/>
          <w:bCs/>
          <w:spacing w:val="19"/>
        </w:rPr>
        <w:t>第13页共17页</w:t>
      </w:r>
    </w:p>
    <w:p>
      <w:pPr>
        <w:spacing w:line="184" w:lineRule="auto"/>
        <w:sectPr>
          <w:footerReference w:type="default" r:id="rId18"/>
          <w:pgSz w:w="11900" w:h="16840"/>
          <w:pgMar w:top="1273" w:right="310" w:bottom="819" w:left="1785" w:header="0" w:footer="209" w:gutter="0"/>
        </w:sectPr>
        <w:rPr>
          <w:rFonts w:ascii="LiSu" w:hAnsi="LiSu" w:eastAsia="LiSu" w:cs="LiSu"/>
          <w:sz w:val="21"/>
          <w:szCs w:val="21"/>
        </w:rPr>
      </w:pPr>
    </w:p>
    <w:p>
      <w:pPr>
        <w:ind w:left="3688"/>
        <w:spacing w:before="51" w:line="222" w:lineRule="auto"/>
        <w:rPr>
          <w:rFonts w:ascii="SimHei" w:hAnsi="SimHei" w:eastAsia="SimHei" w:cs="SimHei"/>
          <w:sz w:val="25"/>
          <w:szCs w:val="25"/>
        </w:rPr>
      </w:pPr>
      <w:r>
        <w:rPr>
          <w:rFonts w:ascii="SimHei" w:hAnsi="SimHei" w:eastAsia="SimHei" w:cs="SimHei"/>
          <w:sz w:val="25"/>
          <w:szCs w:val="25"/>
          <w:b/>
          <w:bCs/>
          <w:spacing w:val="-11"/>
        </w:rPr>
        <w:t>签</w:t>
      </w:r>
      <w:r>
        <w:rPr>
          <w:rFonts w:ascii="SimHei" w:hAnsi="SimHei" w:eastAsia="SimHei" w:cs="SimHei"/>
          <w:sz w:val="25"/>
          <w:szCs w:val="25"/>
          <w:spacing w:val="-20"/>
        </w:rPr>
        <w:t xml:space="preserve"> </w:t>
      </w:r>
      <w:r>
        <w:rPr>
          <w:rFonts w:ascii="SimHei" w:hAnsi="SimHei" w:eastAsia="SimHei" w:cs="SimHei"/>
          <w:sz w:val="25"/>
          <w:szCs w:val="25"/>
          <w:b/>
          <w:bCs/>
          <w:spacing w:val="-11"/>
        </w:rPr>
        <w:t>署</w:t>
      </w:r>
      <w:r>
        <w:rPr>
          <w:rFonts w:ascii="SimHei" w:hAnsi="SimHei" w:eastAsia="SimHei" w:cs="SimHei"/>
          <w:sz w:val="25"/>
          <w:szCs w:val="25"/>
          <w:spacing w:val="-18"/>
        </w:rPr>
        <w:t xml:space="preserve"> </w:t>
      </w:r>
      <w:r>
        <w:rPr>
          <w:rFonts w:ascii="SimHei" w:hAnsi="SimHei" w:eastAsia="SimHei" w:cs="SimHei"/>
          <w:sz w:val="25"/>
          <w:szCs w:val="25"/>
          <w:b/>
          <w:bCs/>
          <w:spacing w:val="-11"/>
        </w:rPr>
        <w:t>页</w:t>
      </w:r>
    </w:p>
    <w:p>
      <w:pPr>
        <w:spacing w:before="4"/>
        <w:rPr/>
      </w:pPr>
      <w:r/>
    </w:p>
    <w:p>
      <w:pPr>
        <w:spacing w:before="4"/>
        <w:rPr/>
      </w:pPr>
      <w:r/>
    </w:p>
    <w:p>
      <w:pPr>
        <w:sectPr>
          <w:footerReference w:type="default" r:id="rId21"/>
          <w:pgSz w:w="11900" w:h="16840"/>
          <w:pgMar w:top="1195" w:right="299" w:bottom="789" w:left="1785" w:header="0" w:footer="239" w:gutter="0"/>
          <w:cols w:equalWidth="0" w:num="1">
            <w:col w:w="9816" w:space="0"/>
          </w:cols>
        </w:sectPr>
        <w:rPr/>
      </w:pPr>
    </w:p>
    <w:p>
      <w:pPr>
        <w:pStyle w:val="BodyText"/>
        <w:spacing w:line="251" w:lineRule="auto"/>
        <w:rPr/>
      </w:pPr>
      <w:r/>
    </w:p>
    <w:p>
      <w:pPr>
        <w:pStyle w:val="BodyText"/>
        <w:spacing w:line="251" w:lineRule="auto"/>
        <w:rPr/>
      </w:pPr>
      <w:r/>
    </w:p>
    <w:p>
      <w:pPr>
        <w:ind w:left="215" w:right="320"/>
        <w:spacing w:before="81" w:line="289" w:lineRule="auto"/>
        <w:rPr>
          <w:rFonts w:ascii="FangSong" w:hAnsi="FangSong" w:eastAsia="FangSong" w:cs="FangSong"/>
          <w:sz w:val="25"/>
          <w:szCs w:val="25"/>
        </w:rPr>
      </w:pPr>
      <w:r>
        <w:rPr>
          <w:rFonts w:ascii="FangSong" w:hAnsi="FangSong" w:eastAsia="FangSong" w:cs="FangSong"/>
          <w:sz w:val="25"/>
          <w:szCs w:val="25"/>
          <w:spacing w:val="20"/>
        </w:rPr>
        <w:t>甲方(零售用户):北京市昌平区沙</w:t>
      </w:r>
      <w:r>
        <w:rPr>
          <w:rFonts w:ascii="FangSong" w:hAnsi="FangSong" w:eastAsia="FangSong" w:cs="FangSong"/>
          <w:sz w:val="25"/>
          <w:szCs w:val="25"/>
          <w:spacing w:val="13"/>
        </w:rPr>
        <w:t xml:space="preserve"> </w:t>
      </w:r>
      <w:r>
        <w:rPr>
          <w:rFonts w:ascii="FangSong" w:hAnsi="FangSong" w:eastAsia="FangSong" w:cs="FangSong"/>
          <w:sz w:val="25"/>
          <w:szCs w:val="25"/>
          <w:spacing w:val="10"/>
        </w:rPr>
        <w:t>河医院</w:t>
      </w:r>
    </w:p>
    <w:p>
      <w:pPr>
        <w:ind w:left="314"/>
        <w:spacing w:line="222" w:lineRule="auto"/>
        <w:rPr>
          <w:rFonts w:ascii="FangSong" w:hAnsi="FangSong" w:eastAsia="FangSong" w:cs="FangSong"/>
          <w:sz w:val="25"/>
          <w:szCs w:val="25"/>
        </w:rPr>
      </w:pPr>
      <w:r>
        <w:rPr>
          <w:rFonts w:ascii="FangSong" w:hAnsi="FangSong" w:eastAsia="FangSong" w:cs="FangSong"/>
          <w:sz w:val="25"/>
          <w:szCs w:val="25"/>
          <w:spacing w:val="-24"/>
        </w:rPr>
        <w:t>(</w:t>
      </w:r>
      <w:r>
        <w:rPr>
          <w:rFonts w:ascii="FangSong" w:hAnsi="FangSong" w:eastAsia="FangSong" w:cs="FangSong"/>
          <w:sz w:val="25"/>
          <w:szCs w:val="25"/>
          <w:spacing w:val="-42"/>
        </w:rPr>
        <w:t xml:space="preserve"> </w:t>
      </w:r>
      <w:r>
        <w:rPr>
          <w:rFonts w:ascii="FangSong" w:hAnsi="FangSong" w:eastAsia="FangSong" w:cs="FangSong"/>
          <w:sz w:val="25"/>
          <w:szCs w:val="25"/>
          <w:spacing w:val="-24"/>
        </w:rPr>
        <w:t>盖</w:t>
      </w:r>
      <w:r>
        <w:rPr>
          <w:rFonts w:ascii="FangSong" w:hAnsi="FangSong" w:eastAsia="FangSong" w:cs="FangSong"/>
          <w:sz w:val="25"/>
          <w:szCs w:val="25"/>
          <w:spacing w:val="-47"/>
        </w:rPr>
        <w:t xml:space="preserve"> </w:t>
      </w:r>
      <w:r>
        <w:rPr>
          <w:rFonts w:ascii="FangSong" w:hAnsi="FangSong" w:eastAsia="FangSong" w:cs="FangSong"/>
          <w:sz w:val="25"/>
          <w:szCs w:val="25"/>
          <w:spacing w:val="-24"/>
        </w:rPr>
        <w:t>章</w:t>
      </w:r>
      <w:r>
        <w:rPr>
          <w:rFonts w:ascii="FangSong" w:hAnsi="FangSong" w:eastAsia="FangSong" w:cs="FangSong"/>
          <w:sz w:val="25"/>
          <w:szCs w:val="25"/>
          <w:spacing w:val="-56"/>
        </w:rPr>
        <w:t xml:space="preserve"> </w:t>
      </w:r>
      <w:r>
        <w:rPr>
          <w:rFonts w:ascii="FangSong" w:hAnsi="FangSong" w:eastAsia="FangSong" w:cs="FangSong"/>
          <w:sz w:val="25"/>
          <w:szCs w:val="25"/>
          <w:spacing w:val="-24"/>
        </w:rPr>
        <w:t>)</w:t>
      </w:r>
    </w:p>
    <w:p>
      <w:pPr>
        <w:ind w:left="215"/>
        <w:spacing w:before="87" w:line="222" w:lineRule="auto"/>
        <w:rPr>
          <w:rFonts w:ascii="FangSong" w:hAnsi="FangSong" w:eastAsia="FangSong" w:cs="FangSong"/>
          <w:sz w:val="25"/>
          <w:szCs w:val="25"/>
        </w:rPr>
      </w:pPr>
      <w:r>
        <w:rPr>
          <w:rFonts w:ascii="FangSong" w:hAnsi="FangSong" w:eastAsia="FangSong" w:cs="FangSong"/>
          <w:sz w:val="25"/>
          <w:szCs w:val="25"/>
          <w:spacing w:val="1"/>
        </w:rPr>
        <w:t>统一社会信用代码：</w:t>
      </w:r>
    </w:p>
    <w:p>
      <w:pPr>
        <w:ind w:left="215"/>
        <w:spacing w:before="158" w:line="188" w:lineRule="auto"/>
        <w:rPr>
          <w:rFonts w:ascii="Times New Roman" w:hAnsi="Times New Roman" w:eastAsia="Times New Roman" w:cs="Times New Roman"/>
          <w:sz w:val="25"/>
          <w:szCs w:val="25"/>
        </w:rPr>
      </w:pPr>
      <w:r>
        <w:drawing>
          <wp:anchor distT="0" distB="0" distL="0" distR="0" simplePos="0" relativeHeight="251701248" behindDoc="0" locked="0" layoutInCell="1" allowOverlap="1">
            <wp:simplePos x="0" y="0"/>
            <wp:positionH relativeFrom="column">
              <wp:posOffset>1089042</wp:posOffset>
            </wp:positionH>
            <wp:positionV relativeFrom="paragraph">
              <wp:posOffset>167013</wp:posOffset>
            </wp:positionV>
            <wp:extent cx="1435055" cy="1473123"/>
            <wp:effectExtent l="0" t="0" r="0" b="0"/>
            <wp:wrapNone/>
            <wp:docPr id="70" name="IM 70"/>
            <wp:cNvGraphicFramePr/>
            <a:graphic>
              <a:graphicData uri="http://schemas.openxmlformats.org/drawingml/2006/picture">
                <pic:pic>
                  <pic:nvPicPr>
                    <pic:cNvPr id="70" name="IM 70"/>
                    <pic:cNvPicPr/>
                  </pic:nvPicPr>
                  <pic:blipFill>
                    <a:blip r:embed="rId22"/>
                    <a:stretch>
                      <a:fillRect/>
                    </a:stretch>
                  </pic:blipFill>
                  <pic:spPr>
                    <a:xfrm rot="0">
                      <a:off x="0" y="0"/>
                      <a:ext cx="1435055" cy="1473123"/>
                    </a:xfrm>
                    <a:prstGeom prst="rect">
                      <a:avLst/>
                    </a:prstGeom>
                  </pic:spPr>
                </pic:pic>
              </a:graphicData>
            </a:graphic>
          </wp:anchor>
        </w:drawing>
      </w:r>
      <w:r>
        <w:rPr>
          <w:rFonts w:ascii="Times New Roman" w:hAnsi="Times New Roman" w:eastAsia="Times New Roman" w:cs="Times New Roman"/>
          <w:sz w:val="25"/>
          <w:szCs w:val="25"/>
          <w:spacing w:val="-2"/>
        </w:rPr>
        <w:t>121102214009280271</w:t>
      </w:r>
    </w:p>
    <w:p>
      <w:pPr>
        <w:ind w:left="215"/>
        <w:spacing w:before="256" w:line="224" w:lineRule="auto"/>
        <w:rPr>
          <w:rFonts w:ascii="KaiTi" w:hAnsi="KaiTi" w:eastAsia="KaiTi" w:cs="KaiTi"/>
          <w:sz w:val="25"/>
          <w:szCs w:val="25"/>
        </w:rPr>
      </w:pPr>
      <w:r>
        <w:rPr>
          <w:rFonts w:ascii="FangSong" w:hAnsi="FangSong" w:eastAsia="FangSong" w:cs="FangSong"/>
          <w:sz w:val="25"/>
          <w:szCs w:val="25"/>
          <w:spacing w:val="34"/>
        </w:rPr>
        <w:t>法定代表</w:t>
      </w:r>
      <w:r>
        <w:rPr>
          <w:rFonts w:ascii="KaiTi" w:hAnsi="KaiTi" w:eastAsia="KaiTi" w:cs="KaiTi"/>
          <w:sz w:val="25"/>
          <w:szCs w:val="25"/>
          <w:spacing w:val="34"/>
        </w:rPr>
        <w:t>人(负责人)或</w:t>
      </w:r>
    </w:p>
    <w:p>
      <w:pPr>
        <w:ind w:left="2645"/>
        <w:spacing w:before="275" w:line="224" w:lineRule="auto"/>
        <w:rPr>
          <w:rFonts w:ascii="SimSun" w:hAnsi="SimSun" w:eastAsia="SimSun" w:cs="SimSun"/>
          <w:sz w:val="25"/>
          <w:szCs w:val="25"/>
        </w:rPr>
      </w:pPr>
      <w:r>
        <w:rPr>
          <w:rFonts w:ascii="SimSun" w:hAnsi="SimSun" w:eastAsia="SimSun" w:cs="SimSun"/>
          <w:sz w:val="25"/>
          <w:szCs w:val="25"/>
          <w:spacing w:val="-3"/>
        </w:rPr>
        <w:t>2018</w:t>
      </w:r>
    </w:p>
    <w:p>
      <w:pPr>
        <w:ind w:left="215"/>
        <w:spacing w:line="222" w:lineRule="auto"/>
        <w:rPr>
          <w:rFonts w:ascii="FangSong" w:hAnsi="FangSong" w:eastAsia="FangSong" w:cs="FangSong"/>
          <w:sz w:val="25"/>
          <w:szCs w:val="25"/>
        </w:rPr>
      </w:pPr>
      <w:r>
        <w:rPr>
          <w:rFonts w:ascii="FangSong" w:hAnsi="FangSong" w:eastAsia="FangSong" w:cs="FangSong"/>
          <w:sz w:val="25"/>
          <w:szCs w:val="25"/>
          <w:spacing w:val="40"/>
        </w:rPr>
        <w:t>授权代表(签字):</w:t>
      </w:r>
    </w:p>
    <w:p>
      <w:pPr>
        <w:pStyle w:val="BodyText"/>
        <w:ind w:left="215"/>
        <w:spacing w:before="75" w:line="341" w:lineRule="exact"/>
        <w:rPr>
          <w:rFonts w:ascii="FangSong" w:hAnsi="FangSong" w:eastAsia="FangSong" w:cs="FangSong"/>
          <w:sz w:val="25"/>
          <w:szCs w:val="25"/>
        </w:rPr>
      </w:pPr>
      <w:r>
        <w:rPr>
          <w:rFonts w:ascii="FangSong" w:hAnsi="FangSong" w:eastAsia="FangSong" w:cs="FangSong"/>
          <w:sz w:val="25"/>
          <w:szCs w:val="25"/>
          <w:position w:val="-4"/>
        </w:rPr>
        <w:drawing>
          <wp:inline distT="0" distB="0" distL="0" distR="0">
            <wp:extent cx="151383" cy="174490"/>
            <wp:effectExtent l="0" t="0" r="0" b="0"/>
            <wp:docPr id="72" name="IM 72"/>
            <wp:cNvGraphicFramePr/>
            <a:graphic>
              <a:graphicData uri="http://schemas.openxmlformats.org/drawingml/2006/picture">
                <pic:pic>
                  <pic:nvPicPr>
                    <pic:cNvPr id="72" name="IM 72"/>
                    <pic:cNvPicPr/>
                  </pic:nvPicPr>
                  <pic:blipFill>
                    <a:blip r:embed="rId23"/>
                    <a:stretch>
                      <a:fillRect/>
                    </a:stretch>
                  </pic:blipFill>
                  <pic:spPr>
                    <a:xfrm rot="0">
                      <a:off x="0" y="0"/>
                      <a:ext cx="151383" cy="174490"/>
                    </a:xfrm>
                    <a:prstGeom prst="rect">
                      <a:avLst/>
                    </a:prstGeom>
                  </pic:spPr>
                </pic:pic>
              </a:graphicData>
            </a:graphic>
          </wp:inline>
        </w:drawing>
      </w:r>
      <w:r>
        <w:rPr>
          <w:rFonts w:ascii="FangSong" w:hAnsi="FangSong" w:eastAsia="FangSong" w:cs="FangSong"/>
          <w:sz w:val="25"/>
          <w:szCs w:val="25"/>
          <w:position w:val="-4"/>
        </w:rPr>
        <w:drawing>
          <wp:inline distT="0" distB="0" distL="0" distR="0">
            <wp:extent cx="160863" cy="174490"/>
            <wp:effectExtent l="0" t="0" r="0" b="0"/>
            <wp:docPr id="74" name="IM 74"/>
            <wp:cNvGraphicFramePr/>
            <a:graphic>
              <a:graphicData uri="http://schemas.openxmlformats.org/drawingml/2006/picture">
                <pic:pic>
                  <pic:nvPicPr>
                    <pic:cNvPr id="74" name="IM 74"/>
                    <pic:cNvPicPr/>
                  </pic:nvPicPr>
                  <pic:blipFill>
                    <a:blip r:embed="rId24"/>
                    <a:stretch>
                      <a:fillRect/>
                    </a:stretch>
                  </pic:blipFill>
                  <pic:spPr>
                    <a:xfrm rot="0">
                      <a:off x="0" y="0"/>
                      <a:ext cx="160863" cy="174490"/>
                    </a:xfrm>
                    <a:prstGeom prst="rect">
                      <a:avLst/>
                    </a:prstGeom>
                  </pic:spPr>
                </pic:pic>
              </a:graphicData>
            </a:graphic>
          </wp:inline>
        </w:drawing>
      </w:r>
      <w:r>
        <w:rPr>
          <w:rFonts w:ascii="FangSong" w:hAnsi="FangSong" w:eastAsia="FangSong" w:cs="FangSong"/>
          <w:sz w:val="25"/>
          <w:szCs w:val="25"/>
          <w:spacing w:val="-26"/>
          <w:w w:val="61"/>
          <w:position w:val="1"/>
        </w:rPr>
        <w:t>：日北期京：</w:t>
      </w:r>
      <w:r>
        <w:rPr>
          <w:sz w:val="25"/>
          <w:szCs w:val="25"/>
          <w:position w:val="-4"/>
        </w:rPr>
        <w:drawing>
          <wp:inline distT="0" distB="0" distL="0" distR="0">
            <wp:extent cx="164416" cy="162400"/>
            <wp:effectExtent l="0" t="0" r="0" b="0"/>
            <wp:docPr id="76" name="IM 76"/>
            <wp:cNvGraphicFramePr/>
            <a:graphic>
              <a:graphicData uri="http://schemas.openxmlformats.org/drawingml/2006/picture">
                <pic:pic>
                  <pic:nvPicPr>
                    <pic:cNvPr id="76" name="IM 76"/>
                    <pic:cNvPicPr/>
                  </pic:nvPicPr>
                  <pic:blipFill>
                    <a:blip r:embed="rId25"/>
                    <a:stretch>
                      <a:fillRect/>
                    </a:stretch>
                  </pic:blipFill>
                  <pic:spPr>
                    <a:xfrm rot="0">
                      <a:off x="0" y="0"/>
                      <a:ext cx="164416" cy="162400"/>
                    </a:xfrm>
                    <a:prstGeom prst="rect">
                      <a:avLst/>
                    </a:prstGeom>
                  </pic:spPr>
                </pic:pic>
              </a:graphicData>
            </a:graphic>
          </wp:inline>
        </w:drawing>
      </w:r>
      <w:r>
        <w:rPr>
          <w:rFonts w:ascii="Times New Roman" w:hAnsi="Times New Roman" w:eastAsia="Times New Roman" w:cs="Times New Roman"/>
          <w:sz w:val="25"/>
          <w:szCs w:val="25"/>
          <w:spacing w:val="-26"/>
          <w:w w:val="61"/>
          <w:position w:val="2"/>
        </w:rPr>
        <w:t>0</w:t>
      </w:r>
      <w:r>
        <w:rPr>
          <w:sz w:val="25"/>
          <w:szCs w:val="25"/>
          <w:position w:val="-4"/>
        </w:rPr>
        <w:drawing>
          <wp:inline distT="0" distB="0" distL="0" distR="0">
            <wp:extent cx="145208" cy="162400"/>
            <wp:effectExtent l="0" t="0" r="0" b="0"/>
            <wp:docPr id="78" name="IM 78"/>
            <wp:cNvGraphicFramePr/>
            <a:graphic>
              <a:graphicData uri="http://schemas.openxmlformats.org/drawingml/2006/picture">
                <pic:pic>
                  <pic:nvPicPr>
                    <pic:cNvPr id="78" name="IM 78"/>
                    <pic:cNvPicPr/>
                  </pic:nvPicPr>
                  <pic:blipFill>
                    <a:blip r:embed="rId26"/>
                    <a:stretch>
                      <a:fillRect/>
                    </a:stretch>
                  </pic:blipFill>
                  <pic:spPr>
                    <a:xfrm rot="0">
                      <a:off x="0" y="0"/>
                      <a:ext cx="145208" cy="162400"/>
                    </a:xfrm>
                    <a:prstGeom prst="rect">
                      <a:avLst/>
                    </a:prstGeom>
                  </pic:spPr>
                </pic:pic>
              </a:graphicData>
            </a:graphic>
          </wp:inline>
        </w:drawing>
      </w:r>
      <w:r>
        <w:rPr>
          <w:sz w:val="25"/>
          <w:szCs w:val="25"/>
          <w:spacing w:val="-26"/>
          <w:w w:val="61"/>
          <w:position w:val="2"/>
        </w:rPr>
        <w:t>6</w:t>
      </w:r>
      <w:r>
        <w:rPr>
          <w:rFonts w:ascii="FangSong" w:hAnsi="FangSong" w:eastAsia="FangSong" w:cs="FangSong"/>
          <w:sz w:val="25"/>
          <w:szCs w:val="25"/>
          <w:spacing w:val="-26"/>
          <w:w w:val="61"/>
          <w:position w:val="1"/>
        </w:rPr>
        <w:t>平</w:t>
      </w:r>
      <w:r>
        <w:rPr>
          <w:sz w:val="25"/>
          <w:szCs w:val="25"/>
          <w:spacing w:val="-26"/>
          <w:w w:val="61"/>
          <w:position w:val="1"/>
        </w:rPr>
        <w:t>.2</w:t>
      </w:r>
      <w:r>
        <w:rPr>
          <w:sz w:val="25"/>
          <w:szCs w:val="25"/>
          <w:spacing w:val="-26"/>
          <w:w w:val="61"/>
          <w:position w:val="2"/>
        </w:rPr>
        <w:t>.</w:t>
      </w:r>
      <w:r>
        <w:rPr>
          <w:rFonts w:ascii="FangSong" w:hAnsi="FangSong" w:eastAsia="FangSong" w:cs="FangSong"/>
          <w:sz w:val="25"/>
          <w:szCs w:val="25"/>
          <w:spacing w:val="-26"/>
          <w:w w:val="61"/>
          <w:position w:val="1"/>
        </w:rPr>
        <w:t>区</w:t>
      </w:r>
      <w:r>
        <w:rPr>
          <w:sz w:val="25"/>
          <w:szCs w:val="25"/>
          <w:spacing w:val="-26"/>
          <w:w w:val="61"/>
          <w:position w:val="1"/>
        </w:rPr>
        <w:t>10</w:t>
      </w:r>
      <w:r>
        <w:rPr>
          <w:rFonts w:ascii="FangSong" w:hAnsi="FangSong" w:eastAsia="FangSong" w:cs="FangSong"/>
          <w:sz w:val="25"/>
          <w:szCs w:val="25"/>
          <w:spacing w:val="-11"/>
          <w:position w:val="1"/>
        </w:rPr>
        <w:t>沙河镇扶京们路</w:t>
      </w:r>
    </w:p>
    <w:p>
      <w:pPr>
        <w:ind w:left="218"/>
        <w:spacing w:before="251" w:line="224" w:lineRule="auto"/>
        <w:rPr>
          <w:rFonts w:ascii="FangSong" w:hAnsi="FangSong" w:eastAsia="FangSong" w:cs="FangSong"/>
          <w:sz w:val="25"/>
          <w:szCs w:val="25"/>
        </w:rPr>
      </w:pPr>
      <w:r>
        <w:rPr>
          <w:rFonts w:ascii="FangSong" w:hAnsi="FangSong" w:eastAsia="FangSong" w:cs="FangSong"/>
          <w:sz w:val="25"/>
          <w:szCs w:val="25"/>
          <w:b/>
          <w:bCs/>
          <w:spacing w:val="25"/>
        </w:rPr>
        <w:t>22号</w:t>
      </w:r>
    </w:p>
    <w:p>
      <w:pPr>
        <w:ind w:left="215"/>
        <w:spacing w:before="127" w:line="222" w:lineRule="auto"/>
        <w:rPr>
          <w:rFonts w:ascii="FangSong" w:hAnsi="FangSong" w:eastAsia="FangSong" w:cs="FangSong"/>
          <w:sz w:val="25"/>
          <w:szCs w:val="25"/>
        </w:rPr>
      </w:pPr>
      <w:r>
        <w:rPr>
          <w:rFonts w:ascii="FangSong" w:hAnsi="FangSong" w:eastAsia="FangSong" w:cs="FangSong"/>
          <w:sz w:val="25"/>
          <w:szCs w:val="25"/>
          <w:spacing w:val="8"/>
        </w:rPr>
        <w:t>邮编：102206</w:t>
      </w:r>
    </w:p>
    <w:p>
      <w:pPr>
        <w:ind w:left="215"/>
        <w:spacing w:before="134" w:line="224" w:lineRule="auto"/>
        <w:rPr>
          <w:rFonts w:ascii="FangSong" w:hAnsi="FangSong" w:eastAsia="FangSong" w:cs="FangSong"/>
          <w:sz w:val="25"/>
          <w:szCs w:val="25"/>
        </w:rPr>
      </w:pPr>
      <w:r>
        <w:rPr>
          <w:rFonts w:ascii="FangSong" w:hAnsi="FangSong" w:eastAsia="FangSong" w:cs="FangSong"/>
          <w:sz w:val="25"/>
          <w:szCs w:val="25"/>
          <w:spacing w:val="13"/>
        </w:rPr>
        <w:t>联系人：王兴</w:t>
      </w:r>
    </w:p>
    <w:p>
      <w:pPr>
        <w:ind w:left="215"/>
        <w:spacing w:before="125" w:line="223" w:lineRule="auto"/>
        <w:rPr>
          <w:rFonts w:ascii="FangSong" w:hAnsi="FangSong" w:eastAsia="FangSong" w:cs="FangSong"/>
          <w:sz w:val="25"/>
          <w:szCs w:val="25"/>
        </w:rPr>
      </w:pPr>
      <w:r>
        <w:rPr>
          <w:rFonts w:ascii="FangSong" w:hAnsi="FangSong" w:eastAsia="FangSong" w:cs="FangSong"/>
          <w:sz w:val="25"/>
          <w:szCs w:val="25"/>
          <w:spacing w:val="2"/>
        </w:rPr>
        <w:t>电话：18801238197</w:t>
      </w:r>
    </w:p>
    <w:p>
      <w:pPr>
        <w:spacing w:line="53" w:lineRule="auto"/>
        <w:rPr>
          <w:rFonts w:ascii="Arial"/>
          <w:sz w:val="2"/>
        </w:rPr>
      </w:pPr>
      <w:r>
        <w:rPr>
          <w:rFonts w:ascii="Arial"/>
          <w:sz w:val="2"/>
        </w:rPr>
      </w:r>
    </w:p>
    <w:p>
      <w:pPr>
        <w:pStyle w:val="BodyText"/>
        <w:spacing w:line="14" w:lineRule="auto"/>
        <w:rPr>
          <w:sz w:val="2"/>
        </w:rPr>
      </w:pPr>
      <w:r>
        <w:rPr>
          <w:sz w:val="2"/>
          <w:szCs w:val="2"/>
        </w:rPr>
        <w:br w:type="column"/>
      </w:r>
    </w:p>
    <w:p>
      <w:pPr>
        <w:pStyle w:val="BodyText"/>
        <w:spacing w:line="314" w:lineRule="auto"/>
        <w:rPr/>
      </w:pPr>
      <w:r/>
    </w:p>
    <w:p>
      <w:pPr>
        <w:pStyle w:val="BodyText"/>
        <w:spacing w:line="315" w:lineRule="auto"/>
        <w:rPr/>
      </w:pPr>
      <w:r/>
    </w:p>
    <w:p>
      <w:pPr>
        <w:ind w:right="1804"/>
        <w:spacing w:before="82" w:line="275" w:lineRule="auto"/>
        <w:rPr>
          <w:rFonts w:ascii="FangSong" w:hAnsi="FangSong" w:eastAsia="FangSong" w:cs="FangSong"/>
          <w:sz w:val="25"/>
          <w:szCs w:val="25"/>
        </w:rPr>
      </w:pPr>
      <w:r>
        <w:drawing>
          <wp:anchor distT="0" distB="0" distL="0" distR="0" simplePos="0" relativeHeight="251700224" behindDoc="0" locked="0" layoutInCell="1" allowOverlap="1">
            <wp:simplePos x="0" y="0"/>
            <wp:positionH relativeFrom="column">
              <wp:posOffset>488981</wp:posOffset>
            </wp:positionH>
            <wp:positionV relativeFrom="paragraph">
              <wp:posOffset>-370991</wp:posOffset>
            </wp:positionV>
            <wp:extent cx="1384275" cy="1346192"/>
            <wp:effectExtent l="0" t="0" r="0" b="0"/>
            <wp:wrapNone/>
            <wp:docPr id="80" name="IM 80"/>
            <wp:cNvGraphicFramePr/>
            <a:graphic>
              <a:graphicData uri="http://schemas.openxmlformats.org/drawingml/2006/picture">
                <pic:pic>
                  <pic:nvPicPr>
                    <pic:cNvPr id="80" name="IM 80"/>
                    <pic:cNvPicPr/>
                  </pic:nvPicPr>
                  <pic:blipFill>
                    <a:blip r:embed="rId27"/>
                    <a:stretch>
                      <a:fillRect/>
                    </a:stretch>
                  </pic:blipFill>
                  <pic:spPr>
                    <a:xfrm rot="0">
                      <a:off x="0" y="0"/>
                      <a:ext cx="1384275" cy="1346192"/>
                    </a:xfrm>
                    <a:prstGeom prst="rect">
                      <a:avLst/>
                    </a:prstGeom>
                  </pic:spPr>
                </pic:pic>
              </a:graphicData>
            </a:graphic>
          </wp:anchor>
        </w:drawing>
      </w:r>
      <w:r>
        <w:rPr>
          <w:rFonts w:ascii="FangSong" w:hAnsi="FangSong" w:eastAsia="FangSong" w:cs="FangSong"/>
          <w:sz w:val="25"/>
          <w:szCs w:val="25"/>
          <w:spacing w:val="20"/>
        </w:rPr>
        <w:t>乙方(售电公司):北京京能新</w:t>
      </w:r>
      <w:r>
        <w:rPr>
          <w:rFonts w:ascii="FangSong" w:hAnsi="FangSong" w:eastAsia="FangSong" w:cs="FangSong"/>
          <w:sz w:val="25"/>
          <w:szCs w:val="25"/>
          <w:spacing w:val="9"/>
        </w:rPr>
        <w:t xml:space="preserve"> </w:t>
      </w:r>
      <w:r>
        <w:rPr>
          <w:rFonts w:ascii="FangSong" w:hAnsi="FangSong" w:eastAsia="FangSong" w:cs="FangSong"/>
          <w:sz w:val="25"/>
          <w:szCs w:val="25"/>
          <w:spacing w:val="5"/>
        </w:rPr>
        <w:t>能源有限公司</w:t>
      </w:r>
    </w:p>
    <w:p>
      <w:pPr>
        <w:ind w:left="90"/>
        <w:spacing w:before="58" w:line="222" w:lineRule="auto"/>
        <w:rPr>
          <w:rFonts w:ascii="FangSong" w:hAnsi="FangSong" w:eastAsia="FangSong" w:cs="FangSong"/>
          <w:sz w:val="25"/>
          <w:szCs w:val="25"/>
        </w:rPr>
      </w:pPr>
      <w:r>
        <w:rPr>
          <w:rFonts w:ascii="FangSong" w:hAnsi="FangSong" w:eastAsia="FangSong" w:cs="FangSong"/>
          <w:sz w:val="25"/>
          <w:szCs w:val="25"/>
          <w:spacing w:val="-24"/>
        </w:rPr>
        <w:t>(</w:t>
      </w:r>
      <w:r>
        <w:rPr>
          <w:rFonts w:ascii="FangSong" w:hAnsi="FangSong" w:eastAsia="FangSong" w:cs="FangSong"/>
          <w:sz w:val="25"/>
          <w:szCs w:val="25"/>
          <w:spacing w:val="-29"/>
        </w:rPr>
        <w:t xml:space="preserve"> </w:t>
      </w:r>
      <w:r>
        <w:rPr>
          <w:rFonts w:ascii="FangSong" w:hAnsi="FangSong" w:eastAsia="FangSong" w:cs="FangSong"/>
          <w:sz w:val="25"/>
          <w:szCs w:val="25"/>
          <w:spacing w:val="-24"/>
        </w:rPr>
        <w:t>盖</w:t>
      </w:r>
      <w:r>
        <w:rPr>
          <w:rFonts w:ascii="FangSong" w:hAnsi="FangSong" w:eastAsia="FangSong" w:cs="FangSong"/>
          <w:sz w:val="25"/>
          <w:szCs w:val="25"/>
          <w:spacing w:val="-34"/>
        </w:rPr>
        <w:t xml:space="preserve"> </w:t>
      </w:r>
      <w:r>
        <w:rPr>
          <w:rFonts w:ascii="FangSong" w:hAnsi="FangSong" w:eastAsia="FangSong" w:cs="FangSong"/>
          <w:sz w:val="25"/>
          <w:szCs w:val="25"/>
          <w:spacing w:val="-24"/>
        </w:rPr>
        <w:t>章</w:t>
      </w:r>
      <w:r>
        <w:rPr>
          <w:rFonts w:ascii="FangSong" w:hAnsi="FangSong" w:eastAsia="FangSong" w:cs="FangSong"/>
          <w:sz w:val="25"/>
          <w:szCs w:val="25"/>
          <w:spacing w:val="-42"/>
        </w:rPr>
        <w:t xml:space="preserve"> </w:t>
      </w:r>
      <w:r>
        <w:rPr>
          <w:rFonts w:ascii="FangSong" w:hAnsi="FangSong" w:eastAsia="FangSong" w:cs="FangSong"/>
          <w:sz w:val="25"/>
          <w:szCs w:val="25"/>
          <w:spacing w:val="-24"/>
        </w:rPr>
        <w:t>)</w:t>
      </w:r>
    </w:p>
    <w:p>
      <w:pPr>
        <w:spacing w:before="137" w:line="222" w:lineRule="auto"/>
        <w:rPr>
          <w:rFonts w:ascii="FangSong" w:hAnsi="FangSong" w:eastAsia="FangSong" w:cs="FangSong"/>
          <w:sz w:val="25"/>
          <w:szCs w:val="25"/>
        </w:rPr>
      </w:pPr>
      <w:r>
        <w:rPr>
          <w:rFonts w:ascii="FangSong" w:hAnsi="FangSong" w:eastAsia="FangSong" w:cs="FangSong"/>
          <w:sz w:val="25"/>
          <w:szCs w:val="25"/>
          <w:spacing w:val="-4"/>
        </w:rPr>
        <w:t>统一社会信用代码：</w:t>
      </w:r>
    </w:p>
    <w:p>
      <w:pPr>
        <w:spacing w:before="128" w:line="188" w:lineRule="auto"/>
        <w:rPr>
          <w:rFonts w:ascii="Times New Roman" w:hAnsi="Times New Roman" w:eastAsia="Times New Roman" w:cs="Times New Roman"/>
          <w:sz w:val="25"/>
          <w:szCs w:val="25"/>
        </w:rPr>
      </w:pPr>
      <w:r>
        <w:rPr>
          <w:rFonts w:ascii="Times New Roman" w:hAnsi="Times New Roman" w:eastAsia="Times New Roman" w:cs="Times New Roman"/>
          <w:sz w:val="25"/>
          <w:szCs w:val="25"/>
          <w:spacing w:val="-1"/>
        </w:rPr>
        <w:t>911100007541664105</w:t>
      </w:r>
    </w:p>
    <w:p>
      <w:pPr>
        <w:ind w:right="2397"/>
        <w:spacing w:before="217" w:line="318" w:lineRule="auto"/>
        <w:rPr>
          <w:rFonts w:ascii="KaiTi" w:hAnsi="KaiTi" w:eastAsia="KaiTi" w:cs="KaiTi"/>
          <w:sz w:val="25"/>
          <w:szCs w:val="25"/>
        </w:rPr>
      </w:pPr>
      <w:r>
        <w:rPr>
          <w:rFonts w:ascii="FangSong" w:hAnsi="FangSong" w:eastAsia="FangSong" w:cs="FangSong"/>
          <w:sz w:val="25"/>
          <w:szCs w:val="25"/>
          <w:spacing w:val="44"/>
        </w:rPr>
        <w:t>法定代表人(负责人或</w:t>
      </w:r>
      <w:r>
        <w:rPr>
          <w:rFonts w:ascii="FangSong" w:hAnsi="FangSong" w:eastAsia="FangSong" w:cs="FangSong"/>
          <w:sz w:val="25"/>
          <w:szCs w:val="25"/>
          <w:spacing w:val="6"/>
        </w:rPr>
        <w:t xml:space="preserve"> </w:t>
      </w:r>
      <w:r>
        <w:rPr>
          <w:rFonts w:ascii="FangSong" w:hAnsi="FangSong" w:eastAsia="FangSong" w:cs="FangSong"/>
          <w:sz w:val="25"/>
          <w:szCs w:val="25"/>
          <w:spacing w:val="26"/>
        </w:rPr>
        <w:t>授权代表(签字)</w:t>
      </w:r>
      <w:r>
        <w:rPr>
          <w:rFonts w:ascii="FangSong" w:hAnsi="FangSong" w:eastAsia="FangSong" w:cs="FangSong"/>
          <w:sz w:val="25"/>
          <w:szCs w:val="25"/>
          <w:spacing w:val="26"/>
        </w:rPr>
        <w:t xml:space="preserve"> </w:t>
      </w:r>
      <w:r>
        <w:rPr>
          <w:rFonts w:ascii="KaiTi" w:hAnsi="KaiTi" w:eastAsia="KaiTi" w:cs="KaiTi"/>
          <w:sz w:val="25"/>
          <w:szCs w:val="25"/>
          <w:spacing w:val="26"/>
        </w:rPr>
        <w:t>系</w:t>
      </w:r>
    </w:p>
    <w:p>
      <w:pPr>
        <w:spacing w:line="223" w:lineRule="auto"/>
        <w:rPr>
          <w:rFonts w:ascii="Times New Roman" w:hAnsi="Times New Roman" w:eastAsia="Times New Roman" w:cs="Times New Roman"/>
          <w:sz w:val="25"/>
          <w:szCs w:val="25"/>
        </w:rPr>
      </w:pPr>
      <w:r>
        <w:pict>
          <v:shape id="_x0000_s2" style="position:absolute;margin-left:96.0029pt;margin-top:-8.4034pt;mso-position-vertical-relative:text;mso-position-horizontal-relative:text;width:32.8pt;height:32.9pt;z-index:251699200;" filled="false" stroked="false" type="#_x0000_t202">
            <v:fill on="false"/>
            <v:stroke on="false"/>
            <v:path/>
            <v:imagedata o:title=""/>
            <o:lock v:ext="edit" aspectratio="false"/>
            <v:textbox inset="0mm,0mm,0mm,0mm">
              <w:txbxContent>
                <w:p>
                  <w:pPr>
                    <w:ind w:left="20"/>
                    <w:spacing w:before="20" w:line="217" w:lineRule="auto"/>
                    <w:rPr>
                      <w:rFonts w:ascii="SimSun" w:hAnsi="SimSun" w:eastAsia="SimSun" w:cs="SimSun"/>
                      <w:sz w:val="25"/>
                      <w:szCs w:val="25"/>
                    </w:rPr>
                  </w:pPr>
                  <w:r>
                    <w:rPr>
                      <w:rFonts w:ascii="SimSun" w:hAnsi="SimSun" w:eastAsia="SimSun" w:cs="SimSun"/>
                      <w:sz w:val="25"/>
                      <w:szCs w:val="25"/>
                    </w:rPr>
                    <w:t>义</w:t>
                  </w:r>
                </w:p>
                <w:p>
                  <w:pPr>
                    <w:ind w:left="23"/>
                    <w:spacing w:before="1" w:line="238" w:lineRule="auto"/>
                    <w:rPr>
                      <w:rFonts w:ascii="SimSun" w:hAnsi="SimSun" w:eastAsia="SimSun" w:cs="SimSun"/>
                      <w:sz w:val="25"/>
                      <w:szCs w:val="25"/>
                    </w:rPr>
                  </w:pPr>
                  <w:r>
                    <w:rPr>
                      <w:rFonts w:ascii="SimSun" w:hAnsi="SimSun" w:eastAsia="SimSun" w:cs="SimSun"/>
                      <w:sz w:val="25"/>
                      <w:szCs w:val="25"/>
                      <w:spacing w:val="-3"/>
                    </w:rPr>
                    <w:t>26.21</w:t>
                  </w:r>
                </w:p>
              </w:txbxContent>
            </v:textbox>
          </v:shape>
        </w:pict>
      </w:r>
      <w:r>
        <w:rPr>
          <w:rFonts w:ascii="FangSong" w:hAnsi="FangSong" w:eastAsia="FangSong" w:cs="FangSong"/>
          <w:sz w:val="25"/>
          <w:szCs w:val="25"/>
          <w:spacing w:val="-11"/>
        </w:rPr>
        <w:t>签订日期：</w:t>
      </w:r>
      <w:r>
        <w:rPr>
          <w:rFonts w:ascii="Times New Roman" w:hAnsi="Times New Roman" w:eastAsia="Times New Roman" w:cs="Times New Roman"/>
          <w:sz w:val="25"/>
          <w:szCs w:val="25"/>
          <w:spacing w:val="-11"/>
        </w:rPr>
        <w:t>Zo26.2</w:t>
      </w:r>
    </w:p>
    <w:p>
      <w:pPr>
        <w:ind w:left="3" w:right="1838"/>
        <w:spacing w:before="73" w:line="325" w:lineRule="auto"/>
        <w:rPr>
          <w:rFonts w:ascii="FangSong" w:hAnsi="FangSong" w:eastAsia="FangSong" w:cs="FangSong"/>
          <w:sz w:val="25"/>
          <w:szCs w:val="25"/>
        </w:rPr>
      </w:pPr>
      <w:r>
        <w:rPr>
          <w:rFonts w:ascii="FangSong" w:hAnsi="FangSong" w:eastAsia="FangSong" w:cs="FangSong"/>
          <w:sz w:val="25"/>
          <w:szCs w:val="25"/>
          <w:b/>
          <w:bCs/>
          <w:spacing w:val="6"/>
        </w:rPr>
        <w:t>地址：北京市朝阳区广渠路18</w:t>
      </w:r>
      <w:r>
        <w:rPr>
          <w:rFonts w:ascii="FangSong" w:hAnsi="FangSong" w:eastAsia="FangSong" w:cs="FangSong"/>
          <w:sz w:val="25"/>
          <w:szCs w:val="25"/>
          <w:spacing w:val="6"/>
        </w:rPr>
        <w:t xml:space="preserve"> </w:t>
      </w:r>
      <w:r>
        <w:rPr>
          <w:rFonts w:ascii="FangSong" w:hAnsi="FangSong" w:eastAsia="FangSong" w:cs="FangSong"/>
          <w:sz w:val="25"/>
          <w:szCs w:val="25"/>
          <w:b/>
          <w:bCs/>
          <w:spacing w:val="21"/>
        </w:rPr>
        <w:t>号院世东国际1号楼第13层</w:t>
      </w:r>
      <w:r>
        <w:rPr>
          <w:rFonts w:ascii="FangSong" w:hAnsi="FangSong" w:eastAsia="FangSong" w:cs="FangSong"/>
          <w:sz w:val="25"/>
          <w:szCs w:val="25"/>
          <w:spacing w:val="4"/>
        </w:rPr>
        <w:t xml:space="preserve">  </w:t>
      </w:r>
      <w:r>
        <w:rPr>
          <w:rFonts w:ascii="FangSong" w:hAnsi="FangSong" w:eastAsia="FangSong" w:cs="FangSong"/>
          <w:sz w:val="25"/>
          <w:szCs w:val="25"/>
          <w:b/>
          <w:bCs/>
          <w:spacing w:val="-3"/>
        </w:rPr>
        <w:t>邮编：100022</w:t>
      </w:r>
    </w:p>
    <w:p>
      <w:pPr>
        <w:ind w:left="3"/>
        <w:spacing w:before="1" w:line="223" w:lineRule="auto"/>
        <w:rPr>
          <w:rFonts w:ascii="FangSong" w:hAnsi="FangSong" w:eastAsia="FangSong" w:cs="FangSong"/>
          <w:sz w:val="25"/>
          <w:szCs w:val="25"/>
        </w:rPr>
      </w:pPr>
      <w:r>
        <w:rPr>
          <w:rFonts w:ascii="FangSong" w:hAnsi="FangSong" w:eastAsia="FangSong" w:cs="FangSong"/>
          <w:sz w:val="25"/>
          <w:szCs w:val="25"/>
          <w:b/>
          <w:bCs/>
          <w:spacing w:val="2"/>
        </w:rPr>
        <w:t>联系人：于欢</w:t>
      </w:r>
    </w:p>
    <w:p>
      <w:pPr>
        <w:ind w:left="3"/>
        <w:spacing w:before="138" w:line="223" w:lineRule="auto"/>
        <w:rPr>
          <w:rFonts w:ascii="FangSong" w:hAnsi="FangSong" w:eastAsia="FangSong" w:cs="FangSong"/>
          <w:sz w:val="25"/>
          <w:szCs w:val="25"/>
        </w:rPr>
      </w:pPr>
      <w:r>
        <w:rPr>
          <w:rFonts w:ascii="FangSong" w:hAnsi="FangSong" w:eastAsia="FangSong" w:cs="FangSong"/>
          <w:sz w:val="25"/>
          <w:szCs w:val="25"/>
          <w:b/>
          <w:bCs/>
          <w:spacing w:val="-2"/>
        </w:rPr>
        <w:t>电话：18242166913</w:t>
      </w:r>
    </w:p>
    <w:p>
      <w:pPr>
        <w:spacing w:line="223" w:lineRule="auto"/>
        <w:sectPr>
          <w:type w:val="continuous"/>
          <w:pgSz w:w="11900" w:h="16840"/>
          <w:pgMar w:top="1195" w:right="299" w:bottom="789" w:left="1785" w:header="0" w:footer="239" w:gutter="0"/>
          <w:cols w:equalWidth="0" w:num="2">
            <w:col w:w="4495" w:space="100"/>
            <w:col w:w="5221" w:space="0"/>
          </w:cols>
        </w:sectPr>
        <w:rPr>
          <w:rFonts w:ascii="FangSong" w:hAnsi="FangSong" w:eastAsia="FangSong" w:cs="FangSong"/>
          <w:sz w:val="25"/>
          <w:szCs w:val="25"/>
        </w:rPr>
      </w:pP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ind w:left="3457"/>
        <w:spacing w:before="62" w:line="184" w:lineRule="auto"/>
        <w:rPr>
          <w:rFonts w:ascii="SimSun" w:hAnsi="SimSun" w:eastAsia="SimSun" w:cs="SimSun"/>
          <w:sz w:val="19"/>
          <w:szCs w:val="19"/>
        </w:rPr>
      </w:pPr>
      <w:r>
        <w:rPr>
          <w:rFonts w:ascii="SimSun" w:hAnsi="SimSun" w:eastAsia="SimSun" w:cs="SimSun"/>
          <w:sz w:val="19"/>
          <w:szCs w:val="19"/>
          <w:b/>
          <w:bCs/>
          <w:spacing w:val="-13"/>
        </w:rPr>
        <w:t>第</w:t>
      </w:r>
      <w:r>
        <w:rPr>
          <w:rFonts w:ascii="SimSun" w:hAnsi="SimSun" w:eastAsia="SimSun" w:cs="SimSun"/>
          <w:sz w:val="19"/>
          <w:szCs w:val="19"/>
          <w:spacing w:val="-29"/>
        </w:rPr>
        <w:t xml:space="preserve"> </w:t>
      </w:r>
      <w:r>
        <w:rPr>
          <w:rFonts w:ascii="SimSun" w:hAnsi="SimSun" w:eastAsia="SimSun" w:cs="SimSun"/>
          <w:sz w:val="19"/>
          <w:szCs w:val="19"/>
          <w:b/>
          <w:bCs/>
          <w:spacing w:val="-13"/>
        </w:rPr>
        <w:t>1</w:t>
      </w:r>
      <w:r>
        <w:rPr>
          <w:rFonts w:ascii="SimSun" w:hAnsi="SimSun" w:eastAsia="SimSun" w:cs="SimSun"/>
          <w:sz w:val="19"/>
          <w:szCs w:val="19"/>
          <w:spacing w:val="-43"/>
        </w:rPr>
        <w:t xml:space="preserve"> </w:t>
      </w:r>
      <w:r>
        <w:rPr>
          <w:rFonts w:ascii="SimSun" w:hAnsi="SimSun" w:eastAsia="SimSun" w:cs="SimSun"/>
          <w:sz w:val="19"/>
          <w:szCs w:val="19"/>
          <w:b/>
          <w:bCs/>
          <w:spacing w:val="-13"/>
        </w:rPr>
        <w:t>4</w:t>
      </w:r>
      <w:r>
        <w:rPr>
          <w:rFonts w:ascii="SimSun" w:hAnsi="SimSun" w:eastAsia="SimSun" w:cs="SimSun"/>
          <w:sz w:val="19"/>
          <w:szCs w:val="19"/>
          <w:spacing w:val="-38"/>
        </w:rPr>
        <w:t xml:space="preserve"> </w:t>
      </w:r>
      <w:r>
        <w:rPr>
          <w:rFonts w:ascii="SimSun" w:hAnsi="SimSun" w:eastAsia="SimSun" w:cs="SimSun"/>
          <w:sz w:val="19"/>
          <w:szCs w:val="19"/>
          <w:b/>
          <w:bCs/>
          <w:spacing w:val="-13"/>
        </w:rPr>
        <w:t>页</w:t>
      </w:r>
      <w:r>
        <w:rPr>
          <w:rFonts w:ascii="SimSun" w:hAnsi="SimSun" w:eastAsia="SimSun" w:cs="SimSun"/>
          <w:sz w:val="19"/>
          <w:szCs w:val="19"/>
          <w:spacing w:val="-42"/>
        </w:rPr>
        <w:t xml:space="preserve"> </w:t>
      </w:r>
      <w:r>
        <w:rPr>
          <w:rFonts w:ascii="SimSun" w:hAnsi="SimSun" w:eastAsia="SimSun" w:cs="SimSun"/>
          <w:sz w:val="19"/>
          <w:szCs w:val="19"/>
          <w:b/>
          <w:bCs/>
          <w:spacing w:val="-13"/>
        </w:rPr>
        <w:t>共</w:t>
      </w:r>
      <w:r>
        <w:rPr>
          <w:rFonts w:ascii="SimSun" w:hAnsi="SimSun" w:eastAsia="SimSun" w:cs="SimSun"/>
          <w:sz w:val="19"/>
          <w:szCs w:val="19"/>
          <w:spacing w:val="-29"/>
        </w:rPr>
        <w:t xml:space="preserve"> </w:t>
      </w:r>
      <w:r>
        <w:rPr>
          <w:rFonts w:ascii="SimSun" w:hAnsi="SimSun" w:eastAsia="SimSun" w:cs="SimSun"/>
          <w:sz w:val="19"/>
          <w:szCs w:val="19"/>
          <w:b/>
          <w:bCs/>
          <w:spacing w:val="-13"/>
        </w:rPr>
        <w:t>1</w:t>
      </w:r>
      <w:r>
        <w:rPr>
          <w:rFonts w:ascii="SimSun" w:hAnsi="SimSun" w:eastAsia="SimSun" w:cs="SimSun"/>
          <w:sz w:val="19"/>
          <w:szCs w:val="19"/>
          <w:spacing w:val="-37"/>
        </w:rPr>
        <w:t xml:space="preserve"> </w:t>
      </w:r>
      <w:r>
        <w:rPr>
          <w:rFonts w:ascii="SimSun" w:hAnsi="SimSun" w:eastAsia="SimSun" w:cs="SimSun"/>
          <w:sz w:val="19"/>
          <w:szCs w:val="19"/>
          <w:b/>
          <w:bCs/>
          <w:spacing w:val="-13"/>
        </w:rPr>
        <w:t>7</w:t>
      </w:r>
      <w:r>
        <w:rPr>
          <w:rFonts w:ascii="SimSun" w:hAnsi="SimSun" w:eastAsia="SimSun" w:cs="SimSun"/>
          <w:sz w:val="19"/>
          <w:szCs w:val="19"/>
          <w:spacing w:val="-38"/>
        </w:rPr>
        <w:t xml:space="preserve"> </w:t>
      </w:r>
      <w:r>
        <w:rPr>
          <w:rFonts w:ascii="SimSun" w:hAnsi="SimSun" w:eastAsia="SimSun" w:cs="SimSun"/>
          <w:sz w:val="19"/>
          <w:szCs w:val="19"/>
          <w:b/>
          <w:bCs/>
          <w:spacing w:val="-13"/>
        </w:rPr>
        <w:t>页</w:t>
      </w:r>
    </w:p>
    <w:p>
      <w:pPr>
        <w:spacing w:line="184" w:lineRule="auto"/>
        <w:sectPr>
          <w:type w:val="continuous"/>
          <w:pgSz w:w="11900" w:h="16840"/>
          <w:pgMar w:top="1195" w:right="299" w:bottom="789" w:left="1785" w:header="0" w:footer="239" w:gutter="0"/>
          <w:cols w:equalWidth="0" w:num="1">
            <w:col w:w="9816" w:space="0"/>
          </w:cols>
        </w:sectPr>
        <w:rPr>
          <w:rFonts w:ascii="SimSun" w:hAnsi="SimSun" w:eastAsia="SimSun" w:cs="SimSun"/>
          <w:sz w:val="19"/>
          <w:szCs w:val="19"/>
        </w:rPr>
      </w:pPr>
    </w:p>
    <w:p>
      <w:pPr>
        <w:ind w:left="358"/>
        <w:spacing w:before="108" w:line="224" w:lineRule="auto"/>
        <w:rPr>
          <w:rFonts w:ascii="SimHei" w:hAnsi="SimHei" w:eastAsia="SimHei" w:cs="SimHei"/>
          <w:sz w:val="25"/>
          <w:szCs w:val="25"/>
        </w:rPr>
      </w:pPr>
      <w:r>
        <w:rPr>
          <w:rFonts w:ascii="SimHei" w:hAnsi="SimHei" w:eastAsia="SimHei" w:cs="SimHei"/>
          <w:sz w:val="25"/>
          <w:szCs w:val="25"/>
          <w:b/>
          <w:bCs/>
          <w:spacing w:val="2"/>
        </w:rPr>
        <w:t>附件</w:t>
      </w:r>
      <w:r>
        <w:rPr>
          <w:rFonts w:ascii="SimHei" w:hAnsi="SimHei" w:eastAsia="SimHei" w:cs="SimHei"/>
          <w:sz w:val="25"/>
          <w:szCs w:val="25"/>
          <w:spacing w:val="-56"/>
        </w:rPr>
        <w:t xml:space="preserve"> </w:t>
      </w:r>
      <w:r>
        <w:rPr>
          <w:rFonts w:ascii="SimHei" w:hAnsi="SimHei" w:eastAsia="SimHei" w:cs="SimHei"/>
          <w:sz w:val="25"/>
          <w:szCs w:val="25"/>
          <w:b/>
          <w:bCs/>
          <w:spacing w:val="2"/>
        </w:rPr>
        <w:t>一</w:t>
      </w:r>
      <w:r>
        <w:rPr>
          <w:rFonts w:ascii="SimHei" w:hAnsi="SimHei" w:eastAsia="SimHei" w:cs="SimHei"/>
          <w:sz w:val="25"/>
          <w:szCs w:val="25"/>
          <w:spacing w:val="-70"/>
        </w:rPr>
        <w:t xml:space="preserve"> </w:t>
      </w:r>
      <w:r>
        <w:rPr>
          <w:rFonts w:ascii="SimHei" w:hAnsi="SimHei" w:eastAsia="SimHei" w:cs="SimHei"/>
          <w:sz w:val="25"/>
          <w:szCs w:val="25"/>
          <w:b/>
          <w:bCs/>
          <w:spacing w:val="2"/>
        </w:rPr>
        <w:t>：</w:t>
      </w:r>
    </w:p>
    <w:p>
      <w:pPr>
        <w:ind w:left="2369"/>
        <w:spacing w:before="202" w:line="218" w:lineRule="auto"/>
        <w:rPr>
          <w:rFonts w:ascii="SimSun" w:hAnsi="SimSun" w:eastAsia="SimSun" w:cs="SimSun"/>
          <w:sz w:val="31"/>
          <w:szCs w:val="31"/>
        </w:rPr>
      </w:pPr>
      <w:r>
        <w:drawing>
          <wp:anchor distT="0" distB="0" distL="0" distR="0" simplePos="0" relativeHeight="251704320" behindDoc="0" locked="0" layoutInCell="1" allowOverlap="1">
            <wp:simplePos x="0" y="0"/>
            <wp:positionH relativeFrom="column">
              <wp:posOffset>1133475</wp:posOffset>
            </wp:positionH>
            <wp:positionV relativeFrom="paragraph">
              <wp:posOffset>251789</wp:posOffset>
            </wp:positionV>
            <wp:extent cx="1428782" cy="1327157"/>
            <wp:effectExtent l="0" t="0" r="0" b="0"/>
            <wp:wrapNone/>
            <wp:docPr id="84" name="IM 84"/>
            <wp:cNvGraphicFramePr/>
            <a:graphic>
              <a:graphicData uri="http://schemas.openxmlformats.org/drawingml/2006/picture">
                <pic:pic>
                  <pic:nvPicPr>
                    <pic:cNvPr id="84" name="IM 84"/>
                    <pic:cNvPicPr/>
                  </pic:nvPicPr>
                  <pic:blipFill>
                    <a:blip r:embed="rId29"/>
                    <a:stretch>
                      <a:fillRect/>
                    </a:stretch>
                  </pic:blipFill>
                  <pic:spPr>
                    <a:xfrm rot="0">
                      <a:off x="0" y="0"/>
                      <a:ext cx="1428782" cy="1327157"/>
                    </a:xfrm>
                    <a:prstGeom prst="rect">
                      <a:avLst/>
                    </a:prstGeom>
                  </pic:spPr>
                </pic:pic>
              </a:graphicData>
            </a:graphic>
          </wp:anchor>
        </w:drawing>
      </w:r>
      <w:r>
        <w:rPr>
          <w:rFonts w:ascii="SimSun" w:hAnsi="SimSun" w:eastAsia="SimSun" w:cs="SimSun"/>
          <w:sz w:val="31"/>
          <w:szCs w:val="31"/>
          <w:b/>
          <w:bCs/>
          <w:spacing w:val="21"/>
        </w:rPr>
        <w:t>煤电容量电价政策知情书</w:t>
      </w:r>
    </w:p>
    <w:p>
      <w:pPr>
        <w:pStyle w:val="BodyText"/>
        <w:spacing w:line="418" w:lineRule="auto"/>
        <w:rPr/>
      </w:pPr>
      <w:r/>
    </w:p>
    <w:p>
      <w:pPr>
        <w:ind w:left="354" w:right="1776" w:firstLine="510"/>
        <w:spacing w:before="81" w:line="325" w:lineRule="auto"/>
        <w:jc w:val="both"/>
        <w:rPr>
          <w:rFonts w:ascii="FangSong" w:hAnsi="FangSong" w:eastAsia="FangSong" w:cs="FangSong"/>
          <w:sz w:val="25"/>
          <w:szCs w:val="25"/>
        </w:rPr>
      </w:pPr>
      <w:r>
        <w:rPr>
          <w:rFonts w:ascii="FangSong" w:hAnsi="FangSong" w:eastAsia="FangSong" w:cs="FangSong"/>
          <w:sz w:val="25"/>
          <w:szCs w:val="25"/>
          <w:spacing w:val="11"/>
        </w:rPr>
        <w:t>零售合同中约定的电能量电价，非用户最终到户电价(详见</w:t>
      </w:r>
      <w:r>
        <w:rPr>
          <w:rFonts w:ascii="FangSong" w:hAnsi="FangSong" w:eastAsia="FangSong" w:cs="FangSong"/>
          <w:sz w:val="25"/>
          <w:szCs w:val="25"/>
          <w:spacing w:val="10"/>
        </w:rPr>
        <w:t>合同</w:t>
      </w:r>
      <w:r>
        <w:rPr>
          <w:rFonts w:ascii="FangSong" w:hAnsi="FangSong" w:eastAsia="FangSong" w:cs="FangSong"/>
          <w:sz w:val="25"/>
          <w:szCs w:val="25"/>
        </w:rPr>
        <w:t xml:space="preserve"> </w:t>
      </w:r>
      <w:r>
        <w:rPr>
          <w:rFonts w:ascii="FangSong" w:hAnsi="FangSong" w:eastAsia="FangSong" w:cs="FangSong"/>
          <w:sz w:val="25"/>
          <w:szCs w:val="25"/>
          <w:spacing w:val="13"/>
        </w:rPr>
        <w:t>文本4.4条)。根据《国家发展改革委国家能源局关于建立煤电容量</w:t>
      </w:r>
      <w:r>
        <w:rPr>
          <w:rFonts w:ascii="FangSong" w:hAnsi="FangSong" w:eastAsia="FangSong" w:cs="FangSong"/>
          <w:sz w:val="25"/>
          <w:szCs w:val="25"/>
          <w:spacing w:val="18"/>
        </w:rPr>
        <w:t xml:space="preserve"> </w:t>
      </w:r>
      <w:r>
        <w:rPr>
          <w:rFonts w:ascii="FangSong" w:hAnsi="FangSong" w:eastAsia="FangSong" w:cs="FangSong"/>
          <w:sz w:val="25"/>
          <w:szCs w:val="25"/>
          <w:spacing w:val="22"/>
        </w:rPr>
        <w:t>电价机制的通知》(发改价格〔2023〕1501号)</w:t>
      </w:r>
      <w:r>
        <w:rPr>
          <w:rFonts w:ascii="FangSong" w:hAnsi="FangSong" w:eastAsia="FangSong" w:cs="FangSong"/>
          <w:sz w:val="25"/>
          <w:szCs w:val="25"/>
          <w:spacing w:val="21"/>
        </w:rPr>
        <w:t>要求，自2024年1</w:t>
      </w:r>
      <w:r>
        <w:rPr>
          <w:rFonts w:ascii="FangSong" w:hAnsi="FangSong" w:eastAsia="FangSong" w:cs="FangSong"/>
          <w:sz w:val="25"/>
          <w:szCs w:val="25"/>
        </w:rPr>
        <w:t xml:space="preserve"> </w:t>
      </w:r>
      <w:r>
        <w:rPr>
          <w:rFonts w:ascii="FangSong" w:hAnsi="FangSong" w:eastAsia="FangSong" w:cs="FangSong"/>
          <w:sz w:val="25"/>
          <w:szCs w:val="25"/>
          <w:spacing w:val="1"/>
        </w:rPr>
        <w:t>月1日起，煤电机组发电价格由单一制电价调整为两部制电价，即“电</w:t>
      </w:r>
      <w:r>
        <w:rPr>
          <w:rFonts w:ascii="FangSong" w:hAnsi="FangSong" w:eastAsia="FangSong" w:cs="FangSong"/>
          <w:sz w:val="25"/>
          <w:szCs w:val="25"/>
          <w:spacing w:val="11"/>
        </w:rPr>
        <w:t xml:space="preserve"> </w:t>
      </w:r>
      <w:r>
        <w:rPr>
          <w:rFonts w:ascii="FangSong" w:hAnsi="FangSong" w:eastAsia="FangSong" w:cs="FangSong"/>
          <w:sz w:val="25"/>
          <w:szCs w:val="25"/>
          <w:spacing w:val="15"/>
        </w:rPr>
        <w:t>量电价+容量电价”,其中电量电价通过市场化方</w:t>
      </w:r>
      <w:r>
        <w:rPr>
          <w:rFonts w:ascii="FangSong" w:hAnsi="FangSong" w:eastAsia="FangSong" w:cs="FangSong"/>
          <w:sz w:val="25"/>
          <w:szCs w:val="25"/>
          <w:spacing w:val="14"/>
        </w:rPr>
        <w:t>式形成，本零售合</w:t>
      </w:r>
      <w:r>
        <w:rPr>
          <w:rFonts w:ascii="FangSong" w:hAnsi="FangSong" w:eastAsia="FangSong" w:cs="FangSong"/>
          <w:sz w:val="25"/>
          <w:szCs w:val="25"/>
        </w:rPr>
        <w:t xml:space="preserve"> </w:t>
      </w:r>
      <w:r>
        <w:rPr>
          <w:rFonts w:ascii="FangSong" w:hAnsi="FangSong" w:eastAsia="FangSong" w:cs="FangSong"/>
          <w:sz w:val="25"/>
          <w:szCs w:val="25"/>
          <w:spacing w:val="5"/>
        </w:rPr>
        <w:t>同中约定的电能量价格即为电量电价，容量电价根据煤电功能转型情</w:t>
      </w:r>
      <w:r>
        <w:rPr>
          <w:rFonts w:ascii="FangSong" w:hAnsi="FangSong" w:eastAsia="FangSong" w:cs="FangSong"/>
          <w:sz w:val="25"/>
          <w:szCs w:val="25"/>
          <w:spacing w:val="14"/>
        </w:rPr>
        <w:t xml:space="preserve"> </w:t>
      </w:r>
      <w:r>
        <w:rPr>
          <w:rFonts w:ascii="FangSong" w:hAnsi="FangSong" w:eastAsia="FangSong" w:cs="FangSong"/>
          <w:sz w:val="25"/>
          <w:szCs w:val="25"/>
          <w:spacing w:val="6"/>
        </w:rPr>
        <w:t>况等因素逐步调整，容量电价由全体工商业用户按月</w:t>
      </w:r>
      <w:r>
        <w:rPr>
          <w:rFonts w:ascii="FangSong" w:hAnsi="FangSong" w:eastAsia="FangSong" w:cs="FangSong"/>
          <w:sz w:val="25"/>
          <w:szCs w:val="25"/>
          <w:spacing w:val="5"/>
        </w:rPr>
        <w:t>分摊，北京地区</w:t>
      </w:r>
      <w:r>
        <w:rPr>
          <w:rFonts w:ascii="FangSong" w:hAnsi="FangSong" w:eastAsia="FangSong" w:cs="FangSong"/>
          <w:sz w:val="25"/>
          <w:szCs w:val="25"/>
        </w:rPr>
        <w:t xml:space="preserve"> </w:t>
      </w:r>
      <w:r>
        <w:rPr>
          <w:rFonts w:ascii="FangSong" w:hAnsi="FangSong" w:eastAsia="FangSong" w:cs="FangSong"/>
          <w:sz w:val="25"/>
          <w:szCs w:val="25"/>
          <w:spacing w:val="7"/>
        </w:rPr>
        <w:t>工商业用户目前统一通过“系统运行费用一煤电容量电费”收取。</w:t>
      </w:r>
    </w:p>
    <w:p>
      <w:pPr>
        <w:ind w:left="354" w:right="1774" w:firstLine="540"/>
        <w:spacing w:before="37" w:line="318" w:lineRule="auto"/>
        <w:jc w:val="both"/>
        <w:rPr>
          <w:rFonts w:ascii="FangSong" w:hAnsi="FangSong" w:eastAsia="FangSong" w:cs="FangSong"/>
          <w:sz w:val="25"/>
          <w:szCs w:val="25"/>
        </w:rPr>
      </w:pPr>
      <w:r>
        <w:rPr>
          <w:rFonts w:ascii="FangSong" w:hAnsi="FangSong" w:eastAsia="FangSong" w:cs="FangSong"/>
          <w:sz w:val="25"/>
          <w:szCs w:val="25"/>
          <w:spacing w:val="5"/>
        </w:rPr>
        <w:t>零售用户可通过电费账单“系统运行费用一煤电容量电费”中查</w:t>
      </w:r>
      <w:r>
        <w:rPr>
          <w:rFonts w:ascii="FangSong" w:hAnsi="FangSong" w:eastAsia="FangSong" w:cs="FangSong"/>
          <w:sz w:val="25"/>
          <w:szCs w:val="25"/>
          <w:spacing w:val="14"/>
        </w:rPr>
        <w:t xml:space="preserve"> </w:t>
      </w:r>
      <w:r>
        <w:rPr>
          <w:rFonts w:ascii="FangSong" w:hAnsi="FangSong" w:eastAsia="FangSong" w:cs="FangSong"/>
          <w:sz w:val="25"/>
          <w:szCs w:val="25"/>
          <w:spacing w:val="6"/>
        </w:rPr>
        <w:t>看各月容量电价实际分摊执行水平，也可通过“网上国网”的“电力</w:t>
      </w:r>
      <w:r>
        <w:rPr>
          <w:rFonts w:ascii="FangSong" w:hAnsi="FangSong" w:eastAsia="FangSong" w:cs="FangSong"/>
          <w:sz w:val="25"/>
          <w:szCs w:val="25"/>
          <w:spacing w:val="10"/>
        </w:rPr>
        <w:t xml:space="preserve"> </w:t>
      </w:r>
      <w:r>
        <w:rPr>
          <w:rFonts w:ascii="FangSong" w:hAnsi="FangSong" w:eastAsia="FangSong" w:cs="FangSong"/>
          <w:sz w:val="25"/>
          <w:szCs w:val="25"/>
          <w:spacing w:val="10"/>
        </w:rPr>
        <w:t>市场服务专区-代理购电价格公示”查看，或</w:t>
      </w:r>
      <w:r>
        <w:rPr>
          <w:rFonts w:ascii="FangSong" w:hAnsi="FangSong" w:eastAsia="FangSong" w:cs="FangSong"/>
          <w:sz w:val="25"/>
          <w:szCs w:val="25"/>
          <w:spacing w:val="9"/>
        </w:rPr>
        <w:t>者通过首都电力交易平</w:t>
      </w:r>
      <w:r>
        <w:rPr>
          <w:rFonts w:ascii="FangSong" w:hAnsi="FangSong" w:eastAsia="FangSong" w:cs="FangSong"/>
          <w:sz w:val="25"/>
          <w:szCs w:val="25"/>
        </w:rPr>
        <w:t xml:space="preserve"> </w:t>
      </w:r>
      <w:r>
        <w:rPr>
          <w:rFonts w:ascii="FangSong" w:hAnsi="FangSong" w:eastAsia="FangSong" w:cs="FangSong"/>
          <w:sz w:val="25"/>
          <w:szCs w:val="25"/>
          <w:spacing w:val="4"/>
        </w:rPr>
        <w:t>台信息披露模块“市场运营一电网代理购电信息一代理购电价格公示</w:t>
      </w:r>
      <w:r>
        <w:rPr>
          <w:rFonts w:ascii="FangSong" w:hAnsi="FangSong" w:eastAsia="FangSong" w:cs="FangSong"/>
          <w:sz w:val="25"/>
          <w:szCs w:val="25"/>
          <w:spacing w:val="7"/>
        </w:rPr>
        <w:t xml:space="preserve"> </w:t>
      </w:r>
      <w:r>
        <w:rPr>
          <w:rFonts w:ascii="FangSong" w:hAnsi="FangSong" w:eastAsia="FangSong" w:cs="FangSong"/>
          <w:sz w:val="25"/>
          <w:szCs w:val="25"/>
          <w:spacing w:val="6"/>
        </w:rPr>
        <w:t>表”中“系统运行费用一煤电容量电费折合</w:t>
      </w:r>
      <w:r>
        <w:rPr>
          <w:rFonts w:ascii="FangSong" w:hAnsi="FangSong" w:eastAsia="FangSong" w:cs="FangSong"/>
          <w:sz w:val="25"/>
          <w:szCs w:val="25"/>
          <w:spacing w:val="5"/>
        </w:rPr>
        <w:t>度电水平”查看。</w:t>
      </w:r>
    </w:p>
    <w:p>
      <w:pPr>
        <w:spacing w:before="123"/>
        <w:rPr/>
      </w:pPr>
      <w:r/>
    </w:p>
    <w:p>
      <w:pPr>
        <w:sectPr>
          <w:footerReference w:type="default" r:id="rId28"/>
          <w:pgSz w:w="11900" w:h="16840"/>
          <w:pgMar w:top="1431" w:right="290" w:bottom="819" w:left="1785" w:header="0" w:footer="209" w:gutter="0"/>
          <w:cols w:equalWidth="0" w:num="1">
            <w:col w:w="9825" w:space="0"/>
          </w:cols>
        </w:sectPr>
        <w:rPr/>
      </w:pPr>
    </w:p>
    <w:p>
      <w:pPr>
        <w:pStyle w:val="BodyText"/>
        <w:spacing w:line="256" w:lineRule="auto"/>
        <w:rPr/>
      </w:pPr>
      <w:r/>
    </w:p>
    <w:p>
      <w:pPr>
        <w:pStyle w:val="BodyText"/>
        <w:spacing w:line="257" w:lineRule="auto"/>
        <w:rPr/>
      </w:pPr>
      <w:r/>
    </w:p>
    <w:p>
      <w:pPr>
        <w:pStyle w:val="BodyText"/>
        <w:spacing w:line="257" w:lineRule="auto"/>
        <w:rPr/>
      </w:pPr>
      <w:r/>
    </w:p>
    <w:p>
      <w:pPr>
        <w:ind w:left="354"/>
        <w:spacing w:before="81" w:line="221" w:lineRule="auto"/>
        <w:rPr>
          <w:rFonts w:ascii="FangSong" w:hAnsi="FangSong" w:eastAsia="FangSong" w:cs="FangSong"/>
          <w:sz w:val="25"/>
          <w:szCs w:val="25"/>
        </w:rPr>
      </w:pPr>
      <w:r>
        <w:drawing>
          <wp:anchor distT="0" distB="0" distL="0" distR="0" simplePos="0" relativeHeight="251703296" behindDoc="0" locked="0" layoutInCell="1" allowOverlap="1">
            <wp:simplePos x="0" y="0"/>
            <wp:positionH relativeFrom="column">
              <wp:posOffset>962017</wp:posOffset>
            </wp:positionH>
            <wp:positionV relativeFrom="paragraph">
              <wp:posOffset>-492067</wp:posOffset>
            </wp:positionV>
            <wp:extent cx="1422435" cy="1460504"/>
            <wp:effectExtent l="0" t="0" r="0" b="0"/>
            <wp:wrapNone/>
            <wp:docPr id="86" name="IM 86"/>
            <wp:cNvGraphicFramePr/>
            <a:graphic>
              <a:graphicData uri="http://schemas.openxmlformats.org/drawingml/2006/picture">
                <pic:pic>
                  <pic:nvPicPr>
                    <pic:cNvPr id="86" name="IM 86"/>
                    <pic:cNvPicPr/>
                  </pic:nvPicPr>
                  <pic:blipFill>
                    <a:blip r:embed="rId30"/>
                    <a:stretch>
                      <a:fillRect/>
                    </a:stretch>
                  </pic:blipFill>
                  <pic:spPr>
                    <a:xfrm rot="0">
                      <a:off x="0" y="0"/>
                      <a:ext cx="1422435" cy="1460504"/>
                    </a:xfrm>
                    <a:prstGeom prst="rect">
                      <a:avLst/>
                    </a:prstGeom>
                  </pic:spPr>
                </pic:pic>
              </a:graphicData>
            </a:graphic>
          </wp:anchor>
        </w:drawing>
      </w:r>
      <w:r>
        <w:rPr>
          <w:rFonts w:ascii="FangSong" w:hAnsi="FangSong" w:eastAsia="FangSong" w:cs="FangSong"/>
          <w:sz w:val="25"/>
          <w:szCs w:val="25"/>
          <w:spacing w:val="16"/>
        </w:rPr>
        <w:t>甲方(零售用户):北京市昌平区</w:t>
      </w:r>
    </w:p>
    <w:p>
      <w:pPr>
        <w:ind w:left="358"/>
        <w:spacing w:before="100" w:line="222" w:lineRule="auto"/>
        <w:rPr>
          <w:rFonts w:ascii="FangSong" w:hAnsi="FangSong" w:eastAsia="FangSong" w:cs="FangSong"/>
          <w:sz w:val="25"/>
          <w:szCs w:val="25"/>
        </w:rPr>
      </w:pPr>
      <w:r>
        <w:rPr>
          <w:rFonts w:ascii="FangSong" w:hAnsi="FangSong" w:eastAsia="FangSong" w:cs="FangSong"/>
          <w:sz w:val="25"/>
          <w:szCs w:val="25"/>
          <w:b/>
          <w:bCs/>
        </w:rPr>
        <w:t>沙河医院</w:t>
      </w:r>
    </w:p>
    <w:p>
      <w:pPr>
        <w:ind w:left="488"/>
        <w:spacing w:before="99" w:line="222" w:lineRule="auto"/>
        <w:rPr>
          <w:rFonts w:ascii="FangSong" w:hAnsi="FangSong" w:eastAsia="FangSong" w:cs="FangSong"/>
          <w:sz w:val="25"/>
          <w:szCs w:val="25"/>
        </w:rPr>
      </w:pPr>
      <w:r>
        <w:rPr>
          <w:rFonts w:ascii="FangSong" w:hAnsi="FangSong" w:eastAsia="FangSong" w:cs="FangSong"/>
          <w:sz w:val="25"/>
          <w:szCs w:val="25"/>
          <w:b/>
          <w:bCs/>
          <w:spacing w:val="19"/>
        </w:rPr>
        <w:t>(盖章)</w:t>
      </w:r>
    </w:p>
    <w:p>
      <w:pPr>
        <w:ind w:left="354"/>
        <w:spacing w:before="104" w:line="223" w:lineRule="auto"/>
        <w:rPr>
          <w:rFonts w:ascii="FangSong" w:hAnsi="FangSong" w:eastAsia="FangSong" w:cs="FangSong"/>
          <w:sz w:val="25"/>
          <w:szCs w:val="25"/>
        </w:rPr>
      </w:pPr>
      <w:r>
        <w:rPr>
          <w:rFonts w:ascii="FangSong" w:hAnsi="FangSong" w:eastAsia="FangSong" w:cs="FangSong"/>
          <w:sz w:val="25"/>
          <w:szCs w:val="25"/>
          <w:spacing w:val="21"/>
        </w:rPr>
        <w:t>法定代表人(负责人)或</w:t>
      </w:r>
    </w:p>
    <w:p>
      <w:pPr>
        <w:pStyle w:val="BodyText"/>
        <w:spacing w:line="416" w:lineRule="auto"/>
        <w:rPr/>
      </w:pPr>
      <w:r/>
    </w:p>
    <w:p>
      <w:pPr>
        <w:ind w:left="2625"/>
        <w:spacing w:before="82" w:line="221" w:lineRule="auto"/>
        <w:rPr>
          <w:rFonts w:ascii="SimSun" w:hAnsi="SimSun" w:eastAsia="SimSun" w:cs="SimSun"/>
          <w:sz w:val="25"/>
          <w:szCs w:val="25"/>
        </w:rPr>
      </w:pPr>
      <w:r>
        <w:rPr>
          <w:rFonts w:ascii="SimSun" w:hAnsi="SimSun" w:eastAsia="SimSun" w:cs="SimSun"/>
          <w:sz w:val="25"/>
          <w:szCs w:val="25"/>
          <w:spacing w:val="-7"/>
        </w:rPr>
        <w:t>设</w:t>
      </w:r>
      <w:r>
        <w:rPr>
          <w:rFonts w:ascii="SimSun" w:hAnsi="SimSun" w:eastAsia="SimSun" w:cs="SimSun"/>
          <w:sz w:val="25"/>
          <w:szCs w:val="25"/>
          <w:spacing w:val="11"/>
        </w:rPr>
        <w:t xml:space="preserve">    </w:t>
      </w:r>
      <w:r>
        <w:rPr>
          <w:rFonts w:ascii="SimSun" w:hAnsi="SimSun" w:eastAsia="SimSun" w:cs="SimSun"/>
          <w:sz w:val="25"/>
          <w:szCs w:val="25"/>
          <w:spacing w:val="-7"/>
        </w:rPr>
        <w:t>.</w:t>
      </w:r>
    </w:p>
    <w:p>
      <w:pPr>
        <w:ind w:left="358"/>
        <w:spacing w:before="4" w:line="222" w:lineRule="auto"/>
        <w:rPr>
          <w:rFonts w:ascii="FangSong" w:hAnsi="FangSong" w:eastAsia="FangSong" w:cs="FangSong"/>
          <w:sz w:val="25"/>
          <w:szCs w:val="25"/>
        </w:rPr>
      </w:pPr>
      <w:r>
        <w:rPr>
          <w:rFonts w:ascii="FangSong" w:hAnsi="FangSong" w:eastAsia="FangSong" w:cs="FangSong"/>
          <w:sz w:val="25"/>
          <w:szCs w:val="25"/>
          <w:b/>
          <w:bCs/>
          <w:spacing w:val="26"/>
        </w:rPr>
        <w:t>授权代表(签字):</w:t>
      </w:r>
    </w:p>
    <w:p>
      <w:pPr>
        <w:spacing w:line="38" w:lineRule="exact"/>
        <w:rPr/>
      </w:pPr>
      <w:r/>
    </w:p>
    <w:p>
      <w:pPr>
        <w:pStyle w:val="BodyText"/>
        <w:spacing w:line="14" w:lineRule="auto"/>
        <w:rPr>
          <w:sz w:val="2"/>
        </w:rPr>
      </w:pPr>
      <w:r>
        <w:rPr>
          <w:sz w:val="2"/>
          <w:szCs w:val="2"/>
        </w:rPr>
        <w:br w:type="column"/>
      </w:r>
    </w:p>
    <w:p>
      <w:pPr>
        <w:pStyle w:val="BodyText"/>
        <w:spacing w:line="305" w:lineRule="auto"/>
        <w:rPr/>
      </w:pPr>
      <w:r/>
    </w:p>
    <w:p>
      <w:pPr>
        <w:pStyle w:val="BodyText"/>
        <w:spacing w:line="305" w:lineRule="auto"/>
        <w:rPr/>
      </w:pPr>
      <w:r/>
    </w:p>
    <w:p>
      <w:pPr>
        <w:pStyle w:val="BodyText"/>
        <w:spacing w:line="306" w:lineRule="auto"/>
        <w:rPr/>
      </w:pPr>
      <w:r/>
    </w:p>
    <w:p>
      <w:pPr>
        <w:ind w:right="1797"/>
        <w:spacing w:before="82" w:line="313" w:lineRule="auto"/>
        <w:rPr>
          <w:rFonts w:ascii="FangSong" w:hAnsi="FangSong" w:eastAsia="FangSong" w:cs="FangSong"/>
          <w:sz w:val="25"/>
          <w:szCs w:val="25"/>
        </w:rPr>
      </w:pPr>
      <w:r>
        <w:drawing>
          <wp:anchor distT="0" distB="0" distL="0" distR="0" simplePos="0" relativeHeight="251702272" behindDoc="0" locked="0" layoutInCell="1" allowOverlap="1">
            <wp:simplePos x="0" y="0"/>
            <wp:positionH relativeFrom="column">
              <wp:posOffset>368304</wp:posOffset>
            </wp:positionH>
            <wp:positionV relativeFrom="paragraph">
              <wp:posOffset>-472469</wp:posOffset>
            </wp:positionV>
            <wp:extent cx="1358885" cy="1365226"/>
            <wp:effectExtent l="0" t="0" r="0" b="0"/>
            <wp:wrapNone/>
            <wp:docPr id="88" name="IM 88"/>
            <wp:cNvGraphicFramePr/>
            <a:graphic>
              <a:graphicData uri="http://schemas.openxmlformats.org/drawingml/2006/picture">
                <pic:pic>
                  <pic:nvPicPr>
                    <pic:cNvPr id="88" name="IM 88"/>
                    <pic:cNvPicPr/>
                  </pic:nvPicPr>
                  <pic:blipFill>
                    <a:blip r:embed="rId31"/>
                    <a:stretch>
                      <a:fillRect/>
                    </a:stretch>
                  </pic:blipFill>
                  <pic:spPr>
                    <a:xfrm rot="0">
                      <a:off x="0" y="0"/>
                      <a:ext cx="1358885" cy="1365226"/>
                    </a:xfrm>
                    <a:prstGeom prst="rect">
                      <a:avLst/>
                    </a:prstGeom>
                  </pic:spPr>
                </pic:pic>
              </a:graphicData>
            </a:graphic>
          </wp:anchor>
        </w:drawing>
      </w:r>
      <w:r>
        <w:rPr>
          <w:rFonts w:ascii="FangSong" w:hAnsi="FangSong" w:eastAsia="FangSong" w:cs="FangSong"/>
          <w:sz w:val="25"/>
          <w:szCs w:val="25"/>
          <w:spacing w:val="16"/>
        </w:rPr>
        <w:t>乙方(售电公司):北京京能新能</w:t>
      </w:r>
      <w:r>
        <w:rPr>
          <w:rFonts w:ascii="FangSong" w:hAnsi="FangSong" w:eastAsia="FangSong" w:cs="FangSong"/>
          <w:sz w:val="25"/>
          <w:szCs w:val="25"/>
          <w:spacing w:val="6"/>
        </w:rPr>
        <w:t xml:space="preserve"> </w:t>
      </w:r>
      <w:r>
        <w:rPr>
          <w:rFonts w:ascii="FangSong" w:hAnsi="FangSong" w:eastAsia="FangSong" w:cs="FangSong"/>
          <w:sz w:val="25"/>
          <w:szCs w:val="25"/>
        </w:rPr>
        <w:t>源有限公司</w:t>
      </w:r>
    </w:p>
    <w:p>
      <w:pPr>
        <w:ind w:left="99"/>
        <w:spacing w:before="36" w:line="222" w:lineRule="auto"/>
        <w:rPr>
          <w:rFonts w:ascii="FangSong" w:hAnsi="FangSong" w:eastAsia="FangSong" w:cs="FangSong"/>
          <w:sz w:val="25"/>
          <w:szCs w:val="25"/>
        </w:rPr>
      </w:pPr>
      <w:r>
        <w:rPr>
          <w:rFonts w:ascii="FangSong" w:hAnsi="FangSong" w:eastAsia="FangSong" w:cs="FangSong"/>
          <w:sz w:val="25"/>
          <w:szCs w:val="25"/>
          <w:spacing w:val="23"/>
        </w:rPr>
        <w:t>(盖章)</w:t>
      </w:r>
    </w:p>
    <w:p>
      <w:pPr>
        <w:spacing w:before="122" w:line="223" w:lineRule="auto"/>
        <w:rPr>
          <w:rFonts w:ascii="FangSong" w:hAnsi="FangSong" w:eastAsia="FangSong" w:cs="FangSong"/>
          <w:sz w:val="31"/>
          <w:szCs w:val="31"/>
        </w:rPr>
      </w:pPr>
      <w:r>
        <w:rPr>
          <w:rFonts w:ascii="FangSong" w:hAnsi="FangSong" w:eastAsia="FangSong" w:cs="FangSong"/>
          <w:sz w:val="31"/>
          <w:szCs w:val="31"/>
          <w:spacing w:val="-4"/>
        </w:rPr>
        <w:t>法定代表人(负责</w:t>
      </w:r>
    </w:p>
    <w:p>
      <w:pPr>
        <w:spacing w:before="72" w:line="233" w:lineRule="auto"/>
        <w:rPr>
          <w:rFonts w:ascii="SimSun" w:hAnsi="SimSun" w:eastAsia="SimSun" w:cs="SimSun"/>
          <w:sz w:val="25"/>
          <w:szCs w:val="25"/>
        </w:rPr>
      </w:pPr>
      <w:r>
        <w:rPr>
          <w:rFonts w:ascii="FangSong" w:hAnsi="FangSong" w:eastAsia="FangSong" w:cs="FangSong"/>
          <w:sz w:val="25"/>
          <w:szCs w:val="25"/>
          <w:spacing w:val="23"/>
          <w:position w:val="1"/>
        </w:rPr>
        <w:t>授权代表(签字)</w:t>
      </w:r>
      <w:r>
        <w:rPr>
          <w:rFonts w:ascii="SimSun" w:hAnsi="SimSun" w:eastAsia="SimSun" w:cs="SimSun"/>
          <w:sz w:val="25"/>
          <w:szCs w:val="25"/>
          <w:spacing w:val="23"/>
          <w:position w:val="-14"/>
        </w:rPr>
        <w:t>义</w:t>
      </w:r>
    </w:p>
    <w:p>
      <w:pPr>
        <w:spacing w:line="233" w:lineRule="auto"/>
        <w:sectPr>
          <w:type w:val="continuous"/>
          <w:pgSz w:w="11900" w:h="16840"/>
          <w:pgMar w:top="1431" w:right="290" w:bottom="819" w:left="1785" w:header="0" w:footer="209" w:gutter="0"/>
          <w:cols w:equalWidth="0" w:num="2">
            <w:col w:w="4306" w:space="100"/>
            <w:col w:w="5420" w:space="0"/>
          </w:cols>
        </w:sectPr>
        <w:rPr>
          <w:rFonts w:ascii="SimSun" w:hAnsi="SimSun" w:eastAsia="SimSun" w:cs="SimSun"/>
          <w:sz w:val="25"/>
          <w:szCs w:val="25"/>
        </w:rPr>
      </w:pP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pStyle w:val="BodyText"/>
        <w:spacing w:line="254" w:lineRule="auto"/>
        <w:rPr/>
      </w:pPr>
      <w:r/>
    </w:p>
    <w:p>
      <w:pPr>
        <w:ind w:left="3505"/>
        <w:spacing w:before="56" w:line="184" w:lineRule="auto"/>
        <w:rPr>
          <w:rFonts w:ascii="SimSun" w:hAnsi="SimSun" w:eastAsia="SimSun" w:cs="SimSun"/>
          <w:sz w:val="17"/>
          <w:szCs w:val="17"/>
        </w:rPr>
      </w:pPr>
      <w:r>
        <w:rPr>
          <w:rFonts w:ascii="SimSun" w:hAnsi="SimSun" w:eastAsia="SimSun" w:cs="SimSun"/>
          <w:sz w:val="17"/>
          <w:szCs w:val="17"/>
          <w:spacing w:val="-10"/>
        </w:rPr>
        <w:t>第</w:t>
      </w:r>
      <w:r>
        <w:rPr>
          <w:rFonts w:ascii="SimSun" w:hAnsi="SimSun" w:eastAsia="SimSun" w:cs="SimSun"/>
          <w:sz w:val="17"/>
          <w:szCs w:val="17"/>
          <w:spacing w:val="-15"/>
        </w:rPr>
        <w:t xml:space="preserve"> </w:t>
      </w:r>
      <w:r>
        <w:rPr>
          <w:rFonts w:ascii="SimSun" w:hAnsi="SimSun" w:eastAsia="SimSun" w:cs="SimSun"/>
          <w:sz w:val="17"/>
          <w:szCs w:val="17"/>
          <w:spacing w:val="-10"/>
        </w:rPr>
        <w:t>1</w:t>
      </w:r>
      <w:r>
        <w:rPr>
          <w:rFonts w:ascii="SimSun" w:hAnsi="SimSun" w:eastAsia="SimSun" w:cs="SimSun"/>
          <w:sz w:val="17"/>
          <w:szCs w:val="17"/>
          <w:spacing w:val="-31"/>
        </w:rPr>
        <w:t xml:space="preserve"> </w:t>
      </w:r>
      <w:r>
        <w:rPr>
          <w:rFonts w:ascii="SimSun" w:hAnsi="SimSun" w:eastAsia="SimSun" w:cs="SimSun"/>
          <w:sz w:val="17"/>
          <w:szCs w:val="17"/>
          <w:spacing w:val="-10"/>
        </w:rPr>
        <w:t>5 页</w:t>
      </w:r>
      <w:r>
        <w:rPr>
          <w:rFonts w:ascii="SimSun" w:hAnsi="SimSun" w:eastAsia="SimSun" w:cs="SimSun"/>
          <w:sz w:val="17"/>
          <w:szCs w:val="17"/>
          <w:spacing w:val="-15"/>
        </w:rPr>
        <w:t xml:space="preserve"> </w:t>
      </w:r>
      <w:r>
        <w:rPr>
          <w:rFonts w:ascii="SimSun" w:hAnsi="SimSun" w:eastAsia="SimSun" w:cs="SimSun"/>
          <w:sz w:val="17"/>
          <w:szCs w:val="17"/>
          <w:spacing w:val="-10"/>
        </w:rPr>
        <w:t>共 1 7 页</w:t>
      </w:r>
    </w:p>
    <w:p>
      <w:pPr>
        <w:spacing w:line="184" w:lineRule="auto"/>
        <w:sectPr>
          <w:type w:val="continuous"/>
          <w:pgSz w:w="11900" w:h="16840"/>
          <w:pgMar w:top="1431" w:right="290" w:bottom="819" w:left="1785" w:header="0" w:footer="209" w:gutter="0"/>
          <w:cols w:equalWidth="0" w:num="1">
            <w:col w:w="9825" w:space="0"/>
          </w:cols>
        </w:sectPr>
        <w:rPr>
          <w:rFonts w:ascii="SimSun" w:hAnsi="SimSun" w:eastAsia="SimSun" w:cs="SimSun"/>
          <w:sz w:val="17"/>
          <w:szCs w:val="17"/>
        </w:rPr>
      </w:pPr>
    </w:p>
    <w:p>
      <w:pPr>
        <w:ind w:left="735"/>
        <w:spacing w:before="53" w:line="224" w:lineRule="auto"/>
        <w:rPr>
          <w:rFonts w:ascii="SimHei" w:hAnsi="SimHei" w:eastAsia="SimHei" w:cs="SimHei"/>
          <w:sz w:val="26"/>
          <w:szCs w:val="26"/>
        </w:rPr>
      </w:pPr>
      <w:r>
        <w:rPr>
          <w:rFonts w:ascii="SimHei" w:hAnsi="SimHei" w:eastAsia="SimHei" w:cs="SimHei"/>
          <w:sz w:val="26"/>
          <w:szCs w:val="26"/>
          <w:spacing w:val="24"/>
        </w:rPr>
        <w:t>附件二</w:t>
      </w:r>
      <w:r>
        <w:rPr>
          <w:rFonts w:ascii="SimHei" w:hAnsi="SimHei" w:eastAsia="SimHei" w:cs="SimHei"/>
          <w:sz w:val="26"/>
          <w:szCs w:val="26"/>
          <w:spacing w:val="-70"/>
        </w:rPr>
        <w:t xml:space="preserve"> </w:t>
      </w:r>
      <w:r>
        <w:rPr>
          <w:rFonts w:ascii="SimHei" w:hAnsi="SimHei" w:eastAsia="SimHei" w:cs="SimHei"/>
          <w:sz w:val="26"/>
          <w:szCs w:val="26"/>
          <w:spacing w:val="24"/>
        </w:rPr>
        <w:t>：</w:t>
      </w:r>
    </w:p>
    <w:p>
      <w:pPr>
        <w:ind w:left="1435"/>
        <w:spacing w:before="194" w:line="219" w:lineRule="auto"/>
        <w:rPr>
          <w:rFonts w:ascii="SimSun" w:hAnsi="SimSun" w:eastAsia="SimSun" w:cs="SimSun"/>
          <w:sz w:val="34"/>
          <w:szCs w:val="34"/>
        </w:rPr>
      </w:pPr>
      <w:r>
        <w:drawing>
          <wp:anchor distT="0" distB="0" distL="0" distR="0" simplePos="0" relativeHeight="251707392" behindDoc="0" locked="0" layoutInCell="1" allowOverlap="1">
            <wp:simplePos x="0" y="0"/>
            <wp:positionH relativeFrom="column">
              <wp:posOffset>1368483</wp:posOffset>
            </wp:positionH>
            <wp:positionV relativeFrom="paragraph">
              <wp:posOffset>280080</wp:posOffset>
            </wp:positionV>
            <wp:extent cx="1396970" cy="1358917"/>
            <wp:effectExtent l="0" t="0" r="0" b="0"/>
            <wp:wrapNone/>
            <wp:docPr id="94" name="IM 94"/>
            <wp:cNvGraphicFramePr/>
            <a:graphic>
              <a:graphicData uri="http://schemas.openxmlformats.org/drawingml/2006/picture">
                <pic:pic>
                  <pic:nvPicPr>
                    <pic:cNvPr id="94" name="IM 94"/>
                    <pic:cNvPicPr/>
                  </pic:nvPicPr>
                  <pic:blipFill>
                    <a:blip r:embed="rId33"/>
                    <a:stretch>
                      <a:fillRect/>
                    </a:stretch>
                  </pic:blipFill>
                  <pic:spPr>
                    <a:xfrm rot="0">
                      <a:off x="0" y="0"/>
                      <a:ext cx="1396970" cy="1358917"/>
                    </a:xfrm>
                    <a:prstGeom prst="rect">
                      <a:avLst/>
                    </a:prstGeom>
                  </pic:spPr>
                </pic:pic>
              </a:graphicData>
            </a:graphic>
          </wp:anchor>
        </w:drawing>
      </w:r>
      <w:r>
        <w:drawing>
          <wp:anchor distT="0" distB="0" distL="0" distR="0" simplePos="0" relativeHeight="251706368" behindDoc="0" locked="0" layoutInCell="1" allowOverlap="1">
            <wp:simplePos x="0" y="0"/>
            <wp:positionH relativeFrom="column">
              <wp:posOffset>3025774</wp:posOffset>
            </wp:positionH>
            <wp:positionV relativeFrom="paragraph">
              <wp:posOffset>254631</wp:posOffset>
            </wp:positionV>
            <wp:extent cx="1454172" cy="1473230"/>
            <wp:effectExtent l="0" t="0" r="0" b="0"/>
            <wp:wrapNone/>
            <wp:docPr id="96" name="IM 96"/>
            <wp:cNvGraphicFramePr/>
            <a:graphic>
              <a:graphicData uri="http://schemas.openxmlformats.org/drawingml/2006/picture">
                <pic:pic>
                  <pic:nvPicPr>
                    <pic:cNvPr id="96" name="IM 96"/>
                    <pic:cNvPicPr/>
                  </pic:nvPicPr>
                  <pic:blipFill>
                    <a:blip r:embed="rId34"/>
                    <a:stretch>
                      <a:fillRect/>
                    </a:stretch>
                  </pic:blipFill>
                  <pic:spPr>
                    <a:xfrm rot="0">
                      <a:off x="0" y="0"/>
                      <a:ext cx="1454172" cy="1473230"/>
                    </a:xfrm>
                    <a:prstGeom prst="rect">
                      <a:avLst/>
                    </a:prstGeom>
                  </pic:spPr>
                </pic:pic>
              </a:graphicData>
            </a:graphic>
          </wp:anchor>
        </w:drawing>
      </w:r>
      <w:r>
        <w:rPr>
          <w:rFonts w:ascii="SimSun" w:hAnsi="SimSun" w:eastAsia="SimSun" w:cs="SimSun"/>
          <w:sz w:val="34"/>
          <w:szCs w:val="34"/>
          <w:spacing w:val="11"/>
        </w:rPr>
        <w:t>北京市电力零售交易结算参数表(2026年)</w:t>
      </w:r>
    </w:p>
    <w:p>
      <w:pPr>
        <w:spacing w:line="127" w:lineRule="exact"/>
        <w:rPr/>
      </w:pPr>
      <w:r/>
    </w:p>
    <w:tbl>
      <w:tblPr>
        <w:tblStyle w:val="TableNormal"/>
        <w:tblW w:w="92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63"/>
        <w:gridCol w:w="1449"/>
        <w:gridCol w:w="1448"/>
        <w:gridCol w:w="579"/>
        <w:gridCol w:w="2038"/>
        <w:gridCol w:w="2003"/>
      </w:tblGrid>
      <w:tr>
        <w:trPr>
          <w:trHeight w:val="485" w:hRule="atLeast"/>
        </w:trPr>
        <w:tc>
          <w:tcPr>
            <w:tcW w:w="9280" w:type="dxa"/>
            <w:vAlign w:val="top"/>
            <w:gridSpan w:val="6"/>
          </w:tcPr>
          <w:p>
            <w:pPr>
              <w:pStyle w:val="TableText"/>
              <w:ind w:left="185"/>
              <w:spacing w:before="106" w:line="200" w:lineRule="auto"/>
              <w:rPr>
                <w:sz w:val="28"/>
                <w:szCs w:val="28"/>
              </w:rPr>
            </w:pPr>
            <w:r>
              <w:rPr>
                <w:sz w:val="28"/>
                <w:szCs w:val="28"/>
              </w:rPr>
              <w:t>甲方(零售用户):北京市昌平区沙河医院</w:t>
            </w:r>
          </w:p>
          <w:p>
            <w:pPr>
              <w:pStyle w:val="TableText"/>
              <w:ind w:left="4975"/>
              <w:spacing w:line="65" w:lineRule="exact"/>
              <w:rPr>
                <w:sz w:val="28"/>
                <w:szCs w:val="28"/>
              </w:rPr>
            </w:pPr>
            <w:r>
              <w:rPr>
                <w:sz w:val="28"/>
                <w:szCs w:val="28"/>
                <w:position w:val="-10"/>
              </w:rPr>
              <w:t>一</w:t>
            </w:r>
          </w:p>
        </w:tc>
      </w:tr>
      <w:tr>
        <w:trPr>
          <w:trHeight w:val="469" w:hRule="atLeast"/>
        </w:trPr>
        <w:tc>
          <w:tcPr>
            <w:tcW w:w="9280" w:type="dxa"/>
            <w:vAlign w:val="top"/>
            <w:gridSpan w:val="6"/>
          </w:tcPr>
          <w:p>
            <w:pPr>
              <w:pStyle w:val="TableText"/>
              <w:ind w:left="185"/>
              <w:spacing w:before="99" w:line="219" w:lineRule="auto"/>
              <w:rPr>
                <w:sz w:val="28"/>
                <w:szCs w:val="28"/>
              </w:rPr>
            </w:pPr>
            <w:r>
              <w:rPr>
                <w:sz w:val="28"/>
                <w:szCs w:val="28"/>
                <w:spacing w:val="2"/>
              </w:rPr>
              <w:t>乙方(售电公司):北京京能新能源有限公司(盖章)</w:t>
            </w:r>
          </w:p>
        </w:tc>
      </w:tr>
      <w:tr>
        <w:trPr>
          <w:trHeight w:val="480" w:hRule="atLeast"/>
        </w:trPr>
        <w:tc>
          <w:tcPr>
            <w:tcW w:w="4660" w:type="dxa"/>
            <w:vAlign w:val="top"/>
            <w:gridSpan w:val="3"/>
          </w:tcPr>
          <w:p>
            <w:pPr>
              <w:pStyle w:val="TableText"/>
              <w:spacing w:before="102" w:line="219" w:lineRule="auto"/>
              <w:jc w:val="right"/>
              <w:rPr>
                <w:sz w:val="28"/>
                <w:szCs w:val="28"/>
              </w:rPr>
            </w:pPr>
            <w:r>
              <w:rPr>
                <w:sz w:val="28"/>
                <w:szCs w:val="28"/>
                <w:spacing w:val="-2"/>
              </w:rPr>
              <w:t>交易周期：2026年1月 至2026年12月</w:t>
            </w:r>
          </w:p>
        </w:tc>
        <w:tc>
          <w:tcPr>
            <w:tcW w:w="4620" w:type="dxa"/>
            <w:vAlign w:val="top"/>
            <w:gridSpan w:val="3"/>
          </w:tcPr>
          <w:p>
            <w:pPr>
              <w:pStyle w:val="TableText"/>
              <w:ind w:left="203"/>
              <w:spacing w:before="75" w:line="208" w:lineRule="auto"/>
              <w:rPr>
                <w:sz w:val="35"/>
                <w:szCs w:val="35"/>
              </w:rPr>
            </w:pPr>
            <w:r>
              <w:rPr>
                <w:sz w:val="35"/>
                <w:szCs w:val="35"/>
                <w:spacing w:val="-1"/>
              </w:rPr>
              <w:t>签约日期：Z26.2610</w:t>
            </w:r>
          </w:p>
        </w:tc>
      </w:tr>
      <w:tr>
        <w:trPr>
          <w:trHeight w:val="489" w:hRule="atLeast"/>
        </w:trPr>
        <w:tc>
          <w:tcPr>
            <w:tcW w:w="9280" w:type="dxa"/>
            <w:vAlign w:val="top"/>
            <w:gridSpan w:val="6"/>
          </w:tcPr>
          <w:p>
            <w:pPr>
              <w:pStyle w:val="TableText"/>
              <w:spacing w:before="85" w:line="218" w:lineRule="auto"/>
              <w:jc w:val="right"/>
              <w:rPr>
                <w:sz w:val="27"/>
                <w:szCs w:val="27"/>
              </w:rPr>
            </w:pPr>
            <w:r>
              <w:rPr>
                <w:sz w:val="27"/>
                <w:szCs w:val="27"/>
                <w:b/>
                <w:bCs/>
                <w:spacing w:val="-33"/>
              </w:rPr>
              <w:t>1.零售套餐价格参数</w:t>
            </w:r>
            <w:r>
              <w:rPr>
                <w:sz w:val="27"/>
                <w:szCs w:val="27"/>
                <w:spacing w:val="-33"/>
              </w:rPr>
              <w:t xml:space="preserve">  (单位：元/兆瓦时，保留2位小数)</w:t>
            </w:r>
          </w:p>
        </w:tc>
      </w:tr>
      <w:tr>
        <w:trPr>
          <w:trHeight w:val="469" w:hRule="atLeast"/>
        </w:trPr>
        <w:tc>
          <w:tcPr>
            <w:tcW w:w="1763" w:type="dxa"/>
            <w:vAlign w:val="top"/>
          </w:tcPr>
          <w:p>
            <w:pPr>
              <w:pStyle w:val="TableText"/>
              <w:ind w:left="677"/>
              <w:spacing w:before="137" w:line="219" w:lineRule="auto"/>
              <w:rPr/>
            </w:pPr>
            <w:r>
              <w:rPr>
                <w:b/>
                <w:bCs/>
                <w:spacing w:val="-5"/>
              </w:rPr>
              <w:t>类别</w:t>
            </w:r>
          </w:p>
        </w:tc>
        <w:tc>
          <w:tcPr>
            <w:tcW w:w="3476" w:type="dxa"/>
            <w:vAlign w:val="top"/>
            <w:gridSpan w:val="3"/>
          </w:tcPr>
          <w:p>
            <w:pPr>
              <w:pStyle w:val="TableText"/>
              <w:ind w:left="1334"/>
              <w:spacing w:before="137" w:line="219" w:lineRule="auto"/>
              <w:rPr/>
            </w:pPr>
            <w:r>
              <w:rPr>
                <w:b/>
                <w:bCs/>
                <w:spacing w:val="-4"/>
              </w:rPr>
              <w:t>参数名称</w:t>
            </w:r>
          </w:p>
        </w:tc>
        <w:tc>
          <w:tcPr>
            <w:tcW w:w="2038" w:type="dxa"/>
            <w:vAlign w:val="top"/>
          </w:tcPr>
          <w:p>
            <w:pPr>
              <w:pStyle w:val="TableText"/>
              <w:ind w:left="618"/>
              <w:spacing w:before="137" w:line="219" w:lineRule="auto"/>
              <w:rPr/>
            </w:pPr>
            <w:r>
              <w:rPr>
                <w:b/>
                <w:bCs/>
                <w:spacing w:val="-5"/>
              </w:rPr>
              <w:t>约定取值</w:t>
            </w:r>
          </w:p>
        </w:tc>
        <w:tc>
          <w:tcPr>
            <w:tcW w:w="2003" w:type="dxa"/>
            <w:vAlign w:val="top"/>
          </w:tcPr>
          <w:p>
            <w:pPr>
              <w:pStyle w:val="TableText"/>
              <w:ind w:left="600"/>
              <w:spacing w:before="137" w:line="219" w:lineRule="auto"/>
              <w:rPr/>
            </w:pPr>
            <w:r>
              <w:rPr>
                <w:b/>
                <w:bCs/>
                <w:spacing w:val="1"/>
              </w:rPr>
              <w:t>取值范围</w:t>
            </w:r>
          </w:p>
        </w:tc>
      </w:tr>
      <w:tr>
        <w:trPr>
          <w:trHeight w:val="480" w:hRule="atLeast"/>
        </w:trPr>
        <w:tc>
          <w:tcPr>
            <w:tcW w:w="1763"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25"/>
              <w:spacing w:before="65" w:line="218" w:lineRule="auto"/>
              <w:rPr/>
            </w:pPr>
            <w:r>
              <w:rPr/>
              <w:t>1.1常规电力电价</w:t>
            </w:r>
          </w:p>
          <w:p>
            <w:pPr>
              <w:pStyle w:val="TableText"/>
              <w:ind w:left="725" w:right="170" w:hanging="550"/>
              <w:spacing w:before="76" w:line="255" w:lineRule="auto"/>
              <w:rPr/>
            </w:pPr>
            <w:r>
              <w:rPr>
                <w:spacing w:val="1"/>
              </w:rPr>
              <w:t>(必填，</w:t>
            </w:r>
            <w:r>
              <w:rPr/>
              <w:t>ABC</w:t>
            </w:r>
            <w:r>
              <w:rPr>
                <w:spacing w:val="1"/>
              </w:rPr>
              <w:t>三选</w:t>
            </w:r>
            <w:r>
              <w:rPr/>
              <w:t xml:space="preserve"> </w:t>
            </w:r>
            <w:r>
              <w:rPr>
                <w:spacing w:val="-6"/>
              </w:rPr>
              <w:t>一</w:t>
            </w:r>
            <w:r>
              <w:rPr>
                <w:spacing w:val="-37"/>
              </w:rPr>
              <w:t xml:space="preserve"> </w:t>
            </w:r>
            <w:r>
              <w:rPr>
                <w:spacing w:val="-6"/>
              </w:rPr>
              <w:t>)</w:t>
            </w:r>
          </w:p>
        </w:tc>
        <w:tc>
          <w:tcPr>
            <w:tcW w:w="1449" w:type="dxa"/>
            <w:vAlign w:val="top"/>
          </w:tcPr>
          <w:p>
            <w:pPr>
              <w:pStyle w:val="TableText"/>
              <w:ind w:left="262"/>
              <w:spacing w:before="139" w:line="218" w:lineRule="auto"/>
              <w:rPr/>
            </w:pPr>
            <w:r>
              <w:rPr>
                <w:spacing w:val="-1"/>
              </w:rPr>
              <w:t>A固定价格</w:t>
            </w:r>
          </w:p>
        </w:tc>
        <w:tc>
          <w:tcPr>
            <w:tcW w:w="2027" w:type="dxa"/>
            <w:vAlign w:val="top"/>
            <w:gridSpan w:val="2"/>
          </w:tcPr>
          <w:p>
            <w:pPr>
              <w:pStyle w:val="TableText"/>
              <w:ind w:left="352"/>
              <w:spacing w:before="139" w:line="218" w:lineRule="auto"/>
              <w:rPr/>
            </w:pPr>
            <w:r>
              <w:rPr>
                <w:spacing w:val="2"/>
              </w:rPr>
              <w:t>固定价格P常国</w:t>
            </w:r>
          </w:p>
        </w:tc>
        <w:tc>
          <w:tcPr>
            <w:tcW w:w="2038" w:type="dxa"/>
            <w:vAlign w:val="top"/>
          </w:tcPr>
          <w:p>
            <w:pPr>
              <w:pStyle w:val="TableText"/>
              <w:ind w:left="916"/>
              <w:spacing w:before="141" w:line="220" w:lineRule="auto"/>
              <w:rPr/>
            </w:pPr>
            <w:r>
              <w:rPr/>
              <w:t>无</w:t>
            </w:r>
          </w:p>
        </w:tc>
        <w:tc>
          <w:tcPr>
            <w:tcW w:w="2003" w:type="dxa"/>
            <w:vAlign w:val="top"/>
          </w:tcPr>
          <w:p>
            <w:pPr>
              <w:pStyle w:val="TableText"/>
              <w:spacing w:before="211" w:line="220" w:lineRule="auto"/>
              <w:jc w:val="right"/>
              <w:rPr/>
            </w:pPr>
            <w:r>
              <w:rPr>
                <w:spacing w:val="-8"/>
              </w:rPr>
              <w:t>287.84≤P常固≤431.76</w:t>
            </w:r>
          </w:p>
        </w:tc>
      </w:tr>
      <w:tr>
        <w:trPr>
          <w:trHeight w:val="489" w:hRule="atLeast"/>
        </w:trPr>
        <w:tc>
          <w:tcPr>
            <w:tcW w:w="1763" w:type="dxa"/>
            <w:vAlign w:val="top"/>
            <w:vMerge w:val="continue"/>
            <w:tcBorders>
              <w:top w:val="nil"/>
              <w:bottom w:val="nil"/>
            </w:tcBorders>
          </w:tcPr>
          <w:p>
            <w:pPr>
              <w:rPr>
                <w:rFonts w:ascii="Arial"/>
                <w:sz w:val="21"/>
              </w:rPr>
            </w:pPr>
            <w:r/>
          </w:p>
        </w:tc>
        <w:tc>
          <w:tcPr>
            <w:tcW w:w="1449" w:type="dxa"/>
            <w:vAlign w:val="top"/>
            <w:vMerge w:val="restart"/>
            <w:tcBorders>
              <w:bottom w:val="nil"/>
            </w:tcBorders>
          </w:tcPr>
          <w:p>
            <w:pPr>
              <w:spacing w:line="332" w:lineRule="auto"/>
              <w:rPr>
                <w:rFonts w:ascii="Arial"/>
                <w:sz w:val="21"/>
              </w:rPr>
            </w:pPr>
            <w:r/>
          </w:p>
          <w:p>
            <w:pPr>
              <w:pStyle w:val="TableText"/>
              <w:ind w:left="262"/>
              <w:spacing w:before="65" w:line="218" w:lineRule="auto"/>
              <w:rPr/>
            </w:pPr>
            <w:r>
              <w:rPr>
                <w:spacing w:val="-1"/>
              </w:rPr>
              <w:t>B联动价格</w:t>
            </w:r>
          </w:p>
        </w:tc>
        <w:tc>
          <w:tcPr>
            <w:tcW w:w="2027" w:type="dxa"/>
            <w:vAlign w:val="top"/>
            <w:gridSpan w:val="2"/>
          </w:tcPr>
          <w:p>
            <w:pPr>
              <w:pStyle w:val="TableText"/>
              <w:ind w:left="352"/>
              <w:spacing w:before="179" w:line="218" w:lineRule="auto"/>
              <w:rPr/>
            </w:pPr>
            <w:r>
              <w:rPr>
                <w:spacing w:val="-1"/>
              </w:rPr>
              <w:t>基准价格P常基</w:t>
            </w:r>
          </w:p>
        </w:tc>
        <w:tc>
          <w:tcPr>
            <w:tcW w:w="2038" w:type="dxa"/>
            <w:vAlign w:val="top"/>
          </w:tcPr>
          <w:p>
            <w:pPr>
              <w:pStyle w:val="TableText"/>
              <w:ind w:left="766"/>
              <w:spacing w:before="161" w:line="220" w:lineRule="auto"/>
              <w:rPr/>
            </w:pPr>
            <w:r>
              <w:rPr>
                <w:spacing w:val="-1"/>
              </w:rPr>
              <w:t>P常批</w:t>
            </w:r>
          </w:p>
        </w:tc>
        <w:tc>
          <w:tcPr>
            <w:tcW w:w="2003" w:type="dxa"/>
            <w:vAlign w:val="top"/>
          </w:tcPr>
          <w:p>
            <w:pPr>
              <w:pStyle w:val="TableText"/>
              <w:ind w:left="157"/>
              <w:spacing w:before="165" w:line="207" w:lineRule="auto"/>
              <w:rPr>
                <w:sz w:val="28"/>
                <w:szCs w:val="28"/>
              </w:rPr>
            </w:pPr>
            <w:r>
              <w:rPr>
                <w:sz w:val="28"/>
                <w:szCs w:val="28"/>
                <w:spacing w:val="2"/>
              </w:rPr>
              <w:t>P常批或P常售</w:t>
            </w:r>
          </w:p>
        </w:tc>
      </w:tr>
      <w:tr>
        <w:trPr>
          <w:trHeight w:val="489" w:hRule="atLeast"/>
        </w:trPr>
        <w:tc>
          <w:tcPr>
            <w:tcW w:w="1763" w:type="dxa"/>
            <w:vAlign w:val="top"/>
            <w:vMerge w:val="continue"/>
            <w:tcBorders>
              <w:top w:val="nil"/>
              <w:bottom w:val="nil"/>
            </w:tcBorders>
          </w:tcPr>
          <w:p>
            <w:pPr>
              <w:rPr>
                <w:rFonts w:ascii="Arial"/>
                <w:sz w:val="21"/>
              </w:rPr>
            </w:pPr>
            <w:r/>
          </w:p>
        </w:tc>
        <w:tc>
          <w:tcPr>
            <w:tcW w:w="1449" w:type="dxa"/>
            <w:vAlign w:val="top"/>
            <w:vMerge w:val="continue"/>
            <w:tcBorders>
              <w:top w:val="nil"/>
            </w:tcBorders>
          </w:tcPr>
          <w:p>
            <w:pPr>
              <w:rPr>
                <w:rFonts w:ascii="Arial"/>
                <w:sz w:val="21"/>
              </w:rPr>
            </w:pPr>
            <w:r/>
          </w:p>
        </w:tc>
        <w:tc>
          <w:tcPr>
            <w:tcW w:w="2027" w:type="dxa"/>
            <w:vAlign w:val="top"/>
            <w:gridSpan w:val="2"/>
          </w:tcPr>
          <w:p>
            <w:pPr>
              <w:pStyle w:val="TableText"/>
              <w:ind w:left="352"/>
              <w:spacing w:before="150" w:line="218" w:lineRule="auto"/>
              <w:rPr/>
            </w:pPr>
            <w:r>
              <w:rPr>
                <w:spacing w:val="-2"/>
              </w:rPr>
              <w:t>浮动价格P常浮</w:t>
            </w:r>
          </w:p>
        </w:tc>
        <w:tc>
          <w:tcPr>
            <w:tcW w:w="2038" w:type="dxa"/>
            <w:vAlign w:val="top"/>
          </w:tcPr>
          <w:p>
            <w:pPr>
              <w:pStyle w:val="TableText"/>
              <w:ind w:left="816"/>
              <w:spacing w:before="171" w:line="239" w:lineRule="auto"/>
              <w:rPr/>
            </w:pPr>
            <w:r>
              <w:rPr>
                <w:spacing w:val="-2"/>
              </w:rPr>
              <w:t>8.28</w:t>
            </w:r>
          </w:p>
        </w:tc>
        <w:tc>
          <w:tcPr>
            <w:tcW w:w="2003" w:type="dxa"/>
            <w:vAlign w:val="top"/>
          </w:tcPr>
          <w:p>
            <w:pPr>
              <w:pStyle w:val="TableText"/>
              <w:spacing w:before="145" w:line="214" w:lineRule="auto"/>
              <w:jc w:val="right"/>
              <w:rPr/>
            </w:pPr>
            <w:r>
              <w:rPr>
                <w:spacing w:val="-13"/>
              </w:rPr>
              <w:t>2</w:t>
            </w:r>
            <w:r>
              <w:rPr>
                <w:spacing w:val="-12"/>
              </w:rPr>
              <w:t>87.84≤P万+Pg≤431.7</w:t>
            </w:r>
            <w:r>
              <w:rPr>
                <w:spacing w:val="-11"/>
              </w:rPr>
              <w:t>6</w:t>
            </w:r>
          </w:p>
        </w:tc>
      </w:tr>
      <w:tr>
        <w:trPr>
          <w:trHeight w:val="470" w:hRule="atLeast"/>
        </w:trPr>
        <w:tc>
          <w:tcPr>
            <w:tcW w:w="1763" w:type="dxa"/>
            <w:vAlign w:val="top"/>
            <w:vMerge w:val="continue"/>
            <w:tcBorders>
              <w:top w:val="nil"/>
              <w:bottom w:val="nil"/>
            </w:tcBorders>
          </w:tcPr>
          <w:p>
            <w:pPr>
              <w:rPr>
                <w:rFonts w:ascii="Arial"/>
                <w:sz w:val="21"/>
              </w:rPr>
            </w:pPr>
            <w:r/>
          </w:p>
        </w:tc>
        <w:tc>
          <w:tcPr>
            <w:tcW w:w="1449" w:type="dxa"/>
            <w:vAlign w:val="top"/>
            <w:vMerge w:val="restart"/>
            <w:tcBorders>
              <w:bottom w:val="nil"/>
            </w:tcBorders>
          </w:tcPr>
          <w:p>
            <w:pPr>
              <w:spacing w:line="282" w:lineRule="auto"/>
              <w:rPr>
                <w:rFonts w:ascii="Arial"/>
                <w:sz w:val="21"/>
              </w:rPr>
            </w:pPr>
            <w:r/>
          </w:p>
          <w:p>
            <w:pPr>
              <w:spacing w:line="283" w:lineRule="auto"/>
              <w:rPr>
                <w:rFonts w:ascii="Arial"/>
                <w:sz w:val="21"/>
              </w:rPr>
            </w:pPr>
            <w:r/>
          </w:p>
          <w:p>
            <w:pPr>
              <w:pStyle w:val="TableText"/>
              <w:ind w:left="262"/>
              <w:spacing w:before="65" w:line="220" w:lineRule="auto"/>
              <w:rPr/>
            </w:pPr>
            <w:r>
              <w:rPr>
                <w:spacing w:val="-1"/>
              </w:rPr>
              <w:t>C比例分成</w:t>
            </w:r>
          </w:p>
        </w:tc>
        <w:tc>
          <w:tcPr>
            <w:tcW w:w="2027" w:type="dxa"/>
            <w:vAlign w:val="top"/>
            <w:gridSpan w:val="2"/>
          </w:tcPr>
          <w:p>
            <w:pPr>
              <w:pStyle w:val="TableText"/>
              <w:ind w:left="352"/>
              <w:spacing w:before="141" w:line="218" w:lineRule="auto"/>
              <w:rPr/>
            </w:pPr>
            <w:r>
              <w:rPr>
                <w:spacing w:val="2"/>
              </w:rPr>
              <w:t>固定价格P常国</w:t>
            </w:r>
          </w:p>
        </w:tc>
        <w:tc>
          <w:tcPr>
            <w:tcW w:w="2038" w:type="dxa"/>
            <w:vAlign w:val="top"/>
          </w:tcPr>
          <w:p>
            <w:pPr>
              <w:pStyle w:val="TableText"/>
              <w:ind w:left="916"/>
              <w:spacing w:before="143" w:line="220" w:lineRule="auto"/>
              <w:rPr/>
            </w:pPr>
            <w:r>
              <w:rPr/>
              <w:t>无</w:t>
            </w:r>
          </w:p>
        </w:tc>
        <w:tc>
          <w:tcPr>
            <w:tcW w:w="2003" w:type="dxa"/>
            <w:vAlign w:val="top"/>
          </w:tcPr>
          <w:p>
            <w:pPr>
              <w:pStyle w:val="TableText"/>
              <w:spacing w:before="143" w:line="220" w:lineRule="auto"/>
              <w:jc w:val="right"/>
              <w:rPr/>
            </w:pPr>
            <w:r>
              <w:rPr>
                <w:spacing w:val="-8"/>
              </w:rPr>
              <w:t>287.84≤P常困≤431.76</w:t>
            </w:r>
          </w:p>
        </w:tc>
      </w:tr>
      <w:tr>
        <w:trPr>
          <w:trHeight w:val="479" w:hRule="atLeast"/>
        </w:trPr>
        <w:tc>
          <w:tcPr>
            <w:tcW w:w="1763" w:type="dxa"/>
            <w:vAlign w:val="top"/>
            <w:vMerge w:val="continue"/>
            <w:tcBorders>
              <w:top w:val="nil"/>
              <w:bottom w:val="nil"/>
            </w:tcBorders>
          </w:tcPr>
          <w:p>
            <w:pPr>
              <w:rPr>
                <w:rFonts w:ascii="Arial"/>
                <w:sz w:val="21"/>
              </w:rPr>
            </w:pPr>
            <w:r/>
          </w:p>
        </w:tc>
        <w:tc>
          <w:tcPr>
            <w:tcW w:w="1449" w:type="dxa"/>
            <w:vAlign w:val="top"/>
            <w:vMerge w:val="continue"/>
            <w:tcBorders>
              <w:top w:val="nil"/>
              <w:bottom w:val="nil"/>
            </w:tcBorders>
          </w:tcPr>
          <w:p>
            <w:pPr>
              <w:rPr>
                <w:rFonts w:ascii="Arial"/>
                <w:sz w:val="21"/>
              </w:rPr>
            </w:pPr>
            <w:r/>
          </w:p>
        </w:tc>
        <w:tc>
          <w:tcPr>
            <w:tcW w:w="2027" w:type="dxa"/>
            <w:vAlign w:val="top"/>
            <w:gridSpan w:val="2"/>
          </w:tcPr>
          <w:p>
            <w:pPr>
              <w:pStyle w:val="TableText"/>
              <w:ind w:left="352"/>
              <w:spacing w:before="143" w:line="219" w:lineRule="auto"/>
              <w:rPr/>
            </w:pPr>
            <w:r>
              <w:rPr>
                <w:spacing w:val="-2"/>
              </w:rPr>
              <w:t>分成比例K常享</w:t>
            </w:r>
          </w:p>
        </w:tc>
        <w:tc>
          <w:tcPr>
            <w:tcW w:w="2038" w:type="dxa"/>
            <w:vAlign w:val="top"/>
          </w:tcPr>
          <w:p>
            <w:pPr>
              <w:pStyle w:val="TableText"/>
              <w:ind w:left="916"/>
              <w:spacing w:before="143" w:line="220" w:lineRule="auto"/>
              <w:rPr/>
            </w:pPr>
            <w:r>
              <w:rPr/>
              <w:t>无</w:t>
            </w:r>
          </w:p>
        </w:tc>
        <w:tc>
          <w:tcPr>
            <w:tcW w:w="2003" w:type="dxa"/>
            <w:vAlign w:val="top"/>
          </w:tcPr>
          <w:p>
            <w:pPr>
              <w:pStyle w:val="TableText"/>
              <w:ind w:left="448"/>
              <w:spacing w:before="203" w:line="219" w:lineRule="auto"/>
              <w:rPr/>
            </w:pPr>
            <w:r>
              <w:rPr>
                <w:spacing w:val="2"/>
              </w:rPr>
              <w:t>O≤K常享≤1</w:t>
            </w:r>
          </w:p>
        </w:tc>
      </w:tr>
      <w:tr>
        <w:trPr>
          <w:trHeight w:val="480" w:hRule="atLeast"/>
        </w:trPr>
        <w:tc>
          <w:tcPr>
            <w:tcW w:w="1763" w:type="dxa"/>
            <w:vAlign w:val="top"/>
            <w:vMerge w:val="continue"/>
            <w:tcBorders>
              <w:top w:val="nil"/>
            </w:tcBorders>
          </w:tcPr>
          <w:p>
            <w:pPr>
              <w:rPr>
                <w:rFonts w:ascii="Arial"/>
                <w:sz w:val="21"/>
              </w:rPr>
            </w:pPr>
            <w:r/>
          </w:p>
        </w:tc>
        <w:tc>
          <w:tcPr>
            <w:tcW w:w="1449" w:type="dxa"/>
            <w:vAlign w:val="top"/>
            <w:vMerge w:val="continue"/>
            <w:tcBorders>
              <w:top w:val="nil"/>
            </w:tcBorders>
          </w:tcPr>
          <w:p>
            <w:pPr>
              <w:rPr>
                <w:rFonts w:ascii="Arial"/>
                <w:sz w:val="21"/>
              </w:rPr>
            </w:pPr>
            <w:r/>
          </w:p>
        </w:tc>
        <w:tc>
          <w:tcPr>
            <w:tcW w:w="2027" w:type="dxa"/>
            <w:vAlign w:val="top"/>
            <w:gridSpan w:val="2"/>
          </w:tcPr>
          <w:p>
            <w:pPr>
              <w:pStyle w:val="TableText"/>
              <w:ind w:left="352"/>
              <w:spacing w:before="144" w:line="220" w:lineRule="auto"/>
              <w:rPr/>
            </w:pPr>
            <w:r>
              <w:rPr>
                <w:spacing w:val="-2"/>
              </w:rPr>
              <w:t>分成比例K常担</w:t>
            </w:r>
          </w:p>
        </w:tc>
        <w:tc>
          <w:tcPr>
            <w:tcW w:w="2038" w:type="dxa"/>
            <w:vAlign w:val="top"/>
          </w:tcPr>
          <w:p>
            <w:pPr>
              <w:pStyle w:val="TableText"/>
              <w:ind w:left="916"/>
              <w:spacing w:before="144" w:line="220" w:lineRule="auto"/>
              <w:rPr/>
            </w:pPr>
            <w:r>
              <w:rPr/>
              <w:t>无</w:t>
            </w:r>
          </w:p>
        </w:tc>
        <w:tc>
          <w:tcPr>
            <w:tcW w:w="2003" w:type="dxa"/>
            <w:vAlign w:val="top"/>
          </w:tcPr>
          <w:p>
            <w:pPr>
              <w:pStyle w:val="TableText"/>
              <w:ind w:left="448"/>
              <w:spacing w:before="204" w:line="220" w:lineRule="auto"/>
              <w:rPr/>
            </w:pPr>
            <w:r>
              <w:rPr>
                <w:spacing w:val="2"/>
              </w:rPr>
              <w:t>O≤K常担≤1</w:t>
            </w:r>
          </w:p>
        </w:tc>
      </w:tr>
      <w:tr>
        <w:trPr>
          <w:trHeight w:val="480" w:hRule="atLeast"/>
        </w:trPr>
        <w:tc>
          <w:tcPr>
            <w:tcW w:w="1763" w:type="dxa"/>
            <w:vAlign w:val="top"/>
            <w:vMerge w:val="restart"/>
            <w:tcBorders>
              <w:bottom w:val="nil"/>
            </w:tcBorders>
          </w:tcPr>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25"/>
              <w:spacing w:before="65" w:line="218" w:lineRule="auto"/>
              <w:rPr/>
            </w:pPr>
            <w:r>
              <w:rPr/>
              <w:t>1.2绿色电力电价</w:t>
            </w:r>
          </w:p>
          <w:p>
            <w:pPr>
              <w:pStyle w:val="TableText"/>
              <w:ind w:left="225"/>
              <w:spacing w:before="46" w:line="220" w:lineRule="auto"/>
              <w:rPr/>
            </w:pPr>
            <w:r>
              <w:rPr>
                <w:spacing w:val="2"/>
              </w:rPr>
              <w:t>(有绿电需求的</w:t>
            </w:r>
          </w:p>
          <w:p>
            <w:pPr>
              <w:pStyle w:val="TableText"/>
              <w:spacing w:before="31" w:line="220" w:lineRule="auto"/>
              <w:jc w:val="right"/>
              <w:rPr/>
            </w:pPr>
            <w:r>
              <w:rPr>
                <w:spacing w:val="-3"/>
              </w:rPr>
              <w:t>必填，ABC三选一，</w:t>
            </w:r>
          </w:p>
          <w:p>
            <w:pPr>
              <w:pStyle w:val="TableText"/>
              <w:ind w:left="175"/>
              <w:spacing w:before="71" w:line="219" w:lineRule="auto"/>
              <w:rPr/>
            </w:pPr>
            <w:r>
              <w:rPr>
                <w:spacing w:val="2"/>
              </w:rPr>
              <w:t>且须与常规电力</w:t>
            </w:r>
          </w:p>
          <w:p>
            <w:pPr>
              <w:pStyle w:val="TableText"/>
              <w:ind w:left="425"/>
              <w:spacing w:before="12" w:line="219" w:lineRule="auto"/>
              <w:rPr/>
            </w:pPr>
            <w:r>
              <w:rPr>
                <w:spacing w:val="8"/>
              </w:rPr>
              <w:t>套餐一致)</w:t>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985"/>
              <w:spacing w:before="65"/>
              <w:rPr/>
            </w:pPr>
            <w:r>
              <w:rPr>
                <w:spacing w:val="-3"/>
              </w:rPr>
              <w:t>35</w:t>
            </w:r>
          </w:p>
        </w:tc>
        <w:tc>
          <w:tcPr>
            <w:tcW w:w="1449" w:type="dxa"/>
            <w:vAlign w:val="top"/>
          </w:tcPr>
          <w:p>
            <w:pPr>
              <w:pStyle w:val="TableText"/>
              <w:ind w:left="262"/>
              <w:spacing w:before="142" w:line="218" w:lineRule="auto"/>
              <w:rPr/>
            </w:pPr>
            <w:r>
              <w:rPr>
                <w:spacing w:val="-1"/>
              </w:rPr>
              <w:t>A固定价格</w:t>
            </w:r>
          </w:p>
        </w:tc>
        <w:tc>
          <w:tcPr>
            <w:tcW w:w="2027" w:type="dxa"/>
            <w:vAlign w:val="top"/>
            <w:gridSpan w:val="2"/>
          </w:tcPr>
          <w:p>
            <w:pPr>
              <w:pStyle w:val="TableText"/>
              <w:ind w:left="443"/>
              <w:spacing w:before="172" w:line="201" w:lineRule="auto"/>
              <w:rPr/>
            </w:pPr>
            <w:r>
              <w:rPr>
                <w:spacing w:val="4"/>
                <w:position w:val="2"/>
              </w:rPr>
              <w:t>固定价格P</w:t>
            </w:r>
            <w:r>
              <w:rPr>
                <w:spacing w:val="4"/>
                <w:position w:val="-6"/>
              </w:rPr>
              <w:t>绿固</w:t>
            </w:r>
          </w:p>
        </w:tc>
        <w:tc>
          <w:tcPr>
            <w:tcW w:w="2038" w:type="dxa"/>
            <w:vAlign w:val="top"/>
          </w:tcPr>
          <w:p>
            <w:pPr>
              <w:pStyle w:val="TableText"/>
              <w:ind w:left="916"/>
              <w:spacing w:before="144" w:line="220" w:lineRule="auto"/>
              <w:rPr/>
            </w:pPr>
            <w:r>
              <w:rPr/>
              <w:t>无</w:t>
            </w:r>
          </w:p>
        </w:tc>
        <w:tc>
          <w:tcPr>
            <w:tcW w:w="2003" w:type="dxa"/>
            <w:vAlign w:val="top"/>
          </w:tcPr>
          <w:p>
            <w:pPr>
              <w:pStyle w:val="TableText"/>
              <w:spacing w:before="205" w:line="221" w:lineRule="auto"/>
              <w:jc w:val="right"/>
              <w:rPr/>
            </w:pPr>
            <w:r>
              <w:rPr>
                <w:spacing w:val="-8"/>
              </w:rPr>
              <w:t>287.84≤P绿困≤431.76</w:t>
            </w:r>
          </w:p>
        </w:tc>
      </w:tr>
      <w:tr>
        <w:trPr>
          <w:trHeight w:val="480" w:hRule="atLeast"/>
        </w:trPr>
        <w:tc>
          <w:tcPr>
            <w:tcW w:w="1763" w:type="dxa"/>
            <w:vAlign w:val="top"/>
            <w:vMerge w:val="continue"/>
            <w:tcBorders>
              <w:top w:val="nil"/>
              <w:bottom w:val="nil"/>
            </w:tcBorders>
          </w:tcPr>
          <w:p>
            <w:pPr>
              <w:rPr>
                <w:rFonts w:ascii="Arial"/>
                <w:sz w:val="21"/>
              </w:rPr>
            </w:pPr>
            <w:r/>
          </w:p>
        </w:tc>
        <w:tc>
          <w:tcPr>
            <w:tcW w:w="1449" w:type="dxa"/>
            <w:vAlign w:val="top"/>
            <w:vMerge w:val="restart"/>
            <w:tcBorders>
              <w:bottom w:val="nil"/>
            </w:tcBorders>
          </w:tcPr>
          <w:p>
            <w:pPr>
              <w:spacing w:line="325" w:lineRule="auto"/>
              <w:rPr>
                <w:rFonts w:ascii="Arial"/>
                <w:sz w:val="21"/>
              </w:rPr>
            </w:pPr>
            <w:r/>
          </w:p>
          <w:p>
            <w:pPr>
              <w:pStyle w:val="TableText"/>
              <w:ind w:left="262"/>
              <w:spacing w:before="65" w:line="218" w:lineRule="auto"/>
              <w:rPr/>
            </w:pPr>
            <w:r>
              <w:rPr>
                <w:spacing w:val="-1"/>
              </w:rPr>
              <w:t>B联动价格</w:t>
            </w:r>
          </w:p>
        </w:tc>
        <w:tc>
          <w:tcPr>
            <w:tcW w:w="2027" w:type="dxa"/>
            <w:vAlign w:val="top"/>
            <w:gridSpan w:val="2"/>
          </w:tcPr>
          <w:p>
            <w:pPr>
              <w:pStyle w:val="TableText"/>
              <w:ind w:left="413"/>
              <w:spacing w:before="133" w:line="228" w:lineRule="auto"/>
              <w:rPr/>
            </w:pPr>
            <w:r>
              <w:rPr>
                <w:spacing w:val="-2"/>
                <w:position w:val="2"/>
              </w:rPr>
              <w:t>基准价格P</w:t>
            </w:r>
            <w:r>
              <w:rPr>
                <w:spacing w:val="-22"/>
                <w:position w:val="2"/>
              </w:rPr>
              <w:t xml:space="preserve"> </w:t>
            </w:r>
            <w:r>
              <w:rPr>
                <w:spacing w:val="-2"/>
                <w:position w:val="-7"/>
              </w:rPr>
              <w:t>绿基</w:t>
            </w:r>
          </w:p>
        </w:tc>
        <w:tc>
          <w:tcPr>
            <w:tcW w:w="2038" w:type="dxa"/>
            <w:vAlign w:val="top"/>
          </w:tcPr>
          <w:p>
            <w:pPr>
              <w:pStyle w:val="TableText"/>
              <w:ind w:left="766"/>
              <w:spacing w:before="155" w:line="221" w:lineRule="auto"/>
              <w:rPr/>
            </w:pPr>
            <w:r>
              <w:rPr>
                <w:spacing w:val="-1"/>
              </w:rPr>
              <w:t>P绿批</w:t>
            </w:r>
          </w:p>
        </w:tc>
        <w:tc>
          <w:tcPr>
            <w:tcW w:w="2003" w:type="dxa"/>
            <w:vAlign w:val="top"/>
          </w:tcPr>
          <w:p>
            <w:pPr>
              <w:pStyle w:val="TableText"/>
              <w:ind w:left="157"/>
              <w:spacing w:before="169" w:line="198" w:lineRule="auto"/>
              <w:rPr>
                <w:sz w:val="28"/>
                <w:szCs w:val="28"/>
              </w:rPr>
            </w:pPr>
            <w:r>
              <w:rPr>
                <w:sz w:val="28"/>
                <w:szCs w:val="28"/>
                <w:spacing w:val="2"/>
              </w:rPr>
              <w:t>P绿批或P绿售</w:t>
            </w:r>
          </w:p>
        </w:tc>
      </w:tr>
      <w:tr>
        <w:trPr>
          <w:trHeight w:val="479" w:hRule="atLeast"/>
        </w:trPr>
        <w:tc>
          <w:tcPr>
            <w:tcW w:w="1763" w:type="dxa"/>
            <w:vAlign w:val="top"/>
            <w:vMerge w:val="continue"/>
            <w:tcBorders>
              <w:top w:val="nil"/>
              <w:bottom w:val="nil"/>
            </w:tcBorders>
          </w:tcPr>
          <w:p>
            <w:pPr>
              <w:rPr>
                <w:rFonts w:ascii="Arial"/>
                <w:sz w:val="21"/>
              </w:rPr>
            </w:pPr>
            <w:r/>
          </w:p>
        </w:tc>
        <w:tc>
          <w:tcPr>
            <w:tcW w:w="1449" w:type="dxa"/>
            <w:vAlign w:val="top"/>
            <w:vMerge w:val="continue"/>
            <w:tcBorders>
              <w:top w:val="nil"/>
            </w:tcBorders>
          </w:tcPr>
          <w:p>
            <w:pPr>
              <w:rPr>
                <w:rFonts w:ascii="Arial"/>
                <w:sz w:val="21"/>
              </w:rPr>
            </w:pPr>
            <w:r/>
          </w:p>
        </w:tc>
        <w:tc>
          <w:tcPr>
            <w:tcW w:w="2027" w:type="dxa"/>
            <w:vAlign w:val="top"/>
            <w:gridSpan w:val="2"/>
          </w:tcPr>
          <w:p>
            <w:pPr>
              <w:pStyle w:val="TableText"/>
              <w:ind w:left="352"/>
              <w:spacing w:before="142" w:line="218" w:lineRule="auto"/>
              <w:rPr/>
            </w:pPr>
            <w:r>
              <w:rPr>
                <w:spacing w:val="-2"/>
              </w:rPr>
              <w:t>浮动价格P绿浮</w:t>
            </w:r>
          </w:p>
        </w:tc>
        <w:tc>
          <w:tcPr>
            <w:tcW w:w="2038" w:type="dxa"/>
            <w:vAlign w:val="top"/>
          </w:tcPr>
          <w:p>
            <w:pPr>
              <w:pStyle w:val="TableText"/>
              <w:ind w:left="766"/>
              <w:spacing w:before="164" w:line="239" w:lineRule="auto"/>
              <w:rPr/>
            </w:pPr>
            <w:r>
              <w:drawing>
                <wp:anchor distT="0" distB="0" distL="0" distR="0" simplePos="0" relativeHeight="251705344" behindDoc="0" locked="0" layoutInCell="1" allowOverlap="1">
                  <wp:simplePos x="0" y="0"/>
                  <wp:positionH relativeFrom="column">
                    <wp:posOffset>-123188</wp:posOffset>
                  </wp:positionH>
                  <wp:positionV relativeFrom="paragraph">
                    <wp:posOffset>79921</wp:posOffset>
                  </wp:positionV>
                  <wp:extent cx="1428783" cy="1479538"/>
                  <wp:effectExtent l="0" t="0" r="0" b="0"/>
                  <wp:wrapNone/>
                  <wp:docPr id="98" name="IM 98"/>
                  <wp:cNvGraphicFramePr/>
                  <a:graphic>
                    <a:graphicData uri="http://schemas.openxmlformats.org/drawingml/2006/picture">
                      <pic:pic>
                        <pic:nvPicPr>
                          <pic:cNvPr id="98" name="IM 98"/>
                          <pic:cNvPicPr/>
                        </pic:nvPicPr>
                        <pic:blipFill>
                          <a:blip r:embed="rId35"/>
                          <a:stretch>
                            <a:fillRect/>
                          </a:stretch>
                        </pic:blipFill>
                        <pic:spPr>
                          <a:xfrm rot="0">
                            <a:off x="0" y="0"/>
                            <a:ext cx="1428783" cy="1479538"/>
                          </a:xfrm>
                          <a:prstGeom prst="rect">
                            <a:avLst/>
                          </a:prstGeom>
                        </pic:spPr>
                      </pic:pic>
                    </a:graphicData>
                  </a:graphic>
                </wp:anchor>
              </w:drawing>
            </w:r>
            <w:r>
              <w:rPr>
                <w:spacing w:val="-3"/>
              </w:rPr>
              <w:t>7..73</w:t>
            </w:r>
          </w:p>
        </w:tc>
        <w:tc>
          <w:tcPr>
            <w:tcW w:w="2003" w:type="dxa"/>
            <w:vAlign w:val="top"/>
          </w:tcPr>
          <w:p>
            <w:pPr>
              <w:pStyle w:val="TableText"/>
              <w:spacing w:before="161" w:line="236" w:lineRule="auto"/>
              <w:jc w:val="right"/>
              <w:rPr/>
            </w:pPr>
            <w:r>
              <w:rPr>
                <w:spacing w:val="-2"/>
              </w:rPr>
              <w:t>287.84≤Pa+P≤431.76</w:t>
            </w:r>
          </w:p>
        </w:tc>
      </w:tr>
      <w:tr>
        <w:trPr>
          <w:trHeight w:val="480" w:hRule="atLeast"/>
        </w:trPr>
        <w:tc>
          <w:tcPr>
            <w:tcW w:w="1763" w:type="dxa"/>
            <w:vAlign w:val="top"/>
            <w:vMerge w:val="continue"/>
            <w:tcBorders>
              <w:top w:val="nil"/>
              <w:bottom w:val="nil"/>
            </w:tcBorders>
          </w:tcPr>
          <w:p>
            <w:pPr>
              <w:rPr>
                <w:rFonts w:ascii="Arial"/>
                <w:sz w:val="21"/>
              </w:rPr>
            </w:pPr>
            <w:r/>
          </w:p>
        </w:tc>
        <w:tc>
          <w:tcPr>
            <w:tcW w:w="1449" w:type="dxa"/>
            <w:vAlign w:val="top"/>
            <w:vMerge w:val="restart"/>
            <w:tcBorders>
              <w:bottom w:val="nil"/>
            </w:tcBorders>
          </w:tcPr>
          <w:p>
            <w:pPr>
              <w:spacing w:line="283" w:lineRule="auto"/>
              <w:rPr>
                <w:rFonts w:ascii="Arial"/>
                <w:sz w:val="21"/>
              </w:rPr>
            </w:pPr>
            <w:r/>
          </w:p>
          <w:p>
            <w:pPr>
              <w:spacing w:line="284" w:lineRule="auto"/>
              <w:rPr>
                <w:rFonts w:ascii="Arial"/>
                <w:sz w:val="21"/>
              </w:rPr>
            </w:pPr>
            <w:r/>
          </w:p>
          <w:p>
            <w:pPr>
              <w:pStyle w:val="TableText"/>
              <w:ind w:left="262"/>
              <w:spacing w:before="65" w:line="220" w:lineRule="auto"/>
              <w:rPr/>
            </w:pPr>
            <w:r>
              <w:rPr>
                <w:spacing w:val="-1"/>
              </w:rPr>
              <w:t>C比例分成</w:t>
            </w:r>
          </w:p>
        </w:tc>
        <w:tc>
          <w:tcPr>
            <w:tcW w:w="2027" w:type="dxa"/>
            <w:vAlign w:val="top"/>
            <w:gridSpan w:val="2"/>
          </w:tcPr>
          <w:p>
            <w:pPr>
              <w:pStyle w:val="TableText"/>
              <w:ind w:left="352"/>
              <w:spacing w:before="143" w:line="218" w:lineRule="auto"/>
              <w:rPr/>
            </w:pPr>
            <w:r>
              <w:rPr>
                <w:spacing w:val="2"/>
              </w:rPr>
              <w:t>固定价格P绿固</w:t>
            </w:r>
          </w:p>
        </w:tc>
        <w:tc>
          <w:tcPr>
            <w:tcW w:w="2038" w:type="dxa"/>
            <w:vAlign w:val="top"/>
          </w:tcPr>
          <w:p>
            <w:pPr>
              <w:pStyle w:val="TableText"/>
              <w:ind w:left="916"/>
              <w:spacing w:before="145" w:line="220" w:lineRule="auto"/>
              <w:rPr/>
            </w:pPr>
            <w:r>
              <w:rPr/>
              <w:t>无</w:t>
            </w:r>
          </w:p>
        </w:tc>
        <w:tc>
          <w:tcPr>
            <w:tcW w:w="2003" w:type="dxa"/>
            <w:vAlign w:val="top"/>
          </w:tcPr>
          <w:p>
            <w:pPr>
              <w:pStyle w:val="TableText"/>
              <w:spacing w:before="215" w:line="220" w:lineRule="auto"/>
              <w:jc w:val="right"/>
              <w:rPr/>
            </w:pPr>
            <w:r>
              <w:rPr>
                <w:spacing w:val="-8"/>
              </w:rPr>
              <w:t>287.84≤P绿固≤431.76</w:t>
            </w:r>
          </w:p>
        </w:tc>
      </w:tr>
      <w:tr>
        <w:trPr>
          <w:trHeight w:val="480" w:hRule="atLeast"/>
        </w:trPr>
        <w:tc>
          <w:tcPr>
            <w:tcW w:w="1763" w:type="dxa"/>
            <w:vAlign w:val="top"/>
            <w:vMerge w:val="continue"/>
            <w:tcBorders>
              <w:top w:val="nil"/>
              <w:bottom w:val="nil"/>
            </w:tcBorders>
          </w:tcPr>
          <w:p>
            <w:pPr>
              <w:rPr>
                <w:rFonts w:ascii="Arial"/>
                <w:sz w:val="21"/>
              </w:rPr>
            </w:pPr>
            <w:r/>
          </w:p>
        </w:tc>
        <w:tc>
          <w:tcPr>
            <w:tcW w:w="1449" w:type="dxa"/>
            <w:vAlign w:val="top"/>
            <w:vMerge w:val="continue"/>
            <w:tcBorders>
              <w:top w:val="nil"/>
              <w:bottom w:val="nil"/>
            </w:tcBorders>
          </w:tcPr>
          <w:p>
            <w:pPr>
              <w:rPr>
                <w:rFonts w:ascii="Arial"/>
                <w:sz w:val="21"/>
              </w:rPr>
            </w:pPr>
            <w:r/>
          </w:p>
        </w:tc>
        <w:tc>
          <w:tcPr>
            <w:tcW w:w="2027" w:type="dxa"/>
            <w:vAlign w:val="top"/>
            <w:gridSpan w:val="2"/>
          </w:tcPr>
          <w:p>
            <w:pPr>
              <w:pStyle w:val="TableText"/>
              <w:ind w:left="352"/>
              <w:spacing w:before="145" w:line="219" w:lineRule="auto"/>
              <w:rPr/>
            </w:pPr>
            <w:r>
              <w:rPr>
                <w:spacing w:val="-2"/>
              </w:rPr>
              <w:t>分成比例K绿享</w:t>
            </w:r>
          </w:p>
        </w:tc>
        <w:tc>
          <w:tcPr>
            <w:tcW w:w="2038" w:type="dxa"/>
            <w:vAlign w:val="top"/>
          </w:tcPr>
          <w:p>
            <w:pPr>
              <w:pStyle w:val="TableText"/>
              <w:ind w:left="916"/>
              <w:spacing w:before="146" w:line="221" w:lineRule="auto"/>
              <w:rPr/>
            </w:pPr>
            <w:r>
              <w:rPr/>
              <w:t>牙</w:t>
            </w:r>
          </w:p>
        </w:tc>
        <w:tc>
          <w:tcPr>
            <w:tcW w:w="2003" w:type="dxa"/>
            <w:vAlign w:val="top"/>
          </w:tcPr>
          <w:p>
            <w:pPr>
              <w:pStyle w:val="TableText"/>
              <w:ind w:left="448"/>
              <w:spacing w:before="145" w:line="219" w:lineRule="auto"/>
              <w:rPr/>
            </w:pPr>
            <w:r>
              <w:rPr>
                <w:spacing w:val="2"/>
              </w:rPr>
              <w:t>O≤K绿享≤1</w:t>
            </w:r>
          </w:p>
        </w:tc>
      </w:tr>
      <w:tr>
        <w:trPr>
          <w:trHeight w:val="469" w:hRule="atLeast"/>
        </w:trPr>
        <w:tc>
          <w:tcPr>
            <w:tcW w:w="1763" w:type="dxa"/>
            <w:vAlign w:val="top"/>
            <w:vMerge w:val="continue"/>
            <w:tcBorders>
              <w:top w:val="nil"/>
              <w:bottom w:val="nil"/>
            </w:tcBorders>
          </w:tcPr>
          <w:p>
            <w:pPr>
              <w:rPr>
                <w:rFonts w:ascii="Arial"/>
                <w:sz w:val="21"/>
              </w:rPr>
            </w:pPr>
            <w:r/>
          </w:p>
        </w:tc>
        <w:tc>
          <w:tcPr>
            <w:tcW w:w="1449" w:type="dxa"/>
            <w:vAlign w:val="top"/>
            <w:vMerge w:val="continue"/>
            <w:tcBorders>
              <w:top w:val="nil"/>
            </w:tcBorders>
          </w:tcPr>
          <w:p>
            <w:pPr>
              <w:rPr>
                <w:rFonts w:ascii="Arial"/>
                <w:sz w:val="21"/>
              </w:rPr>
            </w:pPr>
            <w:r/>
          </w:p>
        </w:tc>
        <w:tc>
          <w:tcPr>
            <w:tcW w:w="2027" w:type="dxa"/>
            <w:vAlign w:val="top"/>
            <w:gridSpan w:val="2"/>
          </w:tcPr>
          <w:p>
            <w:pPr>
              <w:pStyle w:val="TableText"/>
              <w:ind w:left="352"/>
              <w:spacing w:before="145" w:line="220" w:lineRule="auto"/>
              <w:rPr/>
            </w:pPr>
            <w:r>
              <w:rPr>
                <w:spacing w:val="-2"/>
              </w:rPr>
              <w:t>分成比例K绿担</w:t>
            </w:r>
          </w:p>
        </w:tc>
        <w:tc>
          <w:tcPr>
            <w:tcW w:w="2038" w:type="dxa"/>
            <w:vAlign w:val="top"/>
          </w:tcPr>
          <w:p>
            <w:pPr>
              <w:pStyle w:val="TableText"/>
              <w:ind w:left="916"/>
              <w:spacing w:before="145" w:line="220" w:lineRule="auto"/>
              <w:rPr/>
            </w:pPr>
            <w:r>
              <w:rPr/>
              <w:t>无</w:t>
            </w:r>
          </w:p>
        </w:tc>
        <w:tc>
          <w:tcPr>
            <w:tcW w:w="2003" w:type="dxa"/>
            <w:vAlign w:val="top"/>
          </w:tcPr>
          <w:p>
            <w:pPr>
              <w:pStyle w:val="TableText"/>
              <w:ind w:left="448"/>
              <w:spacing w:before="145" w:line="220" w:lineRule="auto"/>
              <w:rPr/>
            </w:pPr>
            <w:r>
              <w:rPr>
                <w:spacing w:val="2"/>
              </w:rPr>
              <w:t>O≤K绿担≤1</w:t>
            </w:r>
          </w:p>
        </w:tc>
      </w:tr>
      <w:tr>
        <w:trPr>
          <w:trHeight w:val="949" w:hRule="atLeast"/>
        </w:trPr>
        <w:tc>
          <w:tcPr>
            <w:tcW w:w="1763" w:type="dxa"/>
            <w:vAlign w:val="top"/>
            <w:vMerge w:val="continue"/>
            <w:tcBorders>
              <w:top w:val="nil"/>
            </w:tcBorders>
          </w:tcPr>
          <w:p>
            <w:pPr>
              <w:rPr>
                <w:rFonts w:ascii="Arial"/>
                <w:sz w:val="21"/>
              </w:rPr>
            </w:pPr>
            <w:r/>
          </w:p>
        </w:tc>
        <w:tc>
          <w:tcPr>
            <w:tcW w:w="3476" w:type="dxa"/>
            <w:vAlign w:val="top"/>
            <w:gridSpan w:val="3"/>
          </w:tcPr>
          <w:p>
            <w:pPr>
              <w:pStyle w:val="TableText"/>
              <w:ind w:left="202" w:right="915" w:firstLine="729"/>
              <w:spacing w:before="167" w:line="330" w:lineRule="auto"/>
              <w:rPr/>
            </w:pPr>
            <w:r>
              <w:rPr>
                <w:spacing w:val="2"/>
              </w:rPr>
              <w:t>绿色电力零售合同</w:t>
            </w:r>
            <w:r>
              <w:rPr>
                <w:spacing w:val="1"/>
              </w:rPr>
              <w:t xml:space="preserve"> </w:t>
            </w:r>
            <w:r>
              <w:rPr>
                <w:position w:val="1"/>
              </w:rPr>
              <w:t>0</w:t>
            </w:r>
            <w:r>
              <w:rPr>
                <w:spacing w:val="16"/>
                <w:position w:val="1"/>
              </w:rPr>
              <w:t xml:space="preserve">      </w:t>
            </w:r>
            <w:r>
              <w:rPr/>
              <w:t>封顶总价P绿封总</w:t>
            </w:r>
          </w:p>
        </w:tc>
        <w:tc>
          <w:tcPr>
            <w:tcW w:w="2038" w:type="dxa"/>
            <w:vAlign w:val="top"/>
          </w:tcPr>
          <w:p>
            <w:pPr>
              <w:spacing w:line="338" w:lineRule="auto"/>
              <w:rPr>
                <w:rFonts w:ascii="Arial"/>
                <w:sz w:val="21"/>
              </w:rPr>
            </w:pPr>
            <w:r/>
          </w:p>
          <w:p>
            <w:pPr>
              <w:pStyle w:val="TableText"/>
              <w:ind w:left="715"/>
              <w:spacing w:before="65" w:line="239" w:lineRule="auto"/>
              <w:rPr/>
            </w:pPr>
            <w:r>
              <w:rPr>
                <w:spacing w:val="-1"/>
              </w:rPr>
              <w:t>441.40</w:t>
            </w:r>
          </w:p>
        </w:tc>
        <w:tc>
          <w:tcPr>
            <w:tcW w:w="2003" w:type="dxa"/>
            <w:vAlign w:val="top"/>
          </w:tcPr>
          <w:p>
            <w:pPr>
              <w:pStyle w:val="TableText"/>
              <w:spacing w:before="134" w:line="218" w:lineRule="auto"/>
              <w:jc w:val="right"/>
              <w:rPr>
                <w:sz w:val="19"/>
                <w:szCs w:val="19"/>
              </w:rPr>
            </w:pPr>
            <w:r>
              <w:rPr>
                <w:sz w:val="19"/>
                <w:szCs w:val="19"/>
                <w:spacing w:val="-16"/>
                <w:w w:val="98"/>
              </w:rPr>
              <w:t>P绿封总三</w:t>
            </w:r>
            <w:r>
              <w:rPr>
                <w:sz w:val="19"/>
                <w:szCs w:val="19"/>
                <w:spacing w:val="-15"/>
                <w:w w:val="98"/>
              </w:rPr>
              <w:t>电能量价格十</w:t>
            </w:r>
            <w:r>
              <w:rPr>
                <w:sz w:val="19"/>
                <w:szCs w:val="19"/>
                <w:spacing w:val="-10"/>
                <w:w w:val="98"/>
              </w:rPr>
              <w:t>环</w:t>
            </w:r>
          </w:p>
          <w:p>
            <w:pPr>
              <w:pStyle w:val="TableText"/>
              <w:ind w:left="748"/>
              <w:spacing w:before="45" w:line="197" w:lineRule="auto"/>
              <w:rPr/>
            </w:pPr>
            <w:r>
              <w:rPr>
                <w:spacing w:val="-2"/>
              </w:rPr>
              <w:t>境价值</w:t>
            </w:r>
          </w:p>
          <w:p>
            <w:pPr>
              <w:pStyle w:val="TableText"/>
              <w:ind w:left="398"/>
              <w:spacing w:line="220" w:lineRule="auto"/>
              <w:rPr/>
            </w:pPr>
            <w:r>
              <w:rPr>
                <w:spacing w:val="-1"/>
              </w:rPr>
              <w:t>P绿封总≥P绿</w:t>
            </w:r>
          </w:p>
        </w:tc>
      </w:tr>
      <w:tr>
        <w:trPr>
          <w:trHeight w:val="480" w:hRule="atLeast"/>
        </w:trPr>
        <w:tc>
          <w:tcPr>
            <w:tcW w:w="1763" w:type="dxa"/>
            <w:vAlign w:val="top"/>
            <w:vMerge w:val="restart"/>
            <w:tcBorders>
              <w:bottom w:val="nil"/>
            </w:tcBorders>
          </w:tcPr>
          <w:p>
            <w:pPr>
              <w:spacing w:line="398" w:lineRule="auto"/>
              <w:rPr>
                <w:rFonts w:ascii="Arial"/>
                <w:sz w:val="21"/>
              </w:rPr>
            </w:pPr>
            <w:r/>
          </w:p>
          <w:p>
            <w:pPr>
              <w:pStyle w:val="TableText"/>
              <w:ind w:left="125"/>
              <w:spacing w:before="65" w:line="218" w:lineRule="auto"/>
              <w:rPr/>
            </w:pPr>
            <w:r>
              <w:rPr/>
              <w:t>1.3偏差电量电价</w:t>
            </w:r>
          </w:p>
          <w:p>
            <w:pPr>
              <w:pStyle w:val="TableText"/>
              <w:ind w:left="575"/>
              <w:spacing w:before="46" w:line="220" w:lineRule="auto"/>
              <w:rPr/>
            </w:pPr>
            <w:r>
              <w:rPr>
                <w:spacing w:val="10"/>
              </w:rPr>
              <w:t>(必填)</w:t>
            </w:r>
          </w:p>
        </w:tc>
        <w:tc>
          <w:tcPr>
            <w:tcW w:w="3476" w:type="dxa"/>
            <w:vAlign w:val="top"/>
            <w:gridSpan w:val="3"/>
          </w:tcPr>
          <w:p>
            <w:pPr>
              <w:pStyle w:val="TableText"/>
              <w:ind w:left="732"/>
              <w:spacing w:before="147" w:line="219" w:lineRule="auto"/>
              <w:rPr/>
            </w:pPr>
            <w:r>
              <w:rPr>
                <w:spacing w:val="-1"/>
              </w:rPr>
              <w:t>售电公司全担偏差责任</w:t>
            </w:r>
          </w:p>
        </w:tc>
        <w:tc>
          <w:tcPr>
            <w:tcW w:w="2038" w:type="dxa"/>
            <w:vAlign w:val="top"/>
          </w:tcPr>
          <w:p>
            <w:pPr>
              <w:pStyle w:val="TableText"/>
              <w:ind w:left="916"/>
              <w:spacing w:before="150" w:line="223" w:lineRule="auto"/>
              <w:rPr/>
            </w:pPr>
            <w:r>
              <w:rPr/>
              <w:t>是</w:t>
            </w:r>
          </w:p>
        </w:tc>
        <w:tc>
          <w:tcPr>
            <w:tcW w:w="2003" w:type="dxa"/>
            <w:vAlign w:val="top"/>
          </w:tcPr>
          <w:p>
            <w:pPr>
              <w:pStyle w:val="TableText"/>
              <w:ind w:left="197"/>
              <w:spacing w:before="27" w:line="204" w:lineRule="auto"/>
              <w:rPr/>
            </w:pPr>
            <w:r>
              <w:rPr>
                <w:spacing w:val="24"/>
              </w:rPr>
              <w:t>选择全担填“是”</w:t>
            </w:r>
            <w:r>
              <w:rPr>
                <w:spacing w:val="2"/>
              </w:rPr>
              <w:t xml:space="preserve"> </w:t>
            </w:r>
            <w:r>
              <w:rPr>
                <w:spacing w:val="24"/>
              </w:rPr>
              <w:t>选择共担填“否”</w:t>
            </w:r>
          </w:p>
        </w:tc>
      </w:tr>
      <w:tr>
        <w:trPr>
          <w:trHeight w:val="479" w:hRule="atLeast"/>
        </w:trPr>
        <w:tc>
          <w:tcPr>
            <w:tcW w:w="1763" w:type="dxa"/>
            <w:vAlign w:val="top"/>
            <w:vMerge w:val="continue"/>
            <w:tcBorders>
              <w:top w:val="nil"/>
              <w:bottom w:val="nil"/>
            </w:tcBorders>
          </w:tcPr>
          <w:p>
            <w:pPr>
              <w:rPr>
                <w:rFonts w:ascii="Arial"/>
                <w:sz w:val="21"/>
              </w:rPr>
            </w:pPr>
            <w:r/>
          </w:p>
        </w:tc>
        <w:tc>
          <w:tcPr>
            <w:tcW w:w="1449" w:type="dxa"/>
            <w:vAlign w:val="top"/>
            <w:vMerge w:val="restart"/>
            <w:tcBorders>
              <w:bottom w:val="nil"/>
            </w:tcBorders>
          </w:tcPr>
          <w:p>
            <w:pPr>
              <w:pStyle w:val="TableText"/>
              <w:ind w:left="112"/>
              <w:spacing w:before="227" w:line="219" w:lineRule="auto"/>
              <w:rPr/>
            </w:pPr>
            <w:r>
              <w:rPr>
                <w:spacing w:val="-2"/>
              </w:rPr>
              <w:t>零售用户共担</w:t>
            </w:r>
          </w:p>
          <w:p>
            <w:pPr>
              <w:pStyle w:val="TableText"/>
              <w:ind w:left="312"/>
              <w:spacing w:before="42" w:line="219" w:lineRule="auto"/>
              <w:rPr/>
            </w:pPr>
            <w:r>
              <w:rPr>
                <w:spacing w:val="-2"/>
              </w:rPr>
              <w:t>偏差责任</w:t>
            </w:r>
          </w:p>
        </w:tc>
        <w:tc>
          <w:tcPr>
            <w:tcW w:w="2027" w:type="dxa"/>
            <w:vAlign w:val="top"/>
            <w:gridSpan w:val="2"/>
          </w:tcPr>
          <w:p>
            <w:pPr>
              <w:pStyle w:val="TableText"/>
              <w:ind w:left="153"/>
              <w:spacing w:before="145" w:line="218" w:lineRule="auto"/>
              <w:rPr/>
            </w:pPr>
            <w:r>
              <w:rPr>
                <w:spacing w:val="-1"/>
              </w:rPr>
              <w:t>偏差共担价格P共担</w:t>
            </w:r>
          </w:p>
        </w:tc>
        <w:tc>
          <w:tcPr>
            <w:tcW w:w="2038" w:type="dxa"/>
            <w:vAlign w:val="top"/>
          </w:tcPr>
          <w:p>
            <w:pPr>
              <w:pStyle w:val="TableText"/>
              <w:ind w:left="916"/>
              <w:spacing w:before="147" w:line="220" w:lineRule="auto"/>
              <w:rPr/>
            </w:pPr>
            <w:r>
              <w:rPr/>
              <w:t>无</w:t>
            </w:r>
          </w:p>
        </w:tc>
        <w:tc>
          <w:tcPr>
            <w:tcW w:w="2003" w:type="dxa"/>
            <w:vAlign w:val="top"/>
          </w:tcPr>
          <w:p>
            <w:pPr>
              <w:pStyle w:val="TableText"/>
              <w:ind w:left="448"/>
              <w:spacing w:before="207" w:line="219" w:lineRule="auto"/>
              <w:rPr/>
            </w:pPr>
            <w:r>
              <w:rPr>
                <w:spacing w:val="-1"/>
              </w:rPr>
              <w:t>O≤P共担≤5</w:t>
            </w:r>
          </w:p>
        </w:tc>
      </w:tr>
      <w:tr>
        <w:trPr>
          <w:trHeight w:val="480" w:hRule="atLeast"/>
        </w:trPr>
        <w:tc>
          <w:tcPr>
            <w:tcW w:w="1763" w:type="dxa"/>
            <w:vAlign w:val="top"/>
            <w:vMerge w:val="continue"/>
            <w:tcBorders>
              <w:top w:val="nil"/>
            </w:tcBorders>
          </w:tcPr>
          <w:p>
            <w:pPr>
              <w:rPr>
                <w:rFonts w:ascii="Arial"/>
                <w:sz w:val="21"/>
              </w:rPr>
            </w:pPr>
            <w:r/>
          </w:p>
        </w:tc>
        <w:tc>
          <w:tcPr>
            <w:tcW w:w="1449" w:type="dxa"/>
            <w:vAlign w:val="top"/>
            <w:vMerge w:val="continue"/>
            <w:tcBorders>
              <w:top w:val="nil"/>
            </w:tcBorders>
          </w:tcPr>
          <w:p>
            <w:pPr>
              <w:rPr>
                <w:rFonts w:ascii="Arial"/>
                <w:sz w:val="21"/>
              </w:rPr>
            </w:pPr>
            <w:r/>
          </w:p>
        </w:tc>
        <w:tc>
          <w:tcPr>
            <w:tcW w:w="2027" w:type="dxa"/>
            <w:vAlign w:val="top"/>
            <w:gridSpan w:val="2"/>
          </w:tcPr>
          <w:p>
            <w:pPr>
              <w:pStyle w:val="TableText"/>
              <w:ind w:left="352"/>
              <w:spacing w:before="148" w:line="219" w:lineRule="auto"/>
              <w:rPr/>
            </w:pPr>
            <w:r>
              <w:rPr>
                <w:spacing w:val="-2"/>
              </w:rPr>
              <w:t>偏差允许范围U</w:t>
            </w:r>
          </w:p>
        </w:tc>
        <w:tc>
          <w:tcPr>
            <w:tcW w:w="2038" w:type="dxa"/>
            <w:vAlign w:val="top"/>
          </w:tcPr>
          <w:p>
            <w:pPr>
              <w:pStyle w:val="TableText"/>
              <w:ind w:left="916"/>
              <w:spacing w:before="148" w:line="220" w:lineRule="auto"/>
              <w:rPr/>
            </w:pPr>
            <w:r>
              <w:rPr/>
              <w:t>无</w:t>
            </w:r>
          </w:p>
        </w:tc>
        <w:tc>
          <w:tcPr>
            <w:tcW w:w="2003" w:type="dxa"/>
            <w:vAlign w:val="top"/>
          </w:tcPr>
          <w:p>
            <w:pPr>
              <w:pStyle w:val="TableText"/>
              <w:ind w:left="148" w:right="201" w:firstLine="100"/>
              <w:spacing w:before="38" w:line="199" w:lineRule="auto"/>
              <w:rPr/>
            </w:pPr>
            <w:r>
              <w:rPr>
                <w:spacing w:val="-1"/>
              </w:rPr>
              <w:t>-U%≤偏差率≤U%</w:t>
            </w:r>
            <w:r>
              <w:rPr>
                <w:spacing w:val="2"/>
              </w:rPr>
              <w:t xml:space="preserve"> </w:t>
            </w:r>
            <w:r>
              <w:rPr>
                <w:spacing w:val="3"/>
              </w:rPr>
              <w:t>U≥5,(U须填整数)</w:t>
            </w:r>
          </w:p>
        </w:tc>
      </w:tr>
      <w:tr>
        <w:trPr>
          <w:trHeight w:val="944" w:hRule="atLeast"/>
        </w:trPr>
        <w:tc>
          <w:tcPr>
            <w:tcW w:w="1763" w:type="dxa"/>
            <w:vAlign w:val="top"/>
          </w:tcPr>
          <w:p>
            <w:pPr>
              <w:pStyle w:val="TableText"/>
              <w:ind w:left="125"/>
              <w:spacing w:before="88" w:line="219" w:lineRule="auto"/>
              <w:rPr/>
            </w:pPr>
            <w:r>
              <w:rPr>
                <w:spacing w:val="1"/>
              </w:rPr>
              <w:t>1.4售电公司收益</w:t>
            </w:r>
          </w:p>
          <w:p>
            <w:pPr>
              <w:pStyle w:val="TableText"/>
              <w:ind w:left="675"/>
              <w:spacing w:before="12" w:line="219" w:lineRule="auto"/>
              <w:rPr/>
            </w:pPr>
            <w:r>
              <w:rPr>
                <w:spacing w:val="-3"/>
              </w:rPr>
              <w:t>分享</w:t>
            </w:r>
          </w:p>
          <w:p>
            <w:pPr>
              <w:pStyle w:val="TableText"/>
              <w:ind w:left="175"/>
              <w:spacing w:before="23" w:line="220" w:lineRule="auto"/>
              <w:rPr/>
            </w:pPr>
            <w:r>
              <w:rPr>
                <w:spacing w:val="-1"/>
              </w:rPr>
              <w:t>(三选一；必填)</w:t>
            </w:r>
          </w:p>
        </w:tc>
        <w:tc>
          <w:tcPr>
            <w:tcW w:w="3476" w:type="dxa"/>
            <w:vAlign w:val="top"/>
            <w:gridSpan w:val="3"/>
          </w:tcPr>
          <w:p>
            <w:pPr>
              <w:spacing w:line="310" w:lineRule="auto"/>
              <w:rPr>
                <w:rFonts w:ascii="Arial"/>
                <w:sz w:val="21"/>
              </w:rPr>
            </w:pPr>
            <w:r/>
          </w:p>
          <w:p>
            <w:pPr>
              <w:pStyle w:val="TableText"/>
              <w:ind w:left="182"/>
              <w:spacing w:before="65" w:line="219" w:lineRule="auto"/>
              <w:rPr/>
            </w:pPr>
            <w:r>
              <w:rPr/>
              <w:t>售电公司向零售用户分享比例F分章</w:t>
            </w:r>
          </w:p>
        </w:tc>
        <w:tc>
          <w:tcPr>
            <w:tcW w:w="2038" w:type="dxa"/>
            <w:vAlign w:val="top"/>
          </w:tcPr>
          <w:p>
            <w:pPr>
              <w:spacing w:line="330" w:lineRule="auto"/>
              <w:rPr>
                <w:rFonts w:ascii="Arial"/>
                <w:sz w:val="21"/>
              </w:rPr>
            </w:pPr>
            <w:r/>
          </w:p>
          <w:p>
            <w:pPr>
              <w:pStyle w:val="TableText"/>
              <w:ind w:left="816"/>
              <w:spacing w:before="65"/>
              <w:rPr/>
            </w:pPr>
            <w:r>
              <w:rPr>
                <w:spacing w:val="-5"/>
              </w:rPr>
              <w:t>100%</w:t>
            </w:r>
          </w:p>
        </w:tc>
        <w:tc>
          <w:tcPr>
            <w:tcW w:w="2003" w:type="dxa"/>
            <w:vAlign w:val="top"/>
          </w:tcPr>
          <w:p>
            <w:pPr>
              <w:pStyle w:val="TableText"/>
              <w:ind w:left="697" w:right="173" w:hanging="500"/>
              <w:spacing w:before="268"/>
              <w:rPr/>
            </w:pPr>
            <w:r>
              <w:rPr>
                <w:spacing w:val="1"/>
              </w:rPr>
              <w:t>在100%/90%/80%中</w:t>
            </w:r>
            <w:r>
              <w:rPr>
                <w:spacing w:val="6"/>
              </w:rPr>
              <w:t xml:space="preserve"> </w:t>
            </w:r>
            <w:r>
              <w:rPr>
                <w:spacing w:val="1"/>
              </w:rPr>
              <w:t>三选一</w:t>
            </w:r>
          </w:p>
        </w:tc>
      </w:tr>
    </w:tbl>
    <w:p>
      <w:pPr>
        <w:pStyle w:val="BodyText"/>
        <w:spacing w:line="317" w:lineRule="auto"/>
        <w:rPr/>
      </w:pPr>
      <w:r/>
    </w:p>
    <w:p>
      <w:pPr>
        <w:pStyle w:val="BodyText"/>
        <w:spacing w:line="318" w:lineRule="auto"/>
        <w:rPr/>
      </w:pPr>
      <w:r/>
    </w:p>
    <w:p>
      <w:pPr>
        <w:ind w:left="3945"/>
        <w:spacing w:before="61" w:line="184" w:lineRule="auto"/>
        <w:rPr>
          <w:rFonts w:ascii="LiSu" w:hAnsi="LiSu" w:eastAsia="LiSu" w:cs="LiSu"/>
          <w:sz w:val="19"/>
          <w:szCs w:val="19"/>
        </w:rPr>
      </w:pPr>
      <w:r>
        <w:rPr>
          <w:rFonts w:ascii="LiSu" w:hAnsi="LiSu" w:eastAsia="LiSu" w:cs="LiSu"/>
          <w:sz w:val="19"/>
          <w:szCs w:val="19"/>
          <w:spacing w:val="-11"/>
        </w:rPr>
        <w:t>第</w:t>
      </w:r>
      <w:r>
        <w:rPr>
          <w:rFonts w:ascii="LiSu" w:hAnsi="LiSu" w:eastAsia="LiSu" w:cs="LiSu"/>
          <w:sz w:val="19"/>
          <w:szCs w:val="19"/>
          <w:spacing w:val="-25"/>
        </w:rPr>
        <w:t xml:space="preserve"> </w:t>
      </w:r>
      <w:r>
        <w:rPr>
          <w:rFonts w:ascii="LiSu" w:hAnsi="LiSu" w:eastAsia="LiSu" w:cs="LiSu"/>
          <w:sz w:val="19"/>
          <w:szCs w:val="19"/>
          <w:spacing w:val="-11"/>
        </w:rPr>
        <w:t>1</w:t>
      </w:r>
      <w:r>
        <w:rPr>
          <w:rFonts w:ascii="LiSu" w:hAnsi="LiSu" w:eastAsia="LiSu" w:cs="LiSu"/>
          <w:sz w:val="19"/>
          <w:szCs w:val="19"/>
          <w:spacing w:val="-40"/>
        </w:rPr>
        <w:t xml:space="preserve"> </w:t>
      </w:r>
      <w:r>
        <w:rPr>
          <w:rFonts w:ascii="LiSu" w:hAnsi="LiSu" w:eastAsia="LiSu" w:cs="LiSu"/>
          <w:sz w:val="19"/>
          <w:szCs w:val="19"/>
          <w:spacing w:val="-11"/>
        </w:rPr>
        <w:t>6</w:t>
      </w:r>
      <w:r>
        <w:rPr>
          <w:rFonts w:ascii="LiSu" w:hAnsi="LiSu" w:eastAsia="LiSu" w:cs="LiSu"/>
          <w:sz w:val="19"/>
          <w:szCs w:val="19"/>
          <w:spacing w:val="-42"/>
        </w:rPr>
        <w:t xml:space="preserve"> </w:t>
      </w:r>
      <w:r>
        <w:rPr>
          <w:rFonts w:ascii="LiSu" w:hAnsi="LiSu" w:eastAsia="LiSu" w:cs="LiSu"/>
          <w:sz w:val="19"/>
          <w:szCs w:val="19"/>
          <w:spacing w:val="-11"/>
        </w:rPr>
        <w:t>页</w:t>
      </w:r>
      <w:r>
        <w:rPr>
          <w:rFonts w:ascii="LiSu" w:hAnsi="LiSu" w:eastAsia="LiSu" w:cs="LiSu"/>
          <w:sz w:val="19"/>
          <w:szCs w:val="19"/>
          <w:spacing w:val="-43"/>
        </w:rPr>
        <w:t xml:space="preserve"> </w:t>
      </w:r>
      <w:r>
        <w:rPr>
          <w:rFonts w:ascii="LiSu" w:hAnsi="LiSu" w:eastAsia="LiSu" w:cs="LiSu"/>
          <w:sz w:val="19"/>
          <w:szCs w:val="19"/>
          <w:spacing w:val="-11"/>
        </w:rPr>
        <w:t>共</w:t>
      </w:r>
      <w:r>
        <w:rPr>
          <w:rFonts w:ascii="LiSu" w:hAnsi="LiSu" w:eastAsia="LiSu" w:cs="LiSu"/>
          <w:sz w:val="19"/>
          <w:szCs w:val="19"/>
          <w:spacing w:val="-27"/>
        </w:rPr>
        <w:t xml:space="preserve"> </w:t>
      </w:r>
      <w:r>
        <w:rPr>
          <w:rFonts w:ascii="LiSu" w:hAnsi="LiSu" w:eastAsia="LiSu" w:cs="LiSu"/>
          <w:sz w:val="19"/>
          <w:szCs w:val="19"/>
          <w:spacing w:val="-11"/>
        </w:rPr>
        <w:t>1</w:t>
      </w:r>
      <w:r>
        <w:rPr>
          <w:rFonts w:ascii="LiSu" w:hAnsi="LiSu" w:eastAsia="LiSu" w:cs="LiSu"/>
          <w:sz w:val="19"/>
          <w:szCs w:val="19"/>
          <w:spacing w:val="-37"/>
        </w:rPr>
        <w:t xml:space="preserve"> </w:t>
      </w:r>
      <w:r>
        <w:rPr>
          <w:rFonts w:ascii="LiSu" w:hAnsi="LiSu" w:eastAsia="LiSu" w:cs="LiSu"/>
          <w:sz w:val="19"/>
          <w:szCs w:val="19"/>
          <w:spacing w:val="-11"/>
        </w:rPr>
        <w:t>7</w:t>
      </w:r>
      <w:r>
        <w:rPr>
          <w:rFonts w:ascii="LiSu" w:hAnsi="LiSu" w:eastAsia="LiSu" w:cs="LiSu"/>
          <w:sz w:val="19"/>
          <w:szCs w:val="19"/>
          <w:spacing w:val="-41"/>
        </w:rPr>
        <w:t xml:space="preserve"> </w:t>
      </w:r>
      <w:r>
        <w:rPr>
          <w:rFonts w:ascii="LiSu" w:hAnsi="LiSu" w:eastAsia="LiSu" w:cs="LiSu"/>
          <w:sz w:val="19"/>
          <w:szCs w:val="19"/>
          <w:spacing w:val="-11"/>
        </w:rPr>
        <w:t>页</w:t>
      </w:r>
    </w:p>
    <w:p>
      <w:pPr>
        <w:spacing w:line="184" w:lineRule="auto"/>
        <w:sectPr>
          <w:footerReference w:type="default" r:id="rId32"/>
          <w:pgSz w:w="11900" w:h="16840"/>
          <w:pgMar w:top="1330" w:right="310" w:bottom="819" w:left="1284" w:header="0" w:footer="209" w:gutter="0"/>
        </w:sectPr>
        <w:rPr>
          <w:rFonts w:ascii="LiSu" w:hAnsi="LiSu" w:eastAsia="LiSu" w:cs="LiSu"/>
          <w:sz w:val="19"/>
          <w:szCs w:val="19"/>
        </w:rPr>
      </w:pPr>
    </w:p>
    <w:tbl>
      <w:tblPr>
        <w:tblStyle w:val="TableNormal"/>
        <w:tblW w:w="939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14"/>
        <w:gridCol w:w="1169"/>
        <w:gridCol w:w="1149"/>
        <w:gridCol w:w="869"/>
        <w:gridCol w:w="1158"/>
        <w:gridCol w:w="1159"/>
        <w:gridCol w:w="859"/>
        <w:gridCol w:w="1179"/>
        <w:gridCol w:w="1136"/>
      </w:tblGrid>
      <w:tr>
        <w:trPr>
          <w:trHeight w:val="534" w:hRule="atLeast"/>
        </w:trPr>
        <w:tc>
          <w:tcPr>
            <w:tcW w:w="9392" w:type="dxa"/>
            <w:vAlign w:val="top"/>
            <w:gridSpan w:val="9"/>
          </w:tcPr>
          <w:p>
            <w:pPr>
              <w:pStyle w:val="TableText"/>
              <w:spacing w:before="150" w:line="224" w:lineRule="auto"/>
              <w:jc w:val="right"/>
              <w:rPr>
                <w:sz w:val="23"/>
                <w:szCs w:val="23"/>
              </w:rPr>
            </w:pPr>
            <w:r>
              <w:rPr>
                <w:sz w:val="24"/>
                <w:szCs w:val="24"/>
                <w:b/>
                <w:bCs/>
                <w:spacing w:val="-7"/>
                <w:position w:val="2"/>
              </w:rPr>
              <w:t>2.零售套餐电量参数</w:t>
            </w:r>
            <w:r>
              <w:rPr>
                <w:sz w:val="24"/>
                <w:szCs w:val="24"/>
                <w:spacing w:val="-7"/>
                <w:position w:val="2"/>
              </w:rPr>
              <w:t xml:space="preserve">                   </w:t>
            </w:r>
            <w:r>
              <w:rPr>
                <w:sz w:val="23"/>
                <w:szCs w:val="23"/>
                <w:spacing w:val="-7"/>
                <w:position w:val="-2"/>
              </w:rPr>
              <w:t>(单位：兆瓦时)</w:t>
            </w:r>
          </w:p>
        </w:tc>
      </w:tr>
      <w:tr>
        <w:trPr>
          <w:trHeight w:val="779" w:hRule="atLeast"/>
        </w:trPr>
        <w:tc>
          <w:tcPr>
            <w:tcW w:w="714" w:type="dxa"/>
            <w:vAlign w:val="top"/>
          </w:tcPr>
          <w:p>
            <w:pPr>
              <w:pStyle w:val="TableText"/>
              <w:ind w:left="105"/>
              <w:spacing w:before="271" w:line="219" w:lineRule="auto"/>
              <w:rPr>
                <w:sz w:val="24"/>
                <w:szCs w:val="24"/>
              </w:rPr>
            </w:pPr>
            <w:r>
              <w:rPr>
                <w:sz w:val="24"/>
                <w:szCs w:val="24"/>
                <w:spacing w:val="5"/>
              </w:rPr>
              <w:t>月份</w:t>
            </w:r>
          </w:p>
        </w:tc>
        <w:tc>
          <w:tcPr>
            <w:tcW w:w="1169" w:type="dxa"/>
            <w:vAlign w:val="top"/>
          </w:tcPr>
          <w:p>
            <w:pPr>
              <w:pStyle w:val="TableText"/>
              <w:ind w:left="91"/>
              <w:spacing w:before="124" w:line="221" w:lineRule="auto"/>
              <w:rPr>
                <w:sz w:val="24"/>
                <w:szCs w:val="24"/>
              </w:rPr>
            </w:pPr>
            <w:r>
              <w:rPr>
                <w:sz w:val="24"/>
                <w:szCs w:val="24"/>
                <w:spacing w:val="-2"/>
              </w:rPr>
              <w:t>合同电量</w:t>
            </w:r>
          </w:p>
          <w:p>
            <w:pPr>
              <w:pStyle w:val="TableText"/>
              <w:ind w:left="391"/>
              <w:spacing w:before="33" w:line="223" w:lineRule="auto"/>
              <w:rPr>
                <w:sz w:val="24"/>
                <w:szCs w:val="24"/>
              </w:rPr>
            </w:pPr>
            <w:r>
              <w:rPr>
                <w:sz w:val="24"/>
                <w:szCs w:val="24"/>
                <w:spacing w:val="-2"/>
              </w:rPr>
              <w:t>Q合</w:t>
            </w:r>
          </w:p>
        </w:tc>
        <w:tc>
          <w:tcPr>
            <w:tcW w:w="1149" w:type="dxa"/>
            <w:vAlign w:val="top"/>
          </w:tcPr>
          <w:p>
            <w:pPr>
              <w:pStyle w:val="TableText"/>
              <w:ind w:left="82"/>
              <w:spacing w:before="121" w:line="220" w:lineRule="auto"/>
              <w:rPr>
                <w:sz w:val="24"/>
                <w:szCs w:val="24"/>
              </w:rPr>
            </w:pPr>
            <w:r>
              <w:rPr>
                <w:sz w:val="24"/>
                <w:szCs w:val="24"/>
                <w:spacing w:val="2"/>
              </w:rPr>
              <w:t>绿电需求</w:t>
            </w:r>
          </w:p>
          <w:p>
            <w:pPr>
              <w:pStyle w:val="TableText"/>
              <w:ind w:left="382"/>
              <w:spacing w:before="47" w:line="183" w:lineRule="auto"/>
              <w:rPr>
                <w:sz w:val="24"/>
                <w:szCs w:val="24"/>
              </w:rPr>
            </w:pPr>
            <w:r>
              <w:rPr>
                <w:sz w:val="24"/>
                <w:szCs w:val="24"/>
                <w:spacing w:val="-3"/>
              </w:rPr>
              <w:t>Qaw</w:t>
            </w:r>
          </w:p>
        </w:tc>
        <w:tc>
          <w:tcPr>
            <w:tcW w:w="869" w:type="dxa"/>
            <w:vAlign w:val="top"/>
          </w:tcPr>
          <w:p>
            <w:pPr>
              <w:pStyle w:val="TableText"/>
              <w:ind w:left="183"/>
              <w:spacing w:before="271" w:line="219" w:lineRule="auto"/>
              <w:rPr>
                <w:sz w:val="24"/>
                <w:szCs w:val="24"/>
              </w:rPr>
            </w:pPr>
            <w:r>
              <w:rPr>
                <w:sz w:val="24"/>
                <w:szCs w:val="24"/>
                <w:spacing w:val="5"/>
              </w:rPr>
              <w:t>月份</w:t>
            </w:r>
          </w:p>
        </w:tc>
        <w:tc>
          <w:tcPr>
            <w:tcW w:w="1158" w:type="dxa"/>
            <w:vAlign w:val="top"/>
          </w:tcPr>
          <w:p>
            <w:pPr>
              <w:pStyle w:val="TableText"/>
              <w:ind w:left="97"/>
              <w:spacing w:before="100" w:line="221" w:lineRule="auto"/>
              <w:rPr>
                <w:sz w:val="24"/>
                <w:szCs w:val="24"/>
              </w:rPr>
            </w:pPr>
            <w:r>
              <w:rPr>
                <w:sz w:val="24"/>
                <w:szCs w:val="24"/>
                <w:b/>
                <w:bCs/>
                <w:spacing w:val="-5"/>
              </w:rPr>
              <w:t>合同电量</w:t>
            </w:r>
          </w:p>
          <w:p>
            <w:pPr>
              <w:pStyle w:val="TableText"/>
              <w:ind w:left="394"/>
              <w:spacing w:before="57" w:line="223" w:lineRule="auto"/>
              <w:rPr>
                <w:sz w:val="24"/>
                <w:szCs w:val="24"/>
              </w:rPr>
            </w:pPr>
            <w:r>
              <w:rPr>
                <w:sz w:val="24"/>
                <w:szCs w:val="24"/>
                <w:spacing w:val="-2"/>
              </w:rPr>
              <w:t>Q合</w:t>
            </w:r>
          </w:p>
        </w:tc>
        <w:tc>
          <w:tcPr>
            <w:tcW w:w="1159" w:type="dxa"/>
            <w:vAlign w:val="top"/>
          </w:tcPr>
          <w:p>
            <w:pPr>
              <w:pStyle w:val="TableText"/>
              <w:ind w:left="99"/>
              <w:spacing w:before="98" w:line="220" w:lineRule="auto"/>
              <w:rPr>
                <w:sz w:val="24"/>
                <w:szCs w:val="24"/>
              </w:rPr>
            </w:pPr>
            <w:r>
              <w:rPr>
                <w:sz w:val="24"/>
                <w:szCs w:val="24"/>
                <w:b/>
                <w:bCs/>
                <w:spacing w:val="-5"/>
              </w:rPr>
              <w:t>绿电需求</w:t>
            </w:r>
          </w:p>
          <w:p>
            <w:pPr>
              <w:pStyle w:val="TableText"/>
              <w:ind w:left="456"/>
              <w:spacing w:before="80" w:line="183" w:lineRule="auto"/>
              <w:rPr>
                <w:sz w:val="24"/>
                <w:szCs w:val="24"/>
              </w:rPr>
            </w:pPr>
            <w:r>
              <w:rPr>
                <w:sz w:val="24"/>
                <w:szCs w:val="24"/>
                <w:spacing w:val="-2"/>
              </w:rPr>
              <w:t>Qm</w:t>
            </w:r>
          </w:p>
        </w:tc>
        <w:tc>
          <w:tcPr>
            <w:tcW w:w="859" w:type="dxa"/>
            <w:vAlign w:val="top"/>
          </w:tcPr>
          <w:p>
            <w:pPr>
              <w:pStyle w:val="TableText"/>
              <w:ind w:left="187"/>
              <w:spacing w:before="271" w:line="219" w:lineRule="auto"/>
              <w:rPr>
                <w:sz w:val="24"/>
                <w:szCs w:val="24"/>
              </w:rPr>
            </w:pPr>
            <w:r>
              <w:rPr>
                <w:sz w:val="24"/>
                <w:szCs w:val="24"/>
                <w:spacing w:val="5"/>
              </w:rPr>
              <w:t>月份</w:t>
            </w:r>
          </w:p>
        </w:tc>
        <w:tc>
          <w:tcPr>
            <w:tcW w:w="1179" w:type="dxa"/>
            <w:vAlign w:val="top"/>
          </w:tcPr>
          <w:p>
            <w:pPr>
              <w:pStyle w:val="TableText"/>
              <w:ind w:left="108"/>
              <w:spacing w:before="124" w:line="221" w:lineRule="auto"/>
              <w:rPr>
                <w:sz w:val="24"/>
                <w:szCs w:val="24"/>
              </w:rPr>
            </w:pPr>
            <w:r>
              <w:rPr>
                <w:sz w:val="24"/>
                <w:szCs w:val="24"/>
                <w:spacing w:val="-2"/>
              </w:rPr>
              <w:t>合同电量</w:t>
            </w:r>
          </w:p>
          <w:p>
            <w:pPr>
              <w:pStyle w:val="TableText"/>
              <w:ind w:left="408"/>
              <w:spacing w:before="33" w:line="223" w:lineRule="auto"/>
              <w:rPr>
                <w:sz w:val="24"/>
                <w:szCs w:val="24"/>
              </w:rPr>
            </w:pPr>
            <w:r>
              <w:rPr>
                <w:sz w:val="24"/>
                <w:szCs w:val="24"/>
                <w:spacing w:val="-2"/>
              </w:rPr>
              <w:t>Q合</w:t>
            </w:r>
          </w:p>
        </w:tc>
        <w:tc>
          <w:tcPr>
            <w:tcW w:w="1136" w:type="dxa"/>
            <w:vAlign w:val="top"/>
          </w:tcPr>
          <w:p>
            <w:pPr>
              <w:pStyle w:val="TableText"/>
              <w:ind w:left="72"/>
              <w:spacing w:before="98" w:line="220" w:lineRule="auto"/>
              <w:rPr>
                <w:sz w:val="24"/>
                <w:szCs w:val="24"/>
              </w:rPr>
            </w:pPr>
            <w:r>
              <w:rPr>
                <w:sz w:val="24"/>
                <w:szCs w:val="24"/>
                <w:b/>
                <w:bCs/>
                <w:spacing w:val="-5"/>
              </w:rPr>
              <w:t>绿电需求</w:t>
            </w:r>
          </w:p>
          <w:p>
            <w:pPr>
              <w:pStyle w:val="TableText"/>
              <w:ind w:left="368"/>
              <w:spacing w:before="70" w:line="183" w:lineRule="auto"/>
              <w:rPr>
                <w:sz w:val="24"/>
                <w:szCs w:val="24"/>
              </w:rPr>
            </w:pPr>
            <w:r>
              <w:rPr>
                <w:sz w:val="24"/>
                <w:szCs w:val="24"/>
                <w:spacing w:val="-3"/>
              </w:rPr>
              <w:t>Qaw</w:t>
            </w:r>
          </w:p>
        </w:tc>
      </w:tr>
      <w:tr>
        <w:trPr>
          <w:trHeight w:val="539" w:hRule="atLeast"/>
        </w:trPr>
        <w:tc>
          <w:tcPr>
            <w:tcW w:w="714" w:type="dxa"/>
            <w:vAlign w:val="top"/>
          </w:tcPr>
          <w:p>
            <w:pPr>
              <w:pStyle w:val="TableText"/>
              <w:ind w:left="165"/>
              <w:spacing w:before="151" w:line="219" w:lineRule="auto"/>
              <w:rPr>
                <w:sz w:val="24"/>
                <w:szCs w:val="24"/>
              </w:rPr>
            </w:pPr>
            <w:r>
              <w:rPr>
                <w:sz w:val="24"/>
                <w:szCs w:val="24"/>
                <w:spacing w:val="-14"/>
              </w:rPr>
              <w:t>1</w:t>
            </w:r>
            <w:r>
              <w:rPr>
                <w:sz w:val="24"/>
                <w:szCs w:val="24"/>
                <w:spacing w:val="-30"/>
              </w:rPr>
              <w:t xml:space="preserve"> </w:t>
            </w:r>
            <w:r>
              <w:rPr>
                <w:sz w:val="24"/>
                <w:szCs w:val="24"/>
                <w:spacing w:val="-14"/>
              </w:rPr>
              <w:t>月</w:t>
            </w:r>
          </w:p>
        </w:tc>
        <w:tc>
          <w:tcPr>
            <w:tcW w:w="1169" w:type="dxa"/>
            <w:vAlign w:val="top"/>
          </w:tcPr>
          <w:p>
            <w:pPr>
              <w:pStyle w:val="TableText"/>
              <w:ind w:left="151"/>
              <w:spacing w:before="175" w:line="239" w:lineRule="auto"/>
              <w:rPr>
                <w:sz w:val="24"/>
                <w:szCs w:val="24"/>
              </w:rPr>
            </w:pPr>
            <w:r>
              <w:rPr>
                <w:sz w:val="24"/>
                <w:szCs w:val="24"/>
                <w:spacing w:val="-2"/>
              </w:rPr>
              <w:t>280.000</w:t>
            </w:r>
          </w:p>
        </w:tc>
        <w:tc>
          <w:tcPr>
            <w:tcW w:w="1149" w:type="dxa"/>
            <w:vAlign w:val="top"/>
          </w:tcPr>
          <w:p>
            <w:pPr>
              <w:pStyle w:val="TableText"/>
              <w:ind w:left="382"/>
              <w:spacing w:before="175"/>
              <w:rPr>
                <w:sz w:val="24"/>
                <w:szCs w:val="24"/>
              </w:rPr>
            </w:pPr>
            <w:r>
              <w:rPr>
                <w:sz w:val="24"/>
                <w:szCs w:val="24"/>
                <w:spacing w:val="-3"/>
              </w:rPr>
              <w:t>280</w:t>
            </w:r>
          </w:p>
        </w:tc>
        <w:tc>
          <w:tcPr>
            <w:tcW w:w="869" w:type="dxa"/>
            <w:vAlign w:val="top"/>
          </w:tcPr>
          <w:p>
            <w:pPr>
              <w:pStyle w:val="TableText"/>
              <w:ind w:left="242"/>
              <w:spacing w:before="151" w:line="219" w:lineRule="auto"/>
              <w:rPr>
                <w:sz w:val="24"/>
                <w:szCs w:val="24"/>
              </w:rPr>
            </w:pPr>
            <w:r>
              <w:rPr>
                <w:sz w:val="24"/>
                <w:szCs w:val="24"/>
                <w:spacing w:val="-8"/>
              </w:rPr>
              <w:t>5</w:t>
            </w:r>
            <w:r>
              <w:rPr>
                <w:sz w:val="24"/>
                <w:szCs w:val="24"/>
                <w:spacing w:val="-42"/>
              </w:rPr>
              <w:t xml:space="preserve"> </w:t>
            </w:r>
            <w:r>
              <w:rPr>
                <w:sz w:val="24"/>
                <w:szCs w:val="24"/>
                <w:spacing w:val="-8"/>
              </w:rPr>
              <w:t>月</w:t>
            </w:r>
          </w:p>
        </w:tc>
        <w:tc>
          <w:tcPr>
            <w:tcW w:w="1158" w:type="dxa"/>
            <w:vAlign w:val="top"/>
          </w:tcPr>
          <w:p>
            <w:pPr>
              <w:pStyle w:val="TableText"/>
              <w:ind w:left="154"/>
              <w:spacing w:before="175" w:line="239" w:lineRule="auto"/>
              <w:rPr>
                <w:sz w:val="24"/>
                <w:szCs w:val="24"/>
              </w:rPr>
            </w:pPr>
            <w:r>
              <w:rPr>
                <w:sz w:val="24"/>
                <w:szCs w:val="24"/>
                <w:spacing w:val="-4"/>
              </w:rPr>
              <w:t>144.000</w:t>
            </w:r>
          </w:p>
        </w:tc>
        <w:tc>
          <w:tcPr>
            <w:tcW w:w="1159" w:type="dxa"/>
            <w:vAlign w:val="top"/>
          </w:tcPr>
          <w:p>
            <w:pPr>
              <w:pStyle w:val="TableText"/>
              <w:ind w:left="396"/>
              <w:spacing w:before="175" w:line="241" w:lineRule="auto"/>
              <w:rPr>
                <w:sz w:val="24"/>
                <w:szCs w:val="24"/>
              </w:rPr>
            </w:pPr>
            <w:r>
              <w:rPr>
                <w:sz w:val="24"/>
                <w:szCs w:val="24"/>
                <w:spacing w:val="-7"/>
              </w:rPr>
              <w:t>144</w:t>
            </w:r>
          </w:p>
        </w:tc>
        <w:tc>
          <w:tcPr>
            <w:tcW w:w="859" w:type="dxa"/>
            <w:vAlign w:val="top"/>
          </w:tcPr>
          <w:p>
            <w:pPr>
              <w:pStyle w:val="TableText"/>
              <w:ind w:left="247"/>
              <w:spacing w:before="151" w:line="219" w:lineRule="auto"/>
              <w:rPr>
                <w:sz w:val="24"/>
                <w:szCs w:val="24"/>
              </w:rPr>
            </w:pPr>
            <w:r>
              <w:rPr>
                <w:sz w:val="24"/>
                <w:szCs w:val="24"/>
                <w:spacing w:val="-6"/>
              </w:rPr>
              <w:t>9</w:t>
            </w:r>
            <w:r>
              <w:rPr>
                <w:sz w:val="24"/>
                <w:szCs w:val="24"/>
                <w:spacing w:val="-46"/>
              </w:rPr>
              <w:t xml:space="preserve"> </w:t>
            </w:r>
            <w:r>
              <w:rPr>
                <w:sz w:val="24"/>
                <w:szCs w:val="24"/>
                <w:spacing w:val="-6"/>
              </w:rPr>
              <w:t>月</w:t>
            </w:r>
          </w:p>
        </w:tc>
        <w:tc>
          <w:tcPr>
            <w:tcW w:w="1179" w:type="dxa"/>
            <w:vAlign w:val="top"/>
          </w:tcPr>
          <w:p>
            <w:pPr>
              <w:pStyle w:val="TableText"/>
              <w:ind w:left="168"/>
              <w:spacing w:before="175" w:line="239" w:lineRule="auto"/>
              <w:rPr>
                <w:sz w:val="24"/>
                <w:szCs w:val="24"/>
              </w:rPr>
            </w:pPr>
            <w:r>
              <w:rPr>
                <w:sz w:val="24"/>
                <w:szCs w:val="24"/>
                <w:spacing w:val="-2"/>
              </w:rPr>
              <w:t>261.000</w:t>
            </w:r>
          </w:p>
        </w:tc>
        <w:tc>
          <w:tcPr>
            <w:tcW w:w="1136" w:type="dxa"/>
            <w:vAlign w:val="top"/>
          </w:tcPr>
          <w:p>
            <w:pPr>
              <w:pStyle w:val="TableText"/>
              <w:ind w:left="368"/>
              <w:spacing w:before="175"/>
              <w:rPr>
                <w:sz w:val="24"/>
                <w:szCs w:val="24"/>
              </w:rPr>
            </w:pPr>
            <w:r>
              <w:rPr>
                <w:sz w:val="24"/>
                <w:szCs w:val="24"/>
                <w:spacing w:val="-3"/>
              </w:rPr>
              <w:t>261</w:t>
            </w:r>
          </w:p>
        </w:tc>
      </w:tr>
      <w:tr>
        <w:trPr>
          <w:trHeight w:val="539" w:hRule="atLeast"/>
        </w:trPr>
        <w:tc>
          <w:tcPr>
            <w:tcW w:w="714" w:type="dxa"/>
            <w:vAlign w:val="top"/>
          </w:tcPr>
          <w:p>
            <w:pPr>
              <w:pStyle w:val="TableText"/>
              <w:ind w:left="165"/>
              <w:spacing w:before="152" w:line="219" w:lineRule="auto"/>
              <w:rPr>
                <w:sz w:val="24"/>
                <w:szCs w:val="24"/>
              </w:rPr>
            </w:pPr>
            <w:r>
              <w:rPr>
                <w:sz w:val="24"/>
                <w:szCs w:val="24"/>
                <w:spacing w:val="-7"/>
              </w:rPr>
              <w:t>2</w:t>
            </w:r>
            <w:r>
              <w:rPr>
                <w:sz w:val="24"/>
                <w:szCs w:val="24"/>
                <w:spacing w:val="-44"/>
              </w:rPr>
              <w:t xml:space="preserve"> </w:t>
            </w:r>
            <w:r>
              <w:rPr>
                <w:sz w:val="24"/>
                <w:szCs w:val="24"/>
                <w:spacing w:val="-7"/>
              </w:rPr>
              <w:t>月</w:t>
            </w:r>
          </w:p>
        </w:tc>
        <w:tc>
          <w:tcPr>
            <w:tcW w:w="1169" w:type="dxa"/>
            <w:vAlign w:val="top"/>
          </w:tcPr>
          <w:p>
            <w:pPr>
              <w:pStyle w:val="TableText"/>
              <w:ind w:left="151"/>
              <w:spacing w:before="176" w:line="239" w:lineRule="auto"/>
              <w:rPr>
                <w:sz w:val="24"/>
                <w:szCs w:val="24"/>
              </w:rPr>
            </w:pPr>
            <w:r>
              <w:rPr>
                <w:sz w:val="24"/>
                <w:szCs w:val="24"/>
                <w:spacing w:val="-2"/>
              </w:rPr>
              <w:t>205.000</w:t>
            </w:r>
          </w:p>
        </w:tc>
        <w:tc>
          <w:tcPr>
            <w:tcW w:w="1149" w:type="dxa"/>
            <w:vAlign w:val="top"/>
          </w:tcPr>
          <w:p>
            <w:pPr>
              <w:pStyle w:val="TableText"/>
              <w:ind w:left="382"/>
              <w:spacing w:before="176"/>
              <w:rPr>
                <w:sz w:val="24"/>
                <w:szCs w:val="24"/>
              </w:rPr>
            </w:pPr>
            <w:r>
              <w:rPr>
                <w:sz w:val="24"/>
                <w:szCs w:val="24"/>
                <w:spacing w:val="-3"/>
              </w:rPr>
              <w:t>205</w:t>
            </w:r>
          </w:p>
        </w:tc>
        <w:tc>
          <w:tcPr>
            <w:tcW w:w="869" w:type="dxa"/>
            <w:vAlign w:val="top"/>
          </w:tcPr>
          <w:p>
            <w:pPr>
              <w:pStyle w:val="TableText"/>
              <w:ind w:left="242"/>
              <w:spacing w:before="152" w:line="219" w:lineRule="auto"/>
              <w:rPr>
                <w:sz w:val="24"/>
                <w:szCs w:val="24"/>
              </w:rPr>
            </w:pPr>
            <w:r>
              <w:rPr>
                <w:sz w:val="24"/>
                <w:szCs w:val="24"/>
                <w:spacing w:val="-6"/>
              </w:rPr>
              <w:t>6</w:t>
            </w:r>
            <w:r>
              <w:rPr>
                <w:sz w:val="24"/>
                <w:szCs w:val="24"/>
                <w:spacing w:val="-45"/>
              </w:rPr>
              <w:t xml:space="preserve"> </w:t>
            </w:r>
            <w:r>
              <w:rPr>
                <w:sz w:val="24"/>
                <w:szCs w:val="24"/>
                <w:spacing w:val="-6"/>
              </w:rPr>
              <w:t>月</w:t>
            </w:r>
          </w:p>
        </w:tc>
        <w:tc>
          <w:tcPr>
            <w:tcW w:w="1158" w:type="dxa"/>
            <w:vAlign w:val="top"/>
          </w:tcPr>
          <w:p>
            <w:pPr>
              <w:pStyle w:val="TableText"/>
              <w:ind w:left="154"/>
              <w:spacing w:before="176" w:line="239" w:lineRule="auto"/>
              <w:rPr>
                <w:sz w:val="24"/>
                <w:szCs w:val="24"/>
              </w:rPr>
            </w:pPr>
            <w:r>
              <w:rPr>
                <w:sz w:val="24"/>
                <w:szCs w:val="24"/>
                <w:spacing w:val="-4"/>
              </w:rPr>
              <w:t>156.000</w:t>
            </w:r>
          </w:p>
        </w:tc>
        <w:tc>
          <w:tcPr>
            <w:tcW w:w="1159" w:type="dxa"/>
            <w:vAlign w:val="top"/>
          </w:tcPr>
          <w:p>
            <w:pPr>
              <w:pStyle w:val="TableText"/>
              <w:ind w:left="396"/>
              <w:spacing w:before="176"/>
              <w:rPr>
                <w:sz w:val="24"/>
                <w:szCs w:val="24"/>
              </w:rPr>
            </w:pPr>
            <w:r>
              <w:rPr>
                <w:sz w:val="24"/>
                <w:szCs w:val="24"/>
                <w:spacing w:val="-7"/>
              </w:rPr>
              <w:t>156</w:t>
            </w:r>
          </w:p>
        </w:tc>
        <w:tc>
          <w:tcPr>
            <w:tcW w:w="859" w:type="dxa"/>
            <w:vAlign w:val="top"/>
          </w:tcPr>
          <w:p>
            <w:pPr>
              <w:pStyle w:val="TableText"/>
              <w:ind w:left="187"/>
              <w:spacing w:before="152" w:line="219" w:lineRule="auto"/>
              <w:rPr>
                <w:sz w:val="24"/>
                <w:szCs w:val="24"/>
              </w:rPr>
            </w:pPr>
            <w:r>
              <w:rPr>
                <w:sz w:val="24"/>
                <w:szCs w:val="24"/>
                <w:spacing w:val="16"/>
              </w:rPr>
              <w:t>10月</w:t>
            </w:r>
          </w:p>
        </w:tc>
        <w:tc>
          <w:tcPr>
            <w:tcW w:w="1179" w:type="dxa"/>
            <w:vAlign w:val="top"/>
          </w:tcPr>
          <w:p>
            <w:pPr>
              <w:pStyle w:val="TableText"/>
              <w:ind w:left="168"/>
              <w:spacing w:before="176" w:line="239" w:lineRule="auto"/>
              <w:rPr>
                <w:sz w:val="24"/>
                <w:szCs w:val="24"/>
              </w:rPr>
            </w:pPr>
            <w:r>
              <w:rPr>
                <w:sz w:val="24"/>
                <w:szCs w:val="24"/>
                <w:spacing w:val="-2"/>
              </w:rPr>
              <w:t>214.000</w:t>
            </w:r>
          </w:p>
        </w:tc>
        <w:tc>
          <w:tcPr>
            <w:tcW w:w="1136" w:type="dxa"/>
            <w:vAlign w:val="top"/>
          </w:tcPr>
          <w:p>
            <w:pPr>
              <w:pStyle w:val="TableText"/>
              <w:ind w:left="368"/>
              <w:spacing w:before="176" w:line="241" w:lineRule="auto"/>
              <w:rPr>
                <w:sz w:val="24"/>
                <w:szCs w:val="24"/>
              </w:rPr>
            </w:pPr>
            <w:r>
              <w:rPr>
                <w:sz w:val="24"/>
                <w:szCs w:val="24"/>
                <w:spacing w:val="-3"/>
              </w:rPr>
              <w:t>214</w:t>
            </w:r>
          </w:p>
        </w:tc>
      </w:tr>
      <w:tr>
        <w:trPr>
          <w:trHeight w:val="539" w:hRule="atLeast"/>
        </w:trPr>
        <w:tc>
          <w:tcPr>
            <w:tcW w:w="714" w:type="dxa"/>
            <w:vAlign w:val="top"/>
          </w:tcPr>
          <w:p>
            <w:pPr>
              <w:pStyle w:val="TableText"/>
              <w:ind w:left="165"/>
              <w:spacing w:before="153" w:line="219" w:lineRule="auto"/>
              <w:rPr>
                <w:sz w:val="24"/>
                <w:szCs w:val="24"/>
              </w:rPr>
            </w:pPr>
            <w:r>
              <w:rPr>
                <w:sz w:val="24"/>
                <w:szCs w:val="24"/>
                <w:spacing w:val="-8"/>
              </w:rPr>
              <w:t>3</w:t>
            </w:r>
            <w:r>
              <w:rPr>
                <w:sz w:val="24"/>
                <w:szCs w:val="24"/>
                <w:spacing w:val="-42"/>
              </w:rPr>
              <w:t xml:space="preserve"> </w:t>
            </w:r>
            <w:r>
              <w:rPr>
                <w:sz w:val="24"/>
                <w:szCs w:val="24"/>
                <w:spacing w:val="-8"/>
              </w:rPr>
              <w:t>月</w:t>
            </w:r>
          </w:p>
        </w:tc>
        <w:tc>
          <w:tcPr>
            <w:tcW w:w="1169" w:type="dxa"/>
            <w:vAlign w:val="top"/>
          </w:tcPr>
          <w:p>
            <w:pPr>
              <w:pStyle w:val="TableText"/>
              <w:ind w:left="151"/>
              <w:spacing w:before="177" w:line="239" w:lineRule="auto"/>
              <w:rPr>
                <w:sz w:val="24"/>
                <w:szCs w:val="24"/>
              </w:rPr>
            </w:pPr>
            <w:r>
              <w:rPr>
                <w:sz w:val="24"/>
                <w:szCs w:val="24"/>
                <w:spacing w:val="-4"/>
              </w:rPr>
              <w:t>181.000</w:t>
            </w:r>
          </w:p>
        </w:tc>
        <w:tc>
          <w:tcPr>
            <w:tcW w:w="1149" w:type="dxa"/>
            <w:vAlign w:val="top"/>
          </w:tcPr>
          <w:p>
            <w:pPr>
              <w:pStyle w:val="TableText"/>
              <w:ind w:left="382"/>
              <w:spacing w:before="177"/>
              <w:rPr>
                <w:sz w:val="24"/>
                <w:szCs w:val="24"/>
              </w:rPr>
            </w:pPr>
            <w:r>
              <w:rPr>
                <w:sz w:val="24"/>
                <w:szCs w:val="24"/>
                <w:spacing w:val="-7"/>
              </w:rPr>
              <w:t>181</w:t>
            </w:r>
          </w:p>
        </w:tc>
        <w:tc>
          <w:tcPr>
            <w:tcW w:w="869" w:type="dxa"/>
            <w:vAlign w:val="top"/>
          </w:tcPr>
          <w:p>
            <w:pPr>
              <w:pStyle w:val="TableText"/>
              <w:ind w:left="242"/>
              <w:spacing w:before="153" w:line="219" w:lineRule="auto"/>
              <w:rPr>
                <w:sz w:val="24"/>
                <w:szCs w:val="24"/>
              </w:rPr>
            </w:pPr>
            <w:r>
              <w:rPr>
                <w:sz w:val="24"/>
                <w:szCs w:val="24"/>
                <w:spacing w:val="-8"/>
              </w:rPr>
              <w:t>7</w:t>
            </w:r>
            <w:r>
              <w:rPr>
                <w:sz w:val="24"/>
                <w:szCs w:val="24"/>
                <w:spacing w:val="-41"/>
              </w:rPr>
              <w:t xml:space="preserve"> </w:t>
            </w:r>
            <w:r>
              <w:rPr>
                <w:sz w:val="24"/>
                <w:szCs w:val="24"/>
                <w:spacing w:val="-8"/>
              </w:rPr>
              <w:t>月</w:t>
            </w:r>
          </w:p>
        </w:tc>
        <w:tc>
          <w:tcPr>
            <w:tcW w:w="1158" w:type="dxa"/>
            <w:vAlign w:val="top"/>
          </w:tcPr>
          <w:p>
            <w:pPr>
              <w:pStyle w:val="TableText"/>
              <w:ind w:left="154"/>
              <w:spacing w:before="177" w:line="239" w:lineRule="auto"/>
              <w:rPr>
                <w:sz w:val="24"/>
                <w:szCs w:val="24"/>
              </w:rPr>
            </w:pPr>
            <w:r>
              <w:rPr>
                <w:sz w:val="24"/>
                <w:szCs w:val="24"/>
                <w:spacing w:val="-2"/>
              </w:rPr>
              <w:t>206.000</w:t>
            </w:r>
          </w:p>
        </w:tc>
        <w:tc>
          <w:tcPr>
            <w:tcW w:w="1159" w:type="dxa"/>
            <w:vAlign w:val="top"/>
          </w:tcPr>
          <w:p>
            <w:pPr>
              <w:pStyle w:val="TableText"/>
              <w:ind w:left="396"/>
              <w:spacing w:before="177"/>
              <w:rPr>
                <w:sz w:val="24"/>
                <w:szCs w:val="24"/>
              </w:rPr>
            </w:pPr>
            <w:r>
              <w:rPr>
                <w:sz w:val="24"/>
                <w:szCs w:val="24"/>
                <w:spacing w:val="-3"/>
              </w:rPr>
              <w:t>206</w:t>
            </w:r>
          </w:p>
        </w:tc>
        <w:tc>
          <w:tcPr>
            <w:tcW w:w="859" w:type="dxa"/>
            <w:vAlign w:val="top"/>
          </w:tcPr>
          <w:p>
            <w:pPr>
              <w:pStyle w:val="TableText"/>
              <w:ind w:left="187"/>
              <w:spacing w:before="153" w:line="219" w:lineRule="auto"/>
              <w:rPr>
                <w:sz w:val="24"/>
                <w:szCs w:val="24"/>
              </w:rPr>
            </w:pPr>
            <w:r>
              <w:rPr>
                <w:sz w:val="24"/>
                <w:szCs w:val="24"/>
                <w:spacing w:val="16"/>
              </w:rPr>
              <w:t>11月</w:t>
            </w:r>
          </w:p>
        </w:tc>
        <w:tc>
          <w:tcPr>
            <w:tcW w:w="1179" w:type="dxa"/>
            <w:vAlign w:val="top"/>
          </w:tcPr>
          <w:p>
            <w:pPr>
              <w:pStyle w:val="TableText"/>
              <w:ind w:left="168"/>
              <w:spacing w:before="177" w:line="239" w:lineRule="auto"/>
              <w:rPr>
                <w:sz w:val="24"/>
                <w:szCs w:val="24"/>
              </w:rPr>
            </w:pPr>
            <w:r>
              <w:rPr>
                <w:sz w:val="24"/>
                <w:szCs w:val="24"/>
                <w:spacing w:val="-2"/>
              </w:rPr>
              <w:t>218.000</w:t>
            </w:r>
          </w:p>
        </w:tc>
        <w:tc>
          <w:tcPr>
            <w:tcW w:w="1136" w:type="dxa"/>
            <w:vAlign w:val="top"/>
          </w:tcPr>
          <w:p>
            <w:pPr>
              <w:pStyle w:val="TableText"/>
              <w:ind w:left="368"/>
              <w:spacing w:before="177"/>
              <w:rPr>
                <w:sz w:val="24"/>
                <w:szCs w:val="24"/>
              </w:rPr>
            </w:pPr>
            <w:r>
              <w:rPr>
                <w:sz w:val="24"/>
                <w:szCs w:val="24"/>
                <w:spacing w:val="-3"/>
              </w:rPr>
              <w:t>218</w:t>
            </w:r>
          </w:p>
        </w:tc>
      </w:tr>
      <w:tr>
        <w:trPr>
          <w:trHeight w:val="539" w:hRule="atLeast"/>
        </w:trPr>
        <w:tc>
          <w:tcPr>
            <w:tcW w:w="714" w:type="dxa"/>
            <w:vAlign w:val="top"/>
          </w:tcPr>
          <w:p>
            <w:pPr>
              <w:pStyle w:val="TableText"/>
              <w:ind w:left="165"/>
              <w:spacing w:before="155" w:line="219" w:lineRule="auto"/>
              <w:rPr>
                <w:sz w:val="24"/>
                <w:szCs w:val="24"/>
              </w:rPr>
            </w:pPr>
            <w:r>
              <w:rPr>
                <w:sz w:val="24"/>
                <w:szCs w:val="24"/>
                <w:spacing w:val="-5"/>
              </w:rPr>
              <w:t>4</w:t>
            </w:r>
            <w:r>
              <w:rPr>
                <w:sz w:val="24"/>
                <w:szCs w:val="24"/>
                <w:spacing w:val="-48"/>
              </w:rPr>
              <w:t xml:space="preserve"> </w:t>
            </w:r>
            <w:r>
              <w:rPr>
                <w:sz w:val="24"/>
                <w:szCs w:val="24"/>
                <w:spacing w:val="-5"/>
              </w:rPr>
              <w:t>月</w:t>
            </w:r>
          </w:p>
        </w:tc>
        <w:tc>
          <w:tcPr>
            <w:tcW w:w="1169" w:type="dxa"/>
            <w:vAlign w:val="top"/>
          </w:tcPr>
          <w:p>
            <w:pPr>
              <w:pStyle w:val="TableText"/>
              <w:ind w:left="151"/>
              <w:spacing w:before="178" w:line="239" w:lineRule="auto"/>
              <w:rPr>
                <w:sz w:val="24"/>
                <w:szCs w:val="24"/>
              </w:rPr>
            </w:pPr>
            <w:r>
              <w:rPr>
                <w:sz w:val="24"/>
                <w:szCs w:val="24"/>
                <w:spacing w:val="-4"/>
              </w:rPr>
              <w:t>171.000</w:t>
            </w:r>
          </w:p>
        </w:tc>
        <w:tc>
          <w:tcPr>
            <w:tcW w:w="1149" w:type="dxa"/>
            <w:vAlign w:val="top"/>
          </w:tcPr>
          <w:p>
            <w:pPr>
              <w:pStyle w:val="TableText"/>
              <w:ind w:left="382"/>
              <w:spacing w:before="178"/>
              <w:rPr>
                <w:sz w:val="24"/>
                <w:szCs w:val="24"/>
              </w:rPr>
            </w:pPr>
            <w:r>
              <w:rPr>
                <w:sz w:val="24"/>
                <w:szCs w:val="24"/>
                <w:spacing w:val="-7"/>
              </w:rPr>
              <w:t>171</w:t>
            </w:r>
          </w:p>
        </w:tc>
        <w:tc>
          <w:tcPr>
            <w:tcW w:w="869" w:type="dxa"/>
            <w:vAlign w:val="top"/>
          </w:tcPr>
          <w:p>
            <w:pPr>
              <w:pStyle w:val="TableText"/>
              <w:ind w:left="242"/>
              <w:spacing w:before="155" w:line="219" w:lineRule="auto"/>
              <w:rPr>
                <w:sz w:val="24"/>
                <w:szCs w:val="24"/>
              </w:rPr>
            </w:pPr>
            <w:r>
              <w:rPr>
                <w:sz w:val="24"/>
                <w:szCs w:val="24"/>
                <w:spacing w:val="-6"/>
              </w:rPr>
              <w:t>8</w:t>
            </w:r>
            <w:r>
              <w:rPr>
                <w:sz w:val="24"/>
                <w:szCs w:val="24"/>
                <w:spacing w:val="-46"/>
              </w:rPr>
              <w:t xml:space="preserve"> </w:t>
            </w:r>
            <w:r>
              <w:rPr>
                <w:sz w:val="24"/>
                <w:szCs w:val="24"/>
                <w:spacing w:val="-6"/>
              </w:rPr>
              <w:t>月</w:t>
            </w:r>
          </w:p>
        </w:tc>
        <w:tc>
          <w:tcPr>
            <w:tcW w:w="1158" w:type="dxa"/>
            <w:vAlign w:val="top"/>
          </w:tcPr>
          <w:p>
            <w:pPr>
              <w:pStyle w:val="TableText"/>
              <w:ind w:left="154"/>
              <w:spacing w:before="178" w:line="239" w:lineRule="auto"/>
              <w:rPr>
                <w:sz w:val="24"/>
                <w:szCs w:val="24"/>
              </w:rPr>
            </w:pPr>
            <w:r>
              <w:rPr>
                <w:sz w:val="24"/>
                <w:szCs w:val="24"/>
                <w:spacing w:val="-2"/>
              </w:rPr>
              <w:t>277.000</w:t>
            </w:r>
          </w:p>
        </w:tc>
        <w:tc>
          <w:tcPr>
            <w:tcW w:w="1159" w:type="dxa"/>
            <w:vAlign w:val="top"/>
          </w:tcPr>
          <w:p>
            <w:pPr>
              <w:pStyle w:val="TableText"/>
              <w:ind w:left="396"/>
              <w:spacing w:before="178"/>
              <w:rPr>
                <w:sz w:val="24"/>
                <w:szCs w:val="24"/>
              </w:rPr>
            </w:pPr>
            <w:r>
              <w:rPr>
                <w:sz w:val="24"/>
                <w:szCs w:val="24"/>
                <w:spacing w:val="-3"/>
              </w:rPr>
              <w:t>277</w:t>
            </w:r>
          </w:p>
        </w:tc>
        <w:tc>
          <w:tcPr>
            <w:tcW w:w="859" w:type="dxa"/>
            <w:vAlign w:val="top"/>
          </w:tcPr>
          <w:p>
            <w:pPr>
              <w:pStyle w:val="TableText"/>
              <w:ind w:left="187"/>
              <w:spacing w:before="155" w:line="219" w:lineRule="auto"/>
              <w:rPr>
                <w:sz w:val="24"/>
                <w:szCs w:val="24"/>
              </w:rPr>
            </w:pPr>
            <w:r>
              <w:rPr>
                <w:sz w:val="24"/>
                <w:szCs w:val="24"/>
                <w:spacing w:val="16"/>
              </w:rPr>
              <w:t>12月</w:t>
            </w:r>
          </w:p>
        </w:tc>
        <w:tc>
          <w:tcPr>
            <w:tcW w:w="1179" w:type="dxa"/>
            <w:vAlign w:val="top"/>
          </w:tcPr>
          <w:p>
            <w:pPr>
              <w:pStyle w:val="TableText"/>
              <w:ind w:left="168"/>
              <w:spacing w:before="178" w:line="239" w:lineRule="auto"/>
              <w:rPr>
                <w:sz w:val="24"/>
                <w:szCs w:val="24"/>
              </w:rPr>
            </w:pPr>
            <w:r>
              <w:rPr>
                <w:sz w:val="24"/>
                <w:szCs w:val="24"/>
                <w:spacing w:val="-2"/>
              </w:rPr>
              <w:t>248.000</w:t>
            </w:r>
          </w:p>
        </w:tc>
        <w:tc>
          <w:tcPr>
            <w:tcW w:w="1136" w:type="dxa"/>
            <w:vAlign w:val="top"/>
          </w:tcPr>
          <w:p>
            <w:pPr>
              <w:pStyle w:val="TableText"/>
              <w:ind w:left="368"/>
              <w:spacing w:before="178"/>
              <w:rPr>
                <w:sz w:val="24"/>
                <w:szCs w:val="24"/>
              </w:rPr>
            </w:pPr>
            <w:r>
              <w:rPr>
                <w:sz w:val="24"/>
                <w:szCs w:val="24"/>
                <w:spacing w:val="-3"/>
              </w:rPr>
              <w:t>248</w:t>
            </w:r>
          </w:p>
        </w:tc>
      </w:tr>
      <w:tr>
        <w:trPr>
          <w:trHeight w:val="3340" w:hRule="atLeast"/>
        </w:trPr>
        <w:tc>
          <w:tcPr>
            <w:tcW w:w="9392" w:type="dxa"/>
            <w:vAlign w:val="top"/>
            <w:gridSpan w:val="9"/>
          </w:tcPr>
          <w:p>
            <w:pPr>
              <w:pStyle w:val="TableText"/>
              <w:ind w:left="15"/>
              <w:spacing w:before="46" w:line="220" w:lineRule="auto"/>
              <w:rPr>
                <w:sz w:val="24"/>
                <w:szCs w:val="24"/>
              </w:rPr>
            </w:pPr>
            <w:r>
              <w:rPr>
                <w:sz w:val="24"/>
                <w:szCs w:val="24"/>
                <w:spacing w:val="-1"/>
              </w:rPr>
              <w:t>填写要求：</w:t>
            </w:r>
          </w:p>
          <w:p>
            <w:pPr>
              <w:pStyle w:val="TableText"/>
              <w:ind w:left="15" w:right="128" w:firstLine="219"/>
              <w:spacing w:before="1" w:line="228" w:lineRule="auto"/>
              <w:rPr>
                <w:sz w:val="24"/>
                <w:szCs w:val="24"/>
              </w:rPr>
            </w:pPr>
            <w:r>
              <w:rPr>
                <w:sz w:val="24"/>
                <w:szCs w:val="24"/>
              </w:rPr>
              <w:t>1、零售套餐价格参数及电量参数由合同双方填写之处，合同双方应根据实际情况填写</w:t>
            </w:r>
            <w:r>
              <w:rPr>
                <w:sz w:val="24"/>
                <w:szCs w:val="24"/>
                <w:spacing w:val="17"/>
              </w:rPr>
              <w:t xml:space="preserve"> </w:t>
            </w:r>
            <w:r>
              <w:rPr>
                <w:sz w:val="24"/>
                <w:szCs w:val="24"/>
                <w:spacing w:val="-3"/>
              </w:rPr>
              <w:t>。如合同双方约定无需填写的，则应注明“无”,若需填写处为空白且合同范</w:t>
            </w:r>
            <w:r>
              <w:rPr>
                <w:sz w:val="24"/>
                <w:szCs w:val="24"/>
                <w:spacing w:val="-4"/>
              </w:rPr>
              <w:t>本未规定的</w:t>
            </w:r>
            <w:r>
              <w:rPr>
                <w:sz w:val="24"/>
                <w:szCs w:val="24"/>
              </w:rPr>
              <w:t xml:space="preserve">  </w:t>
            </w:r>
            <w:r>
              <w:rPr>
                <w:sz w:val="24"/>
                <w:szCs w:val="24"/>
                <w:spacing w:val="3"/>
              </w:rPr>
              <w:t>,则按照“无”处理。</w:t>
            </w:r>
          </w:p>
          <w:p>
            <w:pPr>
              <w:pStyle w:val="TableText"/>
              <w:ind w:left="15" w:right="185" w:firstLine="169"/>
              <w:spacing w:before="1" w:line="231" w:lineRule="auto"/>
              <w:rPr>
                <w:sz w:val="24"/>
                <w:szCs w:val="24"/>
              </w:rPr>
            </w:pPr>
            <w:r>
              <w:rPr>
                <w:sz w:val="24"/>
                <w:szCs w:val="24"/>
              </w:rPr>
              <w:t>2、零售套餐价格参数中合同电量和常规电力电价必填，若甲方有绿色电力需求，须填</w:t>
            </w:r>
            <w:r>
              <w:rPr>
                <w:sz w:val="24"/>
                <w:szCs w:val="24"/>
                <w:spacing w:val="10"/>
              </w:rPr>
              <w:t xml:space="preserve"> </w:t>
            </w:r>
            <w:r>
              <w:rPr>
                <w:sz w:val="24"/>
                <w:szCs w:val="24"/>
                <w:spacing w:val="-1"/>
              </w:rPr>
              <w:t>写绿电需求电量和绿色电力电价的相关参数。</w:t>
            </w:r>
          </w:p>
          <w:p>
            <w:pPr>
              <w:pStyle w:val="TableText"/>
              <w:ind w:left="215"/>
              <w:spacing w:line="219" w:lineRule="auto"/>
              <w:rPr>
                <w:sz w:val="24"/>
                <w:szCs w:val="24"/>
              </w:rPr>
            </w:pPr>
            <w:r>
              <w:rPr>
                <w:sz w:val="24"/>
                <w:szCs w:val="24"/>
              </w:rPr>
              <w:t>3、零售套餐电量参数中的合同电量为甲方的全部电量，单位为兆瓦时，保留3位小</w:t>
            </w:r>
            <w:r>
              <w:rPr>
                <w:sz w:val="24"/>
                <w:szCs w:val="24"/>
                <w:spacing w:val="-1"/>
              </w:rPr>
              <w:t>数。</w:t>
            </w:r>
          </w:p>
          <w:p>
            <w:pPr>
              <w:pStyle w:val="TableText"/>
              <w:ind w:left="15" w:firstLine="188"/>
              <w:spacing w:before="4" w:line="230" w:lineRule="auto"/>
              <w:rPr>
                <w:sz w:val="24"/>
                <w:szCs w:val="24"/>
              </w:rPr>
            </w:pPr>
            <w:r>
              <w:rPr>
                <w:sz w:val="24"/>
                <w:szCs w:val="24"/>
                <w:spacing w:val="-2"/>
              </w:rPr>
              <w:t>4、零售套餐电量参数中的绿电需求电量为甲方全部电量</w:t>
            </w:r>
            <w:r>
              <w:rPr>
                <w:sz w:val="24"/>
                <w:szCs w:val="24"/>
                <w:spacing w:val="-3"/>
              </w:rPr>
              <w:t>中的绿色电力需求部分，绿色</w:t>
            </w:r>
            <w:r>
              <w:rPr>
                <w:sz w:val="24"/>
                <w:szCs w:val="24"/>
              </w:rPr>
              <w:t xml:space="preserve">   </w:t>
            </w:r>
            <w:r>
              <w:rPr>
                <w:sz w:val="24"/>
                <w:szCs w:val="24"/>
                <w:spacing w:val="-3"/>
              </w:rPr>
              <w:t>需求电量须小于等于合同电量，且大于等于当月已签订的PPA协议电量。绿色电力交易以1</w:t>
            </w:r>
            <w:r>
              <w:rPr>
                <w:sz w:val="24"/>
                <w:szCs w:val="24"/>
                <w:spacing w:val="8"/>
              </w:rPr>
              <w:t xml:space="preserve">  </w:t>
            </w:r>
            <w:r>
              <w:rPr>
                <w:sz w:val="24"/>
                <w:szCs w:val="24"/>
                <w:spacing w:val="-6"/>
              </w:rPr>
              <w:t>兆瓦时为最小交易单位，填写绿电需求电量时应为整数，若绿电需求电量未填写为整数的，</w:t>
            </w:r>
            <w:r>
              <w:rPr>
                <w:sz w:val="24"/>
                <w:szCs w:val="24"/>
                <w:spacing w:val="5"/>
              </w:rPr>
              <w:t xml:space="preserve"> </w:t>
            </w:r>
            <w:r>
              <w:rPr>
                <w:sz w:val="24"/>
                <w:szCs w:val="24"/>
                <w:spacing w:val="-2"/>
              </w:rPr>
              <w:t>则按“取整”处理。</w:t>
            </w:r>
          </w:p>
        </w:tc>
      </w:tr>
    </w:tbl>
    <w:p>
      <w:pPr>
        <w:pStyle w:val="BodyText"/>
        <w:rPr/>
      </w:pPr>
      <w:r/>
    </w:p>
    <w:p>
      <w:pPr>
        <w:spacing w:before="55"/>
        <w:rPr/>
      </w:pPr>
      <w:r/>
    </w:p>
    <w:p>
      <w:pPr>
        <w:spacing w:before="55"/>
        <w:rPr/>
      </w:pPr>
      <w:r/>
    </w:p>
    <w:p>
      <w:pPr>
        <w:sectPr>
          <w:footerReference w:type="default" r:id="rId36"/>
          <w:pgSz w:w="11900" w:h="16840"/>
          <w:pgMar w:top="1345" w:right="290" w:bottom="819" w:left="1324" w:header="0" w:footer="209" w:gutter="0"/>
          <w:cols w:equalWidth="0" w:num="1">
            <w:col w:w="10286" w:space="0"/>
          </w:cols>
        </w:sectPr>
        <w:rPr/>
      </w:pPr>
    </w:p>
    <w:p>
      <w:pPr>
        <w:pStyle w:val="BodyText"/>
        <w:spacing w:line="338" w:lineRule="auto"/>
        <w:rPr/>
      </w:pPr>
      <w:r/>
    </w:p>
    <w:p>
      <w:pPr>
        <w:pStyle w:val="BodyText"/>
        <w:spacing w:line="339" w:lineRule="auto"/>
        <w:rPr/>
      </w:pPr>
      <w:r/>
    </w:p>
    <w:p>
      <w:pPr>
        <w:ind w:left="815"/>
        <w:spacing w:before="85" w:line="221" w:lineRule="auto"/>
        <w:rPr>
          <w:rFonts w:ascii="FangSong" w:hAnsi="FangSong" w:eastAsia="FangSong" w:cs="FangSong"/>
          <w:sz w:val="26"/>
          <w:szCs w:val="26"/>
        </w:rPr>
      </w:pPr>
      <w:r>
        <w:drawing>
          <wp:anchor distT="0" distB="0" distL="0" distR="0" simplePos="0" relativeHeight="251709440" behindDoc="0" locked="0" layoutInCell="1" allowOverlap="1">
            <wp:simplePos x="0" y="0"/>
            <wp:positionH relativeFrom="column">
              <wp:posOffset>1279543</wp:posOffset>
            </wp:positionH>
            <wp:positionV relativeFrom="paragraph">
              <wp:posOffset>-432651</wp:posOffset>
            </wp:positionV>
            <wp:extent cx="1422435" cy="1460504"/>
            <wp:effectExtent l="0" t="0" r="0" b="0"/>
            <wp:wrapNone/>
            <wp:docPr id="102" name="IM 102"/>
            <wp:cNvGraphicFramePr/>
            <a:graphic>
              <a:graphicData uri="http://schemas.openxmlformats.org/drawingml/2006/picture">
                <pic:pic>
                  <pic:nvPicPr>
                    <pic:cNvPr id="102" name="IM 102"/>
                    <pic:cNvPicPr/>
                  </pic:nvPicPr>
                  <pic:blipFill>
                    <a:blip r:embed="rId37"/>
                    <a:stretch>
                      <a:fillRect/>
                    </a:stretch>
                  </pic:blipFill>
                  <pic:spPr>
                    <a:xfrm rot="0">
                      <a:off x="0" y="0"/>
                      <a:ext cx="1422435" cy="1460504"/>
                    </a:xfrm>
                    <a:prstGeom prst="rect">
                      <a:avLst/>
                    </a:prstGeom>
                  </pic:spPr>
                </pic:pic>
              </a:graphicData>
            </a:graphic>
          </wp:anchor>
        </w:drawing>
      </w:r>
      <w:r>
        <w:rPr>
          <w:rFonts w:ascii="FangSong" w:hAnsi="FangSong" w:eastAsia="FangSong" w:cs="FangSong"/>
          <w:sz w:val="26"/>
          <w:szCs w:val="26"/>
          <w:spacing w:val="9"/>
        </w:rPr>
        <w:t>甲方(零售用户):北凉市昌平区</w:t>
      </w:r>
    </w:p>
    <w:p>
      <w:pPr>
        <w:ind w:left="818"/>
        <w:spacing w:before="107" w:line="222" w:lineRule="auto"/>
        <w:rPr>
          <w:rFonts w:ascii="FangSong" w:hAnsi="FangSong" w:eastAsia="FangSong" w:cs="FangSong"/>
          <w:sz w:val="26"/>
          <w:szCs w:val="26"/>
        </w:rPr>
      </w:pPr>
      <w:r>
        <w:rPr>
          <w:rFonts w:ascii="FangSong" w:hAnsi="FangSong" w:eastAsia="FangSong" w:cs="FangSong"/>
          <w:sz w:val="26"/>
          <w:szCs w:val="26"/>
          <w:b/>
          <w:bCs/>
          <w:spacing w:val="-7"/>
        </w:rPr>
        <w:t>沙河医院</w:t>
      </w:r>
    </w:p>
    <w:p>
      <w:pPr>
        <w:ind w:left="918"/>
        <w:spacing w:before="107" w:line="222" w:lineRule="auto"/>
        <w:rPr>
          <w:rFonts w:ascii="FangSong" w:hAnsi="FangSong" w:eastAsia="FangSong" w:cs="FangSong"/>
          <w:sz w:val="26"/>
          <w:szCs w:val="26"/>
        </w:rPr>
      </w:pPr>
      <w:r>
        <w:rPr>
          <w:rFonts w:ascii="FangSong" w:hAnsi="FangSong" w:eastAsia="FangSong" w:cs="FangSong"/>
          <w:sz w:val="26"/>
          <w:szCs w:val="26"/>
          <w:b/>
          <w:bCs/>
          <w:spacing w:val="14"/>
        </w:rPr>
        <w:t>(盖章)</w:t>
      </w:r>
    </w:p>
    <w:p>
      <w:pPr>
        <w:ind w:left="818"/>
        <w:spacing w:before="107" w:line="223" w:lineRule="auto"/>
        <w:rPr>
          <w:rFonts w:ascii="FangSong" w:hAnsi="FangSong" w:eastAsia="FangSong" w:cs="FangSong"/>
          <w:sz w:val="26"/>
          <w:szCs w:val="26"/>
        </w:rPr>
      </w:pPr>
      <w:r>
        <w:rPr>
          <w:rFonts w:ascii="FangSong" w:hAnsi="FangSong" w:eastAsia="FangSong" w:cs="FangSong"/>
          <w:sz w:val="26"/>
          <w:szCs w:val="26"/>
          <w:b/>
          <w:bCs/>
          <w:spacing w:val="-1"/>
        </w:rPr>
        <w:t>法定代表人(负责大于或</w:t>
      </w:r>
    </w:p>
    <w:p>
      <w:pPr>
        <w:pStyle w:val="BodyText"/>
        <w:spacing w:line="416" w:lineRule="auto"/>
        <w:rPr/>
      </w:pPr>
      <w:r/>
    </w:p>
    <w:p>
      <w:pPr>
        <w:ind w:left="2995"/>
        <w:spacing w:before="85" w:line="200" w:lineRule="auto"/>
        <w:rPr>
          <w:rFonts w:ascii="SimSun" w:hAnsi="SimSun" w:eastAsia="SimSun" w:cs="SimSun"/>
          <w:sz w:val="26"/>
          <w:szCs w:val="26"/>
        </w:rPr>
      </w:pPr>
      <w:r>
        <w:rPr>
          <w:rFonts w:ascii="SimSun" w:hAnsi="SimSun" w:eastAsia="SimSun" w:cs="SimSun"/>
          <w:sz w:val="26"/>
          <w:szCs w:val="26"/>
        </w:rPr>
        <w:t>始</w:t>
      </w:r>
    </w:p>
    <w:p>
      <w:pPr>
        <w:ind w:left="818"/>
        <w:spacing w:line="222" w:lineRule="auto"/>
        <w:rPr>
          <w:rFonts w:ascii="FangSong" w:hAnsi="FangSong" w:eastAsia="FangSong" w:cs="FangSong"/>
          <w:sz w:val="26"/>
          <w:szCs w:val="26"/>
        </w:rPr>
      </w:pPr>
      <w:r>
        <w:rPr>
          <w:rFonts w:ascii="FangSong" w:hAnsi="FangSong" w:eastAsia="FangSong" w:cs="FangSong"/>
          <w:sz w:val="26"/>
          <w:szCs w:val="26"/>
          <w:b/>
          <w:bCs/>
          <w:spacing w:val="19"/>
        </w:rPr>
        <w:t>授权代表(签字):</w:t>
      </w:r>
    </w:p>
    <w:p>
      <w:pPr>
        <w:spacing w:line="71" w:lineRule="auto"/>
        <w:rPr>
          <w:rFonts w:ascii="Arial"/>
          <w:sz w:val="2"/>
        </w:rPr>
      </w:pPr>
      <w:r>
        <w:rPr>
          <w:rFonts w:ascii="Arial"/>
          <w:sz w:val="2"/>
        </w:rPr>
      </w:r>
    </w:p>
    <w:p>
      <w:pPr>
        <w:pStyle w:val="BodyText"/>
        <w:spacing w:line="14" w:lineRule="auto"/>
        <w:rPr>
          <w:sz w:val="2"/>
        </w:rPr>
      </w:pPr>
      <w:r>
        <w:rPr>
          <w:sz w:val="2"/>
          <w:szCs w:val="2"/>
        </w:rPr>
        <w:br w:type="column"/>
      </w:r>
    </w:p>
    <w:p>
      <w:pPr>
        <w:pStyle w:val="BodyText"/>
        <w:spacing w:line="285" w:lineRule="auto"/>
        <w:rPr/>
      </w:pPr>
      <w:r/>
    </w:p>
    <w:p>
      <w:pPr>
        <w:pStyle w:val="BodyText"/>
        <w:spacing w:line="285" w:lineRule="auto"/>
        <w:rPr/>
      </w:pPr>
      <w:r/>
    </w:p>
    <w:p>
      <w:pPr>
        <w:pStyle w:val="BodyText"/>
        <w:spacing w:line="285" w:lineRule="auto"/>
        <w:rPr/>
      </w:pPr>
      <w:r/>
    </w:p>
    <w:p>
      <w:pPr>
        <w:spacing w:before="84" w:line="221" w:lineRule="auto"/>
        <w:rPr>
          <w:rFonts w:ascii="FangSong" w:hAnsi="FangSong" w:eastAsia="FangSong" w:cs="FangSong"/>
          <w:sz w:val="26"/>
          <w:szCs w:val="26"/>
        </w:rPr>
      </w:pPr>
      <w:r>
        <w:drawing>
          <wp:anchor distT="0" distB="0" distL="0" distR="0" simplePos="0" relativeHeight="251708416" behindDoc="0" locked="0" layoutInCell="1" allowOverlap="1">
            <wp:simplePos x="0" y="0"/>
            <wp:positionH relativeFrom="column">
              <wp:posOffset>577845</wp:posOffset>
            </wp:positionH>
            <wp:positionV relativeFrom="paragraph">
              <wp:posOffset>-496461</wp:posOffset>
            </wp:positionV>
            <wp:extent cx="1358885" cy="1371642"/>
            <wp:effectExtent l="0" t="0" r="0" b="0"/>
            <wp:wrapNone/>
            <wp:docPr id="104" name="IM 104"/>
            <wp:cNvGraphicFramePr/>
            <a:graphic>
              <a:graphicData uri="http://schemas.openxmlformats.org/drawingml/2006/picture">
                <pic:pic>
                  <pic:nvPicPr>
                    <pic:cNvPr id="104" name="IM 104"/>
                    <pic:cNvPicPr/>
                  </pic:nvPicPr>
                  <pic:blipFill>
                    <a:blip r:embed="rId38"/>
                    <a:stretch>
                      <a:fillRect/>
                    </a:stretch>
                  </pic:blipFill>
                  <pic:spPr>
                    <a:xfrm rot="0">
                      <a:off x="0" y="0"/>
                      <a:ext cx="1358885" cy="1371642"/>
                    </a:xfrm>
                    <a:prstGeom prst="rect">
                      <a:avLst/>
                    </a:prstGeom>
                  </pic:spPr>
                </pic:pic>
              </a:graphicData>
            </a:graphic>
          </wp:anchor>
        </w:drawing>
      </w:r>
      <w:r>
        <w:rPr>
          <w:rFonts w:ascii="FangSong" w:hAnsi="FangSong" w:eastAsia="FangSong" w:cs="FangSong"/>
          <w:sz w:val="26"/>
          <w:szCs w:val="26"/>
          <w:spacing w:val="10"/>
        </w:rPr>
        <w:t>乙方(售电公司):北京京能新能</w:t>
      </w:r>
    </w:p>
    <w:p>
      <w:pPr>
        <w:ind w:left="3"/>
        <w:spacing w:before="77" w:line="222" w:lineRule="auto"/>
        <w:rPr>
          <w:rFonts w:ascii="FangSong" w:hAnsi="FangSong" w:eastAsia="FangSong" w:cs="FangSong"/>
          <w:sz w:val="26"/>
          <w:szCs w:val="26"/>
        </w:rPr>
      </w:pPr>
      <w:r>
        <w:rPr>
          <w:rFonts w:ascii="FangSong" w:hAnsi="FangSong" w:eastAsia="FangSong" w:cs="FangSong"/>
          <w:sz w:val="26"/>
          <w:szCs w:val="26"/>
          <w:b/>
          <w:bCs/>
          <w:spacing w:val="-7"/>
        </w:rPr>
        <w:t>源有限公司</w:t>
      </w:r>
    </w:p>
    <w:p>
      <w:pPr>
        <w:ind w:left="113"/>
        <w:spacing w:before="87" w:line="222" w:lineRule="auto"/>
        <w:rPr>
          <w:rFonts w:ascii="SimSun" w:hAnsi="SimSun" w:eastAsia="SimSun" w:cs="SimSun"/>
          <w:sz w:val="26"/>
          <w:szCs w:val="26"/>
        </w:rPr>
      </w:pPr>
      <w:r>
        <w:rPr>
          <w:rFonts w:ascii="FangSong" w:hAnsi="FangSong" w:eastAsia="FangSong" w:cs="FangSong"/>
          <w:sz w:val="26"/>
          <w:szCs w:val="26"/>
          <w:b/>
          <w:bCs/>
          <w:spacing w:val="9"/>
        </w:rPr>
        <w:t>(盖章)</w:t>
      </w:r>
      <w:r>
        <w:rPr>
          <w:rFonts w:ascii="FangSong" w:hAnsi="FangSong" w:eastAsia="FangSong" w:cs="FangSong"/>
          <w:sz w:val="26"/>
          <w:szCs w:val="26"/>
          <w:spacing w:val="15"/>
        </w:rPr>
        <w:t xml:space="preserve">     </w:t>
      </w:r>
      <w:r>
        <w:rPr>
          <w:rFonts w:ascii="SimSun" w:hAnsi="SimSun" w:eastAsia="SimSun" w:cs="SimSun"/>
          <w:sz w:val="26"/>
          <w:szCs w:val="26"/>
          <w:spacing w:val="9"/>
        </w:rPr>
        <w:t>1</w:t>
      </w:r>
    </w:p>
    <w:p>
      <w:pPr>
        <w:ind w:right="2636"/>
        <w:spacing w:before="233" w:line="234" w:lineRule="auto"/>
        <w:rPr>
          <w:rFonts w:ascii="FangSong" w:hAnsi="FangSong" w:eastAsia="FangSong" w:cs="FangSong"/>
          <w:sz w:val="26"/>
          <w:szCs w:val="26"/>
        </w:rPr>
      </w:pPr>
      <w:r>
        <w:rPr>
          <w:rFonts w:ascii="FangSong" w:hAnsi="FangSong" w:eastAsia="FangSong" w:cs="FangSong"/>
          <w:sz w:val="26"/>
          <w:szCs w:val="26"/>
          <w:spacing w:val="15"/>
        </w:rPr>
        <w:t>法定代表人(负责人)或</w:t>
      </w:r>
      <w:r>
        <w:rPr>
          <w:rFonts w:ascii="FangSong" w:hAnsi="FangSong" w:eastAsia="FangSong" w:cs="FangSong"/>
          <w:sz w:val="26"/>
          <w:szCs w:val="26"/>
          <w:spacing w:val="7"/>
        </w:rPr>
        <w:t xml:space="preserve"> </w:t>
      </w:r>
      <w:r>
        <w:rPr>
          <w:rFonts w:ascii="FangSong" w:hAnsi="FangSong" w:eastAsia="FangSong" w:cs="FangSong"/>
          <w:sz w:val="26"/>
          <w:szCs w:val="26"/>
          <w:spacing w:val="22"/>
        </w:rPr>
        <w:t>授权代表(签字):</w:t>
      </w:r>
    </w:p>
    <w:p>
      <w:pPr>
        <w:ind w:left="2065"/>
        <w:spacing w:before="141" w:line="220" w:lineRule="auto"/>
        <w:rPr>
          <w:rFonts w:ascii="SimSun" w:hAnsi="SimSun" w:eastAsia="SimSun" w:cs="SimSun"/>
          <w:sz w:val="26"/>
          <w:szCs w:val="26"/>
        </w:rPr>
      </w:pPr>
      <w:r>
        <w:rPr>
          <w:rFonts w:ascii="SimSun" w:hAnsi="SimSun" w:eastAsia="SimSun" w:cs="SimSun"/>
          <w:sz w:val="26"/>
          <w:szCs w:val="26"/>
        </w:rPr>
        <w:t>疑</w:t>
      </w:r>
    </w:p>
    <w:p>
      <w:pPr>
        <w:spacing w:line="220" w:lineRule="auto"/>
        <w:sectPr>
          <w:type w:val="continuous"/>
          <w:pgSz w:w="11900" w:h="16840"/>
          <w:pgMar w:top="1345" w:right="290" w:bottom="819" w:left="1324" w:header="0" w:footer="209" w:gutter="0"/>
          <w:cols w:equalWidth="0" w:num="2">
            <w:col w:w="4776" w:space="100"/>
            <w:col w:w="5410" w:space="0"/>
          </w:cols>
        </w:sectPr>
        <w:rPr>
          <w:rFonts w:ascii="SimSun" w:hAnsi="SimSun" w:eastAsia="SimSun" w:cs="SimSun"/>
          <w:sz w:val="26"/>
          <w:szCs w:val="26"/>
        </w:rPr>
      </w:pP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ind w:left="3967"/>
        <w:spacing w:before="59" w:line="184" w:lineRule="auto"/>
        <w:rPr>
          <w:rFonts w:ascii="SimSun" w:hAnsi="SimSun" w:eastAsia="SimSun" w:cs="SimSun"/>
          <w:sz w:val="18"/>
          <w:szCs w:val="18"/>
        </w:rPr>
      </w:pPr>
      <w:r>
        <w:rPr>
          <w:rFonts w:ascii="SimSun" w:hAnsi="SimSun" w:eastAsia="SimSun" w:cs="SimSun"/>
          <w:sz w:val="18"/>
          <w:szCs w:val="18"/>
          <w:b/>
          <w:bCs/>
          <w:spacing w:val="-13"/>
        </w:rPr>
        <w:t>第</w:t>
      </w:r>
      <w:r>
        <w:rPr>
          <w:rFonts w:ascii="SimSun" w:hAnsi="SimSun" w:eastAsia="SimSun" w:cs="SimSun"/>
          <w:sz w:val="18"/>
          <w:szCs w:val="18"/>
          <w:spacing w:val="-19"/>
        </w:rPr>
        <w:t xml:space="preserve"> </w:t>
      </w:r>
      <w:r>
        <w:rPr>
          <w:rFonts w:ascii="SimSun" w:hAnsi="SimSun" w:eastAsia="SimSun" w:cs="SimSun"/>
          <w:sz w:val="18"/>
          <w:szCs w:val="18"/>
          <w:b/>
          <w:bCs/>
          <w:spacing w:val="-13"/>
        </w:rPr>
        <w:t>1</w:t>
      </w:r>
      <w:r>
        <w:rPr>
          <w:rFonts w:ascii="SimSun" w:hAnsi="SimSun" w:eastAsia="SimSun" w:cs="SimSun"/>
          <w:sz w:val="18"/>
          <w:szCs w:val="18"/>
          <w:spacing w:val="-28"/>
        </w:rPr>
        <w:t xml:space="preserve"> </w:t>
      </w:r>
      <w:r>
        <w:rPr>
          <w:rFonts w:ascii="SimSun" w:hAnsi="SimSun" w:eastAsia="SimSun" w:cs="SimSun"/>
          <w:sz w:val="18"/>
          <w:szCs w:val="18"/>
          <w:b/>
          <w:bCs/>
          <w:spacing w:val="-13"/>
        </w:rPr>
        <w:t>7</w:t>
      </w:r>
      <w:r>
        <w:rPr>
          <w:rFonts w:ascii="SimSun" w:hAnsi="SimSun" w:eastAsia="SimSun" w:cs="SimSun"/>
          <w:sz w:val="18"/>
          <w:szCs w:val="18"/>
          <w:spacing w:val="-27"/>
        </w:rPr>
        <w:t xml:space="preserve"> </w:t>
      </w:r>
      <w:r>
        <w:rPr>
          <w:rFonts w:ascii="SimSun" w:hAnsi="SimSun" w:eastAsia="SimSun" w:cs="SimSun"/>
          <w:sz w:val="18"/>
          <w:szCs w:val="18"/>
          <w:b/>
          <w:bCs/>
          <w:spacing w:val="-13"/>
        </w:rPr>
        <w:t>页</w:t>
      </w:r>
      <w:r>
        <w:rPr>
          <w:rFonts w:ascii="SimSun" w:hAnsi="SimSun" w:eastAsia="SimSun" w:cs="SimSun"/>
          <w:sz w:val="18"/>
          <w:szCs w:val="18"/>
          <w:spacing w:val="-33"/>
        </w:rPr>
        <w:t xml:space="preserve"> </w:t>
      </w:r>
      <w:r>
        <w:rPr>
          <w:rFonts w:ascii="SimSun" w:hAnsi="SimSun" w:eastAsia="SimSun" w:cs="SimSun"/>
          <w:sz w:val="18"/>
          <w:szCs w:val="18"/>
          <w:b/>
          <w:bCs/>
          <w:spacing w:val="-13"/>
        </w:rPr>
        <w:t>共</w:t>
      </w:r>
      <w:r>
        <w:rPr>
          <w:rFonts w:ascii="SimSun" w:hAnsi="SimSun" w:eastAsia="SimSun" w:cs="SimSun"/>
          <w:sz w:val="18"/>
          <w:szCs w:val="18"/>
          <w:spacing w:val="-19"/>
        </w:rPr>
        <w:t xml:space="preserve"> </w:t>
      </w:r>
      <w:r>
        <w:rPr>
          <w:rFonts w:ascii="SimSun" w:hAnsi="SimSun" w:eastAsia="SimSun" w:cs="SimSun"/>
          <w:sz w:val="18"/>
          <w:szCs w:val="18"/>
          <w:b/>
          <w:bCs/>
          <w:spacing w:val="-13"/>
        </w:rPr>
        <w:t>1</w:t>
      </w:r>
      <w:r>
        <w:rPr>
          <w:rFonts w:ascii="SimSun" w:hAnsi="SimSun" w:eastAsia="SimSun" w:cs="SimSun"/>
          <w:sz w:val="18"/>
          <w:szCs w:val="18"/>
          <w:spacing w:val="-27"/>
        </w:rPr>
        <w:t xml:space="preserve"> </w:t>
      </w:r>
      <w:r>
        <w:rPr>
          <w:rFonts w:ascii="SimSun" w:hAnsi="SimSun" w:eastAsia="SimSun" w:cs="SimSun"/>
          <w:sz w:val="18"/>
          <w:szCs w:val="18"/>
          <w:b/>
          <w:bCs/>
          <w:spacing w:val="-13"/>
        </w:rPr>
        <w:t>7</w:t>
      </w:r>
      <w:r>
        <w:rPr>
          <w:rFonts w:ascii="SimSun" w:hAnsi="SimSun" w:eastAsia="SimSun" w:cs="SimSun"/>
          <w:sz w:val="18"/>
          <w:szCs w:val="18"/>
          <w:spacing w:val="-28"/>
        </w:rPr>
        <w:t xml:space="preserve"> </w:t>
      </w:r>
      <w:r>
        <w:rPr>
          <w:rFonts w:ascii="SimSun" w:hAnsi="SimSun" w:eastAsia="SimSun" w:cs="SimSun"/>
          <w:sz w:val="18"/>
          <w:szCs w:val="18"/>
          <w:b/>
          <w:bCs/>
          <w:spacing w:val="-13"/>
        </w:rPr>
        <w:t>页</w:t>
      </w:r>
    </w:p>
    <w:sectPr>
      <w:type w:val="continuous"/>
      <w:pgSz w:w="11900" w:h="16840"/>
      <w:pgMar w:top="1345" w:right="290" w:bottom="819" w:left="1324" w:header="0" w:footer="209" w:gutter="0"/>
      <w:cols w:equalWidth="0" w:num="1">
        <w:col w:w="10286"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 w:name="LiSu">
    <w:panose1 w:val="02010509060101010101"/>
    <w:charset w:val="86"/>
    <w:family w:val="auto"/>
    <w:pitch w:val="default"/>
    <w:sig w:usb0="00000001" w:usb1="080E0000" w:usb2="00000000" w:usb3="00000000" w:csb0="00040000" w:csb1="00000000"/>
  </w:font>
  <w:font w:name="KaiTi">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36"/>
      <w:jc w:val="right"/>
      <w:rPr>
        <w:rFonts w:ascii="SimHei" w:hAnsi="SimHei" w:eastAsia="SimHei" w:cs="SimHei"/>
        <w:sz w:val="19"/>
        <w:szCs w:val="19"/>
      </w:rPr>
    </w:pPr>
    <w:r>
      <w:drawing>
        <wp:anchor distT="0" distB="0" distL="0" distR="0" simplePos="0" relativeHeight="251658240"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10" name="IM 10"/>
          <wp:cNvGraphicFramePr/>
          <a:graphic>
            <a:graphicData uri="http://schemas.openxmlformats.org/drawingml/2006/picture">
              <pic:pic>
                <pic:nvPicPr>
                  <pic:cNvPr id="10" name="IM 10"/>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position w:val="-5"/>
      </w:rPr>
      <w:drawing>
        <wp:inline distT="0" distB="0" distL="0" distR="0">
          <wp:extent cx="228584" cy="222315"/>
          <wp:effectExtent l="0" t="0" r="0" b="0"/>
          <wp:docPr id="12" name="IM 12"/>
          <wp:cNvGraphicFramePr/>
          <a:graphic>
            <a:graphicData uri="http://schemas.openxmlformats.org/drawingml/2006/picture">
              <pic:pic>
                <pic:nvPicPr>
                  <pic:cNvPr id="12" name="IM 12"/>
                  <pic:cNvPicPr/>
                </pic:nvPicPr>
                <pic:blipFill>
                  <a:blip r:embed="rId2"/>
                  <a:stretch>
                    <a:fillRect/>
                  </a:stretch>
                </pic:blipFill>
                <pic:spPr>
                  <a:xfrm rot="0">
                    <a:off x="0" y="0"/>
                    <a:ext cx="228584" cy="222315"/>
                  </a:xfrm>
                  <a:prstGeom prst="rect">
                    <a:avLst/>
                  </a:prstGeom>
                </pic:spPr>
              </pic:pic>
            </a:graphicData>
          </a:graphic>
        </wp:inline>
      </w:drawing>
    </w:r>
    <w:r>
      <w:rPr>
        <w:rFonts w:ascii="SimHei" w:hAnsi="SimHei" w:eastAsia="SimHei" w:cs="SimHei"/>
        <w:sz w:val="19"/>
        <w:szCs w:val="19"/>
        <w:b/>
        <w:bCs/>
        <w:spacing w:val="17"/>
      </w:rPr>
      <w:t>扫描全能王</w:t>
    </w:r>
  </w:p>
  <w:p>
    <w:pPr>
      <w:ind w:left="9579"/>
      <w:spacing w:after="25"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33" w:line="329" w:lineRule="exact"/>
      <w:jc w:val="right"/>
      <w:rPr>
        <w:rFonts w:ascii="SimHei" w:hAnsi="SimHei" w:eastAsia="SimHei" w:cs="SimHei"/>
        <w:sz w:val="21"/>
        <w:szCs w:val="21"/>
      </w:rPr>
    </w:pPr>
    <w:r>
      <w:drawing>
        <wp:anchor distT="0" distB="0" distL="0" distR="0" simplePos="0" relativeHeight="251659264" behindDoc="0" locked="0" layoutInCell="0" allowOverlap="1">
          <wp:simplePos x="0" y="0"/>
          <wp:positionH relativeFrom="page">
            <wp:posOffset>6051547</wp:posOffset>
          </wp:positionH>
          <wp:positionV relativeFrom="page">
            <wp:posOffset>10191772</wp:posOffset>
          </wp:positionV>
          <wp:extent cx="355608" cy="355555"/>
          <wp:effectExtent l="0" t="0" r="0" b="0"/>
          <wp:wrapNone/>
          <wp:docPr id="16" name="IM 16"/>
          <wp:cNvGraphicFramePr/>
          <a:graphic>
            <a:graphicData uri="http://schemas.openxmlformats.org/drawingml/2006/picture">
              <pic:pic>
                <pic:nvPicPr>
                  <pic:cNvPr id="16" name="IM 16"/>
                  <pic:cNvPicPr/>
                </pic:nvPicPr>
                <pic:blipFill>
                  <a:blip r:embed="rId1"/>
                  <a:stretch>
                    <a:fillRect/>
                  </a:stretch>
                </pic:blipFill>
                <pic:spPr>
                  <a:xfrm rot="0">
                    <a:off x="0" y="0"/>
                    <a:ext cx="355608" cy="355555"/>
                  </a:xfrm>
                  <a:prstGeom prst="rect">
                    <a:avLst/>
                  </a:prstGeom>
                </pic:spPr>
              </pic:pic>
            </a:graphicData>
          </a:graphic>
        </wp:anchor>
      </w:drawing>
    </w:r>
    <w:r>
      <w:rPr>
        <w:rFonts w:ascii="SimHei" w:hAnsi="SimHei" w:eastAsia="SimHei" w:cs="SimHei"/>
        <w:sz w:val="21"/>
        <w:szCs w:val="21"/>
        <w:position w:val="-4"/>
      </w:rPr>
      <w:drawing>
        <wp:inline distT="0" distB="0" distL="0" distR="0">
          <wp:extent cx="184152" cy="177831"/>
          <wp:effectExtent l="0" t="0" r="0" b="0"/>
          <wp:docPr id="18" name="IM 18"/>
          <wp:cNvGraphicFramePr/>
          <a:graphic>
            <a:graphicData uri="http://schemas.openxmlformats.org/drawingml/2006/picture">
              <pic:pic>
                <pic:nvPicPr>
                  <pic:cNvPr id="18" name="IM 18"/>
                  <pic:cNvPicPr/>
                </pic:nvPicPr>
                <pic:blipFill>
                  <a:blip r:embed="rId2"/>
                  <a:stretch>
                    <a:fillRect/>
                  </a:stretch>
                </pic:blipFill>
                <pic:spPr>
                  <a:xfrm rot="0">
                    <a:off x="0" y="0"/>
                    <a:ext cx="184152" cy="177831"/>
                  </a:xfrm>
                  <a:prstGeom prst="rect">
                    <a:avLst/>
                  </a:prstGeom>
                </pic:spPr>
              </pic:pic>
            </a:graphicData>
          </a:graphic>
        </wp:inline>
      </w:drawing>
    </w:r>
    <w:r>
      <w:rPr>
        <w:rFonts w:ascii="SimHei" w:hAnsi="SimHei" w:eastAsia="SimHei" w:cs="SimHei"/>
        <w:sz w:val="21"/>
        <w:szCs w:val="21"/>
        <w:b/>
        <w:bCs/>
        <w:spacing w:val="3"/>
        <w:position w:val="-2"/>
      </w:rPr>
      <w:t>扫描全能王</w:t>
    </w:r>
  </w:p>
  <w:p>
    <w:pPr>
      <w:ind w:left="8414"/>
      <w:spacing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17" w:line="344" w:lineRule="exact"/>
      <w:jc w:val="right"/>
      <w:rPr>
        <w:rFonts w:ascii="SimHei" w:hAnsi="SimHei" w:eastAsia="SimHei" w:cs="SimHei"/>
        <w:sz w:val="19"/>
        <w:szCs w:val="19"/>
      </w:rPr>
    </w:pPr>
    <w:r>
      <w:drawing>
        <wp:anchor distT="0" distB="0" distL="0" distR="0" simplePos="0" relativeHeight="251660288" behindDoc="0" locked="0" layoutInCell="0" allowOverlap="1">
          <wp:simplePos x="0" y="0"/>
          <wp:positionH relativeFrom="page">
            <wp:posOffset>6051547</wp:posOffset>
          </wp:positionH>
          <wp:positionV relativeFrom="page">
            <wp:posOffset>10191772</wp:posOffset>
          </wp:positionV>
          <wp:extent cx="355608" cy="355555"/>
          <wp:effectExtent l="0" t="0" r="0" b="0"/>
          <wp:wrapNone/>
          <wp:docPr id="20" name="IM 20"/>
          <wp:cNvGraphicFramePr/>
          <a:graphic>
            <a:graphicData uri="http://schemas.openxmlformats.org/drawingml/2006/picture">
              <pic:pic>
                <pic:nvPicPr>
                  <pic:cNvPr id="20" name="IM 20"/>
                  <pic:cNvPicPr/>
                </pic:nvPicPr>
                <pic:blipFill>
                  <a:blip r:embed="rId1"/>
                  <a:stretch>
                    <a:fillRect/>
                  </a:stretch>
                </pic:blipFill>
                <pic:spPr>
                  <a:xfrm rot="0">
                    <a:off x="0" y="0"/>
                    <a:ext cx="355608" cy="355555"/>
                  </a:xfrm>
                  <a:prstGeom prst="rect">
                    <a:avLst/>
                  </a:prstGeom>
                </pic:spPr>
              </pic:pic>
            </a:graphicData>
          </a:graphic>
        </wp:anchor>
      </w:drawing>
    </w:r>
    <w:r>
      <w:rPr>
        <w:rFonts w:ascii="SimHei" w:hAnsi="SimHei" w:eastAsia="SimHei" w:cs="SimHei"/>
        <w:sz w:val="19"/>
        <w:szCs w:val="19"/>
        <w:position w:val="-4"/>
      </w:rPr>
      <w:drawing>
        <wp:inline distT="0" distB="0" distL="0" distR="0">
          <wp:extent cx="184152" cy="184140"/>
          <wp:effectExtent l="0" t="0" r="0" b="0"/>
          <wp:docPr id="22" name="IM 22"/>
          <wp:cNvGraphicFramePr/>
          <a:graphic>
            <a:graphicData uri="http://schemas.openxmlformats.org/drawingml/2006/picture">
              <pic:pic>
                <pic:nvPicPr>
                  <pic:cNvPr id="22" name="IM 22"/>
                  <pic:cNvPicPr/>
                </pic:nvPicPr>
                <pic:blipFill>
                  <a:blip r:embed="rId2"/>
                  <a:stretch>
                    <a:fillRect/>
                  </a:stretch>
                </pic:blipFill>
                <pic:spPr>
                  <a:xfrm rot="0">
                    <a:off x="0" y="0"/>
                    <a:ext cx="184152" cy="184140"/>
                  </a:xfrm>
                  <a:prstGeom prst="rect">
                    <a:avLst/>
                  </a:prstGeom>
                </pic:spPr>
              </pic:pic>
            </a:graphicData>
          </a:graphic>
        </wp:inline>
      </w:drawing>
    </w:r>
    <w:r>
      <w:rPr>
        <w:rFonts w:ascii="SimHei" w:hAnsi="SimHei" w:eastAsia="SimHei" w:cs="SimHei"/>
        <w:sz w:val="19"/>
        <w:szCs w:val="19"/>
        <w:spacing w:val="-22"/>
        <w:position w:val="-3"/>
      </w:rPr>
      <w:t xml:space="preserve"> </w:t>
    </w:r>
    <w:r>
      <w:rPr>
        <w:rFonts w:ascii="SimHei" w:hAnsi="SimHei" w:eastAsia="SimHei" w:cs="SimHei"/>
        <w:sz w:val="19"/>
        <w:szCs w:val="19"/>
        <w:b/>
        <w:bCs/>
        <w:spacing w:val="9"/>
        <w:position w:val="-3"/>
      </w:rPr>
      <w:t>扫描全能王</w:t>
    </w:r>
  </w:p>
  <w:p>
    <w:pPr>
      <w:ind w:left="8414"/>
      <w:spacing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23" w:line="339" w:lineRule="exact"/>
      <w:jc w:val="right"/>
      <w:rPr>
        <w:rFonts w:ascii="SimHei" w:hAnsi="SimHei" w:eastAsia="SimHei" w:cs="SimHei"/>
        <w:sz w:val="21"/>
        <w:szCs w:val="21"/>
      </w:rPr>
    </w:pPr>
    <w:r>
      <w:drawing>
        <wp:anchor distT="0" distB="0" distL="0" distR="0" simplePos="0" relativeHeight="251661312" behindDoc="0" locked="0" layoutInCell="0" allowOverlap="1">
          <wp:simplePos x="0" y="0"/>
          <wp:positionH relativeFrom="page">
            <wp:posOffset>6051547</wp:posOffset>
          </wp:positionH>
          <wp:positionV relativeFrom="page">
            <wp:posOffset>10191772</wp:posOffset>
          </wp:positionV>
          <wp:extent cx="355608" cy="355555"/>
          <wp:effectExtent l="0" t="0" r="0" b="0"/>
          <wp:wrapNone/>
          <wp:docPr id="24" name="IM 24"/>
          <wp:cNvGraphicFramePr/>
          <a:graphic>
            <a:graphicData uri="http://schemas.openxmlformats.org/drawingml/2006/picture">
              <pic:pic>
                <pic:nvPicPr>
                  <pic:cNvPr id="24" name="IM 24"/>
                  <pic:cNvPicPr/>
                </pic:nvPicPr>
                <pic:blipFill>
                  <a:blip r:embed="rId1"/>
                  <a:stretch>
                    <a:fillRect/>
                  </a:stretch>
                </pic:blipFill>
                <pic:spPr>
                  <a:xfrm rot="0">
                    <a:off x="0" y="0"/>
                    <a:ext cx="355608" cy="355555"/>
                  </a:xfrm>
                  <a:prstGeom prst="rect">
                    <a:avLst/>
                  </a:prstGeom>
                </pic:spPr>
              </pic:pic>
            </a:graphicData>
          </a:graphic>
        </wp:anchor>
      </w:drawing>
    </w:r>
    <w:r>
      <w:rPr>
        <w:rFonts w:ascii="SimHei" w:hAnsi="SimHei" w:eastAsia="SimHei" w:cs="SimHei"/>
        <w:sz w:val="21"/>
        <w:szCs w:val="21"/>
        <w:position w:val="-4"/>
      </w:rPr>
      <w:drawing>
        <wp:inline distT="0" distB="0" distL="0" distR="0">
          <wp:extent cx="190498" cy="184140"/>
          <wp:effectExtent l="0" t="0" r="0" b="0"/>
          <wp:docPr id="26" name="IM 26"/>
          <wp:cNvGraphicFramePr/>
          <a:graphic>
            <a:graphicData uri="http://schemas.openxmlformats.org/drawingml/2006/picture">
              <pic:pic>
                <pic:nvPicPr>
                  <pic:cNvPr id="26" name="IM 26"/>
                  <pic:cNvPicPr/>
                </pic:nvPicPr>
                <pic:blipFill>
                  <a:blip r:embed="rId2"/>
                  <a:stretch>
                    <a:fillRect/>
                  </a:stretch>
                </pic:blipFill>
                <pic:spPr>
                  <a:xfrm rot="0">
                    <a:off x="0" y="0"/>
                    <a:ext cx="190498" cy="184140"/>
                  </a:xfrm>
                  <a:prstGeom prst="rect">
                    <a:avLst/>
                  </a:prstGeom>
                </pic:spPr>
              </pic:pic>
            </a:graphicData>
          </a:graphic>
        </wp:inline>
      </w:drawing>
    </w:r>
    <w:r>
      <w:rPr>
        <w:rFonts w:ascii="SimHei" w:hAnsi="SimHei" w:eastAsia="SimHei" w:cs="SimHei"/>
        <w:sz w:val="21"/>
        <w:szCs w:val="21"/>
        <w:b/>
        <w:bCs/>
        <w:spacing w:val="-1"/>
        <w:position w:val="-2"/>
      </w:rPr>
      <w:t>扫描全能王</w:t>
    </w:r>
  </w:p>
  <w:p>
    <w:pPr>
      <w:ind w:left="8414"/>
      <w:spacing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794"/>
      <w:spacing w:before="39" w:line="187" w:lineRule="auto"/>
      <w:rPr>
        <w:rFonts w:ascii="SimSun" w:hAnsi="SimSun" w:eastAsia="SimSun" w:cs="SimSun"/>
        <w:sz w:val="27"/>
        <w:szCs w:val="27"/>
      </w:rPr>
    </w:pPr>
    <w:r>
      <w:drawing>
        <wp:anchor distT="0" distB="0" distL="0" distR="0" simplePos="0" relativeHeight="251662336" behindDoc="0" locked="0" layoutInCell="0" allowOverlap="1">
          <wp:simplePos x="0" y="0"/>
          <wp:positionH relativeFrom="page">
            <wp:posOffset>6051547</wp:posOffset>
          </wp:positionH>
          <wp:positionV relativeFrom="page">
            <wp:posOffset>10191772</wp:posOffset>
          </wp:positionV>
          <wp:extent cx="355608" cy="355555"/>
          <wp:effectExtent l="0" t="0" r="0" b="0"/>
          <wp:wrapNone/>
          <wp:docPr id="28" name="IM 28"/>
          <wp:cNvGraphicFramePr/>
          <a:graphic>
            <a:graphicData uri="http://schemas.openxmlformats.org/drawingml/2006/picture">
              <pic:pic>
                <pic:nvPicPr>
                  <pic:cNvPr id="28" name="IM 28"/>
                  <pic:cNvPicPr/>
                </pic:nvPicPr>
                <pic:blipFill>
                  <a:blip r:embed="rId1"/>
                  <a:stretch>
                    <a:fillRect/>
                  </a:stretch>
                </pic:blipFill>
                <pic:spPr>
                  <a:xfrm rot="0">
                    <a:off x="0" y="0"/>
                    <a:ext cx="355608" cy="355555"/>
                  </a:xfrm>
                  <a:prstGeom prst="rect">
                    <a:avLst/>
                  </a:prstGeom>
                </pic:spPr>
              </pic:pic>
            </a:graphicData>
          </a:graphic>
        </wp:anchor>
      </w:drawing>
    </w:r>
    <w:r>
      <w:rPr>
        <w:rFonts w:ascii="SimHei" w:hAnsi="SimHei" w:eastAsia="SimHei" w:cs="SimHei"/>
        <w:sz w:val="18"/>
        <w:szCs w:val="18"/>
        <w:position w:val="-3"/>
      </w:rPr>
      <w:drawing>
        <wp:inline distT="0" distB="0" distL="0" distR="0">
          <wp:extent cx="190498" cy="184140"/>
          <wp:effectExtent l="0" t="0" r="0" b="0"/>
          <wp:docPr id="30" name="IM 30"/>
          <wp:cNvGraphicFramePr/>
          <a:graphic>
            <a:graphicData uri="http://schemas.openxmlformats.org/drawingml/2006/picture">
              <pic:pic>
                <pic:nvPicPr>
                  <pic:cNvPr id="30" name="IM 30"/>
                  <pic:cNvPicPr/>
                </pic:nvPicPr>
                <pic:blipFill>
                  <a:blip r:embed="rId2"/>
                  <a:stretch>
                    <a:fillRect/>
                  </a:stretch>
                </pic:blipFill>
                <pic:spPr>
                  <a:xfrm rot="0">
                    <a:off x="0" y="0"/>
                    <a:ext cx="190498" cy="184140"/>
                  </a:xfrm>
                  <a:prstGeom prst="rect">
                    <a:avLst/>
                  </a:prstGeom>
                </pic:spPr>
              </pic:pic>
            </a:graphicData>
          </a:graphic>
        </wp:inline>
      </w:drawing>
    </w:r>
    <w:r>
      <w:rPr>
        <w:rFonts w:ascii="SimHei" w:hAnsi="SimHei" w:eastAsia="SimHei" w:cs="SimHei"/>
        <w:sz w:val="18"/>
        <w:szCs w:val="18"/>
        <w:spacing w:val="-20"/>
      </w:rPr>
      <w:t xml:space="preserve"> </w:t>
    </w:r>
    <w:r>
      <w:rPr>
        <w:rFonts w:ascii="SimHei" w:hAnsi="SimHei" w:eastAsia="SimHei" w:cs="SimHei"/>
        <w:sz w:val="18"/>
        <w:szCs w:val="18"/>
        <w:spacing w:val="22"/>
      </w:rPr>
      <w:t>扫描全能王</w:t>
    </w:r>
    <w:r>
      <w:rPr>
        <w:rFonts w:ascii="SimHei" w:hAnsi="SimHei" w:eastAsia="SimHei" w:cs="SimHei"/>
        <w:sz w:val="18"/>
        <w:szCs w:val="18"/>
      </w:rPr>
      <w:t xml:space="preserve"> </w:t>
    </w:r>
    <w:r>
      <w:rPr>
        <w:rFonts w:ascii="SimHei" w:hAnsi="SimHei" w:eastAsia="SimHei" w:cs="SimHei"/>
        <w:sz w:val="11"/>
        <w:szCs w:val="11"/>
        <w:spacing w:val="1"/>
      </w:rPr>
      <w:t>3亿人都在用的扫描</w:t>
    </w:r>
    <w:r>
      <w:rPr>
        <w:rFonts w:ascii="SimSun" w:hAnsi="SimSun" w:eastAsia="SimSun" w:cs="SimSun"/>
        <w:sz w:val="27"/>
        <w:szCs w:val="27"/>
      </w:rPr>
      <w:t>App</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24" w:firstLine="9"/>
      <w:spacing w:before="39" w:line="194" w:lineRule="auto"/>
      <w:rPr>
        <w:rFonts w:ascii="SimSun" w:hAnsi="SimSun" w:eastAsia="SimSun" w:cs="SimSun"/>
        <w:sz w:val="25"/>
        <w:szCs w:val="25"/>
      </w:rPr>
    </w:pPr>
    <w:r>
      <w:drawing>
        <wp:anchor distT="0" distB="0" distL="0" distR="0" simplePos="0" relativeHeight="251663360" behindDoc="0" locked="0" layoutInCell="0" allowOverlap="1">
          <wp:simplePos x="0" y="0"/>
          <wp:positionH relativeFrom="page">
            <wp:posOffset>6051547</wp:posOffset>
          </wp:positionH>
          <wp:positionV relativeFrom="page">
            <wp:posOffset>10191772</wp:posOffset>
          </wp:positionV>
          <wp:extent cx="355608" cy="355555"/>
          <wp:effectExtent l="0" t="0" r="0" b="0"/>
          <wp:wrapNone/>
          <wp:docPr id="34" name="IM 34"/>
          <wp:cNvGraphicFramePr/>
          <a:graphic>
            <a:graphicData uri="http://schemas.openxmlformats.org/drawingml/2006/picture">
              <pic:pic>
                <pic:nvPicPr>
                  <pic:cNvPr id="34" name="IM 34"/>
                  <pic:cNvPicPr/>
                </pic:nvPicPr>
                <pic:blipFill>
                  <a:blip r:embed="rId1"/>
                  <a:stretch>
                    <a:fillRect/>
                  </a:stretch>
                </pic:blipFill>
                <pic:spPr>
                  <a:xfrm rot="0">
                    <a:off x="0" y="0"/>
                    <a:ext cx="355608" cy="355555"/>
                  </a:xfrm>
                  <a:prstGeom prst="rect">
                    <a:avLst/>
                  </a:prstGeom>
                </pic:spPr>
              </pic:pic>
            </a:graphicData>
          </a:graphic>
        </wp:anchor>
      </w:drawing>
    </w:r>
    <w:r>
      <w:rPr>
        <w:rFonts w:ascii="SimHei" w:hAnsi="SimHei" w:eastAsia="SimHei" w:cs="SimHei"/>
        <w:sz w:val="19"/>
        <w:szCs w:val="19"/>
        <w:position w:val="-2"/>
      </w:rPr>
      <w:drawing>
        <wp:inline distT="0" distB="0" distL="0" distR="0">
          <wp:extent cx="184152" cy="177831"/>
          <wp:effectExtent l="0" t="0" r="0" b="0"/>
          <wp:docPr id="36" name="IM 36"/>
          <wp:cNvGraphicFramePr/>
          <a:graphic>
            <a:graphicData uri="http://schemas.openxmlformats.org/drawingml/2006/picture">
              <pic:pic>
                <pic:nvPicPr>
                  <pic:cNvPr id="36" name="IM 36"/>
                  <pic:cNvPicPr/>
                </pic:nvPicPr>
                <pic:blipFill>
                  <a:blip r:embed="rId2"/>
                  <a:stretch>
                    <a:fillRect/>
                  </a:stretch>
                </pic:blipFill>
                <pic:spPr>
                  <a:xfrm rot="0">
                    <a:off x="0" y="0"/>
                    <a:ext cx="184152" cy="177831"/>
                  </a:xfrm>
                  <a:prstGeom prst="rect">
                    <a:avLst/>
                  </a:prstGeom>
                </pic:spPr>
              </pic:pic>
            </a:graphicData>
          </a:graphic>
        </wp:inline>
      </w:drawing>
    </w:r>
    <w:r>
      <w:rPr>
        <w:rFonts w:ascii="SimHei" w:hAnsi="SimHei" w:eastAsia="SimHei" w:cs="SimHei"/>
        <w:sz w:val="19"/>
        <w:szCs w:val="19"/>
        <w:spacing w:val="-25"/>
      </w:rPr>
      <w:t xml:space="preserve"> </w:t>
    </w:r>
    <w:r>
      <w:rPr>
        <w:rFonts w:ascii="SimHei" w:hAnsi="SimHei" w:eastAsia="SimHei" w:cs="SimHei"/>
        <w:sz w:val="19"/>
        <w:szCs w:val="19"/>
        <w:spacing w:val="10"/>
      </w:rPr>
      <w:t>扫描全能王</w:t>
    </w:r>
    <w:r>
      <w:rPr>
        <w:rFonts w:ascii="SimHei" w:hAnsi="SimHei" w:eastAsia="SimHei" w:cs="SimHei"/>
        <w:sz w:val="19"/>
        <w:szCs w:val="19"/>
      </w:rPr>
      <w:t xml:space="preserve"> </w:t>
    </w:r>
    <w:r>
      <w:rPr>
        <w:rFonts w:ascii="SimHei" w:hAnsi="SimHei" w:eastAsia="SimHei" w:cs="SimHei"/>
        <w:sz w:val="11"/>
        <w:szCs w:val="11"/>
        <w:spacing w:val="5"/>
      </w:rPr>
      <w:t>3亿人都在用的扫描</w:t>
    </w:r>
    <w:r>
      <w:rPr>
        <w:rFonts w:ascii="SimSun" w:hAnsi="SimSun" w:eastAsia="SimSun" w:cs="SimSun"/>
        <w:sz w:val="25"/>
        <w:szCs w:val="25"/>
      </w:rPr>
      <w:t>App</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16" w:line="346" w:lineRule="exact"/>
      <w:jc w:val="right"/>
      <w:rPr>
        <w:rFonts w:ascii="SimHei" w:hAnsi="SimHei" w:eastAsia="SimHei" w:cs="SimHei"/>
        <w:sz w:val="24"/>
        <w:szCs w:val="24"/>
      </w:rPr>
    </w:pPr>
    <w:r>
      <w:drawing>
        <wp:anchor distT="0" distB="0" distL="0" distR="0" simplePos="0" relativeHeight="251664384" behindDoc="0" locked="0" layoutInCell="0" allowOverlap="1">
          <wp:simplePos x="0" y="0"/>
          <wp:positionH relativeFrom="page">
            <wp:posOffset>6051547</wp:posOffset>
          </wp:positionH>
          <wp:positionV relativeFrom="page">
            <wp:posOffset>10191772</wp:posOffset>
          </wp:positionV>
          <wp:extent cx="355608" cy="355555"/>
          <wp:effectExtent l="0" t="0" r="0" b="0"/>
          <wp:wrapNone/>
          <wp:docPr id="38" name="IM 38"/>
          <wp:cNvGraphicFramePr/>
          <a:graphic>
            <a:graphicData uri="http://schemas.openxmlformats.org/drawingml/2006/picture">
              <pic:pic>
                <pic:nvPicPr>
                  <pic:cNvPr id="38" name="IM 38"/>
                  <pic:cNvPicPr/>
                </pic:nvPicPr>
                <pic:blipFill>
                  <a:blip r:embed="rId1"/>
                  <a:stretch>
                    <a:fillRect/>
                  </a:stretch>
                </pic:blipFill>
                <pic:spPr>
                  <a:xfrm rot="0">
                    <a:off x="0" y="0"/>
                    <a:ext cx="355608" cy="355555"/>
                  </a:xfrm>
                  <a:prstGeom prst="rect">
                    <a:avLst/>
                  </a:prstGeom>
                </pic:spPr>
              </pic:pic>
            </a:graphicData>
          </a:graphic>
        </wp:anchor>
      </w:drawing>
    </w:r>
    <w:r>
      <w:rPr>
        <w:rFonts w:ascii="SimHei" w:hAnsi="SimHei" w:eastAsia="SimHei" w:cs="SimHei"/>
        <w:sz w:val="24"/>
        <w:szCs w:val="24"/>
        <w:position w:val="-4"/>
      </w:rPr>
      <w:drawing>
        <wp:inline distT="0" distB="0" distL="0" distR="0">
          <wp:extent cx="190498" cy="184140"/>
          <wp:effectExtent l="0" t="0" r="0" b="0"/>
          <wp:docPr id="40" name="IM 40"/>
          <wp:cNvGraphicFramePr/>
          <a:graphic>
            <a:graphicData uri="http://schemas.openxmlformats.org/drawingml/2006/picture">
              <pic:pic>
                <pic:nvPicPr>
                  <pic:cNvPr id="40" name="IM 40"/>
                  <pic:cNvPicPr/>
                </pic:nvPicPr>
                <pic:blipFill>
                  <a:blip r:embed="rId2"/>
                  <a:stretch>
                    <a:fillRect/>
                  </a:stretch>
                </pic:blipFill>
                <pic:spPr>
                  <a:xfrm rot="0">
                    <a:off x="0" y="0"/>
                    <a:ext cx="190498" cy="184140"/>
                  </a:xfrm>
                  <a:prstGeom prst="rect">
                    <a:avLst/>
                  </a:prstGeom>
                </pic:spPr>
              </pic:pic>
            </a:graphicData>
          </a:graphic>
        </wp:inline>
      </w:drawing>
    </w:r>
    <w:r>
      <w:rPr>
        <w:rFonts w:ascii="SimHei" w:hAnsi="SimHei" w:eastAsia="SimHei" w:cs="SimHei"/>
        <w:sz w:val="24"/>
        <w:szCs w:val="24"/>
        <w:b/>
        <w:bCs/>
        <w:spacing w:val="-23"/>
        <w:w w:val="96"/>
        <w:position w:val="-2"/>
      </w:rPr>
      <w:t>扫</w:t>
    </w:r>
    <w:r>
      <w:rPr>
        <w:rFonts w:ascii="SimHei" w:hAnsi="SimHei" w:eastAsia="SimHei" w:cs="SimHei"/>
        <w:sz w:val="24"/>
        <w:szCs w:val="24"/>
        <w:b/>
        <w:bCs/>
        <w:spacing w:val="-22"/>
        <w:w w:val="96"/>
        <w:position w:val="-2"/>
      </w:rPr>
      <w:t>描全能</w:t>
    </w:r>
    <w:r>
      <w:rPr>
        <w:rFonts w:ascii="SimHei" w:hAnsi="SimHei" w:eastAsia="SimHei" w:cs="SimHei"/>
        <w:sz w:val="24"/>
        <w:szCs w:val="24"/>
        <w:b/>
        <w:bCs/>
        <w:spacing w:val="-16"/>
        <w:w w:val="96"/>
        <w:position w:val="-2"/>
      </w:rPr>
      <w:t>王</w:t>
    </w:r>
  </w:p>
  <w:p>
    <w:pPr>
      <w:ind w:left="8424"/>
      <w:spacing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28" w:line="333" w:lineRule="exact"/>
      <w:jc w:val="right"/>
      <w:rPr>
        <w:rFonts w:ascii="SimHei" w:hAnsi="SimHei" w:eastAsia="SimHei" w:cs="SimHei"/>
        <w:sz w:val="19"/>
        <w:szCs w:val="19"/>
      </w:rPr>
    </w:pPr>
    <w:r>
      <w:drawing>
        <wp:anchor distT="0" distB="0" distL="0" distR="0" simplePos="0" relativeHeight="251665408" behindDoc="0" locked="0" layoutInCell="0" allowOverlap="1">
          <wp:simplePos x="0" y="0"/>
          <wp:positionH relativeFrom="page">
            <wp:posOffset>6051547</wp:posOffset>
          </wp:positionH>
          <wp:positionV relativeFrom="page">
            <wp:posOffset>10191772</wp:posOffset>
          </wp:positionV>
          <wp:extent cx="355608" cy="355555"/>
          <wp:effectExtent l="0" t="0" r="0" b="0"/>
          <wp:wrapNone/>
          <wp:docPr id="42" name="IM 42"/>
          <wp:cNvGraphicFramePr/>
          <a:graphic>
            <a:graphicData uri="http://schemas.openxmlformats.org/drawingml/2006/picture">
              <pic:pic>
                <pic:nvPicPr>
                  <pic:cNvPr id="42" name="IM 42"/>
                  <pic:cNvPicPr/>
                </pic:nvPicPr>
                <pic:blipFill>
                  <a:blip r:embed="rId1"/>
                  <a:stretch>
                    <a:fillRect/>
                  </a:stretch>
                </pic:blipFill>
                <pic:spPr>
                  <a:xfrm rot="0">
                    <a:off x="0" y="0"/>
                    <a:ext cx="355608" cy="355555"/>
                  </a:xfrm>
                  <a:prstGeom prst="rect">
                    <a:avLst/>
                  </a:prstGeom>
                </pic:spPr>
              </pic:pic>
            </a:graphicData>
          </a:graphic>
        </wp:anchor>
      </w:drawing>
    </w:r>
    <w:r>
      <w:rPr>
        <w:rFonts w:ascii="SimHei" w:hAnsi="SimHei" w:eastAsia="SimHei" w:cs="SimHei"/>
        <w:sz w:val="19"/>
        <w:szCs w:val="19"/>
        <w:position w:val="-5"/>
      </w:rPr>
      <w:drawing>
        <wp:inline distT="0" distB="0" distL="0" distR="0">
          <wp:extent cx="184152" cy="184140"/>
          <wp:effectExtent l="0" t="0" r="0" b="0"/>
          <wp:docPr id="44" name="IM 44"/>
          <wp:cNvGraphicFramePr/>
          <a:graphic>
            <a:graphicData uri="http://schemas.openxmlformats.org/drawingml/2006/picture">
              <pic:pic>
                <pic:nvPicPr>
                  <pic:cNvPr id="44" name="IM 44"/>
                  <pic:cNvPicPr/>
                </pic:nvPicPr>
                <pic:blipFill>
                  <a:blip r:embed="rId2"/>
                  <a:stretch>
                    <a:fillRect/>
                  </a:stretch>
                </pic:blipFill>
                <pic:spPr>
                  <a:xfrm rot="0">
                    <a:off x="0" y="0"/>
                    <a:ext cx="184152" cy="184140"/>
                  </a:xfrm>
                  <a:prstGeom prst="rect">
                    <a:avLst/>
                  </a:prstGeom>
                </pic:spPr>
              </pic:pic>
            </a:graphicData>
          </a:graphic>
        </wp:inline>
      </w:drawing>
    </w:r>
    <w:r>
      <w:rPr>
        <w:rFonts w:ascii="SimHei" w:hAnsi="SimHei" w:eastAsia="SimHei" w:cs="SimHei"/>
        <w:sz w:val="19"/>
        <w:szCs w:val="19"/>
        <w:spacing w:val="-22"/>
        <w:position w:val="-3"/>
      </w:rPr>
      <w:t xml:space="preserve"> </w:t>
    </w:r>
    <w:r>
      <w:rPr>
        <w:rFonts w:ascii="SimHei" w:hAnsi="SimHei" w:eastAsia="SimHei" w:cs="SimHei"/>
        <w:sz w:val="19"/>
        <w:szCs w:val="19"/>
        <w:b/>
        <w:bCs/>
        <w:spacing w:val="9"/>
        <w:position w:val="-3"/>
      </w:rPr>
      <w:t>扫描全能王</w:t>
    </w:r>
  </w:p>
  <w:p>
    <w:pPr>
      <w:ind w:left="8414"/>
      <w:spacing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21"/>
      <w:jc w:val="right"/>
      <w:rPr>
        <w:rFonts w:ascii="SimHei" w:hAnsi="SimHei" w:eastAsia="SimHei" w:cs="SimHei"/>
        <w:sz w:val="24"/>
        <w:szCs w:val="24"/>
      </w:rPr>
    </w:pPr>
    <w:r>
      <w:drawing>
        <wp:anchor distT="0" distB="0" distL="0" distR="0" simplePos="0" relativeHeight="251666432"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46" name="IM 46"/>
          <wp:cNvGraphicFramePr/>
          <a:graphic>
            <a:graphicData uri="http://schemas.openxmlformats.org/drawingml/2006/picture">
              <pic:pic>
                <pic:nvPicPr>
                  <pic:cNvPr id="46" name="IM 46"/>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24"/>
        <w:szCs w:val="24"/>
        <w:position w:val="-5"/>
      </w:rPr>
      <w:drawing>
        <wp:inline distT="0" distB="0" distL="0" distR="0">
          <wp:extent cx="222236" cy="222315"/>
          <wp:effectExtent l="0" t="0" r="0" b="0"/>
          <wp:docPr id="48" name="IM 48"/>
          <wp:cNvGraphicFramePr/>
          <a:graphic>
            <a:graphicData uri="http://schemas.openxmlformats.org/drawingml/2006/picture">
              <pic:pic>
                <pic:nvPicPr>
                  <pic:cNvPr id="48" name="IM 48"/>
                  <pic:cNvPicPr/>
                </pic:nvPicPr>
                <pic:blipFill>
                  <a:blip r:embed="rId2"/>
                  <a:stretch>
                    <a:fillRect/>
                  </a:stretch>
                </pic:blipFill>
                <pic:spPr>
                  <a:xfrm rot="0">
                    <a:off x="0" y="0"/>
                    <a:ext cx="222236" cy="222315"/>
                  </a:xfrm>
                  <a:prstGeom prst="rect">
                    <a:avLst/>
                  </a:prstGeom>
                </pic:spPr>
              </pic:pic>
            </a:graphicData>
          </a:graphic>
        </wp:inline>
      </w:drawing>
    </w:r>
    <w:r>
      <w:rPr>
        <w:rFonts w:ascii="SimHei" w:hAnsi="SimHei" w:eastAsia="SimHei" w:cs="SimHei"/>
        <w:sz w:val="24"/>
        <w:szCs w:val="24"/>
        <w:b/>
        <w:bCs/>
        <w:spacing w:val="-21"/>
        <w:w w:val="93"/>
      </w:rPr>
      <w:t>扫描全能</w:t>
    </w:r>
    <w:r>
      <w:rPr>
        <w:rFonts w:ascii="SimHei" w:hAnsi="SimHei" w:eastAsia="SimHei" w:cs="SimHei"/>
        <w:sz w:val="24"/>
        <w:szCs w:val="24"/>
        <w:b/>
        <w:bCs/>
        <w:spacing w:val="-16"/>
        <w:w w:val="93"/>
      </w:rPr>
      <w:t>王</w:t>
    </w:r>
  </w:p>
  <w:p>
    <w:pPr>
      <w:ind w:left="8414"/>
      <w:spacing w:after="25"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28" w:line="334" w:lineRule="exact"/>
      <w:jc w:val="right"/>
      <w:rPr>
        <w:rFonts w:ascii="SimHei" w:hAnsi="SimHei" w:eastAsia="SimHei" w:cs="SimHei"/>
        <w:sz w:val="19"/>
        <w:szCs w:val="19"/>
      </w:rPr>
    </w:pPr>
    <w:r>
      <w:drawing>
        <wp:anchor distT="0" distB="0" distL="0" distR="0" simplePos="0" relativeHeight="251667456" behindDoc="0" locked="0" layoutInCell="0" allowOverlap="1">
          <wp:simplePos x="0" y="0"/>
          <wp:positionH relativeFrom="page">
            <wp:posOffset>6051547</wp:posOffset>
          </wp:positionH>
          <wp:positionV relativeFrom="page">
            <wp:posOffset>10191772</wp:posOffset>
          </wp:positionV>
          <wp:extent cx="355608" cy="355555"/>
          <wp:effectExtent l="0" t="0" r="0" b="0"/>
          <wp:wrapNone/>
          <wp:docPr id="50" name="IM 50"/>
          <wp:cNvGraphicFramePr/>
          <a:graphic>
            <a:graphicData uri="http://schemas.openxmlformats.org/drawingml/2006/picture">
              <pic:pic>
                <pic:nvPicPr>
                  <pic:cNvPr id="50" name="IM 50"/>
                  <pic:cNvPicPr/>
                </pic:nvPicPr>
                <pic:blipFill>
                  <a:blip r:embed="rId1"/>
                  <a:stretch>
                    <a:fillRect/>
                  </a:stretch>
                </pic:blipFill>
                <pic:spPr>
                  <a:xfrm rot="0">
                    <a:off x="0" y="0"/>
                    <a:ext cx="355608" cy="355555"/>
                  </a:xfrm>
                  <a:prstGeom prst="rect">
                    <a:avLst/>
                  </a:prstGeom>
                </pic:spPr>
              </pic:pic>
            </a:graphicData>
          </a:graphic>
        </wp:anchor>
      </w:drawing>
    </w:r>
    <w:r>
      <w:rPr>
        <w:rFonts w:ascii="SimHei" w:hAnsi="SimHei" w:eastAsia="SimHei" w:cs="SimHei"/>
        <w:sz w:val="19"/>
        <w:szCs w:val="19"/>
        <w:position w:val="-4"/>
      </w:rPr>
      <w:drawing>
        <wp:inline distT="0" distB="0" distL="0" distR="0">
          <wp:extent cx="184152" cy="177831"/>
          <wp:effectExtent l="0" t="0" r="0" b="0"/>
          <wp:docPr id="52" name="IM 52"/>
          <wp:cNvGraphicFramePr/>
          <a:graphic>
            <a:graphicData uri="http://schemas.openxmlformats.org/drawingml/2006/picture">
              <pic:pic>
                <pic:nvPicPr>
                  <pic:cNvPr id="52" name="IM 52"/>
                  <pic:cNvPicPr/>
                </pic:nvPicPr>
                <pic:blipFill>
                  <a:blip r:embed="rId2"/>
                  <a:stretch>
                    <a:fillRect/>
                  </a:stretch>
                </pic:blipFill>
                <pic:spPr>
                  <a:xfrm rot="0">
                    <a:off x="0" y="0"/>
                    <a:ext cx="184152" cy="177831"/>
                  </a:xfrm>
                  <a:prstGeom prst="rect">
                    <a:avLst/>
                  </a:prstGeom>
                </pic:spPr>
              </pic:pic>
            </a:graphicData>
          </a:graphic>
        </wp:inline>
      </w:drawing>
    </w:r>
    <w:r>
      <w:rPr>
        <w:rFonts w:ascii="SimHei" w:hAnsi="SimHei" w:eastAsia="SimHei" w:cs="SimHei"/>
        <w:sz w:val="19"/>
        <w:szCs w:val="19"/>
        <w:spacing w:val="-12"/>
        <w:position w:val="-3"/>
      </w:rPr>
      <w:t xml:space="preserve"> </w:t>
    </w:r>
    <w:r>
      <w:rPr>
        <w:rFonts w:ascii="SimHei" w:hAnsi="SimHei" w:eastAsia="SimHei" w:cs="SimHei"/>
        <w:sz w:val="19"/>
        <w:szCs w:val="19"/>
        <w:b/>
        <w:bCs/>
        <w:spacing w:val="7"/>
        <w:position w:val="-3"/>
      </w:rPr>
      <w:t>扫描全能王</w:t>
    </w:r>
  </w:p>
  <w:p>
    <w:pPr>
      <w:ind w:left="8519"/>
      <w:spacing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36"/>
      <w:jc w:val="right"/>
      <w:rPr>
        <w:rFonts w:ascii="SimHei" w:hAnsi="SimHei" w:eastAsia="SimHei" w:cs="SimHei"/>
        <w:sz w:val="19"/>
        <w:szCs w:val="19"/>
      </w:rPr>
    </w:pPr>
    <w:r>
      <w:drawing>
        <wp:anchor distT="0" distB="0" distL="0" distR="0" simplePos="0" relativeHeight="251668480"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54" name="IM 54"/>
          <wp:cNvGraphicFramePr/>
          <a:graphic>
            <a:graphicData uri="http://schemas.openxmlformats.org/drawingml/2006/picture">
              <pic:pic>
                <pic:nvPicPr>
                  <pic:cNvPr id="54" name="IM 54"/>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position w:val="-5"/>
      </w:rPr>
      <w:drawing>
        <wp:inline distT="0" distB="0" distL="0" distR="0">
          <wp:extent cx="222236" cy="222315"/>
          <wp:effectExtent l="0" t="0" r="0" b="0"/>
          <wp:docPr id="56" name="IM 56"/>
          <wp:cNvGraphicFramePr/>
          <a:graphic>
            <a:graphicData uri="http://schemas.openxmlformats.org/drawingml/2006/picture">
              <pic:pic>
                <pic:nvPicPr>
                  <pic:cNvPr id="56" name="IM 56"/>
                  <pic:cNvPicPr/>
                </pic:nvPicPr>
                <pic:blipFill>
                  <a:blip r:embed="rId2"/>
                  <a:stretch>
                    <a:fillRect/>
                  </a:stretch>
                </pic:blipFill>
                <pic:spPr>
                  <a:xfrm rot="0">
                    <a:off x="0" y="0"/>
                    <a:ext cx="222236" cy="222315"/>
                  </a:xfrm>
                  <a:prstGeom prst="rect">
                    <a:avLst/>
                  </a:prstGeom>
                </pic:spPr>
              </pic:pic>
            </a:graphicData>
          </a:graphic>
        </wp:inline>
      </w:drawing>
    </w:r>
    <w:r>
      <w:rPr>
        <w:rFonts w:ascii="SimHei" w:hAnsi="SimHei" w:eastAsia="SimHei" w:cs="SimHei"/>
        <w:sz w:val="19"/>
        <w:szCs w:val="19"/>
        <w:b/>
        <w:bCs/>
        <w:spacing w:val="17"/>
      </w:rPr>
      <w:t>扫描全能王</w:t>
    </w:r>
  </w:p>
  <w:p>
    <w:pPr>
      <w:ind w:left="8570"/>
      <w:spacing w:after="25"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40"/>
      <w:jc w:val="right"/>
      <w:rPr>
        <w:rFonts w:ascii="SimHei" w:hAnsi="SimHei" w:eastAsia="SimHei" w:cs="SimHei"/>
        <w:sz w:val="21"/>
        <w:szCs w:val="21"/>
      </w:rPr>
    </w:pPr>
    <w:r>
      <w:drawing>
        <wp:anchor distT="0" distB="0" distL="0" distR="0" simplePos="0" relativeHeight="251669504" behindDoc="0" locked="0" layoutInCell="0" allowOverlap="1">
          <wp:simplePos x="0" y="0"/>
          <wp:positionH relativeFrom="page">
            <wp:posOffset>6032505</wp:posOffset>
          </wp:positionH>
          <wp:positionV relativeFrom="page">
            <wp:posOffset>10172738</wp:posOffset>
          </wp:positionV>
          <wp:extent cx="393693" cy="387314"/>
          <wp:effectExtent l="0" t="0" r="0" b="0"/>
          <wp:wrapNone/>
          <wp:docPr id="58" name="IM 58"/>
          <wp:cNvGraphicFramePr/>
          <a:graphic>
            <a:graphicData uri="http://schemas.openxmlformats.org/drawingml/2006/picture">
              <pic:pic>
                <pic:nvPicPr>
                  <pic:cNvPr id="58" name="IM 58"/>
                  <pic:cNvPicPr/>
                </pic:nvPicPr>
                <pic:blipFill>
                  <a:blip r:embed="rId1"/>
                  <a:stretch>
                    <a:fillRect/>
                  </a:stretch>
                </pic:blipFill>
                <pic:spPr>
                  <a:xfrm rot="0">
                    <a:off x="0" y="0"/>
                    <a:ext cx="393693" cy="387314"/>
                  </a:xfrm>
                  <a:prstGeom prst="rect">
                    <a:avLst/>
                  </a:prstGeom>
                </pic:spPr>
              </pic:pic>
            </a:graphicData>
          </a:graphic>
        </wp:anchor>
      </w:drawing>
    </w:r>
    <w:r>
      <w:rPr>
        <w:rFonts w:ascii="SimHei" w:hAnsi="SimHei" w:eastAsia="SimHei" w:cs="SimHei"/>
        <w:sz w:val="21"/>
        <w:szCs w:val="21"/>
        <w:position w:val="-5"/>
      </w:rPr>
      <w:drawing>
        <wp:inline distT="0" distB="0" distL="0" distR="0">
          <wp:extent cx="222236" cy="215899"/>
          <wp:effectExtent l="0" t="0" r="0" b="0"/>
          <wp:docPr id="60" name="IM 60"/>
          <wp:cNvGraphicFramePr/>
          <a:graphic>
            <a:graphicData uri="http://schemas.openxmlformats.org/drawingml/2006/picture">
              <pic:pic>
                <pic:nvPicPr>
                  <pic:cNvPr id="60" name="IM 60"/>
                  <pic:cNvPicPr/>
                </pic:nvPicPr>
                <pic:blipFill>
                  <a:blip r:embed="rId2"/>
                  <a:stretch>
                    <a:fillRect/>
                  </a:stretch>
                </pic:blipFill>
                <pic:spPr>
                  <a:xfrm rot="0">
                    <a:off x="0" y="0"/>
                    <a:ext cx="222236" cy="215899"/>
                  </a:xfrm>
                  <a:prstGeom prst="rect">
                    <a:avLst/>
                  </a:prstGeom>
                </pic:spPr>
              </pic:pic>
            </a:graphicData>
          </a:graphic>
        </wp:inline>
      </w:drawing>
    </w:r>
    <w:r>
      <w:rPr>
        <w:rFonts w:ascii="SimHei" w:hAnsi="SimHei" w:eastAsia="SimHei" w:cs="SimHei"/>
        <w:sz w:val="21"/>
        <w:szCs w:val="21"/>
        <w:b/>
        <w:bCs/>
        <w:spacing w:val="-3"/>
      </w:rPr>
      <w:t>扫描全能王</w:t>
    </w:r>
  </w:p>
  <w:p>
    <w:pPr>
      <w:ind w:left="8414"/>
      <w:spacing w:after="15"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404"/>
      <w:spacing w:before="39" w:line="500" w:lineRule="exact"/>
      <w:rPr/>
    </w:pPr>
    <w:r>
      <w:drawing>
        <wp:anchor distT="0" distB="0" distL="0" distR="0" simplePos="0" relativeHeight="251670528" behindDoc="0" locked="0" layoutInCell="0" allowOverlap="1">
          <wp:simplePos x="0" y="0"/>
          <wp:positionH relativeFrom="page">
            <wp:posOffset>6051547</wp:posOffset>
          </wp:positionH>
          <wp:positionV relativeFrom="page">
            <wp:posOffset>10191772</wp:posOffset>
          </wp:positionV>
          <wp:extent cx="355608" cy="349246"/>
          <wp:effectExtent l="0" t="0" r="0" b="0"/>
          <wp:wrapNone/>
          <wp:docPr id="66" name="IM 66"/>
          <wp:cNvGraphicFramePr/>
          <a:graphic>
            <a:graphicData uri="http://schemas.openxmlformats.org/drawingml/2006/picture">
              <pic:pic>
                <pic:nvPicPr>
                  <pic:cNvPr id="66" name="IM 66"/>
                  <pic:cNvPicPr/>
                </pic:nvPicPr>
                <pic:blipFill>
                  <a:blip r:embed="rId1"/>
                  <a:stretch>
                    <a:fillRect/>
                  </a:stretch>
                </pic:blipFill>
                <pic:spPr>
                  <a:xfrm rot="0">
                    <a:off x="0" y="0"/>
                    <a:ext cx="355608" cy="349246"/>
                  </a:xfrm>
                  <a:prstGeom prst="rect">
                    <a:avLst/>
                  </a:prstGeom>
                </pic:spPr>
              </pic:pic>
            </a:graphicData>
          </a:graphic>
        </wp:anchor>
      </w:drawing>
    </w:r>
    <w:r>
      <w:rPr>
        <w:position w:val="-10"/>
      </w:rPr>
      <w:drawing>
        <wp:inline distT="0" distB="0" distL="0" distR="0">
          <wp:extent cx="895370" cy="317553"/>
          <wp:effectExtent l="0" t="0" r="0" b="0"/>
          <wp:docPr id="68" name="IM 68"/>
          <wp:cNvGraphicFramePr/>
          <a:graphic>
            <a:graphicData uri="http://schemas.openxmlformats.org/drawingml/2006/picture">
              <pic:pic>
                <pic:nvPicPr>
                  <pic:cNvPr id="68" name="IM 68"/>
                  <pic:cNvPicPr/>
                </pic:nvPicPr>
                <pic:blipFill>
                  <a:blip r:embed="rId2"/>
                  <a:stretch>
                    <a:fillRect/>
                  </a:stretch>
                </pic:blipFill>
                <pic:spPr>
                  <a:xfrm rot="0">
                    <a:off x="0" y="0"/>
                    <a:ext cx="895370" cy="317553"/>
                  </a:xfrm>
                  <a:prstGeom prst="rect">
                    <a:avLst/>
                  </a:prstGeom>
                </pic:spPr>
              </pic:pic>
            </a:graphicData>
          </a:graphic>
        </wp:inline>
      </w:drawing>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715"/>
      <w:spacing w:line="599" w:lineRule="exact"/>
      <w:rPr/>
    </w:pPr>
    <w:r>
      <w:rPr>
        <w:position w:val="-11"/>
      </w:rPr>
      <w:drawing>
        <wp:inline distT="0" distB="0" distL="0" distR="0">
          <wp:extent cx="1339843" cy="380964"/>
          <wp:effectExtent l="0" t="0" r="0" b="0"/>
          <wp:docPr id="82" name="IM 82"/>
          <wp:cNvGraphicFramePr/>
          <a:graphic>
            <a:graphicData uri="http://schemas.openxmlformats.org/drawingml/2006/picture">
              <pic:pic>
                <pic:nvPicPr>
                  <pic:cNvPr id="82" name="IM 82"/>
                  <pic:cNvPicPr/>
                </pic:nvPicPr>
                <pic:blipFill>
                  <a:blip r:embed="rId1"/>
                  <a:stretch>
                    <a:fillRect/>
                  </a:stretch>
                </pic:blipFill>
                <pic:spPr>
                  <a:xfrm rot="0">
                    <a:off x="0" y="0"/>
                    <a:ext cx="1339843" cy="380964"/>
                  </a:xfrm>
                  <a:prstGeom prst="rect">
                    <a:avLst/>
                  </a:prstGeom>
                </pic:spPr>
              </pic:pic>
            </a:graphicData>
          </a:graphic>
        </wp:inline>
      </w:drawing>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36"/>
      <w:jc w:val="right"/>
      <w:rPr>
        <w:rFonts w:ascii="SimHei" w:hAnsi="SimHei" w:eastAsia="SimHei" w:cs="SimHei"/>
        <w:sz w:val="19"/>
        <w:szCs w:val="19"/>
      </w:rPr>
    </w:pPr>
    <w:r>
      <w:drawing>
        <wp:anchor distT="0" distB="0" distL="0" distR="0" simplePos="0" relativeHeight="251672576" behindDoc="0" locked="0" layoutInCell="0" allowOverlap="1">
          <wp:simplePos x="0" y="0"/>
          <wp:positionH relativeFrom="page">
            <wp:posOffset>6032505</wp:posOffset>
          </wp:positionH>
          <wp:positionV relativeFrom="page">
            <wp:posOffset>10172738</wp:posOffset>
          </wp:positionV>
          <wp:extent cx="393693" cy="387314"/>
          <wp:effectExtent l="0" t="0" r="0" b="0"/>
          <wp:wrapNone/>
          <wp:docPr id="90" name="IM 90"/>
          <wp:cNvGraphicFramePr/>
          <a:graphic>
            <a:graphicData uri="http://schemas.openxmlformats.org/drawingml/2006/picture">
              <pic:pic>
                <pic:nvPicPr>
                  <pic:cNvPr id="90" name="IM 90"/>
                  <pic:cNvPicPr/>
                </pic:nvPicPr>
                <pic:blipFill>
                  <a:blip r:embed="rId1"/>
                  <a:stretch>
                    <a:fillRect/>
                  </a:stretch>
                </pic:blipFill>
                <pic:spPr>
                  <a:xfrm rot="0">
                    <a:off x="0" y="0"/>
                    <a:ext cx="393693" cy="387314"/>
                  </a:xfrm>
                  <a:prstGeom prst="rect">
                    <a:avLst/>
                  </a:prstGeom>
                </pic:spPr>
              </pic:pic>
            </a:graphicData>
          </a:graphic>
        </wp:anchor>
      </w:drawing>
    </w:r>
    <w:r>
      <w:rPr>
        <w:rFonts w:ascii="SimHei" w:hAnsi="SimHei" w:eastAsia="SimHei" w:cs="SimHei"/>
        <w:sz w:val="19"/>
        <w:szCs w:val="19"/>
        <w:position w:val="-4"/>
      </w:rPr>
      <w:drawing>
        <wp:inline distT="0" distB="0" distL="0" distR="0">
          <wp:extent cx="228584" cy="215899"/>
          <wp:effectExtent l="0" t="0" r="0" b="0"/>
          <wp:docPr id="92" name="IM 92"/>
          <wp:cNvGraphicFramePr/>
          <a:graphic>
            <a:graphicData uri="http://schemas.openxmlformats.org/drawingml/2006/picture">
              <pic:pic>
                <pic:nvPicPr>
                  <pic:cNvPr id="92" name="IM 92"/>
                  <pic:cNvPicPr/>
                </pic:nvPicPr>
                <pic:blipFill>
                  <a:blip r:embed="rId2"/>
                  <a:stretch>
                    <a:fillRect/>
                  </a:stretch>
                </pic:blipFill>
                <pic:spPr>
                  <a:xfrm rot="0">
                    <a:off x="0" y="0"/>
                    <a:ext cx="228584" cy="215899"/>
                  </a:xfrm>
                  <a:prstGeom prst="rect">
                    <a:avLst/>
                  </a:prstGeom>
                </pic:spPr>
              </pic:pic>
            </a:graphicData>
          </a:graphic>
        </wp:inline>
      </w:drawing>
    </w:r>
    <w:r>
      <w:rPr>
        <w:rFonts w:ascii="SimHei" w:hAnsi="SimHei" w:eastAsia="SimHei" w:cs="SimHei"/>
        <w:sz w:val="19"/>
        <w:szCs w:val="19"/>
        <w:b/>
        <w:bCs/>
        <w:spacing w:val="17"/>
      </w:rPr>
      <w:t>扫描全能王</w:t>
    </w:r>
  </w:p>
  <w:p>
    <w:pPr>
      <w:ind w:left="8915"/>
      <w:spacing w:after="15" w:line="217" w:lineRule="auto"/>
      <w:rPr>
        <w:rFonts w:ascii="SimSun" w:hAnsi="SimSun" w:eastAsia="SimSun" w:cs="SimSun"/>
        <w:sz w:val="13"/>
        <w:szCs w:val="13"/>
      </w:rPr>
    </w:pPr>
    <w:r>
      <w:rPr>
        <w:rFonts w:ascii="SimHei" w:hAnsi="SimHei" w:eastAsia="SimHei" w:cs="SimHei"/>
        <w:sz w:val="13"/>
        <w:szCs w:val="13"/>
        <w:spacing w:val="2"/>
      </w:rPr>
      <w:t>3亿人都在用的扫描</w:t>
    </w:r>
    <w:r>
      <w:rPr>
        <w:rFonts w:ascii="SimSun" w:hAnsi="SimSun" w:eastAsia="SimSun" w:cs="SimSun"/>
        <w:sz w:val="13"/>
        <w:szCs w:val="13"/>
      </w:rPr>
      <w:t>App</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8175"/>
      <w:spacing w:line="599" w:lineRule="exact"/>
      <w:rPr/>
    </w:pPr>
    <w:r>
      <w:rPr>
        <w:position w:val="-11"/>
      </w:rPr>
      <w:drawing>
        <wp:inline distT="0" distB="0" distL="0" distR="0">
          <wp:extent cx="1339843" cy="380964"/>
          <wp:effectExtent l="0" t="0" r="0" b="0"/>
          <wp:docPr id="100" name="IM 100"/>
          <wp:cNvGraphicFramePr/>
          <a:graphic>
            <a:graphicData uri="http://schemas.openxmlformats.org/drawingml/2006/picture">
              <pic:pic>
                <pic:nvPicPr>
                  <pic:cNvPr id="100" name="IM 100"/>
                  <pic:cNvPicPr/>
                </pic:nvPicPr>
                <pic:blipFill>
                  <a:blip r:embed="rId1"/>
                  <a:stretch>
                    <a:fillRect/>
                  </a:stretch>
                </pic:blipFill>
                <pic:spPr>
                  <a:xfrm rot="0">
                    <a:off x="0" y="0"/>
                    <a:ext cx="1339843" cy="380964"/>
                  </a:xfrm>
                  <a:prstGeom prst="rect">
                    <a:avLst/>
                  </a:prstGeom>
                </pic:spPr>
              </pic:pic>
            </a:graphicData>
          </a:graphic>
        </wp:inline>
      </w:drawing>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image" Target="media/image7.png"/><Relationship Id="rId5" Type="http://schemas.openxmlformats.org/officeDocument/2006/relationships/footer" Target="footer1.xml"/><Relationship Id="rId41" Type="http://schemas.openxmlformats.org/officeDocument/2006/relationships/fontTable" Target="fontTable.xml"/><Relationship Id="rId40" Type="http://schemas.openxmlformats.org/officeDocument/2006/relationships/styles" Target="styles.xml"/><Relationship Id="rId4" Type="http://schemas.openxmlformats.org/officeDocument/2006/relationships/image" Target="media/image4.jpeg"/><Relationship Id="rId39" Type="http://schemas.openxmlformats.org/officeDocument/2006/relationships/settings" Target="settings.xml"/><Relationship Id="rId38" Type="http://schemas.openxmlformats.org/officeDocument/2006/relationships/image" Target="media/image43.png"/><Relationship Id="rId37" Type="http://schemas.openxmlformats.org/officeDocument/2006/relationships/image" Target="media/image42.png"/><Relationship Id="rId36" Type="http://schemas.openxmlformats.org/officeDocument/2006/relationships/footer" Target="footer16.xml"/><Relationship Id="rId35" Type="http://schemas.openxmlformats.org/officeDocument/2006/relationships/image" Target="media/image40.png"/><Relationship Id="rId34" Type="http://schemas.openxmlformats.org/officeDocument/2006/relationships/image" Target="media/image39.png"/><Relationship Id="rId33" Type="http://schemas.openxmlformats.org/officeDocument/2006/relationships/image" Target="media/image38.png"/><Relationship Id="rId32" Type="http://schemas.openxmlformats.org/officeDocument/2006/relationships/footer" Target="footer15.xml"/><Relationship Id="rId31" Type="http://schemas.openxmlformats.org/officeDocument/2006/relationships/image" Target="media/image36.png"/><Relationship Id="rId30" Type="http://schemas.openxmlformats.org/officeDocument/2006/relationships/image" Target="media/image35.png"/><Relationship Id="rId3" Type="http://schemas.openxmlformats.org/officeDocument/2006/relationships/image" Target="media/image3.jpeg"/><Relationship Id="rId29" Type="http://schemas.openxmlformats.org/officeDocument/2006/relationships/image" Target="media/image34.png"/><Relationship Id="rId28" Type="http://schemas.openxmlformats.org/officeDocument/2006/relationships/footer" Target="footer14.xml"/><Relationship Id="rId27" Type="http://schemas.openxmlformats.org/officeDocument/2006/relationships/image" Target="media/image32.png"/><Relationship Id="rId26" Type="http://schemas.openxmlformats.org/officeDocument/2006/relationships/image" Target="media/image31.png"/><Relationship Id="rId25" Type="http://schemas.openxmlformats.org/officeDocument/2006/relationships/image" Target="media/image30.png"/><Relationship Id="rId24" Type="http://schemas.openxmlformats.org/officeDocument/2006/relationships/image" Target="media/image29.png"/><Relationship Id="rId23" Type="http://schemas.openxmlformats.org/officeDocument/2006/relationships/image" Target="media/image28.png"/><Relationship Id="rId22" Type="http://schemas.openxmlformats.org/officeDocument/2006/relationships/image" Target="media/image27.png"/><Relationship Id="rId21" Type="http://schemas.openxmlformats.org/officeDocument/2006/relationships/footer" Target="footer13.xml"/><Relationship Id="rId20" Type="http://schemas.openxmlformats.org/officeDocument/2006/relationships/image" Target="media/image24.png"/><Relationship Id="rId2" Type="http://schemas.openxmlformats.org/officeDocument/2006/relationships/image" Target="media/image2.png"/><Relationship Id="rId19" Type="http://schemas.openxmlformats.org/officeDocument/2006/relationships/image" Target="media/image23.png"/><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image" Target="media/image14.png"/><Relationship Id="rId10" Type="http://schemas.openxmlformats.org/officeDocument/2006/relationships/footer" Target="footer5.xml"/><Relationship Id="rId1"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footer3.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8.jpeg"/></Relationships>
</file>

<file path=word/_rels/footer4.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8.jpeg"/></Relationships>
</file>

<file path=word/_rels/footer5.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jpeg"/></Relationships>
</file>

<file path=word/_rels/footer6.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8.jpeg"/></Relationships>
</file>

<file path=word/_rels/footer7.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2.jpeg"/></Relationships>
</file>

<file path=word/_rels/footer8.xml.rels><?xml version="1.0" encoding="UTF-8" standalone="yes"?>
<Relationships xmlns="http://schemas.openxmlformats.org/package/2006/relationships"><Relationship Id="rId2" Type="http://schemas.openxmlformats.org/officeDocument/2006/relationships/image" Target="media/image17.jpeg"/><Relationship Id="rId1" Type="http://schemas.openxmlformats.org/officeDocument/2006/relationships/image" Target="media/image8.jpeg"/></Relationships>
</file>

<file path=word/_rels/footer9.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jpeg"/></Relationships>
</file>

<file path=word/_rels/footer10.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8.jpeg"/></Relationships>
</file>

<file path=word/_rels/footer11.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18.jpeg"/></Relationships>
</file>

<file path=word/_rels/footer12.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3.jpeg"/></Relationships>
</file>

<file path=word/_rels/footer13.xml.rels><?xml version="1.0" encoding="UTF-8" standalone="yes"?>
<Relationships xmlns="http://schemas.openxmlformats.org/package/2006/relationships"><Relationship Id="rId2" Type="http://schemas.openxmlformats.org/officeDocument/2006/relationships/image" Target="media/image26.jpeg"/><Relationship Id="rId1" Type="http://schemas.openxmlformats.org/officeDocument/2006/relationships/image" Target="media/image25.jpeg"/></Relationships>
</file>

<file path=word/_rels/footer14.xml.rels><?xml version="1.0" encoding="UTF-8" standalone="yes"?>
<Relationships xmlns="http://schemas.openxmlformats.org/package/2006/relationships"><Relationship Id="rId1" Type="http://schemas.openxmlformats.org/officeDocument/2006/relationships/image" Target="media/image33.png"/></Relationships>
</file>

<file path=word/_rels/footer15.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jpeg"/></Relationships>
</file>

<file path=word/_rels/footer16.xml.rels><?xml version="1.0" encoding="UTF-8" standalone="yes"?>
<Relationships xmlns="http://schemas.openxmlformats.org/package/2006/relationships"><Relationship Id="rId1" Type="http://schemas.openxmlformats.org/officeDocument/2006/relationships/image" Target="media/image41.pn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2026-02-10T11:36:21Z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2026-02-10T11:36:24</vt:filetime>
  </property>
  <property fmtid="{D5CDD505-2E9C-101B-9397-08002B2CF9AE}" pid="4" name="UsrData">
    <vt:lpwstr>698aa7b11ac7a6001f647676wl</vt:lpwstr>
  </property>
</Properties>
</file>