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center" w:pos="4153"/>
          <w:tab w:val="right" w:pos="8306"/>
        </w:tabs>
        <w:wordWrap w:val="0"/>
        <w:spacing w:line="360" w:lineRule="auto"/>
        <w:jc w:val="right"/>
        <w:rPr>
          <w:b/>
          <w:color w:val="auto"/>
          <w:spacing w:val="16"/>
          <w:highlight w:val="none"/>
        </w:rPr>
      </w:pPr>
      <w:r>
        <w:rPr>
          <w:rFonts w:hint="eastAsia"/>
          <w:color w:val="auto"/>
          <w:spacing w:val="16"/>
          <w:highlight w:val="none"/>
        </w:rPr>
        <w:t xml:space="preserve">   </w:t>
      </w:r>
      <w:r>
        <w:rPr>
          <w:rFonts w:hint="eastAsia"/>
          <w:b/>
          <w:color w:val="auto"/>
          <w:spacing w:val="16"/>
          <w:highlight w:val="none"/>
        </w:rPr>
        <w:t>编号：</w:t>
      </w:r>
      <w:r>
        <w:rPr>
          <w:rFonts w:hint="eastAsia"/>
          <w:b/>
          <w:color w:val="auto"/>
          <w:spacing w:val="16"/>
          <w:highlight w:val="none"/>
          <w:u w:val="single"/>
        </w:rPr>
        <w:t>       </w:t>
      </w:r>
      <w:r>
        <w:rPr>
          <w:b/>
          <w:color w:val="auto"/>
          <w:spacing w:val="16"/>
          <w:highlight w:val="none"/>
          <w:u w:val="single"/>
        </w:rPr>
        <w:t xml:space="preserve"> </w:t>
      </w:r>
      <w:r>
        <w:rPr>
          <w:rFonts w:hint="eastAsia"/>
          <w:b/>
          <w:color w:val="auto"/>
          <w:spacing w:val="16"/>
          <w:highlight w:val="none"/>
          <w:u w:val="single"/>
        </w:rPr>
        <w:t xml:space="preserve"> </w:t>
      </w:r>
    </w:p>
    <w:p>
      <w:pPr>
        <w:pStyle w:val="13"/>
        <w:spacing w:line="360" w:lineRule="auto"/>
        <w:jc w:val="center"/>
        <w:rPr>
          <w:rFonts w:ascii="黑体" w:eastAsia="黑体"/>
          <w:color w:val="auto"/>
          <w:spacing w:val="16"/>
          <w:sz w:val="72"/>
          <w:highlight w:val="none"/>
        </w:rPr>
      </w:pPr>
      <w:r>
        <w:rPr>
          <w:rFonts w:hint="eastAsia" w:ascii="黑体" w:eastAsia="黑体"/>
          <w:color w:val="auto"/>
          <w:spacing w:val="16"/>
          <w:sz w:val="72"/>
          <w:highlight w:val="none"/>
        </w:rPr>
        <w:t xml:space="preserve"> </w:t>
      </w:r>
    </w:p>
    <w:p>
      <w:pPr>
        <w:pStyle w:val="13"/>
        <w:spacing w:line="360" w:lineRule="auto"/>
        <w:jc w:val="center"/>
        <w:rPr>
          <w:rFonts w:ascii="黑体" w:eastAsia="黑体"/>
          <w:b/>
          <w:color w:val="auto"/>
          <w:spacing w:val="16"/>
          <w:sz w:val="36"/>
          <w:szCs w:val="36"/>
          <w:highlight w:val="none"/>
        </w:rPr>
      </w:pPr>
      <w:r>
        <w:rPr>
          <w:rFonts w:hint="eastAsia" w:ascii="黑体" w:eastAsia="黑体"/>
          <w:b/>
          <w:color w:val="auto"/>
          <w:spacing w:val="16"/>
          <w:sz w:val="52"/>
          <w:szCs w:val="52"/>
          <w:highlight w:val="none"/>
          <w:lang w:eastAsia="zh-CN"/>
        </w:rPr>
        <w:t>北京市东城区精神卫生保健院</w:t>
      </w:r>
    </w:p>
    <w:p>
      <w:pPr>
        <w:pStyle w:val="13"/>
        <w:spacing w:line="360" w:lineRule="auto"/>
        <w:jc w:val="center"/>
        <w:rPr>
          <w:rFonts w:ascii="黑体" w:eastAsia="黑体"/>
          <w:b/>
          <w:color w:val="auto"/>
          <w:spacing w:val="16"/>
          <w:sz w:val="52"/>
          <w:szCs w:val="52"/>
          <w:highlight w:val="none"/>
        </w:rPr>
      </w:pPr>
      <w:r>
        <w:rPr>
          <w:rFonts w:hint="eastAsia" w:ascii="黑体" w:eastAsia="黑体"/>
          <w:b/>
          <w:strike w:val="0"/>
          <w:dstrike w:val="0"/>
          <w:color w:val="auto"/>
          <w:spacing w:val="16"/>
          <w:sz w:val="52"/>
          <w:szCs w:val="52"/>
          <w:highlight w:val="none"/>
          <w:lang w:eastAsia="zh-CN"/>
        </w:rPr>
        <w:t>餐厅</w:t>
      </w:r>
      <w:r>
        <w:rPr>
          <w:rFonts w:hint="eastAsia" w:ascii="黑体" w:eastAsia="黑体"/>
          <w:b/>
          <w:color w:val="auto"/>
          <w:spacing w:val="16"/>
          <w:sz w:val="52"/>
          <w:szCs w:val="52"/>
          <w:highlight w:val="none"/>
        </w:rPr>
        <w:t>委托经营</w:t>
      </w:r>
      <w:r>
        <w:rPr>
          <w:rFonts w:ascii="黑体" w:eastAsia="黑体"/>
          <w:b/>
          <w:color w:val="auto"/>
          <w:spacing w:val="16"/>
          <w:sz w:val="52"/>
          <w:szCs w:val="52"/>
          <w:highlight w:val="none"/>
        </w:rPr>
        <w:t>合同</w:t>
      </w:r>
      <w:r>
        <w:rPr>
          <w:rFonts w:hint="eastAsia" w:ascii="黑体" w:eastAsia="黑体"/>
          <w:b/>
          <w:color w:val="auto"/>
          <w:spacing w:val="16"/>
          <w:sz w:val="52"/>
          <w:szCs w:val="52"/>
          <w:highlight w:val="none"/>
        </w:rPr>
        <w:t>书</w:t>
      </w:r>
      <w:r>
        <w:rPr>
          <w:rFonts w:ascii="黑体" w:eastAsia="黑体"/>
          <w:b/>
          <w:color w:val="auto"/>
          <w:spacing w:val="16"/>
          <w:sz w:val="52"/>
          <w:szCs w:val="52"/>
          <w:highlight w:val="none"/>
        </w:rPr>
        <w:t xml:space="preserve"> </w:t>
      </w:r>
    </w:p>
    <w:p>
      <w:pPr>
        <w:pStyle w:val="13"/>
        <w:spacing w:line="360" w:lineRule="auto"/>
        <w:jc w:val="center"/>
        <w:rPr>
          <w:color w:val="auto"/>
          <w:spacing w:val="16"/>
          <w:sz w:val="28"/>
          <w:highlight w:val="none"/>
        </w:rPr>
      </w:pPr>
    </w:p>
    <w:p>
      <w:pPr>
        <w:pStyle w:val="13"/>
        <w:jc w:val="center"/>
        <w:rPr>
          <w:color w:val="auto"/>
          <w:spacing w:val="16"/>
          <w:sz w:val="28"/>
          <w:highlight w:val="none"/>
        </w:rPr>
      </w:pPr>
      <w:r>
        <w:rPr>
          <w:rFonts w:hint="eastAsia"/>
          <w:color w:val="auto"/>
          <w:spacing w:val="16"/>
          <w:sz w:val="28"/>
          <w:highlight w:val="none"/>
        </w:rPr>
        <w:t> </w:t>
      </w:r>
    </w:p>
    <w:p>
      <w:pPr>
        <w:pStyle w:val="13"/>
        <w:spacing w:line="720" w:lineRule="auto"/>
        <w:ind w:left="2310" w:leftChars="1100"/>
        <w:rPr>
          <w:rFonts w:hint="eastAsia" w:eastAsia="宋体"/>
          <w:b/>
          <w:color w:val="auto"/>
          <w:spacing w:val="16"/>
          <w:sz w:val="28"/>
          <w:highlight w:val="none"/>
          <w:u w:val="single"/>
          <w:lang w:eastAsia="zh-CN"/>
        </w:rPr>
      </w:pPr>
      <w:r>
        <w:rPr>
          <w:rFonts w:hint="eastAsia"/>
          <w:b/>
          <w:color w:val="auto"/>
          <w:spacing w:val="16"/>
          <w:sz w:val="28"/>
          <w:highlight w:val="none"/>
        </w:rPr>
        <w:t>甲方：</w:t>
      </w:r>
      <w:r>
        <w:rPr>
          <w:rFonts w:hint="eastAsia"/>
          <w:b/>
          <w:color w:val="auto"/>
          <w:spacing w:val="16"/>
          <w:sz w:val="28"/>
          <w:highlight w:val="none"/>
          <w:lang w:eastAsia="zh-CN"/>
        </w:rPr>
        <w:t>北京市东城区精神卫生保健院</w:t>
      </w:r>
    </w:p>
    <w:p>
      <w:pPr>
        <w:pStyle w:val="13"/>
        <w:spacing w:line="720" w:lineRule="auto"/>
        <w:ind w:left="2310" w:leftChars="1100"/>
        <w:rPr>
          <w:rFonts w:hint="eastAsia" w:eastAsia="宋体"/>
          <w:b/>
          <w:color w:val="auto"/>
          <w:spacing w:val="16"/>
          <w:sz w:val="28"/>
          <w:szCs w:val="28"/>
          <w:highlight w:val="none"/>
          <w:u w:val="single"/>
          <w:lang w:eastAsia="zh-CN"/>
        </w:rPr>
      </w:pPr>
      <w:r>
        <w:rPr>
          <w:rFonts w:hint="eastAsia"/>
          <w:b/>
          <w:color w:val="auto"/>
          <w:spacing w:val="16"/>
          <w:sz w:val="28"/>
          <w:highlight w:val="none"/>
        </w:rPr>
        <w:t>乙方：中军首佳(北京)物业管理有限公司</w:t>
      </w:r>
    </w:p>
    <w:p>
      <w:pPr>
        <w:pStyle w:val="13"/>
        <w:spacing w:line="720" w:lineRule="auto"/>
        <w:ind w:left="2310" w:leftChars="1100"/>
        <w:rPr>
          <w:b/>
          <w:color w:val="auto"/>
          <w:spacing w:val="16"/>
          <w:sz w:val="28"/>
          <w:highlight w:val="none"/>
        </w:rPr>
      </w:pPr>
      <w:r>
        <w:rPr>
          <w:rFonts w:hint="eastAsia"/>
          <w:b/>
          <w:color w:val="auto"/>
          <w:spacing w:val="16"/>
          <w:sz w:val="28"/>
          <w:highlight w:val="none"/>
        </w:rPr>
        <w:t>合同签订日期：   年  月  日</w:t>
      </w:r>
    </w:p>
    <w:p>
      <w:pPr>
        <w:pStyle w:val="13"/>
        <w:spacing w:line="480" w:lineRule="auto"/>
        <w:ind w:firstLine="2289" w:firstLineChars="731"/>
        <w:jc w:val="center"/>
        <w:rPr>
          <w:b/>
          <w:color w:val="auto"/>
          <w:spacing w:val="16"/>
          <w:sz w:val="28"/>
          <w:highlight w:val="none"/>
        </w:rPr>
      </w:pPr>
    </w:p>
    <w:p>
      <w:pPr>
        <w:rPr>
          <w:b/>
          <w:sz w:val="44"/>
          <w:szCs w:val="44"/>
          <w:highlight w:val="none"/>
        </w:rPr>
      </w:pPr>
    </w:p>
    <w:p>
      <w:pPr>
        <w:rPr>
          <w:b/>
          <w:sz w:val="44"/>
          <w:szCs w:val="44"/>
          <w:highlight w:val="none"/>
        </w:rPr>
      </w:pPr>
    </w:p>
    <w:p>
      <w:pPr>
        <w:rPr>
          <w:b/>
          <w:sz w:val="44"/>
          <w:szCs w:val="44"/>
          <w:highlight w:val="none"/>
        </w:rPr>
      </w:pPr>
    </w:p>
    <w:p>
      <w:pPr>
        <w:rPr>
          <w:b/>
          <w:sz w:val="44"/>
          <w:szCs w:val="44"/>
          <w:highlight w:val="none"/>
        </w:rPr>
      </w:pPr>
    </w:p>
    <w:p>
      <w:pPr>
        <w:rPr>
          <w:b/>
          <w:sz w:val="44"/>
          <w:szCs w:val="44"/>
          <w:highlight w:val="none"/>
        </w:rPr>
      </w:pPr>
    </w:p>
    <w:p>
      <w:pPr>
        <w:spacing w:line="360" w:lineRule="exact"/>
        <w:rPr>
          <w:rFonts w:hint="eastAsia" w:ascii="宋体" w:hAnsi="宋体"/>
          <w:b/>
          <w:szCs w:val="21"/>
          <w:highlight w:val="none"/>
        </w:rPr>
        <w:sectPr>
          <w:pgSz w:w="11906" w:h="16838"/>
          <w:pgMar w:top="1440" w:right="1418" w:bottom="1440" w:left="1418" w:header="851" w:footer="992" w:gutter="0"/>
          <w:pgNumType w:fmt="decimal"/>
          <w:cols w:space="425" w:num="1"/>
          <w:docGrid w:type="lines" w:linePitch="312" w:charSpace="0"/>
        </w:sectPr>
      </w:pPr>
    </w:p>
    <w:p>
      <w:pPr>
        <w:spacing w:line="360" w:lineRule="exact"/>
        <w:rPr>
          <w:rFonts w:ascii="宋体" w:hAnsi="宋体"/>
          <w:b/>
          <w:sz w:val="28"/>
          <w:szCs w:val="28"/>
          <w:highlight w:val="none"/>
        </w:rPr>
      </w:pPr>
      <w:r>
        <w:rPr>
          <w:rFonts w:hint="eastAsia" w:ascii="宋体" w:hAnsi="宋体"/>
          <w:b/>
          <w:sz w:val="28"/>
          <w:szCs w:val="28"/>
          <w:highlight w:val="none"/>
        </w:rPr>
        <w:t>甲方：</w:t>
      </w:r>
      <w:r>
        <w:rPr>
          <w:rFonts w:hint="eastAsia" w:ascii="宋体" w:hAnsi="宋体"/>
          <w:b/>
          <w:sz w:val="28"/>
          <w:szCs w:val="28"/>
          <w:highlight w:val="none"/>
          <w:lang w:eastAsia="zh-CN"/>
        </w:rPr>
        <w:t>北京市东城区精神卫生保健院</w:t>
      </w:r>
      <w:r>
        <w:rPr>
          <w:rFonts w:hint="eastAsia" w:ascii="宋体" w:hAnsi="宋体"/>
          <w:b/>
          <w:sz w:val="28"/>
          <w:szCs w:val="28"/>
          <w:highlight w:val="none"/>
        </w:rPr>
        <w:t xml:space="preserve">                  </w:t>
      </w:r>
    </w:p>
    <w:p>
      <w:pPr>
        <w:spacing w:line="360" w:lineRule="exact"/>
        <w:rPr>
          <w:rFonts w:hint="default" w:ascii="宋体" w:hAnsi="宋体"/>
          <w:b/>
          <w:sz w:val="28"/>
          <w:szCs w:val="28"/>
          <w:highlight w:val="none"/>
          <w:lang w:val="en-US" w:eastAsia="zh-CN"/>
        </w:rPr>
      </w:pPr>
      <w:r>
        <w:rPr>
          <w:rFonts w:hint="eastAsia" w:ascii="宋体" w:hAnsi="宋体"/>
          <w:b/>
          <w:sz w:val="28"/>
          <w:szCs w:val="28"/>
          <w:highlight w:val="none"/>
        </w:rPr>
        <w:t>地址：</w:t>
      </w:r>
      <w:r>
        <w:rPr>
          <w:rFonts w:hint="eastAsia" w:ascii="宋体" w:hAnsi="宋体"/>
          <w:b/>
          <w:sz w:val="28"/>
          <w:szCs w:val="28"/>
          <w:highlight w:val="none"/>
          <w:lang w:eastAsia="zh-CN"/>
        </w:rPr>
        <w:t>北京市东直门外察慈小区</w:t>
      </w:r>
      <w:r>
        <w:rPr>
          <w:rFonts w:hint="eastAsia" w:ascii="宋体" w:hAnsi="宋体"/>
          <w:b/>
          <w:sz w:val="28"/>
          <w:szCs w:val="28"/>
          <w:highlight w:val="none"/>
          <w:lang w:val="en-US" w:eastAsia="zh-CN"/>
        </w:rPr>
        <w:t>7号楼</w:t>
      </w:r>
    </w:p>
    <w:p>
      <w:pPr>
        <w:spacing w:line="360" w:lineRule="exact"/>
        <w:rPr>
          <w:rFonts w:hint="eastAsia" w:ascii="宋体" w:hAnsi="宋体" w:eastAsia="宋体"/>
          <w:b/>
          <w:sz w:val="28"/>
          <w:szCs w:val="28"/>
          <w:highlight w:val="none"/>
          <w:lang w:eastAsia="zh-CN"/>
        </w:rPr>
      </w:pPr>
      <w:r>
        <w:rPr>
          <w:rFonts w:hint="eastAsia" w:ascii="宋体" w:hAnsi="宋体"/>
          <w:b/>
          <w:sz w:val="28"/>
          <w:szCs w:val="28"/>
          <w:highlight w:val="none"/>
        </w:rPr>
        <w:t>法定代表人或委托代理人：</w:t>
      </w:r>
      <w:r>
        <w:rPr>
          <w:rFonts w:hint="eastAsia" w:ascii="宋体" w:hAnsi="宋体"/>
          <w:b/>
          <w:sz w:val="28"/>
          <w:szCs w:val="28"/>
          <w:highlight w:val="none"/>
          <w:lang w:eastAsia="zh-CN"/>
        </w:rPr>
        <w:t>魏丽娟</w:t>
      </w:r>
    </w:p>
    <w:p>
      <w:pPr>
        <w:spacing w:line="360" w:lineRule="exact"/>
        <w:rPr>
          <w:rFonts w:hint="default" w:ascii="宋体" w:hAnsi="宋体" w:eastAsia="宋体"/>
          <w:b/>
          <w:sz w:val="28"/>
          <w:szCs w:val="28"/>
          <w:highlight w:val="none"/>
          <w:lang w:val="en-US" w:eastAsia="zh-CN"/>
        </w:rPr>
      </w:pPr>
      <w:r>
        <w:rPr>
          <w:rFonts w:hint="eastAsia" w:ascii="宋体" w:hAnsi="宋体"/>
          <w:b/>
          <w:sz w:val="28"/>
          <w:szCs w:val="28"/>
          <w:highlight w:val="none"/>
        </w:rPr>
        <w:t>联系方式：</w:t>
      </w:r>
      <w:r>
        <w:rPr>
          <w:rFonts w:hint="eastAsia" w:ascii="宋体" w:hAnsi="宋体"/>
          <w:b/>
          <w:sz w:val="28"/>
          <w:szCs w:val="28"/>
          <w:highlight w:val="none"/>
          <w:lang w:val="en-US" w:eastAsia="zh-CN"/>
        </w:rPr>
        <w:t>64681578</w:t>
      </w:r>
    </w:p>
    <w:p>
      <w:pPr>
        <w:spacing w:line="360" w:lineRule="exact"/>
        <w:rPr>
          <w:rFonts w:ascii="宋体" w:hAnsi="宋体"/>
          <w:b/>
          <w:sz w:val="28"/>
          <w:szCs w:val="28"/>
          <w:highlight w:val="none"/>
        </w:rPr>
      </w:pPr>
    </w:p>
    <w:p>
      <w:pPr>
        <w:spacing w:line="360" w:lineRule="exact"/>
        <w:rPr>
          <w:rFonts w:hint="eastAsia" w:ascii="宋体" w:hAnsi="宋体" w:eastAsia="宋体"/>
          <w:b/>
          <w:sz w:val="28"/>
          <w:szCs w:val="28"/>
          <w:highlight w:val="none"/>
          <w:lang w:eastAsia="zh-CN"/>
        </w:rPr>
      </w:pPr>
      <w:r>
        <w:rPr>
          <w:rFonts w:ascii="宋体" w:hAnsi="宋体"/>
          <w:b/>
          <w:sz w:val="28"/>
          <w:szCs w:val="28"/>
          <w:highlight w:val="none"/>
        </w:rPr>
        <w:t>乙方</w:t>
      </w:r>
      <w:r>
        <w:rPr>
          <w:rFonts w:hint="eastAsia" w:ascii="宋体" w:hAnsi="宋体"/>
          <w:b/>
          <w:sz w:val="28"/>
          <w:szCs w:val="28"/>
          <w:highlight w:val="none"/>
        </w:rPr>
        <w:t>：</w:t>
      </w:r>
      <w:r>
        <w:rPr>
          <w:rFonts w:hint="eastAsia" w:ascii="宋体" w:hAnsi="宋体"/>
          <w:b/>
          <w:sz w:val="28"/>
          <w:szCs w:val="28"/>
          <w:highlight w:val="none"/>
          <w:lang w:eastAsia="zh-CN"/>
        </w:rPr>
        <w:t>中军首佳(北京)物业管理有限公司</w:t>
      </w:r>
    </w:p>
    <w:p>
      <w:pPr>
        <w:spacing w:line="360" w:lineRule="exact"/>
        <w:rPr>
          <w:rFonts w:hint="default" w:ascii="宋体" w:hAnsi="宋体" w:eastAsia="宋体"/>
          <w:b/>
          <w:sz w:val="28"/>
          <w:szCs w:val="28"/>
          <w:highlight w:val="none"/>
          <w:lang w:val="en-US" w:eastAsia="zh-CN"/>
        </w:rPr>
      </w:pPr>
      <w:r>
        <w:rPr>
          <w:rFonts w:hint="eastAsia" w:ascii="宋体" w:hAnsi="宋体"/>
          <w:b/>
          <w:sz w:val="28"/>
          <w:szCs w:val="28"/>
          <w:highlight w:val="none"/>
        </w:rPr>
        <w:t>地址：北京市大兴区金苑路32号1幢1层102室</w:t>
      </w:r>
    </w:p>
    <w:p>
      <w:pPr>
        <w:spacing w:line="360" w:lineRule="exact"/>
        <w:rPr>
          <w:rFonts w:ascii="宋体" w:hAnsi="宋体"/>
          <w:b/>
          <w:sz w:val="28"/>
          <w:szCs w:val="28"/>
          <w:highlight w:val="none"/>
        </w:rPr>
      </w:pPr>
      <w:r>
        <w:rPr>
          <w:rFonts w:ascii="宋体" w:hAnsi="宋体"/>
          <w:b/>
          <w:sz w:val="28"/>
          <w:szCs w:val="28"/>
          <w:highlight w:val="none"/>
        </w:rPr>
        <w:t>法定代表人或委托代理人</w:t>
      </w:r>
      <w:r>
        <w:rPr>
          <w:rFonts w:hint="eastAsia" w:ascii="宋体" w:hAnsi="宋体"/>
          <w:b/>
          <w:sz w:val="28"/>
          <w:szCs w:val="28"/>
          <w:highlight w:val="none"/>
        </w:rPr>
        <w:t>：王鑫伟</w:t>
      </w:r>
    </w:p>
    <w:p>
      <w:pPr>
        <w:spacing w:line="360" w:lineRule="exact"/>
        <w:rPr>
          <w:rFonts w:ascii="宋体" w:hAnsi="宋体"/>
          <w:b/>
          <w:sz w:val="28"/>
          <w:szCs w:val="28"/>
          <w:highlight w:val="none"/>
        </w:rPr>
      </w:pPr>
      <w:r>
        <w:rPr>
          <w:rFonts w:ascii="宋体" w:hAnsi="宋体"/>
          <w:b/>
          <w:sz w:val="28"/>
          <w:szCs w:val="28"/>
          <w:highlight w:val="none"/>
        </w:rPr>
        <w:t>联系方式</w:t>
      </w:r>
      <w:r>
        <w:rPr>
          <w:rFonts w:hint="eastAsia" w:ascii="宋体" w:hAnsi="宋体"/>
          <w:b/>
          <w:sz w:val="28"/>
          <w:szCs w:val="28"/>
          <w:highlight w:val="none"/>
        </w:rPr>
        <w:t>：80252121</w:t>
      </w:r>
    </w:p>
    <w:p>
      <w:pPr>
        <w:spacing w:line="360" w:lineRule="exact"/>
        <w:rPr>
          <w:rFonts w:ascii="宋体" w:hAnsi="宋体"/>
          <w:szCs w:val="21"/>
          <w:highlight w:val="none"/>
        </w:rPr>
      </w:pPr>
      <w:r>
        <w:rPr>
          <w:rFonts w:hint="eastAsia" w:ascii="宋体" w:hAnsi="宋体"/>
          <w:szCs w:val="21"/>
          <w:highlight w:val="none"/>
        </w:rPr>
        <w:t xml:space="preserve">    </w:t>
      </w:r>
    </w:p>
    <w:p>
      <w:pPr>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为提高医院职工餐厅的服务质量，甲方经过规范的招投标程序引入专业的餐饮公司，甲方将位于本院北区地下职工餐厅（以下标准称谓“职工餐厅”）委托给乙方经营管理，乙方按照合同要求给甲方提供卫生安全、品种丰富、质优价廉的餐品及专业优质的服务。甲乙双方根据《中华人民共和国民法典》及有关法律规定，本着互惠、互利、双赢的原则，在自愿、平等、协商一致的基础上签订本合同。</w:t>
      </w:r>
      <w:bookmarkStart w:id="0" w:name="_Toc32503"/>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bookmarkEnd w:id="0"/>
      <w:bookmarkStart w:id="1" w:name="_Toc20023"/>
    </w:p>
    <w:bookmarkEnd w:id="1"/>
    <w:p>
      <w:pPr>
        <w:pStyle w:val="3"/>
        <w:spacing w:line="360" w:lineRule="exact"/>
        <w:rPr>
          <w:rFonts w:ascii="宋体" w:hAnsi="宋体"/>
          <w:kern w:val="0"/>
          <w:sz w:val="28"/>
          <w:szCs w:val="28"/>
          <w:highlight w:val="none"/>
        </w:rPr>
      </w:pPr>
      <w:bookmarkStart w:id="2" w:name="_Toc10788"/>
      <w:r>
        <w:rPr>
          <w:rFonts w:hint="eastAsia" w:ascii="宋体" w:hAnsi="宋体"/>
          <w:sz w:val="28"/>
          <w:szCs w:val="28"/>
          <w:highlight w:val="none"/>
        </w:rPr>
        <w:t>第一条</w:t>
      </w:r>
      <w:r>
        <w:rPr>
          <w:rFonts w:hint="eastAsia" w:ascii="宋体" w:hAnsi="宋体"/>
          <w:sz w:val="28"/>
          <w:szCs w:val="28"/>
          <w:highlight w:val="none"/>
          <w:lang w:val="en-US" w:eastAsia="zh-CN"/>
        </w:rPr>
        <w:t xml:space="preserve"> </w:t>
      </w:r>
      <w:r>
        <w:rPr>
          <w:rFonts w:hint="eastAsia" w:ascii="宋体" w:hAnsi="宋体"/>
          <w:kern w:val="0"/>
          <w:sz w:val="28"/>
          <w:szCs w:val="28"/>
          <w:highlight w:val="none"/>
        </w:rPr>
        <w:t>合作模式</w:t>
      </w:r>
      <w:bookmarkEnd w:id="2"/>
    </w:p>
    <w:p>
      <w:pPr>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、甲乙双方确认职工餐厅餐饮服务项目合作模式为：由乙方承包并独立经营，甲方全面监管，双方就餐饮服务合作事宜，协商后达成如下约定：</w:t>
      </w:r>
    </w:p>
    <w:p>
      <w:pPr>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、甲方提供自有产权的职工餐厅，全权委托乙方经营管理。</w:t>
      </w:r>
    </w:p>
    <w:p>
      <w:pPr>
        <w:spacing w:line="360" w:lineRule="auto"/>
        <w:ind w:left="559" w:leftChars="266" w:firstLine="0" w:firstLineChars="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乙方为甲方就餐人员提供食材采购、食材加工制作等餐饮服务，</w:t>
      </w:r>
      <w:r>
        <w:rPr>
          <w:rFonts w:hint="eastAsia" w:ascii="宋体" w:hAnsi="宋体" w:cs="宋体"/>
          <w:color w:val="000000" w:themeColor="text1"/>
          <w:sz w:val="28"/>
          <w:szCs w:val="28"/>
          <w:highlight w:val="none"/>
          <w:lang w:val="en-US" w:eastAsia="zh-CN"/>
          <w14:textFill>
            <w14:solidFill>
              <w14:schemeClr w14:val="tx1"/>
            </w14:solidFill>
          </w14:textFill>
        </w:rPr>
        <w:t>包括：</w:t>
      </w:r>
    </w:p>
    <w:p>
      <w:pPr>
        <w:spacing w:line="360" w:lineRule="auto"/>
        <w:ind w:left="559" w:leftChars="266"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（1）全院职工：职工食堂早、中、晚三餐的餐饮制作和服务。 </w:t>
      </w:r>
    </w:p>
    <w:p>
      <w:pPr>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（2）住院病人：早、中、晚三餐及上下午</w:t>
      </w:r>
      <w:r>
        <w:rPr>
          <w:rFonts w:hint="eastAsia" w:ascii="宋体" w:hAnsi="宋体" w:cs="宋体"/>
          <w:color w:val="000000" w:themeColor="text1"/>
          <w:sz w:val="28"/>
          <w:szCs w:val="28"/>
          <w:highlight w:val="none"/>
          <w:lang w:val="en-US" w:eastAsia="zh-CN"/>
          <w14:textFill>
            <w14:solidFill>
              <w14:schemeClr w14:val="tx1"/>
            </w14:solidFill>
          </w14:textFill>
        </w:rPr>
        <w:t>两</w:t>
      </w:r>
      <w:r>
        <w:rPr>
          <w:rFonts w:hint="eastAsia" w:ascii="宋体" w:hAnsi="宋体" w:eastAsia="宋体" w:cs="宋体"/>
          <w:color w:val="000000" w:themeColor="text1"/>
          <w:sz w:val="28"/>
          <w:szCs w:val="28"/>
          <w:highlight w:val="none"/>
          <w:lang w:val="en-US" w:eastAsia="zh-CN"/>
          <w14:textFill>
            <w14:solidFill>
              <w14:schemeClr w14:val="tx1"/>
            </w14:solidFill>
          </w14:textFill>
        </w:rPr>
        <w:t>次加餐的餐饮制作和服务。</w:t>
      </w:r>
    </w:p>
    <w:p>
      <w:pPr>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（3）保安4人，中控2人早、中、晚三餐；保洁6 人（以保洁</w:t>
      </w:r>
      <w:r>
        <w:rPr>
          <w:rFonts w:hint="eastAsia" w:ascii="宋体" w:hAnsi="宋体" w:cs="宋体"/>
          <w:color w:val="000000" w:themeColor="text1"/>
          <w:sz w:val="28"/>
          <w:szCs w:val="28"/>
          <w:highlight w:val="none"/>
          <w:lang w:val="en-US" w:eastAsia="zh-CN"/>
          <w14:textFill>
            <w14:solidFill>
              <w14:schemeClr w14:val="tx1"/>
            </w14:solidFill>
          </w14:textFill>
        </w:rPr>
        <w:t>实际</w:t>
      </w:r>
      <w:r>
        <w:rPr>
          <w:rFonts w:hint="eastAsia" w:ascii="宋体" w:hAnsi="宋体" w:eastAsia="宋体" w:cs="宋体"/>
          <w:color w:val="000000" w:themeColor="text1"/>
          <w:sz w:val="28"/>
          <w:szCs w:val="28"/>
          <w:highlight w:val="none"/>
          <w:lang w:val="en-US" w:eastAsia="zh-CN"/>
          <w14:textFill>
            <w14:solidFill>
              <w14:schemeClr w14:val="tx1"/>
            </w14:solidFill>
          </w14:textFill>
        </w:rPr>
        <w:t>人数为准</w:t>
      </w:r>
      <w:r>
        <w:rPr>
          <w:rFonts w:hint="eastAsia" w:ascii="宋体" w:hAnsi="宋体" w:cs="宋体"/>
          <w:color w:val="000000" w:themeColor="text1"/>
          <w:sz w:val="28"/>
          <w:szCs w:val="28"/>
          <w:highlight w:val="none"/>
          <w:lang w:val="en-US" w:eastAsia="zh-CN"/>
          <w14:textFill>
            <w14:solidFill>
              <w14:schemeClr w14:val="tx1"/>
            </w14:solidFill>
          </w14:textFill>
        </w:rPr>
        <w:t>，协议期满为止</w:t>
      </w:r>
      <w:r>
        <w:rPr>
          <w:rFonts w:hint="eastAsia" w:ascii="宋体" w:hAnsi="宋体" w:eastAsia="宋体" w:cs="宋体"/>
          <w:color w:val="000000" w:themeColor="text1"/>
          <w:sz w:val="28"/>
          <w:szCs w:val="28"/>
          <w:highlight w:val="none"/>
          <w:lang w:val="en-US" w:eastAsia="zh-CN"/>
          <w14:textFill>
            <w14:solidFill>
              <w14:schemeClr w14:val="tx1"/>
            </w14:solidFill>
          </w14:textFill>
        </w:rPr>
        <w:t>）午餐的餐饮制作和服务，与住院病人餐食一致。</w:t>
      </w:r>
    </w:p>
    <w:p>
      <w:pPr>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（4）全年客饭800人次（餐标30元）。</w:t>
      </w:r>
    </w:p>
    <w:p>
      <w:pPr>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（5）医师节、护士节食品（为医护人员提供一个免费菜品、双层蛋糕、奶皮子酸奶等）。</w:t>
      </w:r>
    </w:p>
    <w:p>
      <w:pPr>
        <w:spacing w:line="360" w:lineRule="auto"/>
        <w:ind w:firstLine="560" w:firstLineChars="200"/>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（6）所</w:t>
      </w:r>
      <w:r>
        <w:rPr>
          <w:rFonts w:hint="eastAsia" w:ascii="宋体" w:hAnsi="宋体" w:cs="宋体"/>
          <w:color w:val="000000" w:themeColor="text1"/>
          <w:sz w:val="28"/>
          <w:szCs w:val="28"/>
          <w:highlight w:val="none"/>
          <w:lang w:val="en-US" w:eastAsia="zh-CN"/>
          <w14:textFill>
            <w14:solidFill>
              <w14:schemeClr w14:val="tx1"/>
            </w14:solidFill>
          </w14:textFill>
        </w:rPr>
        <w:t>提供</w:t>
      </w:r>
      <w:r>
        <w:rPr>
          <w:rFonts w:hint="eastAsia" w:ascii="宋体" w:hAnsi="宋体" w:eastAsia="宋体" w:cs="宋体"/>
          <w:color w:val="000000" w:themeColor="text1"/>
          <w:sz w:val="28"/>
          <w:szCs w:val="28"/>
          <w:highlight w:val="none"/>
          <w:lang w:val="en-US" w:eastAsia="zh-CN"/>
          <w14:textFill>
            <w14:solidFill>
              <w14:schemeClr w14:val="tx1"/>
            </w14:solidFill>
          </w14:textFill>
        </w:rPr>
        <w:t>的商品不得高于京东自营价格的15%（含），种类包括：米、面、油、蛋、奶、水、饮料、面包、饼干等，不少于9种。</w:t>
      </w:r>
    </w:p>
    <w:p>
      <w:pPr>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3、乙方负责支付甲方职工餐厅产生的水、电、燃气费用、垃圾清运费、烟道清洗费、空调制冷费、燃气检测费、设备设施维修维护费（上下水疏通等）、卫生消杀费</w:t>
      </w:r>
      <w:r>
        <w:rPr>
          <w:rFonts w:hint="eastAsia" w:ascii="宋体" w:hAnsi="宋体" w:cs="宋体"/>
          <w:color w:val="000000" w:themeColor="text1"/>
          <w:sz w:val="28"/>
          <w:szCs w:val="28"/>
          <w:highlight w:val="none"/>
          <w:lang w:val="en-US" w:eastAsia="zh-CN"/>
          <w14:textFill>
            <w14:solidFill>
              <w14:schemeClr w14:val="tx1"/>
            </w14:solidFill>
          </w14:textFill>
        </w:rPr>
        <w:t>。</w:t>
      </w:r>
    </w:p>
    <w:p>
      <w:pPr>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4、乙方负责职工餐厅</w:t>
      </w:r>
      <w:r>
        <w:rPr>
          <w:rFonts w:hint="eastAsia" w:ascii="宋体" w:hAnsi="宋体" w:cs="宋体"/>
          <w:color w:val="000000" w:themeColor="text1"/>
          <w:sz w:val="28"/>
          <w:szCs w:val="28"/>
          <w:highlight w:val="none"/>
          <w:lang w:val="en-US" w:eastAsia="zh-CN"/>
          <w14:textFill>
            <w14:solidFill>
              <w14:schemeClr w14:val="tx1"/>
            </w14:solidFill>
          </w14:textFill>
        </w:rPr>
        <w:t>装修改造和</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相关餐饮设备设施购置及更新（含餐饮结算收费系统）、税金。                        </w:t>
      </w:r>
    </w:p>
    <w:p>
      <w:pPr>
        <w:spacing w:line="360" w:lineRule="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3" w:name="_Toc2369"/>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第二条 服务要求</w:t>
      </w:r>
      <w:bookmarkEnd w:id="3"/>
    </w:p>
    <w:p>
      <w:pPr>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乙方必须严格按照服务承诺，诚信经营，为甲方提供卫生安全、品种丰富、质优价廉的符合合同约定和甲方要求的餐品及服务。</w:t>
      </w:r>
      <w:r>
        <w:rPr>
          <w:rFonts w:hint="eastAsia" w:ascii="宋体" w:hAnsi="宋体" w:eastAsia="宋体" w:cs="宋体"/>
          <w:color w:val="000000" w:themeColor="text1"/>
          <w:sz w:val="28"/>
          <w:szCs w:val="28"/>
          <w:lang w:eastAsia="zh-CN"/>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根据</w:t>
      </w:r>
      <w:r>
        <w:rPr>
          <w:rFonts w:hint="eastAsia" w:ascii="宋体" w:hAnsi="宋体" w:eastAsia="宋体" w:cs="宋体"/>
          <w:color w:val="000000" w:themeColor="text1"/>
          <w:sz w:val="28"/>
          <w:szCs w:val="28"/>
          <w:lang w:val="en-US" w:eastAsia="zh-CN"/>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的用餐需求制定菜谱。</w:t>
      </w:r>
      <w:r>
        <w:rPr>
          <w:rFonts w:hint="eastAsia" w:ascii="宋体" w:hAnsi="宋体" w:eastAsia="宋体" w:cs="宋体"/>
          <w:color w:val="000000" w:themeColor="text1"/>
          <w:sz w:val="28"/>
          <w:szCs w:val="28"/>
          <w:highlight w:val="none"/>
          <w:lang w:val="en-US" w:eastAsia="zh-CN"/>
          <w14:textFill>
            <w14:solidFill>
              <w14:schemeClr w14:val="tx1"/>
            </w14:solidFill>
          </w14:textFill>
        </w:rPr>
        <w:t>甲方</w:t>
      </w:r>
      <w:r>
        <w:rPr>
          <w:rFonts w:hint="eastAsia" w:ascii="宋体" w:hAnsi="宋体" w:eastAsia="宋体" w:cs="宋体"/>
          <w:color w:val="000000" w:themeColor="text1"/>
          <w:sz w:val="28"/>
          <w:szCs w:val="28"/>
          <w:highlight w:val="none"/>
          <w14:textFill>
            <w14:solidFill>
              <w14:schemeClr w14:val="tx1"/>
            </w14:solidFill>
          </w14:textFill>
        </w:rPr>
        <w:t>提供一周不重复食谱，每一周更换食谱一次。</w:t>
      </w:r>
    </w:p>
    <w:p>
      <w:pPr>
        <w:spacing w:line="24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（1）工作日膳食供应时间 ：</w:t>
      </w:r>
    </w:p>
    <w:p>
      <w:pPr>
        <w:spacing w:line="360" w:lineRule="auto"/>
        <w:ind w:firstLine="560" w:firstLineChars="20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早餐：7:00-7:</w:t>
      </w:r>
      <w:r>
        <w:rPr>
          <w:rFonts w:hint="eastAsia" w:ascii="宋体" w:hAnsi="宋体" w:cs="宋体"/>
          <w:color w:val="000000" w:themeColor="text1"/>
          <w:sz w:val="28"/>
          <w:szCs w:val="28"/>
          <w:lang w:val="en-US" w:eastAsia="zh-CN"/>
          <w14:textFill>
            <w14:solidFill>
              <w14:schemeClr w14:val="tx1"/>
            </w14:solidFill>
          </w14:textFill>
        </w:rPr>
        <w:t xml:space="preserve">50   </w:t>
      </w:r>
      <w:r>
        <w:rPr>
          <w:rFonts w:hint="eastAsia" w:ascii="宋体" w:hAnsi="宋体" w:eastAsia="宋体" w:cs="宋体"/>
          <w:color w:val="000000" w:themeColor="text1"/>
          <w:sz w:val="28"/>
          <w:szCs w:val="28"/>
          <w14:textFill>
            <w14:solidFill>
              <w14:schemeClr w14:val="tx1"/>
            </w14:solidFill>
          </w14:textFill>
        </w:rPr>
        <w:t>加餐：10：00</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午餐：10:30-12:</w:t>
      </w:r>
      <w:r>
        <w:rPr>
          <w:rFonts w:hint="eastAsia" w:ascii="宋体" w:hAnsi="宋体" w:cs="宋体"/>
          <w:color w:val="000000" w:themeColor="text1"/>
          <w:sz w:val="28"/>
          <w:szCs w:val="28"/>
          <w:lang w:val="en-US" w:eastAsia="zh-CN"/>
          <w14:textFill>
            <w14:solidFill>
              <w14:schemeClr w14:val="tx1"/>
            </w14:solidFill>
          </w14:textFill>
        </w:rPr>
        <w:t>30</w:t>
      </w:r>
    </w:p>
    <w:p>
      <w:pPr>
        <w:spacing w:line="360" w:lineRule="auto"/>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（职工用餐</w:t>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:30-12:</w:t>
      </w:r>
      <w:r>
        <w:rPr>
          <w:rFonts w:hint="eastAsia" w:ascii="宋体" w:hAnsi="宋体" w:cs="宋体"/>
          <w:color w:val="000000" w:themeColor="text1"/>
          <w:sz w:val="28"/>
          <w:szCs w:val="28"/>
          <w:lang w:val="en-US" w:eastAsia="zh-CN"/>
          <w14:textFill>
            <w14:solidFill>
              <w14:schemeClr w14:val="tx1"/>
            </w14:solidFill>
          </w14:textFill>
        </w:rPr>
        <w:t>30）</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病人</w:t>
      </w:r>
      <w:r>
        <w:rPr>
          <w:rFonts w:hint="eastAsia" w:ascii="宋体" w:hAnsi="宋体" w:eastAsia="宋体" w:cs="宋体"/>
          <w:color w:val="000000" w:themeColor="text1"/>
          <w:sz w:val="28"/>
          <w:szCs w:val="28"/>
          <w14:textFill>
            <w14:solidFill>
              <w14:schemeClr w14:val="tx1"/>
            </w14:solidFill>
          </w14:textFill>
        </w:rPr>
        <w:t>加餐：15：00</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晚餐：16:30-1</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:30</w:t>
      </w:r>
    </w:p>
    <w:p>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职工用餐</w:t>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eastAsia="宋体" w:cs="宋体"/>
          <w:color w:val="000000" w:themeColor="text1"/>
          <w:sz w:val="28"/>
          <w:szCs w:val="28"/>
          <w14:textFill>
            <w14:solidFill>
              <w14:schemeClr w14:val="tx1"/>
            </w14:solidFill>
          </w14:textFill>
        </w:rPr>
        <w:t>0-1</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:30</w:t>
      </w:r>
      <w:r>
        <w:rPr>
          <w:rFonts w:hint="eastAsia" w:ascii="宋体" w:hAnsi="宋体" w:cs="宋体"/>
          <w:color w:val="000000" w:themeColor="text1"/>
          <w:sz w:val="28"/>
          <w:szCs w:val="28"/>
          <w:lang w:eastAsia="zh-CN"/>
          <w14:textFill>
            <w14:solidFill>
              <w14:schemeClr w14:val="tx1"/>
            </w14:solidFill>
          </w14:textFill>
        </w:rPr>
        <w:t>）</w:t>
      </w:r>
    </w:p>
    <w:p>
      <w:pPr>
        <w:spacing w:line="24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（2）职工餐要求：</w:t>
      </w:r>
    </w:p>
    <w:p>
      <w:pPr>
        <w:spacing w:line="24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1）提供早餐、中餐、晚餐。</w:t>
      </w: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）提供大众菜、小炒、清真餐等服务。</w:t>
      </w: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）职工餐定价需与甲方进行沟通，经甲方确认后方可实行。</w:t>
      </w:r>
    </w:p>
    <w:p>
      <w:pPr>
        <w:spacing w:line="360" w:lineRule="auto"/>
        <w:ind w:firstLine="560" w:firstLineChars="20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（3）患者餐要求</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1）提供早餐、中餐、晚</w:t>
      </w:r>
      <w:r>
        <w:rPr>
          <w:rFonts w:hint="eastAsia" w:ascii="宋体" w:hAnsi="宋体" w:eastAsia="宋体" w:cs="宋体"/>
          <w:color w:val="000000" w:themeColor="text1"/>
          <w:sz w:val="28"/>
          <w:szCs w:val="28"/>
          <w:highlight w:val="none"/>
          <w:lang w:val="en-US" w:eastAsia="zh-CN"/>
          <w14:textFill>
            <w14:solidFill>
              <w14:schemeClr w14:val="tx1"/>
            </w14:solidFill>
          </w14:textFill>
        </w:rPr>
        <w:t>餐</w:t>
      </w:r>
      <w:r>
        <w:rPr>
          <w:rFonts w:hint="eastAsia" w:ascii="宋体" w:hAnsi="宋体" w:cs="宋体"/>
          <w:color w:val="000000" w:themeColor="text1"/>
          <w:sz w:val="28"/>
          <w:szCs w:val="28"/>
          <w:highlight w:val="none"/>
          <w:lang w:val="en-US" w:eastAsia="zh-CN"/>
          <w14:textFill>
            <w14:solidFill>
              <w14:schemeClr w14:val="tx1"/>
            </w14:solidFill>
          </w14:textFill>
        </w:rPr>
        <w:t>及俩顿加餐。</w:t>
      </w: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2）提供套餐、治疗饮食餐、肠内营养膳食服务。</w:t>
      </w: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3）配膳员应为住院患者送餐至床前。</w:t>
      </w: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4）膳食主要包括：基本膳食：普通饭、软饭（质软，比普通饭更易消化）、普通半流、普通流食、回民膳食</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治疗膳食：清流、纯糖清流、冷流质、少渣半流、低盐膳食、低脂膳食、低蛋白膳食、低嘌呤膳食（急性期、缓解期）、糖尿病膳食（称重膳食）、匀浆膳等，上述膳食种类均需做好营养配餐并按照要求制作完成。肠内营养制剂：为鼻饲及吞咽障碍的患者提供匀浆膳等肠内营养制剂。</w:t>
      </w:r>
    </w:p>
    <w:p>
      <w:pPr>
        <w:keepNext w:val="0"/>
        <w:keepLines w:val="0"/>
        <w:pageBreakBefore w:val="0"/>
        <w:widowControl w:val="0"/>
        <w:kinsoku/>
        <w:wordWrap/>
        <w:overflowPunct/>
        <w:topLinePunct w:val="0"/>
        <w:autoSpaceDE/>
        <w:autoSpaceDN/>
        <w:bidi w:val="0"/>
        <w:adjustRightInd/>
        <w:snapToGrid/>
        <w:spacing w:after="160" w:line="360" w:lineRule="auto"/>
        <w:ind w:firstLine="840" w:firstLineChars="3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a</w:t>
      </w:r>
      <w:r>
        <w:rPr>
          <w:rFonts w:hint="eastAsia" w:ascii="宋体" w:hAnsi="宋体" w:eastAsia="宋体" w:cs="宋体"/>
          <w:color w:val="000000" w:themeColor="text1"/>
          <w:sz w:val="28"/>
          <w:szCs w:val="28"/>
          <w:highlight w:val="none"/>
          <w14:textFill>
            <w14:solidFill>
              <w14:schemeClr w14:val="tx1"/>
            </w14:solidFill>
          </w14:textFill>
        </w:rPr>
        <w:t>早餐面点类每天不少于3个品种（不含馒头，花卷），蛋类不少于1种（水煮蛋、茶叶蛋、煎蛋、咸鸭蛋），汤、粥类不少于2种（每周安排馄饨、豆腐脑各一次）。</w:t>
      </w:r>
    </w:p>
    <w:p>
      <w:pPr>
        <w:keepNext w:val="0"/>
        <w:keepLines w:val="0"/>
        <w:pageBreakBefore w:val="0"/>
        <w:widowControl w:val="0"/>
        <w:kinsoku/>
        <w:wordWrap/>
        <w:overflowPunct/>
        <w:topLinePunct w:val="0"/>
        <w:autoSpaceDE/>
        <w:autoSpaceDN/>
        <w:bidi w:val="0"/>
        <w:adjustRightInd/>
        <w:snapToGrid/>
        <w:spacing w:after="160" w:line="360" w:lineRule="auto"/>
        <w:ind w:firstLine="840" w:firstLineChars="3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b</w:t>
      </w:r>
      <w:r>
        <w:rPr>
          <w:rFonts w:hint="eastAsia" w:ascii="宋体" w:hAnsi="宋体" w:eastAsia="宋体" w:cs="宋体"/>
          <w:color w:val="000000" w:themeColor="text1"/>
          <w:sz w:val="28"/>
          <w:szCs w:val="28"/>
          <w:highlight w:val="none"/>
          <w14:textFill>
            <w14:solidFill>
              <w14:schemeClr w14:val="tx1"/>
            </w14:solidFill>
          </w14:textFill>
        </w:rPr>
        <w:t>午餐面点类每天不少于5种（含面点类：如米饭、馒头，杂粮类：如玉米、红薯，现煮类：面条、水饺）；菜类9种以上，纯荤菜不少于三种，半荤菜不少于三种，素菜不少于三种，汤类1种（一周内每天不重复）。</w:t>
      </w:r>
    </w:p>
    <w:p>
      <w:pPr>
        <w:keepNext w:val="0"/>
        <w:keepLines w:val="0"/>
        <w:pageBreakBefore w:val="0"/>
        <w:widowControl w:val="0"/>
        <w:kinsoku/>
        <w:wordWrap/>
        <w:overflowPunct/>
        <w:topLinePunct w:val="0"/>
        <w:autoSpaceDE/>
        <w:autoSpaceDN/>
        <w:bidi w:val="0"/>
        <w:adjustRightInd/>
        <w:snapToGrid/>
        <w:spacing w:after="160" w:line="360" w:lineRule="auto"/>
        <w:ind w:firstLine="840" w:firstLineChars="3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c</w:t>
      </w:r>
      <w:r>
        <w:rPr>
          <w:rFonts w:hint="eastAsia" w:ascii="宋体" w:hAnsi="宋体" w:eastAsia="宋体" w:cs="宋体"/>
          <w:color w:val="000000" w:themeColor="text1"/>
          <w:sz w:val="28"/>
          <w:szCs w:val="28"/>
          <w:highlight w:val="none"/>
          <w14:textFill>
            <w14:solidFill>
              <w14:schemeClr w14:val="tx1"/>
            </w14:solidFill>
          </w14:textFill>
        </w:rPr>
        <w:t>晚餐面点类不少于3种，</w:t>
      </w:r>
    </w:p>
    <w:p>
      <w:pPr>
        <w:pStyle w:val="2"/>
        <w:ind w:firstLine="840" w:firstLineChars="3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d</w:t>
      </w:r>
      <w:r>
        <w:rPr>
          <w:rFonts w:hint="eastAsia" w:ascii="宋体" w:hAnsi="宋体" w:eastAsia="宋体" w:cs="宋体"/>
          <w:color w:val="000000" w:themeColor="text1"/>
          <w:sz w:val="28"/>
          <w:szCs w:val="28"/>
          <w:highlight w:val="none"/>
          <w14:textFill>
            <w14:solidFill>
              <w14:schemeClr w14:val="tx1"/>
            </w14:solidFill>
          </w14:textFill>
        </w:rPr>
        <w:t>纯荤菜不少于1种；半荤菜不少于1种，素菜不少于1种，汤类1种。</w:t>
      </w:r>
    </w:p>
    <w:p>
      <w:pPr>
        <w:numPr>
          <w:ilvl w:val="0"/>
          <w:numId w:val="0"/>
        </w:numPr>
        <w:tabs>
          <w:tab w:val="left" w:pos="567"/>
          <w:tab w:val="left" w:pos="1060"/>
        </w:tabs>
        <w:spacing w:line="360" w:lineRule="auto"/>
        <w:ind w:left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乙方承诺严格按照投标文件交接方案为甲方提供餐品及服务，</w:t>
      </w:r>
      <w:r>
        <w:rPr>
          <w:rFonts w:hint="eastAsia" w:ascii="宋体" w:hAnsi="宋体" w:cs="宋体"/>
          <w:color w:val="000000" w:themeColor="text1"/>
          <w:sz w:val="28"/>
          <w:szCs w:val="28"/>
          <w:highlight w:val="none"/>
          <w:lang w:val="en-US" w:eastAsia="zh-CN"/>
          <w14:textFill>
            <w14:solidFill>
              <w14:schemeClr w14:val="tx1"/>
            </w14:solidFill>
          </w14:textFill>
        </w:rPr>
        <w:t>如</w:t>
      </w:r>
      <w:r>
        <w:rPr>
          <w:rFonts w:hint="eastAsia" w:ascii="宋体" w:hAnsi="宋体" w:eastAsia="宋体" w:cs="宋体"/>
          <w:color w:val="000000" w:themeColor="text1"/>
          <w:sz w:val="28"/>
          <w:szCs w:val="28"/>
          <w:highlight w:val="none"/>
          <w14:textFill>
            <w14:solidFill>
              <w14:schemeClr w14:val="tx1"/>
            </w14:solidFill>
          </w14:textFill>
        </w:rPr>
        <w:t>乙方不能实现投标文件交接方案</w:t>
      </w:r>
      <w:r>
        <w:rPr>
          <w:rFonts w:hint="eastAsia" w:ascii="宋体" w:hAnsi="宋体" w:cs="宋体"/>
          <w:color w:val="000000" w:themeColor="text1"/>
          <w:sz w:val="28"/>
          <w:szCs w:val="28"/>
          <w:highlight w:val="none"/>
          <w:lang w:val="en-US" w:eastAsia="zh-CN"/>
          <w14:textFill>
            <w14:solidFill>
              <w14:schemeClr w14:val="tx1"/>
            </w14:solidFill>
          </w14:textFill>
        </w:rPr>
        <w:t>相关内容要求</w:t>
      </w:r>
      <w:r>
        <w:rPr>
          <w:rFonts w:hint="eastAsia" w:ascii="宋体" w:hAnsi="宋体" w:eastAsia="宋体" w:cs="宋体"/>
          <w:color w:val="000000" w:themeColor="text1"/>
          <w:sz w:val="28"/>
          <w:szCs w:val="28"/>
          <w:highlight w:val="none"/>
          <w14:textFill>
            <w14:solidFill>
              <w14:schemeClr w14:val="tx1"/>
            </w14:solidFill>
          </w14:textFill>
        </w:rPr>
        <w:t>，甲方有权终止合同</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因乙方原因不能实现</w:t>
      </w:r>
      <w:r>
        <w:rPr>
          <w:rFonts w:hint="eastAsia" w:ascii="宋体" w:hAnsi="宋体" w:eastAsia="宋体" w:cs="宋体"/>
          <w:color w:val="000000" w:themeColor="text1"/>
          <w:sz w:val="28"/>
          <w:szCs w:val="28"/>
          <w:highlight w:val="none"/>
          <w14:textFill>
            <w14:solidFill>
              <w14:schemeClr w14:val="tx1"/>
            </w14:solidFill>
          </w14:textFill>
        </w:rPr>
        <w:t>投标文件交接方案</w:t>
      </w:r>
      <w:r>
        <w:rPr>
          <w:rFonts w:hint="eastAsia" w:ascii="宋体" w:hAnsi="宋体" w:eastAsia="宋体" w:cs="宋体"/>
          <w:color w:val="000000" w:themeColor="text1"/>
          <w:sz w:val="28"/>
          <w:szCs w:val="28"/>
          <w:highlight w:val="none"/>
          <w:lang w:val="en-US" w:eastAsia="zh-CN"/>
          <w14:textFill>
            <w14:solidFill>
              <w14:schemeClr w14:val="tx1"/>
            </w14:solidFill>
          </w14:textFill>
        </w:rPr>
        <w:t>给甲方造成损失的，乙方应予赔偿</w:t>
      </w:r>
      <w:r>
        <w:rPr>
          <w:rFonts w:hint="eastAsia" w:ascii="宋体" w:hAnsi="宋体" w:eastAsia="宋体" w:cs="宋体"/>
          <w:color w:val="000000" w:themeColor="text1"/>
          <w:sz w:val="28"/>
          <w:szCs w:val="28"/>
          <w:highlight w:val="none"/>
          <w14:textFill>
            <w14:solidFill>
              <w14:schemeClr w14:val="tx1"/>
            </w14:solidFill>
          </w14:textFill>
        </w:rPr>
        <w:t>。</w:t>
      </w:r>
    </w:p>
    <w:p>
      <w:pPr>
        <w:numPr>
          <w:ilvl w:val="0"/>
          <w:numId w:val="0"/>
        </w:numPr>
        <w:tabs>
          <w:tab w:val="left" w:pos="567"/>
          <w:tab w:val="left" w:pos="1060"/>
        </w:tabs>
        <w:spacing w:line="360" w:lineRule="auto"/>
        <w:ind w:left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乙方承诺其所派遣的管理人员、厨师、服务人员资质符合国家法律法规的要求，保证其经验技能能够为甲方制作符合合同约定和甲方要求的菜品，其管理经验水平能够为甲方提供符合合同约定和甲方要求的服务，并不断通过乙方自行进行的相关职业培训和人员考核调换机制，不断提高服务质量。乙方不符合国家法律法规的要求，甲方对此不承担责任，由此产生的法律后果和损失由乙方自行承担。</w:t>
      </w:r>
    </w:p>
    <w:p>
      <w:pPr>
        <w:numPr>
          <w:ilvl w:val="0"/>
          <w:numId w:val="0"/>
        </w:numPr>
        <w:tabs>
          <w:tab w:val="left" w:pos="567"/>
          <w:tab w:val="left" w:pos="1060"/>
        </w:tabs>
        <w:spacing w:line="360" w:lineRule="auto"/>
        <w:ind w:left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乙方承诺对各项食材、辅料等质量严格把关，对食材、辅料等存放的库房进行规范管理</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在食品采购、加工、制作、存储、运送、售卖等环节严格按照国家和北京市餐饮相关法律法规和行业标准，杜绝发生一切食品安全、消防安全、人员和设备安全等各类事故</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一旦发生上述安全事故，甲方有权解除本合同</w:t>
      </w:r>
      <w:r>
        <w:rPr>
          <w:rFonts w:hint="eastAsia" w:ascii="宋体" w:hAnsi="宋体" w:eastAsia="宋体" w:cs="宋体"/>
          <w:color w:val="000000" w:themeColor="text1"/>
          <w:sz w:val="28"/>
          <w:szCs w:val="28"/>
          <w:highlight w:val="none"/>
          <w14:textFill>
            <w14:solidFill>
              <w14:schemeClr w14:val="tx1"/>
            </w14:solidFill>
          </w14:textFill>
        </w:rPr>
        <w:t>。乙方对于甲方监管部门日常监管中发现的问题，积极整改</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若不能整改到位，甲方有权根据情况进行相应扣罚；若持续不能整改，甲方有权解除本合同</w:t>
      </w:r>
      <w:r>
        <w:rPr>
          <w:rFonts w:hint="eastAsia" w:ascii="宋体" w:hAnsi="宋体" w:eastAsia="宋体" w:cs="宋体"/>
          <w:color w:val="000000" w:themeColor="text1"/>
          <w:sz w:val="28"/>
          <w:szCs w:val="28"/>
          <w:highlight w:val="none"/>
          <w14:textFill>
            <w14:solidFill>
              <w14:schemeClr w14:val="tx1"/>
            </w14:solidFill>
          </w14:textFill>
        </w:rPr>
        <w:t>。</w:t>
      </w:r>
    </w:p>
    <w:p>
      <w:pPr>
        <w:numPr>
          <w:ilvl w:val="0"/>
          <w:numId w:val="0"/>
        </w:numPr>
        <w:tabs>
          <w:tab w:val="left" w:pos="567"/>
          <w:tab w:val="left" w:pos="1060"/>
        </w:tabs>
        <w:spacing w:line="360" w:lineRule="auto"/>
        <w:ind w:left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bCs/>
          <w:color w:val="000000" w:themeColor="text1"/>
          <w:kern w:val="0"/>
          <w:sz w:val="28"/>
          <w:szCs w:val="28"/>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8"/>
          <w:szCs w:val="28"/>
          <w:highlight w:val="none"/>
          <w14:textFill>
            <w14:solidFill>
              <w14:schemeClr w14:val="tx1"/>
            </w14:solidFill>
          </w14:textFill>
        </w:rPr>
        <w:t>为了确保乙方诚信合作和安全经营服务，乙方自本合同签订当天即向甲方一次性缴纳履约保证金</w:t>
      </w:r>
      <w:r>
        <w:rPr>
          <w:rFonts w:hint="eastAsia" w:ascii="宋体" w:hAnsi="宋体" w:eastAsia="宋体" w:cs="宋体"/>
          <w:color w:val="000000" w:themeColor="text1"/>
          <w:sz w:val="28"/>
          <w:szCs w:val="28"/>
          <w14:textFill>
            <w14:solidFill>
              <w14:schemeClr w14:val="tx1"/>
            </w14:solidFill>
          </w14:textFill>
        </w:rPr>
        <w:t>人民币</w:t>
      </w:r>
      <w:r>
        <w:rPr>
          <w:rFonts w:hint="eastAsia" w:ascii="宋体" w:hAnsi="宋体" w:eastAsia="宋体" w:cs="宋体"/>
          <w:color w:val="000000" w:themeColor="text1"/>
          <w:sz w:val="28"/>
          <w:szCs w:val="28"/>
          <w:lang w:val="en-US" w:eastAsia="zh-CN"/>
          <w14:textFill>
            <w14:solidFill>
              <w14:schemeClr w14:val="tx1"/>
            </w14:solidFill>
          </w14:textFill>
        </w:rPr>
        <w:t>50000</w:t>
      </w:r>
      <w:r>
        <w:rPr>
          <w:rFonts w:hint="eastAsia" w:ascii="宋体" w:hAnsi="宋体" w:eastAsia="宋体" w:cs="宋体"/>
          <w:color w:val="000000" w:themeColor="text1"/>
          <w:sz w:val="28"/>
          <w:szCs w:val="28"/>
          <w14:textFill>
            <w14:solidFill>
              <w14:schemeClr w14:val="tx1"/>
            </w14:solidFill>
          </w14:textFill>
        </w:rPr>
        <w:t>元（大写:</w:t>
      </w:r>
      <w:r>
        <w:rPr>
          <w:rFonts w:hint="eastAsia" w:ascii="宋体" w:hAnsi="宋体" w:eastAsia="宋体" w:cs="宋体"/>
          <w:color w:val="000000" w:themeColor="text1"/>
          <w:sz w:val="28"/>
          <w:szCs w:val="28"/>
          <w:lang w:val="en-US" w:eastAsia="zh-CN"/>
          <w14:textFill>
            <w14:solidFill>
              <w14:schemeClr w14:val="tx1"/>
            </w14:solidFill>
          </w14:textFill>
        </w:rPr>
        <w:t>伍</w:t>
      </w:r>
      <w:r>
        <w:rPr>
          <w:rFonts w:hint="eastAsia" w:ascii="宋体" w:hAnsi="宋体" w:eastAsia="宋体" w:cs="宋体"/>
          <w:color w:val="000000" w:themeColor="text1"/>
          <w:sz w:val="28"/>
          <w:szCs w:val="28"/>
          <w14:textFill>
            <w14:solidFill>
              <w14:schemeClr w14:val="tx1"/>
            </w14:solidFill>
          </w14:textFill>
        </w:rPr>
        <w:t>万圆整），</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首月支付餐饮承包费时，留存5万作为年度合作保障金，待合同到期后10日内退还。</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支付后七个工作日内开具院方收据。</w:t>
      </w:r>
      <w:r>
        <w:rPr>
          <w:rFonts w:hint="eastAsia" w:ascii="宋体" w:hAnsi="宋体" w:eastAsia="宋体" w:cs="宋体"/>
          <w:color w:val="000000" w:themeColor="text1"/>
          <w:sz w:val="28"/>
          <w:szCs w:val="28"/>
          <w:highlight w:val="none"/>
          <w14:textFill>
            <w14:solidFill>
              <w14:schemeClr w14:val="tx1"/>
            </w14:solidFill>
          </w14:textFill>
        </w:rPr>
        <w:t>用于支付本合同期内乙方违规造成的安全赔偿及其余本合同规定的扣款</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合同期满，乙方未发生上述情况，乙方配合甲方在合同终止日内完成财务结算、资产交接工作，甲方承诺合同终止后</w:t>
      </w:r>
      <w:r>
        <w:rPr>
          <w:rFonts w:hint="eastAsia" w:ascii="宋体" w:hAnsi="宋体" w:eastAsia="宋体" w:cs="宋体"/>
          <w:color w:val="000000" w:themeColor="text1"/>
          <w:sz w:val="28"/>
          <w:szCs w:val="28"/>
          <w:highlight w:val="none"/>
          <w:lang w:val="en-US" w:eastAsia="zh-CN"/>
          <w14:textFill>
            <w14:solidFill>
              <w14:schemeClr w14:val="tx1"/>
            </w14:solidFill>
          </w14:textFill>
        </w:rPr>
        <w:t>十</w:t>
      </w:r>
      <w:r>
        <w:rPr>
          <w:rFonts w:hint="eastAsia" w:ascii="宋体" w:hAnsi="宋体" w:eastAsia="宋体" w:cs="宋体"/>
          <w:color w:val="000000" w:themeColor="text1"/>
          <w:sz w:val="28"/>
          <w:szCs w:val="28"/>
          <w:highlight w:val="none"/>
          <w14:textFill>
            <w14:solidFill>
              <w14:schemeClr w14:val="tx1"/>
            </w14:solidFill>
          </w14:textFill>
        </w:rPr>
        <w:t>个工作日内一次性无息退还乙方全部履约保证金。</w:t>
      </w:r>
    </w:p>
    <w:p>
      <w:pPr>
        <w:numPr>
          <w:ilvl w:val="0"/>
          <w:numId w:val="0"/>
        </w:numPr>
        <w:tabs>
          <w:tab w:val="left" w:pos="567"/>
          <w:tab w:val="left" w:pos="1060"/>
        </w:tabs>
        <w:spacing w:line="360" w:lineRule="auto"/>
        <w:ind w:leftChars="0"/>
        <w:rPr>
          <w:rFonts w:hint="eastAsia" w:ascii="宋体" w:hAnsi="宋体" w:eastAsia="宋体" w:cs="宋体"/>
          <w:b/>
          <w:bCs/>
          <w:color w:val="000000" w:themeColor="text1"/>
          <w:sz w:val="28"/>
          <w:szCs w:val="28"/>
          <w:highlight w:val="none"/>
          <w14:textFill>
            <w14:solidFill>
              <w14:schemeClr w14:val="tx1"/>
            </w14:solidFill>
          </w14:textFill>
        </w:rPr>
      </w:pPr>
      <w:bookmarkStart w:id="4" w:name="_Toc24338"/>
      <w:r>
        <w:rPr>
          <w:rFonts w:hint="eastAsia" w:ascii="宋体" w:hAnsi="宋体" w:cs="宋体"/>
          <w:bCs/>
          <w:color w:val="000000" w:themeColor="text1"/>
          <w:kern w:val="0"/>
          <w:sz w:val="28"/>
          <w:szCs w:val="28"/>
          <w:highlight w:val="none"/>
          <w:lang w:val="en-US" w:eastAsia="zh-CN"/>
          <w14:textFill>
            <w14:solidFill>
              <w14:schemeClr w14:val="tx1"/>
            </w14:solidFill>
          </w14:textFill>
        </w:rPr>
        <w:t>6、</w:t>
      </w:r>
      <w:r>
        <w:rPr>
          <w:rFonts w:hint="eastAsia" w:ascii="宋体" w:hAnsi="宋体" w:eastAsia="宋体" w:cs="宋体"/>
          <w:bCs/>
          <w:color w:val="000000" w:themeColor="text1"/>
          <w:kern w:val="0"/>
          <w:sz w:val="28"/>
          <w:szCs w:val="28"/>
          <w:highlight w:val="none"/>
          <w14:textFill>
            <w14:solidFill>
              <w14:schemeClr w14:val="tx1"/>
            </w14:solidFill>
          </w14:textFill>
        </w:rPr>
        <w:t>乙方负责餐卡的充值管理工作，餐卡充值金额由乙方派专人定时交到甲方财务</w:t>
      </w:r>
      <w:r>
        <w:rPr>
          <w:rFonts w:hint="eastAsia" w:ascii="宋体" w:hAnsi="宋体" w:eastAsia="宋体" w:cs="宋体"/>
          <w:bCs/>
          <w:color w:val="000000" w:themeColor="text1"/>
          <w:kern w:val="0"/>
          <w:sz w:val="28"/>
          <w:szCs w:val="28"/>
          <w:highlight w:val="none"/>
          <w:lang w:val="en-US" w:eastAsia="zh-CN"/>
          <w14:textFill>
            <w14:solidFill>
              <w14:schemeClr w14:val="tx1"/>
            </w14:solidFill>
          </w14:textFill>
        </w:rPr>
        <w:t>科</w:t>
      </w:r>
      <w:r>
        <w:rPr>
          <w:rFonts w:hint="eastAsia" w:ascii="宋体" w:hAnsi="宋体" w:eastAsia="宋体" w:cs="宋体"/>
          <w:bCs/>
          <w:color w:val="000000" w:themeColor="text1"/>
          <w:kern w:val="0"/>
          <w:sz w:val="28"/>
          <w:szCs w:val="28"/>
          <w:highlight w:val="none"/>
          <w14:textFill>
            <w14:solidFill>
              <w14:schemeClr w14:val="tx1"/>
            </w14:solidFill>
          </w14:textFill>
        </w:rPr>
        <w:t>，甲方于每月</w:t>
      </w:r>
      <w:r>
        <w:rPr>
          <w:rFonts w:hint="eastAsia" w:ascii="宋体" w:hAnsi="宋体" w:eastAsia="宋体" w:cs="宋体"/>
          <w:bCs/>
          <w:color w:val="000000" w:themeColor="text1"/>
          <w:kern w:val="0"/>
          <w:sz w:val="28"/>
          <w:szCs w:val="28"/>
          <w:highlight w:val="none"/>
          <w:lang w:val="en-US" w:eastAsia="zh-CN"/>
          <w14:textFill>
            <w14:solidFill>
              <w14:schemeClr w14:val="tx1"/>
            </w14:solidFill>
          </w14:textFill>
        </w:rPr>
        <w:t>25</w:t>
      </w:r>
      <w:r>
        <w:rPr>
          <w:rFonts w:hint="eastAsia" w:ascii="宋体" w:hAnsi="宋体" w:eastAsia="宋体" w:cs="宋体"/>
          <w:bCs/>
          <w:color w:val="000000" w:themeColor="text1"/>
          <w:kern w:val="0"/>
          <w:sz w:val="28"/>
          <w:szCs w:val="28"/>
          <w:highlight w:val="none"/>
          <w14:textFill>
            <w14:solidFill>
              <w14:schemeClr w14:val="tx1"/>
            </w14:solidFill>
          </w14:textFill>
        </w:rPr>
        <w:t>日前向乙方予以结清上月月初截至到上月月底的卡机消费及送餐签单金额所有款项。</w:t>
      </w:r>
      <w:bookmarkEnd w:id="4"/>
      <w:bookmarkStart w:id="5" w:name="_Toc478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第</w:t>
      </w:r>
      <w:r>
        <w:rPr>
          <w:rFonts w:hint="eastAsia" w:ascii="宋体" w:hAnsi="宋体"/>
          <w:b/>
          <w:bCs/>
          <w:color w:val="000000" w:themeColor="text1"/>
          <w:sz w:val="28"/>
          <w:szCs w:val="28"/>
          <w:highlight w:val="none"/>
          <w:lang w:val="en-US" w:eastAsia="zh-CN"/>
          <w14:textFill>
            <w14:solidFill>
              <w14:schemeClr w14:val="tx1"/>
            </w14:solidFill>
          </w14:textFill>
        </w:rPr>
        <w:t>三</w:t>
      </w:r>
      <w:r>
        <w:rPr>
          <w:rFonts w:hint="eastAsia" w:ascii="宋体" w:hAnsi="宋体"/>
          <w:b/>
          <w:bCs/>
          <w:color w:val="000000" w:themeColor="text1"/>
          <w:sz w:val="28"/>
          <w:szCs w:val="28"/>
          <w:highlight w:val="none"/>
          <w14:textFill>
            <w14:solidFill>
              <w14:schemeClr w14:val="tx1"/>
            </w14:solidFill>
          </w14:textFill>
        </w:rPr>
        <w:t>条</w:t>
      </w:r>
      <w:r>
        <w:rPr>
          <w:rFonts w:hint="eastAsia" w:ascii="宋体" w:hAnsi="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b/>
          <w:bCs/>
          <w:color w:val="000000" w:themeColor="text1"/>
          <w:kern w:val="0"/>
          <w:sz w:val="28"/>
          <w:szCs w:val="28"/>
          <w:highlight w:val="none"/>
          <w14:textFill>
            <w14:solidFill>
              <w14:schemeClr w14:val="tx1"/>
            </w14:solidFill>
          </w14:textFill>
        </w:rPr>
        <w:t>合作期限</w:t>
      </w:r>
      <w:bookmarkEnd w:id="5"/>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ind w:left="360" w:leftChars="0" w:hanging="360" w:firstLineChars="0"/>
        <w:textAlignment w:val="auto"/>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pP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1、本项目服务总期限三年，合同一年一签</w:t>
      </w:r>
      <w:r>
        <w:rPr>
          <w:rFonts w:hint="eastAsia" w:ascii="宋体" w:hAnsi="宋体" w:cs="宋体"/>
          <w:bCs/>
          <w:color w:val="000000" w:themeColor="text1"/>
          <w:kern w:val="0"/>
          <w:sz w:val="28"/>
          <w:szCs w:val="28"/>
          <w:highlight w:val="none"/>
          <w:lang w:val="en-US" w:eastAsia="zh-CN" w:bidi="ar-SA"/>
          <w14:textFill>
            <w14:solidFill>
              <w14:schemeClr w14:val="tx1"/>
            </w14:solidFill>
          </w14:textFill>
        </w:rPr>
        <w:t>，</w:t>
      </w: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首次合同服务期：</w:t>
      </w:r>
      <w:r>
        <w:rPr>
          <w:rFonts w:hint="eastAsia" w:ascii="宋体" w:hAnsi="宋体" w:cs="宋体"/>
          <w:bCs/>
          <w:color w:val="000000" w:themeColor="text1"/>
          <w:kern w:val="0"/>
          <w:sz w:val="28"/>
          <w:szCs w:val="28"/>
          <w:highlight w:val="none"/>
          <w:lang w:val="en-US" w:eastAsia="zh-CN" w:bidi="ar-SA"/>
          <w14:textFill>
            <w14:solidFill>
              <w14:schemeClr w14:val="tx1"/>
            </w14:solidFill>
          </w14:textFill>
        </w:rPr>
        <w:t>2026</w:t>
      </w: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年</w:t>
      </w:r>
      <w:r>
        <w:rPr>
          <w:rFonts w:hint="eastAsia" w:ascii="宋体" w:hAnsi="宋体" w:cs="宋体"/>
          <w:bCs/>
          <w:color w:val="000000" w:themeColor="text1"/>
          <w:kern w:val="0"/>
          <w:sz w:val="28"/>
          <w:szCs w:val="28"/>
          <w:highlight w:val="none"/>
          <w:lang w:val="en-US" w:eastAsia="zh-CN" w:bidi="ar-SA"/>
          <w14:textFill>
            <w14:solidFill>
              <w14:schemeClr w14:val="tx1"/>
            </w14:solidFill>
          </w14:textFill>
        </w:rPr>
        <w:t>4</w:t>
      </w: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月</w:t>
      </w:r>
      <w:r>
        <w:rPr>
          <w:rFonts w:hint="eastAsia" w:ascii="宋体" w:hAnsi="宋体" w:cs="宋体"/>
          <w:bCs/>
          <w:color w:val="000000" w:themeColor="text1"/>
          <w:kern w:val="0"/>
          <w:sz w:val="28"/>
          <w:szCs w:val="28"/>
          <w:highlight w:val="none"/>
          <w:lang w:val="en-US" w:eastAsia="zh-CN" w:bidi="ar-SA"/>
          <w14:textFill>
            <w14:solidFill>
              <w14:schemeClr w14:val="tx1"/>
            </w14:solidFill>
          </w14:textFill>
        </w:rPr>
        <w:t>3</w:t>
      </w: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日起至</w:t>
      </w:r>
      <w:r>
        <w:rPr>
          <w:rFonts w:hint="eastAsia" w:ascii="宋体" w:hAnsi="宋体" w:cs="宋体"/>
          <w:bCs/>
          <w:color w:val="000000" w:themeColor="text1"/>
          <w:kern w:val="0"/>
          <w:sz w:val="28"/>
          <w:szCs w:val="28"/>
          <w:highlight w:val="none"/>
          <w:lang w:val="en-US" w:eastAsia="zh-CN" w:bidi="ar-SA"/>
          <w14:textFill>
            <w14:solidFill>
              <w14:schemeClr w14:val="tx1"/>
            </w14:solidFill>
          </w14:textFill>
        </w:rPr>
        <w:t>2027</w:t>
      </w: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年</w:t>
      </w:r>
      <w:r>
        <w:rPr>
          <w:rFonts w:hint="eastAsia" w:ascii="宋体" w:hAnsi="宋体" w:cs="宋体"/>
          <w:bCs/>
          <w:color w:val="000000" w:themeColor="text1"/>
          <w:kern w:val="0"/>
          <w:sz w:val="28"/>
          <w:szCs w:val="28"/>
          <w:highlight w:val="none"/>
          <w:lang w:val="en-US" w:eastAsia="zh-CN" w:bidi="ar-SA"/>
          <w14:textFill>
            <w14:solidFill>
              <w14:schemeClr w14:val="tx1"/>
            </w14:solidFill>
          </w14:textFill>
        </w:rPr>
        <w:t>4</w:t>
      </w: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月</w:t>
      </w:r>
      <w:r>
        <w:rPr>
          <w:rFonts w:hint="eastAsia" w:ascii="宋体" w:hAnsi="宋体" w:cs="宋体"/>
          <w:bCs/>
          <w:color w:val="000000" w:themeColor="text1"/>
          <w:kern w:val="0"/>
          <w:sz w:val="28"/>
          <w:szCs w:val="28"/>
          <w:highlight w:val="none"/>
          <w:lang w:val="en-US" w:eastAsia="zh-CN" w:bidi="ar-SA"/>
          <w14:textFill>
            <w14:solidFill>
              <w14:schemeClr w14:val="tx1"/>
            </w14:solidFill>
          </w14:textFill>
        </w:rPr>
        <w:t>2</w:t>
      </w: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日</w:t>
      </w:r>
      <w:r>
        <w:rPr>
          <w:rFonts w:hint="eastAsia" w:ascii="宋体" w:hAnsi="宋体" w:cs="宋体"/>
          <w:bCs/>
          <w:color w:val="000000" w:themeColor="text1"/>
          <w:kern w:val="0"/>
          <w:sz w:val="28"/>
          <w:szCs w:val="28"/>
          <w:highlight w:val="none"/>
          <w:lang w:val="en-US" w:eastAsia="zh-CN" w:bidi="ar-SA"/>
          <w14:textFill>
            <w14:solidFill>
              <w14:schemeClr w14:val="tx1"/>
            </w14:solidFill>
          </w14:textFill>
        </w:rPr>
        <w:t>。</w:t>
      </w: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每年服务期满，经甲方考核</w:t>
      </w:r>
      <w:r>
        <w:rPr>
          <w:rFonts w:hint="eastAsia" w:ascii="宋体" w:hAnsi="宋体"/>
          <w:bCs/>
          <w:color w:val="000000" w:themeColor="text1"/>
          <w:kern w:val="0"/>
          <w:sz w:val="28"/>
          <w:szCs w:val="28"/>
          <w:highlight w:val="none"/>
          <w14:textFill>
            <w14:solidFill>
              <w14:schemeClr w14:val="tx1"/>
            </w14:solidFill>
          </w14:textFill>
        </w:rPr>
        <w:t>无重大过错并通过履约验收</w:t>
      </w: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后续签下一年度合同，累计服务期限不超过三年；考核不合格的，甲方不予续签，合同到期终止。</w:t>
      </w:r>
    </w:p>
    <w:p>
      <w:pPr>
        <w:pStyle w:val="2"/>
        <w:rPr>
          <w:rFonts w:hint="default"/>
          <w:color w:val="000000" w:themeColor="text1"/>
          <w:highlight w:val="none"/>
          <w:lang w:val="en-US" w:eastAsia="zh-CN"/>
          <w14:textFill>
            <w14:solidFill>
              <w14:schemeClr w14:val="tx1"/>
            </w14:solidFill>
          </w14:textFill>
        </w:rPr>
      </w:pPr>
      <w:r>
        <w:rPr>
          <w:rFonts w:hint="eastAsia" w:ascii="宋体" w:hAnsi="宋体" w:cs="宋体"/>
          <w:bCs/>
          <w:color w:val="000000" w:themeColor="text1"/>
          <w:kern w:val="0"/>
          <w:sz w:val="28"/>
          <w:szCs w:val="28"/>
          <w:highlight w:val="none"/>
          <w:lang w:val="en-US" w:eastAsia="zh-CN" w:bidi="ar-SA"/>
          <w14:textFill>
            <w14:solidFill>
              <w14:schemeClr w14:val="tx1"/>
            </w14:solidFill>
          </w14:textFill>
        </w:rPr>
        <w:t>2、考核与续签</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kern w:val="0"/>
          <w:sz w:val="28"/>
          <w:szCs w:val="28"/>
          <w:highlight w:val="none"/>
          <w:lang w:val="en-US" w:eastAsia="zh-CN" w:bidi="ar-SA"/>
          <w14:textFill>
            <w14:solidFill>
              <w14:schemeClr w14:val="tx1"/>
            </w14:solidFill>
          </w14:textFill>
        </w:rPr>
      </w:pPr>
      <w:r>
        <w:rPr>
          <w:rFonts w:hint="eastAsia" w:ascii="宋体" w:hAnsi="宋体" w:cs="宋体"/>
          <w:bCs/>
          <w:color w:val="000000" w:themeColor="text1"/>
          <w:kern w:val="0"/>
          <w:sz w:val="28"/>
          <w:szCs w:val="28"/>
          <w:highlight w:val="none"/>
          <w:lang w:val="en-US" w:eastAsia="zh-CN" w:bidi="ar-SA"/>
          <w14:textFill>
            <w14:solidFill>
              <w14:schemeClr w14:val="tx1"/>
            </w14:solidFill>
          </w14:textFill>
        </w:rPr>
        <w:t>（1）</w:t>
      </w: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甲方建立</w:t>
      </w:r>
      <w:r>
        <w:rPr>
          <w:rFonts w:hint="eastAsia" w:ascii="宋体" w:hAnsi="宋体" w:cs="宋体"/>
          <w:bCs/>
          <w:color w:val="000000" w:themeColor="text1"/>
          <w:kern w:val="0"/>
          <w:sz w:val="28"/>
          <w:szCs w:val="28"/>
          <w:highlight w:val="none"/>
          <w:lang w:val="en-US" w:eastAsia="zh-CN" w:bidi="ar-SA"/>
          <w14:textFill>
            <w14:solidFill>
              <w14:schemeClr w14:val="tx1"/>
            </w14:solidFill>
          </w14:textFill>
        </w:rPr>
        <w:t>月</w:t>
      </w: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 xml:space="preserve">度考核 </w:t>
      </w:r>
      <w:r>
        <w:rPr>
          <w:rFonts w:hint="eastAsia" w:ascii="宋体" w:hAnsi="宋体" w:cs="宋体"/>
          <w:bCs/>
          <w:color w:val="000000" w:themeColor="text1"/>
          <w:kern w:val="0"/>
          <w:sz w:val="28"/>
          <w:szCs w:val="28"/>
          <w:highlight w:val="none"/>
          <w:lang w:val="en-US" w:eastAsia="zh-CN" w:bidi="ar-SA"/>
          <w14:textFill>
            <w14:solidFill>
              <w14:schemeClr w14:val="tx1"/>
            </w14:solidFill>
          </w14:textFill>
        </w:rPr>
        <w:t>（附件1）</w:t>
      </w: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 日常监管相结合的管理机制，</w:t>
      </w:r>
      <w:r>
        <w:rPr>
          <w:rFonts w:hint="eastAsia" w:ascii="宋体" w:hAnsi="宋体"/>
          <w:bCs/>
          <w:color w:val="000000" w:themeColor="text1"/>
          <w:kern w:val="0"/>
          <w:sz w:val="28"/>
          <w:szCs w:val="28"/>
          <w:highlight w:val="none"/>
          <w14:textFill>
            <w14:solidFill>
              <w14:schemeClr w14:val="tx1"/>
            </w14:solidFill>
          </w14:textFill>
        </w:rPr>
        <w:t>严格按本合同约定和甲方要求的餐饮服务标准对乙方工作进行全面监督检查和评估</w:t>
      </w:r>
      <w:r>
        <w:rPr>
          <w:rFonts w:hint="eastAsia" w:ascii="宋体" w:hAnsi="宋体"/>
          <w:bCs/>
          <w:color w:val="000000" w:themeColor="text1"/>
          <w:kern w:val="0"/>
          <w:sz w:val="28"/>
          <w:szCs w:val="28"/>
          <w:highlight w:val="none"/>
          <w:lang w:eastAsia="zh-CN"/>
          <w14:textFill>
            <w14:solidFill>
              <w14:schemeClr w14:val="tx1"/>
            </w14:solidFill>
          </w14:textFill>
        </w:rPr>
        <w:t>，</w:t>
      </w: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考核结果作为是否续签的依据。</w:t>
      </w:r>
      <w:r>
        <w:rPr>
          <w:rFonts w:hint="eastAsia" w:ascii="宋体" w:hAnsi="宋体" w:eastAsia="宋体" w:cs="宋体"/>
          <w:i w:val="0"/>
          <w:iCs w:val="0"/>
          <w:caps w:val="0"/>
          <w:color w:val="auto"/>
          <w:spacing w:val="0"/>
          <w:sz w:val="28"/>
          <w:szCs w:val="28"/>
          <w:highlight w:val="none"/>
          <w:shd w:val="clear" w:fill="FFFFFF"/>
        </w:rPr>
        <w:t>若</w:t>
      </w:r>
      <w:r>
        <w:rPr>
          <w:rStyle w:val="12"/>
          <w:rFonts w:hint="eastAsia" w:ascii="宋体" w:hAnsi="宋体" w:eastAsia="宋体" w:cs="宋体"/>
          <w:i w:val="0"/>
          <w:iCs w:val="0"/>
          <w:caps w:val="0"/>
          <w:color w:val="auto"/>
          <w:spacing w:val="0"/>
          <w:sz w:val="28"/>
          <w:szCs w:val="28"/>
          <w:highlight w:val="none"/>
          <w:shd w:val="clear" w:fill="FFFFFF"/>
        </w:rPr>
        <w:t>乙方</w:t>
      </w:r>
      <w:r>
        <w:rPr>
          <w:rFonts w:hint="eastAsia" w:ascii="宋体" w:hAnsi="宋体" w:eastAsia="宋体" w:cs="宋体"/>
          <w:i w:val="0"/>
          <w:iCs w:val="0"/>
          <w:caps w:val="0"/>
          <w:color w:val="auto"/>
          <w:spacing w:val="0"/>
          <w:sz w:val="28"/>
          <w:szCs w:val="28"/>
          <w:highlight w:val="none"/>
          <w:shd w:val="clear" w:fill="FFFFFF"/>
        </w:rPr>
        <w:t>在每</w:t>
      </w:r>
      <w:r>
        <w:rPr>
          <w:rFonts w:hint="eastAsia" w:ascii="宋体" w:hAnsi="宋体" w:eastAsia="宋体" w:cs="宋体"/>
          <w:i w:val="0"/>
          <w:iCs w:val="0"/>
          <w:caps w:val="0"/>
          <w:color w:val="auto"/>
          <w:spacing w:val="0"/>
          <w:sz w:val="28"/>
          <w:szCs w:val="28"/>
          <w:highlight w:val="none"/>
          <w:shd w:val="clear" w:fill="FFFFFF"/>
          <w:lang w:eastAsia="zh-CN"/>
        </w:rPr>
        <w:t>年</w:t>
      </w:r>
      <w:r>
        <w:rPr>
          <w:rFonts w:hint="eastAsia" w:ascii="宋体" w:hAnsi="宋体" w:cs="宋体"/>
          <w:i w:val="0"/>
          <w:iCs w:val="0"/>
          <w:caps w:val="0"/>
          <w:color w:val="auto"/>
          <w:spacing w:val="0"/>
          <w:sz w:val="28"/>
          <w:szCs w:val="28"/>
          <w:highlight w:val="none"/>
          <w:shd w:val="clear" w:fill="FFFFFF"/>
          <w:lang w:val="en-US" w:eastAsia="zh-CN"/>
        </w:rPr>
        <w:t>月度</w:t>
      </w:r>
      <w:r>
        <w:rPr>
          <w:rStyle w:val="12"/>
          <w:rFonts w:hint="eastAsia" w:ascii="宋体" w:hAnsi="宋体" w:eastAsia="宋体" w:cs="宋体"/>
          <w:i w:val="0"/>
          <w:iCs w:val="0"/>
          <w:caps w:val="0"/>
          <w:color w:val="auto"/>
          <w:spacing w:val="0"/>
          <w:sz w:val="28"/>
          <w:szCs w:val="28"/>
          <w:highlight w:val="none"/>
          <w:shd w:val="clear" w:fill="FFFFFF"/>
        </w:rPr>
        <w:t>考核</w:t>
      </w:r>
      <w:r>
        <w:rPr>
          <w:rFonts w:hint="eastAsia" w:ascii="宋体" w:hAnsi="宋体" w:cs="宋体"/>
          <w:i w:val="0"/>
          <w:iCs w:val="0"/>
          <w:caps w:val="0"/>
          <w:color w:val="auto"/>
          <w:spacing w:val="0"/>
          <w:sz w:val="28"/>
          <w:szCs w:val="28"/>
          <w:highlight w:val="none"/>
          <w:shd w:val="clear" w:fill="FFFFFF"/>
          <w:lang w:val="en-US" w:eastAsia="zh-CN"/>
        </w:rPr>
        <w:t>（附件1）60分以下或职工满意度调查(附件2）中平均分</w:t>
      </w:r>
      <w:r>
        <w:rPr>
          <w:rFonts w:hint="eastAsia" w:ascii="宋体" w:hAnsi="宋体" w:eastAsia="宋体" w:cs="宋体"/>
          <w:i w:val="0"/>
          <w:iCs w:val="0"/>
          <w:caps w:val="0"/>
          <w:color w:val="auto"/>
          <w:spacing w:val="0"/>
          <w:sz w:val="28"/>
          <w:szCs w:val="28"/>
          <w:highlight w:val="none"/>
          <w:shd w:val="clear" w:fill="FFFFFF"/>
        </w:rPr>
        <w:t>有</w:t>
      </w:r>
      <w:r>
        <w:rPr>
          <w:rFonts w:hint="eastAsia" w:ascii="宋体" w:hAnsi="宋体" w:eastAsia="宋体" w:cs="宋体"/>
          <w:i w:val="0"/>
          <w:iCs w:val="0"/>
          <w:caps w:val="0"/>
          <w:color w:val="auto"/>
          <w:spacing w:val="0"/>
          <w:sz w:val="28"/>
          <w:szCs w:val="28"/>
          <w:highlight w:val="none"/>
          <w:shd w:val="clear" w:fill="FFFFFF"/>
          <w:lang w:val="en-US" w:eastAsia="zh-CN"/>
        </w:rPr>
        <w:t>3</w:t>
      </w:r>
      <w:r>
        <w:rPr>
          <w:rFonts w:hint="eastAsia" w:ascii="宋体" w:hAnsi="宋体" w:cs="宋体"/>
          <w:i w:val="0"/>
          <w:iCs w:val="0"/>
          <w:caps w:val="0"/>
          <w:color w:val="auto"/>
          <w:spacing w:val="0"/>
          <w:sz w:val="28"/>
          <w:szCs w:val="28"/>
          <w:highlight w:val="none"/>
          <w:shd w:val="clear" w:fill="FFFFFF"/>
          <w:lang w:val="en-US" w:eastAsia="zh-CN"/>
        </w:rPr>
        <w:t>次60分以下</w:t>
      </w:r>
      <w:r>
        <w:rPr>
          <w:rFonts w:hint="eastAsia" w:ascii="宋体" w:hAnsi="宋体" w:eastAsia="宋体" w:cs="宋体"/>
          <w:i w:val="0"/>
          <w:iCs w:val="0"/>
          <w:caps w:val="0"/>
          <w:color w:val="auto"/>
          <w:spacing w:val="0"/>
          <w:sz w:val="28"/>
          <w:szCs w:val="28"/>
          <w:highlight w:val="none"/>
          <w:shd w:val="clear" w:fill="FFFFFF"/>
        </w:rPr>
        <w:t>的</w:t>
      </w:r>
      <w:r>
        <w:rPr>
          <w:rFonts w:hint="eastAsia" w:ascii="宋体" w:hAnsi="宋体" w:eastAsia="宋体" w:cs="宋体"/>
          <w:i w:val="0"/>
          <w:iCs w:val="0"/>
          <w:caps w:val="0"/>
          <w:color w:val="auto"/>
          <w:spacing w:val="0"/>
          <w:sz w:val="28"/>
          <w:szCs w:val="28"/>
          <w:highlight w:val="none"/>
          <w:shd w:val="clear" w:fill="FFFFFF"/>
          <w:lang w:eastAsia="zh-CN"/>
        </w:rPr>
        <w:t>情况，甲方有权解除合同。</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pPr>
      <w:r>
        <w:rPr>
          <w:rFonts w:hint="eastAsia" w:ascii="宋体" w:hAnsi="宋体" w:cs="宋体"/>
          <w:bCs/>
          <w:color w:val="000000" w:themeColor="text1"/>
          <w:kern w:val="0"/>
          <w:sz w:val="28"/>
          <w:szCs w:val="28"/>
          <w:highlight w:val="none"/>
          <w:lang w:val="en-US" w:eastAsia="zh-CN" w:bidi="ar-SA"/>
          <w14:textFill>
            <w14:solidFill>
              <w14:schemeClr w14:val="tx1"/>
            </w14:solidFill>
          </w14:textFill>
        </w:rPr>
        <w:t>（2）乙方</w:t>
      </w: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考核不合格</w:t>
      </w:r>
      <w:r>
        <w:rPr>
          <w:rFonts w:hint="eastAsia" w:ascii="宋体" w:hAnsi="宋体" w:cs="宋体"/>
          <w:bCs/>
          <w:color w:val="000000" w:themeColor="text1"/>
          <w:kern w:val="0"/>
          <w:sz w:val="28"/>
          <w:szCs w:val="28"/>
          <w:highlight w:val="none"/>
          <w:lang w:val="en-US" w:eastAsia="zh-CN" w:bidi="ar-SA"/>
          <w14:textFill>
            <w14:solidFill>
              <w14:schemeClr w14:val="tx1"/>
            </w14:solidFill>
          </w14:textFill>
        </w:rPr>
        <w:t>（</w:t>
      </w:r>
      <w:r>
        <w:rPr>
          <w:rFonts w:hint="eastAsia" w:ascii="宋体" w:hAnsi="宋体"/>
          <w:bCs/>
          <w:color w:val="000000" w:themeColor="text1"/>
          <w:kern w:val="0"/>
          <w:sz w:val="28"/>
          <w:szCs w:val="28"/>
          <w:highlight w:val="none"/>
          <w14:textFill>
            <w14:solidFill>
              <w14:schemeClr w14:val="tx1"/>
            </w14:solidFill>
          </w14:textFill>
        </w:rPr>
        <w:t>乙方服务未达到本合同约定和甲方要求的标准或投标文件所承诺的各项事宜</w:t>
      </w:r>
      <w:r>
        <w:rPr>
          <w:rFonts w:hint="eastAsia" w:ascii="宋体" w:hAnsi="宋体" w:cs="宋体"/>
          <w:bCs/>
          <w:color w:val="000000" w:themeColor="text1"/>
          <w:kern w:val="0"/>
          <w:sz w:val="28"/>
          <w:szCs w:val="28"/>
          <w:highlight w:val="none"/>
          <w:lang w:val="en-US" w:eastAsia="zh-CN" w:bidi="ar-SA"/>
          <w14:textFill>
            <w14:solidFill>
              <w14:schemeClr w14:val="tx1"/>
            </w14:solidFill>
          </w14:textFill>
        </w:rPr>
        <w:t>）或</w:t>
      </w:r>
      <w:r>
        <w:rPr>
          <w:rFonts w:hint="default" w:ascii="宋体" w:hAnsi="宋体" w:eastAsia="宋体" w:cs="宋体"/>
          <w:bCs/>
          <w:color w:val="000000" w:themeColor="text1"/>
          <w:kern w:val="0"/>
          <w:sz w:val="28"/>
          <w:szCs w:val="28"/>
          <w:highlight w:val="none"/>
          <w:lang w:val="en-US" w:eastAsia="zh-CN" w:bidi="ar-SA"/>
          <w14:textFill>
            <w14:solidFill>
              <w14:schemeClr w14:val="tx1"/>
            </w14:solidFill>
          </w14:textFill>
        </w:rPr>
        <w:t>出现重大食品安全事故、严重违约等情形的，甲方有权不予续签、单方解除合同，并按规定追究乙方责任。</w:t>
      </w:r>
    </w:p>
    <w:p>
      <w:pPr>
        <w:pStyle w:val="3"/>
        <w:spacing w:line="360" w:lineRule="exact"/>
        <w:rPr>
          <w:rFonts w:hint="eastAsia" w:ascii="宋体" w:hAnsi="宋体" w:eastAsia="宋体" w:cs="Times New Roman"/>
          <w:b/>
          <w:bCs/>
          <w:kern w:val="0"/>
          <w:sz w:val="28"/>
          <w:szCs w:val="28"/>
          <w:highlight w:val="none"/>
          <w:lang w:val="en-US" w:eastAsia="zh-CN" w:bidi="ar-SA"/>
        </w:rPr>
      </w:pPr>
      <w:bookmarkStart w:id="6" w:name="_Toc32485"/>
      <w:r>
        <w:rPr>
          <w:rFonts w:hint="eastAsia" w:ascii="宋体" w:hAnsi="宋体" w:eastAsia="宋体" w:cs="Times New Roman"/>
          <w:b/>
          <w:bCs/>
          <w:kern w:val="0"/>
          <w:sz w:val="28"/>
          <w:szCs w:val="28"/>
          <w:highlight w:val="none"/>
          <w:lang w:val="en-US" w:eastAsia="zh-CN" w:bidi="ar-SA"/>
        </w:rPr>
        <w:t>第四条</w:t>
      </w:r>
      <w:r>
        <w:rPr>
          <w:rFonts w:hint="eastAsia" w:ascii="宋体" w:hAnsi="宋体" w:cs="Times New Roman"/>
          <w:b/>
          <w:bCs/>
          <w:kern w:val="0"/>
          <w:sz w:val="28"/>
          <w:szCs w:val="28"/>
          <w:highlight w:val="none"/>
          <w:lang w:val="en-US" w:eastAsia="zh-CN" w:bidi="ar-SA"/>
        </w:rPr>
        <w:t xml:space="preserve"> </w:t>
      </w:r>
      <w:r>
        <w:rPr>
          <w:rFonts w:hint="eastAsia" w:ascii="宋体" w:hAnsi="宋体" w:eastAsia="宋体" w:cs="Times New Roman"/>
          <w:b/>
          <w:bCs/>
          <w:kern w:val="0"/>
          <w:sz w:val="28"/>
          <w:szCs w:val="28"/>
          <w:highlight w:val="none"/>
          <w:lang w:val="en-US" w:eastAsia="zh-CN" w:bidi="ar-SA"/>
        </w:rPr>
        <w:t>甲方权利和责任义务</w:t>
      </w:r>
      <w:bookmarkEnd w:id="6"/>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rPr>
      </w:pPr>
      <w:r>
        <w:rPr>
          <w:rFonts w:hint="default" w:ascii="宋体" w:hAnsi="宋体"/>
          <w:bCs/>
          <w:kern w:val="0"/>
          <w:sz w:val="28"/>
          <w:szCs w:val="28"/>
          <w:highlight w:val="none"/>
          <w:lang w:val="en-US" w:eastAsia="zh-CN"/>
        </w:rPr>
        <w:t>1、</w:t>
      </w:r>
      <w:r>
        <w:rPr>
          <w:rFonts w:hint="eastAsia" w:ascii="宋体" w:hAnsi="宋体"/>
          <w:bCs/>
          <w:kern w:val="0"/>
          <w:sz w:val="28"/>
          <w:szCs w:val="28"/>
          <w:highlight w:val="none"/>
        </w:rPr>
        <w:t>运营服务监督权：甲方对乙方的经营管理服务状况有监督权，如乙方违背本合同约定、甲方要求及招投标的承诺，甲方有权要求乙方自行整改，</w:t>
      </w:r>
      <w:r>
        <w:rPr>
          <w:rFonts w:hint="eastAsia" w:ascii="宋体" w:hAnsi="宋体"/>
          <w:bCs/>
          <w:kern w:val="0"/>
          <w:sz w:val="28"/>
          <w:szCs w:val="28"/>
          <w:highlight w:val="none"/>
          <w:lang w:eastAsia="zh-CN"/>
        </w:rPr>
        <w:t>如整改不到位</w:t>
      </w:r>
      <w:r>
        <w:rPr>
          <w:rFonts w:hint="eastAsia" w:ascii="宋体" w:hAnsi="宋体"/>
          <w:bCs/>
          <w:kern w:val="0"/>
          <w:sz w:val="28"/>
          <w:szCs w:val="28"/>
          <w:highlight w:val="none"/>
        </w:rPr>
        <w:t>，</w:t>
      </w:r>
      <w:r>
        <w:rPr>
          <w:rFonts w:hint="eastAsia" w:ascii="宋体" w:hAnsi="宋体"/>
          <w:bCs/>
          <w:kern w:val="0"/>
          <w:sz w:val="28"/>
          <w:szCs w:val="28"/>
          <w:highlight w:val="none"/>
          <w:lang w:eastAsia="zh-CN"/>
        </w:rPr>
        <w:t>甲方</w:t>
      </w:r>
      <w:r>
        <w:rPr>
          <w:rFonts w:hint="eastAsia" w:ascii="宋体" w:hAnsi="宋体"/>
          <w:bCs/>
          <w:kern w:val="0"/>
          <w:sz w:val="28"/>
          <w:szCs w:val="28"/>
          <w:highlight w:val="none"/>
        </w:rPr>
        <w:t>有权提前解除合同。</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rPr>
      </w:pPr>
      <w:r>
        <w:rPr>
          <w:rFonts w:hint="default" w:ascii="宋体" w:hAnsi="宋体"/>
          <w:bCs/>
          <w:kern w:val="0"/>
          <w:sz w:val="28"/>
          <w:szCs w:val="28"/>
          <w:highlight w:val="none"/>
          <w:lang w:val="en-US" w:eastAsia="zh-CN"/>
        </w:rPr>
        <w:t>2、</w:t>
      </w:r>
      <w:r>
        <w:rPr>
          <w:rFonts w:hint="eastAsia" w:ascii="宋体" w:hAnsi="宋体"/>
          <w:bCs/>
          <w:kern w:val="0"/>
          <w:sz w:val="28"/>
          <w:szCs w:val="28"/>
          <w:highlight w:val="none"/>
        </w:rPr>
        <w:t>价格与质量监督权：甲方有权监督乙方呈报的原料进价和售卖定价，乙方不得擅自定价或调价。甲方有权进行现场测算所售卖产品的价格和质量是否符合合同约定和甲方要求的标准</w:t>
      </w:r>
      <w:r>
        <w:rPr>
          <w:rFonts w:hint="eastAsia" w:ascii="宋体" w:hAnsi="宋体"/>
          <w:bCs/>
          <w:color w:val="000000" w:themeColor="text1"/>
          <w:kern w:val="0"/>
          <w:sz w:val="28"/>
          <w:szCs w:val="28"/>
          <w:highlight w:val="none"/>
          <w:lang w:eastAsia="zh-CN"/>
          <w14:textFill>
            <w14:solidFill>
              <w14:schemeClr w14:val="tx1"/>
            </w14:solidFill>
          </w14:textFill>
        </w:rPr>
        <w:t>（净利润超出</w:t>
      </w:r>
      <w:r>
        <w:rPr>
          <w:rFonts w:hint="eastAsia" w:ascii="宋体" w:hAnsi="宋体"/>
          <w:bCs/>
          <w:color w:val="000000" w:themeColor="text1"/>
          <w:kern w:val="0"/>
          <w:sz w:val="28"/>
          <w:szCs w:val="28"/>
          <w:highlight w:val="none"/>
          <w:lang w:val="en-US" w:eastAsia="zh-CN"/>
          <w14:textFill>
            <w14:solidFill>
              <w14:schemeClr w14:val="tx1"/>
            </w14:solidFill>
          </w14:textFill>
        </w:rPr>
        <w:t>20%</w:t>
      </w:r>
      <w:r>
        <w:rPr>
          <w:rFonts w:hint="eastAsia" w:ascii="宋体" w:hAnsi="宋体"/>
          <w:bCs/>
          <w:color w:val="000000" w:themeColor="text1"/>
          <w:kern w:val="0"/>
          <w:sz w:val="28"/>
          <w:szCs w:val="28"/>
          <w:highlight w:val="none"/>
          <w:lang w:eastAsia="zh-CN"/>
          <w14:textFill>
            <w14:solidFill>
              <w14:schemeClr w14:val="tx1"/>
            </w14:solidFill>
          </w14:textFill>
        </w:rPr>
        <w:t>），</w:t>
      </w:r>
      <w:r>
        <w:rPr>
          <w:rFonts w:hint="eastAsia" w:ascii="宋体" w:hAnsi="宋体"/>
          <w:bCs/>
          <w:kern w:val="0"/>
          <w:sz w:val="28"/>
          <w:szCs w:val="28"/>
          <w:highlight w:val="none"/>
        </w:rPr>
        <w:t>对现场售卖价格超出合同约定及甲方要求的价格时，超出的部分须通过后期售卖价格下调予以填平，售卖价格直至超出部分被完全填平后方可调整为合同约定和甲方要求的售价。</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rPr>
      </w:pPr>
      <w:r>
        <w:rPr>
          <w:rFonts w:hint="default" w:ascii="宋体" w:hAnsi="宋体"/>
          <w:bCs/>
          <w:kern w:val="0"/>
          <w:sz w:val="28"/>
          <w:szCs w:val="28"/>
          <w:highlight w:val="none"/>
          <w:lang w:val="en-US" w:eastAsia="zh-CN"/>
        </w:rPr>
        <w:t>3、</w:t>
      </w:r>
      <w:r>
        <w:rPr>
          <w:rFonts w:hint="eastAsia" w:ascii="宋体" w:hAnsi="宋体"/>
          <w:bCs/>
          <w:kern w:val="0"/>
          <w:sz w:val="28"/>
          <w:szCs w:val="28"/>
          <w:highlight w:val="none"/>
        </w:rPr>
        <w:t>安全管理监督权：为了确保乙方安全生产，合同有效期间，甲方有权对食品采购、加工、制作、存储、运送、售卖、留样、清洗消毒等环节及餐厅运营中的所有安全生产管理情况进行监督，对发现的安全隐患，甲方有权要求乙方自行整改，对已发生的各类安全事故，甲方有权要求乙方承担因此给甲方造成的全部实际损失。</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rPr>
      </w:pPr>
      <w:r>
        <w:rPr>
          <w:rFonts w:hint="default" w:ascii="宋体" w:hAnsi="宋体"/>
          <w:bCs/>
          <w:kern w:val="0"/>
          <w:sz w:val="28"/>
          <w:szCs w:val="28"/>
          <w:highlight w:val="none"/>
          <w:lang w:val="en-US" w:eastAsia="zh-CN"/>
        </w:rPr>
        <w:t>4、</w:t>
      </w:r>
      <w:r>
        <w:rPr>
          <w:rFonts w:hint="eastAsia" w:ascii="宋体" w:hAnsi="宋体"/>
          <w:bCs/>
          <w:kern w:val="0"/>
          <w:sz w:val="28"/>
          <w:szCs w:val="28"/>
          <w:highlight w:val="none"/>
        </w:rPr>
        <w:t>人员的监督建议权：在乙方管理人员和员工不能达到合同约定和甲方要求的服务标准，或违反甲方的规章制度和劳动纪律时，甲方有权要求乙方更换人员，直至达到甲方和合同规定的要求为止。</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rPr>
      </w:pPr>
      <w:r>
        <w:rPr>
          <w:rFonts w:hint="default" w:ascii="宋体" w:hAnsi="宋体"/>
          <w:bCs/>
          <w:kern w:val="0"/>
          <w:sz w:val="28"/>
          <w:szCs w:val="28"/>
          <w:highlight w:val="none"/>
          <w:lang w:val="en-US" w:eastAsia="zh-CN"/>
        </w:rPr>
        <w:t>5、</w:t>
      </w:r>
      <w:r>
        <w:rPr>
          <w:rFonts w:hint="eastAsia" w:ascii="宋体" w:hAnsi="宋体"/>
          <w:bCs/>
          <w:kern w:val="0"/>
          <w:sz w:val="28"/>
          <w:szCs w:val="28"/>
          <w:highlight w:val="none"/>
        </w:rPr>
        <w:t>甲方有权随时收集就餐者的意见，并就具体的服务质量、内容，定期</w:t>
      </w:r>
      <w:r>
        <w:rPr>
          <w:rFonts w:hint="eastAsia" w:ascii="宋体" w:hAnsi="宋体"/>
          <w:bCs/>
          <w:kern w:val="0"/>
          <w:sz w:val="28"/>
          <w:szCs w:val="28"/>
          <w:highlight w:val="none"/>
          <w:lang w:eastAsia="zh-CN"/>
        </w:rPr>
        <w:t>与乙方共同</w:t>
      </w:r>
      <w:r>
        <w:rPr>
          <w:rFonts w:hint="eastAsia" w:ascii="宋体" w:hAnsi="宋体"/>
          <w:bCs/>
          <w:kern w:val="0"/>
          <w:sz w:val="28"/>
          <w:szCs w:val="28"/>
          <w:highlight w:val="none"/>
        </w:rPr>
        <w:t>组织餐厅满意度调查工作，并将满意度结果及时反馈乙方，要求乙方及时改进服务，对于满意度小于85</w:t>
      </w:r>
      <w:r>
        <w:rPr>
          <w:rFonts w:hint="eastAsia" w:ascii="宋体" w:hAnsi="宋体"/>
          <w:bCs/>
          <w:kern w:val="0"/>
          <w:sz w:val="28"/>
          <w:szCs w:val="28"/>
          <w:highlight w:val="none"/>
          <w:lang w:val="en-US" w:eastAsia="zh-CN"/>
        </w:rPr>
        <w:t>分</w:t>
      </w:r>
      <w:r>
        <w:rPr>
          <w:rFonts w:hint="eastAsia" w:ascii="宋体" w:hAnsi="宋体"/>
          <w:bCs/>
          <w:kern w:val="0"/>
          <w:sz w:val="28"/>
          <w:szCs w:val="28"/>
          <w:highlight w:val="none"/>
        </w:rPr>
        <w:t>的情况，甲方有权要求乙方</w:t>
      </w:r>
      <w:r>
        <w:rPr>
          <w:rFonts w:hint="eastAsia" w:ascii="宋体" w:hAnsi="宋体"/>
          <w:bCs/>
          <w:kern w:val="0"/>
          <w:sz w:val="28"/>
          <w:szCs w:val="28"/>
          <w:highlight w:val="none"/>
          <w:lang w:eastAsia="zh-CN"/>
        </w:rPr>
        <w:t>进行</w:t>
      </w:r>
      <w:r>
        <w:rPr>
          <w:rFonts w:hint="eastAsia" w:ascii="宋体" w:hAnsi="宋体"/>
          <w:bCs/>
          <w:kern w:val="0"/>
          <w:sz w:val="28"/>
          <w:szCs w:val="28"/>
          <w:highlight w:val="none"/>
        </w:rPr>
        <w:t>整</w:t>
      </w:r>
      <w:r>
        <w:rPr>
          <w:rFonts w:hint="eastAsia" w:ascii="宋体" w:hAnsi="宋体"/>
          <w:bCs/>
          <w:kern w:val="0"/>
          <w:sz w:val="28"/>
          <w:szCs w:val="28"/>
          <w:highlight w:val="none"/>
          <w:lang w:eastAsia="zh-CN"/>
        </w:rPr>
        <w:t>改，直至整改到位</w:t>
      </w:r>
      <w:r>
        <w:rPr>
          <w:rFonts w:hint="eastAsia" w:ascii="宋体" w:hAnsi="宋体"/>
          <w:bCs/>
          <w:kern w:val="0"/>
          <w:sz w:val="28"/>
          <w:szCs w:val="28"/>
          <w:highlight w:val="none"/>
        </w:rPr>
        <w:t>。</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rPr>
      </w:pPr>
      <w:r>
        <w:rPr>
          <w:rFonts w:hint="default" w:ascii="宋体" w:hAnsi="宋体"/>
          <w:bCs/>
          <w:kern w:val="0"/>
          <w:sz w:val="28"/>
          <w:szCs w:val="28"/>
          <w:highlight w:val="none"/>
          <w:lang w:val="en-US" w:eastAsia="zh-CN"/>
        </w:rPr>
        <w:t>6、</w:t>
      </w:r>
      <w:r>
        <w:rPr>
          <w:rFonts w:hint="eastAsia" w:ascii="宋体" w:hAnsi="宋体"/>
          <w:bCs/>
          <w:kern w:val="0"/>
          <w:sz w:val="28"/>
          <w:szCs w:val="28"/>
          <w:highlight w:val="none"/>
        </w:rPr>
        <w:t>甲方有责任在乙方的协助下负责</w:t>
      </w:r>
      <w:r>
        <w:rPr>
          <w:rFonts w:hint="eastAsia" w:ascii="宋体" w:hAnsi="宋体"/>
          <w:bCs/>
          <w:kern w:val="0"/>
          <w:sz w:val="28"/>
          <w:szCs w:val="28"/>
          <w:highlight w:val="none"/>
          <w:lang w:eastAsia="zh-CN"/>
        </w:rPr>
        <w:t>食品经营</w:t>
      </w:r>
      <w:r>
        <w:rPr>
          <w:rFonts w:hint="eastAsia" w:ascii="宋体" w:hAnsi="宋体"/>
          <w:bCs/>
          <w:kern w:val="0"/>
          <w:sz w:val="28"/>
          <w:szCs w:val="28"/>
          <w:highlight w:val="none"/>
        </w:rPr>
        <w:t>许可证、消防安全等相关证件的办理、年检和复审手续，并承担相应的费用。</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rPr>
      </w:pPr>
      <w:r>
        <w:rPr>
          <w:rFonts w:hint="default" w:ascii="宋体" w:hAnsi="宋体"/>
          <w:bCs/>
          <w:kern w:val="0"/>
          <w:sz w:val="28"/>
          <w:szCs w:val="28"/>
          <w:highlight w:val="none"/>
          <w:lang w:val="en-US" w:eastAsia="zh-CN"/>
        </w:rPr>
        <w:t>7、</w:t>
      </w:r>
      <w:r>
        <w:rPr>
          <w:rFonts w:hint="eastAsia" w:ascii="宋体" w:hAnsi="宋体"/>
          <w:bCs/>
          <w:kern w:val="0"/>
          <w:sz w:val="28"/>
          <w:szCs w:val="28"/>
          <w:highlight w:val="none"/>
        </w:rPr>
        <w:t>甲方每月向乙方公开能源计费标准以及能源实际消耗数据，以便于乙方对餐饮服务项目的能源成本进行合理控制，如发现乙方存在能源浪费的现象</w:t>
      </w:r>
      <w:r>
        <w:rPr>
          <w:rFonts w:hint="eastAsia" w:ascii="宋体" w:hAnsi="宋体"/>
          <w:bCs/>
          <w:kern w:val="0"/>
          <w:sz w:val="28"/>
          <w:szCs w:val="28"/>
          <w:highlight w:val="none"/>
          <w:lang w:eastAsia="zh-CN"/>
        </w:rPr>
        <w:t>，</w:t>
      </w:r>
      <w:r>
        <w:rPr>
          <w:rFonts w:hint="eastAsia" w:ascii="宋体" w:hAnsi="宋体"/>
          <w:bCs/>
          <w:kern w:val="0"/>
          <w:sz w:val="28"/>
          <w:szCs w:val="28"/>
          <w:highlight w:val="none"/>
          <w:lang w:val="en-US" w:eastAsia="zh-CN"/>
        </w:rPr>
        <w:t>甲方有权要求</w:t>
      </w:r>
      <w:r>
        <w:rPr>
          <w:rFonts w:hint="eastAsia" w:ascii="宋体" w:hAnsi="宋体"/>
          <w:bCs/>
          <w:kern w:val="0"/>
          <w:sz w:val="28"/>
          <w:szCs w:val="28"/>
          <w:highlight w:val="none"/>
        </w:rPr>
        <w:t xml:space="preserve">督促乙方开展节能管理，提高用能设施设备能源利用效率。 </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rPr>
      </w:pPr>
      <w:r>
        <w:rPr>
          <w:rFonts w:hint="eastAsia" w:ascii="宋体" w:hAnsi="宋体"/>
          <w:bCs/>
          <w:kern w:val="0"/>
          <w:sz w:val="28"/>
          <w:szCs w:val="28"/>
          <w:highlight w:val="none"/>
          <w:lang w:val="en-US" w:eastAsia="zh-CN"/>
        </w:rPr>
        <w:t>8</w:t>
      </w:r>
      <w:r>
        <w:rPr>
          <w:rFonts w:hint="default" w:ascii="宋体" w:hAnsi="宋体"/>
          <w:bCs/>
          <w:kern w:val="0"/>
          <w:sz w:val="28"/>
          <w:szCs w:val="28"/>
          <w:highlight w:val="none"/>
          <w:lang w:val="en-US" w:eastAsia="zh-CN"/>
        </w:rPr>
        <w:t>、</w:t>
      </w:r>
      <w:r>
        <w:rPr>
          <w:rFonts w:hint="eastAsia" w:ascii="宋体" w:hAnsi="宋体"/>
          <w:bCs/>
          <w:kern w:val="0"/>
          <w:sz w:val="28"/>
          <w:szCs w:val="28"/>
          <w:highlight w:val="none"/>
        </w:rPr>
        <w:t>除本合同约定的必要的监督管理外，不干预乙方的独立经营；</w:t>
      </w:r>
    </w:p>
    <w:p>
      <w:pPr>
        <w:pStyle w:val="3"/>
        <w:spacing w:line="360" w:lineRule="exact"/>
        <w:rPr>
          <w:rFonts w:hint="eastAsia" w:ascii="宋体" w:hAnsi="宋体" w:eastAsia="宋体" w:cs="Times New Roman"/>
          <w:b w:val="0"/>
          <w:bCs/>
          <w:kern w:val="0"/>
          <w:sz w:val="28"/>
          <w:szCs w:val="28"/>
          <w:highlight w:val="none"/>
          <w:lang w:val="en-US" w:eastAsia="zh-CN" w:bidi="ar-SA"/>
        </w:rPr>
      </w:pPr>
      <w:bookmarkStart w:id="7" w:name="_Toc20584"/>
      <w:r>
        <w:rPr>
          <w:rFonts w:hint="eastAsia" w:ascii="宋体" w:hAnsi="宋体"/>
          <w:sz w:val="28"/>
          <w:szCs w:val="28"/>
          <w:highlight w:val="none"/>
        </w:rPr>
        <w:t xml:space="preserve"> </w:t>
      </w:r>
      <w:r>
        <w:rPr>
          <w:rFonts w:hint="eastAsia" w:ascii="宋体" w:hAnsi="宋体" w:eastAsia="宋体" w:cs="Times New Roman"/>
          <w:b/>
          <w:bCs/>
          <w:kern w:val="0"/>
          <w:sz w:val="28"/>
          <w:szCs w:val="28"/>
          <w:highlight w:val="none"/>
          <w:lang w:val="en-US" w:eastAsia="zh-CN" w:bidi="ar-SA"/>
        </w:rPr>
        <w:t>第</w:t>
      </w:r>
      <w:r>
        <w:rPr>
          <w:rFonts w:hint="eastAsia" w:ascii="宋体" w:hAnsi="宋体" w:cs="Times New Roman"/>
          <w:b/>
          <w:bCs/>
          <w:kern w:val="0"/>
          <w:sz w:val="28"/>
          <w:szCs w:val="28"/>
          <w:highlight w:val="none"/>
          <w:lang w:val="en-US" w:eastAsia="zh-CN" w:bidi="ar-SA"/>
        </w:rPr>
        <w:t>五</w:t>
      </w:r>
      <w:r>
        <w:rPr>
          <w:rFonts w:hint="eastAsia" w:ascii="宋体" w:hAnsi="宋体" w:eastAsia="宋体" w:cs="Times New Roman"/>
          <w:b/>
          <w:bCs/>
          <w:kern w:val="0"/>
          <w:sz w:val="28"/>
          <w:szCs w:val="28"/>
          <w:highlight w:val="none"/>
          <w:lang w:val="en-US" w:eastAsia="zh-CN" w:bidi="ar-SA"/>
        </w:rPr>
        <w:t>条</w:t>
      </w:r>
      <w:r>
        <w:rPr>
          <w:rFonts w:hint="eastAsia" w:ascii="宋体" w:hAnsi="宋体" w:cs="Times New Roman"/>
          <w:b/>
          <w:bCs/>
          <w:kern w:val="0"/>
          <w:sz w:val="28"/>
          <w:szCs w:val="28"/>
          <w:highlight w:val="none"/>
          <w:lang w:val="en-US" w:eastAsia="zh-CN" w:bidi="ar-SA"/>
        </w:rPr>
        <w:t xml:space="preserve"> </w:t>
      </w:r>
      <w:r>
        <w:rPr>
          <w:rFonts w:hint="eastAsia" w:ascii="宋体" w:hAnsi="宋体" w:eastAsia="宋体" w:cs="Times New Roman"/>
          <w:b/>
          <w:bCs/>
          <w:kern w:val="0"/>
          <w:sz w:val="28"/>
          <w:szCs w:val="28"/>
          <w:highlight w:val="none"/>
          <w:lang w:val="en-US" w:eastAsia="zh-CN" w:bidi="ar-SA"/>
        </w:rPr>
        <w:t>乙方权利和责任义务</w:t>
      </w:r>
      <w:bookmarkEnd w:id="7"/>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lang w:val="en-US" w:eastAsia="zh-CN"/>
        </w:rPr>
      </w:pPr>
      <w:r>
        <w:rPr>
          <w:rFonts w:hint="default" w:ascii="宋体" w:hAnsi="宋体"/>
          <w:bCs/>
          <w:kern w:val="0"/>
          <w:sz w:val="28"/>
          <w:szCs w:val="28"/>
          <w:highlight w:val="none"/>
          <w:lang w:val="en-US" w:eastAsia="zh-CN"/>
        </w:rPr>
        <w:t>1、</w:t>
      </w:r>
      <w:r>
        <w:rPr>
          <w:rFonts w:hint="eastAsia" w:ascii="宋体" w:hAnsi="宋体"/>
          <w:bCs/>
          <w:kern w:val="0"/>
          <w:sz w:val="28"/>
          <w:szCs w:val="28"/>
          <w:highlight w:val="none"/>
          <w:lang w:val="en-US" w:eastAsia="zh-CN"/>
        </w:rPr>
        <w:t>乙方必须依据国家和北京市餐饮、卫生主管部门制定的法律、法规等规范性文件，以及本合同的约定和甲方要求进行生产和经营，并对生产和经营中出现的违法、违规、服务纠纷等行为及时予以处理，自行承担因此产生的一切法律责任，自行负责处理善后事宜。</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lang w:val="en-US" w:eastAsia="zh-CN"/>
        </w:rPr>
      </w:pPr>
      <w:r>
        <w:rPr>
          <w:rFonts w:hint="default" w:ascii="宋体" w:hAnsi="宋体"/>
          <w:bCs/>
          <w:kern w:val="0"/>
          <w:sz w:val="28"/>
          <w:szCs w:val="28"/>
          <w:highlight w:val="none"/>
          <w:lang w:val="en-US" w:eastAsia="zh-CN"/>
        </w:rPr>
        <w:t>2、</w:t>
      </w:r>
      <w:r>
        <w:rPr>
          <w:rFonts w:hint="eastAsia" w:ascii="宋体" w:hAnsi="宋体"/>
          <w:bCs/>
          <w:kern w:val="0"/>
          <w:sz w:val="28"/>
          <w:szCs w:val="28"/>
          <w:highlight w:val="none"/>
          <w:lang w:val="en-US" w:eastAsia="zh-CN"/>
        </w:rPr>
        <w:t>乙方对经营范围内的一切经营行为和安全负责，未经甲方书面同意，不允许将本合同项下属于乙方的权利义务转包或分包给任何第三方，乙方的一切经营行为对甲方透明并接受甲方监督。若乙方违反此约定，甲方有权解除合同，乙方须向甲方支付给甲方造成的全部实际损失。</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lang w:val="en-US" w:eastAsia="zh-CN"/>
        </w:rPr>
      </w:pPr>
      <w:r>
        <w:rPr>
          <w:rFonts w:hint="default" w:ascii="宋体" w:hAnsi="宋体"/>
          <w:bCs/>
          <w:kern w:val="0"/>
          <w:sz w:val="28"/>
          <w:szCs w:val="28"/>
          <w:highlight w:val="none"/>
          <w:lang w:val="en-US" w:eastAsia="zh-CN"/>
        </w:rPr>
        <w:t>3、</w:t>
      </w:r>
      <w:r>
        <w:rPr>
          <w:rFonts w:hint="eastAsia" w:ascii="宋体" w:hAnsi="宋体"/>
          <w:bCs/>
          <w:kern w:val="0"/>
          <w:sz w:val="28"/>
          <w:szCs w:val="28"/>
          <w:highlight w:val="none"/>
          <w:lang w:val="en-US" w:eastAsia="zh-CN"/>
        </w:rPr>
        <w:t>合同期内，在不违背本合同约定和甲方要求的经营方针范围内，乙方自主经营，自负盈亏，有权自行采购、加工、生产和销售，可根据实际需要确定经营方案（在报甲方书面审批同意后实施），经营方案包括但不限于决定餐厅产品生产种类、标准、确定产品售卖价格、以及促销模式等经营策略和权利</w:t>
      </w:r>
      <w:bookmarkStart w:id="8" w:name="_Toc20236"/>
      <w:r>
        <w:rPr>
          <w:rFonts w:hint="eastAsia" w:ascii="宋体" w:hAnsi="宋体"/>
          <w:bCs/>
          <w:kern w:val="0"/>
          <w:sz w:val="28"/>
          <w:szCs w:val="28"/>
          <w:highlight w:val="none"/>
          <w:lang w:val="en-US" w:eastAsia="zh-CN"/>
        </w:rPr>
        <w:t>。</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lang w:val="en-US" w:eastAsia="zh-CN"/>
        </w:rPr>
      </w:pPr>
      <w:r>
        <w:rPr>
          <w:rFonts w:hint="default" w:ascii="宋体" w:hAnsi="宋体"/>
          <w:bCs/>
          <w:kern w:val="0"/>
          <w:sz w:val="28"/>
          <w:szCs w:val="28"/>
          <w:highlight w:val="none"/>
          <w:lang w:val="en-US" w:eastAsia="zh-CN"/>
        </w:rPr>
        <w:t>4、</w:t>
      </w:r>
      <w:r>
        <w:rPr>
          <w:rFonts w:hint="eastAsia" w:ascii="宋体" w:hAnsi="宋体"/>
          <w:bCs/>
          <w:kern w:val="0"/>
          <w:sz w:val="28"/>
          <w:szCs w:val="28"/>
          <w:highlight w:val="none"/>
          <w:lang w:val="en-US" w:eastAsia="zh-CN"/>
        </w:rPr>
        <w:t>乙方必须按照招投标要求、本合同约定和甲方要求，精心设计供餐及经营方案，为甲方提供卫生安全、品种丰富、质优价廉的餐品及专业优质的服务，保证整体服务满意率达到85分以上。</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lang w:val="en-US" w:eastAsia="zh-CN"/>
        </w:rPr>
      </w:pPr>
      <w:r>
        <w:rPr>
          <w:rFonts w:hint="default" w:ascii="宋体" w:hAnsi="宋体"/>
          <w:bCs/>
          <w:kern w:val="0"/>
          <w:sz w:val="28"/>
          <w:szCs w:val="28"/>
          <w:highlight w:val="none"/>
          <w:lang w:val="en-US" w:eastAsia="zh-CN"/>
        </w:rPr>
        <w:t>5、</w:t>
      </w:r>
      <w:r>
        <w:rPr>
          <w:rFonts w:hint="eastAsia" w:ascii="宋体" w:hAnsi="宋体"/>
          <w:bCs/>
          <w:kern w:val="0"/>
          <w:sz w:val="28"/>
          <w:szCs w:val="28"/>
          <w:highlight w:val="none"/>
          <w:lang w:val="en-US" w:eastAsia="zh-CN"/>
        </w:rPr>
        <w:t>乙方承诺按甲方规定时间准时开餐，每餐所供食品在开餐前15分钟布置完毕。并可根据甲方工作时间安排，在甲方允许的情况下调整乙方工作时间。如遇特殊情况，如突发停水、停电、停燃气或其它突发意外情况，乙方应立即向甲方汇报，并按相应的应急预案积极备餐，通过乙方系统内的配送资源提供成品、半成品和其它开餐必备品，以保障职工的用餐。</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lang w:val="en-US" w:eastAsia="zh-CN"/>
        </w:rPr>
      </w:pPr>
      <w:r>
        <w:rPr>
          <w:rFonts w:hint="default" w:ascii="宋体" w:hAnsi="宋体"/>
          <w:bCs/>
          <w:kern w:val="0"/>
          <w:sz w:val="28"/>
          <w:szCs w:val="28"/>
          <w:highlight w:val="none"/>
          <w:lang w:val="en-US" w:eastAsia="zh-CN"/>
        </w:rPr>
        <w:t>6、</w:t>
      </w:r>
      <w:r>
        <w:rPr>
          <w:rFonts w:hint="eastAsia" w:ascii="宋体" w:hAnsi="宋体"/>
          <w:bCs/>
          <w:kern w:val="0"/>
          <w:sz w:val="28"/>
          <w:szCs w:val="28"/>
          <w:highlight w:val="none"/>
          <w:lang w:val="en-US" w:eastAsia="zh-CN"/>
        </w:rPr>
        <w:t>乙方认真落实国家食品安全及卫生防疫方面的相关法律法规及规章制度，在采购、加工制作、存储、运送、售卖、留样、清洗消毒等各个环节，进行严格的管理，严防食品卫生事故，为甲方员工提供符合合同约定和甲方要求的健康、卫生、放心的膳食。</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lang w:val="en-US" w:eastAsia="zh-CN"/>
        </w:rPr>
      </w:pPr>
      <w:r>
        <w:rPr>
          <w:rFonts w:hint="default" w:ascii="宋体" w:hAnsi="宋体"/>
          <w:bCs/>
          <w:kern w:val="0"/>
          <w:sz w:val="28"/>
          <w:szCs w:val="28"/>
          <w:highlight w:val="none"/>
          <w:lang w:val="en-US" w:eastAsia="zh-CN"/>
        </w:rPr>
        <w:t>7、</w:t>
      </w:r>
      <w:r>
        <w:rPr>
          <w:rFonts w:hint="eastAsia" w:ascii="宋体" w:hAnsi="宋体"/>
          <w:bCs/>
          <w:kern w:val="0"/>
          <w:sz w:val="28"/>
          <w:szCs w:val="28"/>
          <w:highlight w:val="none"/>
          <w:lang w:val="en-US" w:eastAsia="zh-CN"/>
        </w:rPr>
        <w:t>菜谱和菜价定期以书面方式提前上报甲方的有关管理部门，接受甲方的合理建议并在成本和合理利润控制范围内进行调整，所有售卖价格必须得到甲方审核认可后方可出售。</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lang w:val="en-US" w:eastAsia="zh-CN"/>
        </w:rPr>
      </w:pPr>
      <w:r>
        <w:rPr>
          <w:rFonts w:hint="default" w:ascii="宋体" w:hAnsi="宋体"/>
          <w:bCs/>
          <w:kern w:val="0"/>
          <w:sz w:val="28"/>
          <w:szCs w:val="28"/>
          <w:highlight w:val="none"/>
          <w:lang w:val="en-US" w:eastAsia="zh-CN"/>
        </w:rPr>
        <w:t>8、</w:t>
      </w:r>
      <w:r>
        <w:rPr>
          <w:rFonts w:hint="eastAsia" w:ascii="宋体" w:hAnsi="宋体"/>
          <w:bCs/>
          <w:kern w:val="0"/>
          <w:sz w:val="28"/>
          <w:szCs w:val="28"/>
          <w:highlight w:val="none"/>
          <w:lang w:val="en-US" w:eastAsia="zh-CN"/>
        </w:rPr>
        <w:t>乙方应选派符合合同约定和甲方要求的，经验丰富有资质的经理、厨师和服务人员，以上人员应具备官方正式卫生知识考核合格证、健康体检合格证。乙方应为其人员提供相关职业培训，以保证人员素质、职业道德、业务技能均能达到合同约定和甲方的要求。</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lang w:val="en-US" w:eastAsia="zh-CN"/>
        </w:rPr>
      </w:pPr>
      <w:r>
        <w:rPr>
          <w:rFonts w:hint="default" w:ascii="宋体" w:hAnsi="宋体"/>
          <w:bCs/>
          <w:kern w:val="0"/>
          <w:sz w:val="28"/>
          <w:szCs w:val="28"/>
          <w:highlight w:val="none"/>
          <w:lang w:val="en-US" w:eastAsia="zh-CN"/>
        </w:rPr>
        <w:t>9、</w:t>
      </w:r>
      <w:r>
        <w:rPr>
          <w:rFonts w:hint="eastAsia" w:ascii="宋体" w:hAnsi="宋体"/>
          <w:bCs/>
          <w:kern w:val="0"/>
          <w:sz w:val="28"/>
          <w:szCs w:val="28"/>
          <w:highlight w:val="none"/>
          <w:lang w:val="en-US" w:eastAsia="zh-CN"/>
        </w:rPr>
        <w:t xml:space="preserve">乙方所有人员必须遵守和执行甲方的相关规章制度，不得在甲方权属区域内从事赌博、盗窃、打架及一切的不法行为，乙方对其人员的行为负责，承担相应法律责任，如违反此约定，乙方须向甲方赔偿由此给甲方造成的实际损失。 </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lang w:val="en-US" w:eastAsia="zh-CN"/>
        </w:rPr>
      </w:pPr>
      <w:r>
        <w:rPr>
          <w:rFonts w:hint="default" w:ascii="宋体" w:hAnsi="宋体"/>
          <w:bCs/>
          <w:kern w:val="0"/>
          <w:sz w:val="28"/>
          <w:szCs w:val="28"/>
          <w:highlight w:val="none"/>
          <w:lang w:val="en-US" w:eastAsia="zh-CN"/>
        </w:rPr>
        <w:t>10、</w:t>
      </w:r>
      <w:r>
        <w:rPr>
          <w:rFonts w:hint="eastAsia" w:ascii="宋体" w:hAnsi="宋体"/>
          <w:bCs/>
          <w:kern w:val="0"/>
          <w:sz w:val="28"/>
          <w:szCs w:val="28"/>
          <w:highlight w:val="none"/>
          <w:lang w:val="en-US" w:eastAsia="zh-CN"/>
        </w:rPr>
        <w:t>安全：乙方应建立整套安全制度、落实安全责任人员、采取一切必要措施（包括但不限于：人员培训考核、不断完善操作流程、排查各类隐患、定期演练应急预案等），确保在合同期内不发生食品卫生安全、消防安全。如发生各类安全及消防安全事故所引发的各种损失由乙方负责。</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Cs/>
          <w:kern w:val="0"/>
          <w:sz w:val="28"/>
          <w:szCs w:val="28"/>
          <w:highlight w:val="none"/>
          <w:lang w:val="en-US" w:eastAsia="zh-CN"/>
        </w:rPr>
      </w:pPr>
      <w:r>
        <w:rPr>
          <w:rFonts w:hint="default" w:ascii="宋体" w:hAnsi="宋体"/>
          <w:bCs/>
          <w:kern w:val="0"/>
          <w:sz w:val="28"/>
          <w:szCs w:val="28"/>
          <w:highlight w:val="none"/>
          <w:lang w:val="en-US" w:eastAsia="zh-CN"/>
        </w:rPr>
        <w:t>11、</w:t>
      </w:r>
      <w:r>
        <w:rPr>
          <w:rFonts w:hint="eastAsia" w:ascii="宋体" w:hAnsi="宋体"/>
          <w:bCs/>
          <w:kern w:val="0"/>
          <w:sz w:val="28"/>
          <w:szCs w:val="28"/>
          <w:highlight w:val="none"/>
          <w:lang w:val="en-US" w:eastAsia="zh-CN"/>
        </w:rPr>
        <w:t>场地、设备设施</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ind w:firstLine="560" w:firstLineChars="200"/>
        <w:textAlignment w:val="auto"/>
        <w:rPr>
          <w:rFonts w:hint="eastAsia" w:ascii="宋体" w:hAnsi="宋体"/>
          <w:bCs/>
          <w:kern w:val="0"/>
          <w:sz w:val="28"/>
          <w:szCs w:val="28"/>
          <w:highlight w:val="none"/>
          <w:lang w:val="en-US" w:eastAsia="zh-CN"/>
        </w:rPr>
      </w:pPr>
      <w:r>
        <w:rPr>
          <w:rFonts w:hint="eastAsia" w:ascii="宋体" w:hAnsi="宋体"/>
          <w:bCs/>
          <w:kern w:val="0"/>
          <w:sz w:val="28"/>
          <w:szCs w:val="28"/>
          <w:highlight w:val="none"/>
          <w:lang w:val="en-US" w:eastAsia="zh-CN"/>
        </w:rPr>
        <w:t>项目合作期间，乙方对甲方提供的房屋场地、设备设施进行维护保养，爱惜使用，对于因乙方原因造成的损坏由乙方进行修复和赔偿。</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ind w:firstLine="560" w:firstLineChars="200"/>
        <w:textAlignment w:val="auto"/>
        <w:rPr>
          <w:rFonts w:hint="eastAsia" w:ascii="宋体" w:hAnsi="宋体"/>
          <w:bCs/>
          <w:kern w:val="0"/>
          <w:sz w:val="28"/>
          <w:szCs w:val="28"/>
          <w:highlight w:val="none"/>
          <w:lang w:val="en-US" w:eastAsia="zh-CN"/>
        </w:rPr>
      </w:pPr>
      <w:r>
        <w:rPr>
          <w:rFonts w:hint="eastAsia" w:ascii="宋体" w:hAnsi="宋体"/>
          <w:bCs/>
          <w:kern w:val="0"/>
          <w:sz w:val="28"/>
          <w:szCs w:val="28"/>
          <w:highlight w:val="none"/>
          <w:lang w:val="en-US" w:eastAsia="zh-CN"/>
        </w:rPr>
        <w:t>乙方应保障餐厅经营所必需的餐卡管理系统、主要设备设施、厨具和基本保障设施等的完整性，系统及设备设施出现问题或故障，乙方应负责修理和调整，非因甲方原因造成的问题或故障，其修理费用等必要支出由乙方承担。</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ind w:firstLine="560" w:firstLineChars="200"/>
        <w:textAlignment w:val="auto"/>
        <w:rPr>
          <w:rFonts w:hint="eastAsia" w:ascii="宋体" w:hAnsi="宋体"/>
          <w:bCs/>
          <w:kern w:val="0"/>
          <w:sz w:val="28"/>
          <w:szCs w:val="28"/>
          <w:highlight w:val="none"/>
          <w:lang w:val="en-US" w:eastAsia="zh-CN"/>
        </w:rPr>
      </w:pPr>
      <w:r>
        <w:rPr>
          <w:rFonts w:hint="eastAsia" w:ascii="宋体" w:hAnsi="宋体"/>
          <w:bCs/>
          <w:kern w:val="0"/>
          <w:sz w:val="28"/>
          <w:szCs w:val="28"/>
          <w:highlight w:val="none"/>
          <w:lang w:val="en-US" w:eastAsia="zh-CN"/>
        </w:rPr>
        <w:t>未经甲方书面同意，乙方不得改变本项目内房屋、厨房设备及配套设施设备等使用功能，不得擅自改变餐厅的用途，不得对餐厅进行转租或转包，不得对餐厅进行任何改造装修及设备设施改装处置工作，需在本项目范围内实施食堂改扩建或完善配套项目的，应报甲方审批。乙方对甲方场地和设备进行现场踏勘，根据需求进行场景升级改造。</w:t>
      </w:r>
      <w:bookmarkEnd w:id="8"/>
      <w:bookmarkStart w:id="9" w:name="_Toc28928"/>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b/>
          <w:bCs/>
          <w:color w:val="auto"/>
          <w:sz w:val="28"/>
          <w:szCs w:val="28"/>
          <w:highlight w:val="none"/>
          <w:lang w:eastAsia="zh-CN"/>
        </w:rPr>
      </w:pPr>
      <w:r>
        <w:rPr>
          <w:rFonts w:hint="eastAsia" w:ascii="宋体" w:hAnsi="宋体" w:eastAsia="宋体" w:cs="Times New Roman"/>
          <w:b/>
          <w:bCs/>
          <w:color w:val="auto"/>
          <w:kern w:val="44"/>
          <w:sz w:val="28"/>
          <w:szCs w:val="28"/>
          <w:lang w:val="en-US" w:eastAsia="zh-CN" w:bidi="ar-SA"/>
        </w:rPr>
        <w:t>第</w:t>
      </w:r>
      <w:r>
        <w:rPr>
          <w:rFonts w:hint="eastAsia" w:ascii="宋体" w:hAnsi="宋体" w:cs="Times New Roman"/>
          <w:b/>
          <w:bCs/>
          <w:color w:val="auto"/>
          <w:kern w:val="44"/>
          <w:sz w:val="28"/>
          <w:szCs w:val="28"/>
          <w:lang w:val="en-US" w:eastAsia="zh-CN" w:bidi="ar-SA"/>
        </w:rPr>
        <w:t>六</w:t>
      </w:r>
      <w:r>
        <w:rPr>
          <w:rFonts w:hint="eastAsia" w:ascii="宋体" w:hAnsi="宋体" w:eastAsia="宋体" w:cs="Times New Roman"/>
          <w:b/>
          <w:bCs/>
          <w:color w:val="auto"/>
          <w:kern w:val="44"/>
          <w:sz w:val="28"/>
          <w:szCs w:val="28"/>
          <w:lang w:val="en-US" w:eastAsia="zh-CN" w:bidi="ar-SA"/>
        </w:rPr>
        <w:t>条</w:t>
      </w:r>
      <w:r>
        <w:rPr>
          <w:rFonts w:hint="eastAsia" w:ascii="宋体" w:hAnsi="宋体" w:cs="Times New Roman"/>
          <w:b/>
          <w:bCs/>
          <w:color w:val="auto"/>
          <w:kern w:val="44"/>
          <w:sz w:val="28"/>
          <w:szCs w:val="28"/>
          <w:lang w:val="en-US" w:eastAsia="zh-CN" w:bidi="ar-SA"/>
        </w:rPr>
        <w:t xml:space="preserve"> </w:t>
      </w:r>
      <w:r>
        <w:rPr>
          <w:rFonts w:hint="eastAsia" w:ascii="宋体" w:hAnsi="宋体"/>
          <w:b/>
          <w:bCs/>
          <w:color w:val="auto"/>
          <w:sz w:val="28"/>
          <w:szCs w:val="28"/>
          <w:highlight w:val="none"/>
          <w:lang w:eastAsia="zh-CN"/>
        </w:rPr>
        <w:t>食品安全</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kern w:val="0"/>
          <w:sz w:val="28"/>
          <w:szCs w:val="28"/>
          <w:highlight w:val="none"/>
          <w:lang w:val="en-US" w:eastAsia="zh-CN" w:bidi="ar-SA"/>
        </w:rPr>
      </w:pPr>
      <w:r>
        <w:rPr>
          <w:rFonts w:hint="eastAsia" w:ascii="宋体" w:hAnsi="宋体" w:eastAsia="宋体" w:cs="Times New Roman"/>
          <w:b w:val="0"/>
          <w:bCs/>
          <w:kern w:val="0"/>
          <w:sz w:val="28"/>
          <w:szCs w:val="28"/>
          <w:highlight w:val="none"/>
          <w:lang w:val="en-US" w:eastAsia="zh-CN" w:bidi="ar-SA"/>
        </w:rPr>
        <w:t>1.乙方所采购、制作、销售的食品质量要求必须符合国家卫生、安全标准，并确保随时接受甲方对餐厅进货渠道和产品质量的监督与检查。</w:t>
      </w:r>
    </w:p>
    <w:p>
      <w:pPr>
        <w:keepNext w:val="0"/>
        <w:keepLines w:val="0"/>
        <w:pageBreakBefore w:val="0"/>
        <w:widowControl w:val="0"/>
        <w:numPr>
          <w:ilvl w:val="0"/>
          <w:numId w:val="0"/>
        </w:numPr>
        <w:tabs>
          <w:tab w:val="left" w:pos="567"/>
          <w:tab w:val="left" w:pos="1060"/>
        </w:tabs>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kern w:val="0"/>
          <w:sz w:val="28"/>
          <w:szCs w:val="28"/>
          <w:highlight w:val="none"/>
          <w:lang w:val="en-US" w:eastAsia="zh-CN" w:bidi="ar-SA"/>
        </w:rPr>
      </w:pPr>
      <w:r>
        <w:rPr>
          <w:rFonts w:hint="eastAsia" w:ascii="宋体" w:hAnsi="宋体" w:eastAsia="宋体" w:cs="Times New Roman"/>
          <w:b w:val="0"/>
          <w:bCs/>
          <w:kern w:val="0"/>
          <w:sz w:val="28"/>
          <w:szCs w:val="28"/>
          <w:highlight w:val="none"/>
          <w:lang w:val="en-US" w:eastAsia="zh-CN" w:bidi="ar-SA"/>
        </w:rPr>
        <w:t>2.乙方每餐应执行食品留样制度(保存48小时)，当甲方接到有人员用餐后出现腹泻、呕吐、头晕等信息时，应迅速通知乙方负责人</w:t>
      </w:r>
      <w:r>
        <w:rPr>
          <w:rFonts w:hint="eastAsia" w:ascii="宋体" w:hAnsi="宋体" w:cs="Times New Roman"/>
          <w:b w:val="0"/>
          <w:bCs/>
          <w:kern w:val="0"/>
          <w:sz w:val="28"/>
          <w:szCs w:val="28"/>
          <w:highlight w:val="none"/>
          <w:lang w:val="en-US" w:eastAsia="zh-CN" w:bidi="ar-SA"/>
        </w:rPr>
        <w:t>（李慧军，手机号：13521688191）</w:t>
      </w:r>
      <w:r>
        <w:rPr>
          <w:rFonts w:hint="eastAsia" w:ascii="宋体" w:hAnsi="宋体" w:eastAsia="宋体" w:cs="Times New Roman"/>
          <w:b w:val="0"/>
          <w:bCs/>
          <w:kern w:val="0"/>
          <w:sz w:val="28"/>
          <w:szCs w:val="28"/>
          <w:highlight w:val="none"/>
          <w:lang w:val="en-US" w:eastAsia="zh-CN" w:bidi="ar-SA"/>
        </w:rPr>
        <w:t>，乙方应在第一时间将患者送往医院，做呕吐物、粪便留样化验，以确诊病情和病因。同时，对留样食品送卫生部门检验，确实属于乙方责任的，乙方应承担由此引发的一切责任。</w:t>
      </w:r>
    </w:p>
    <w:p>
      <w:pPr>
        <w:pStyle w:val="3"/>
        <w:keepNext/>
        <w:keepLines/>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hAnsi="宋体" w:cs="Times New Roman"/>
          <w:b w:val="0"/>
          <w:bCs/>
          <w:kern w:val="0"/>
          <w:sz w:val="28"/>
          <w:szCs w:val="28"/>
          <w:highlight w:val="none"/>
          <w:lang w:val="en-US" w:eastAsia="zh-CN" w:bidi="ar-SA"/>
        </w:rPr>
      </w:pPr>
      <w:r>
        <w:rPr>
          <w:rFonts w:hint="eastAsia" w:ascii="宋体" w:hAnsi="宋体" w:eastAsia="宋体" w:cs="Times New Roman"/>
          <w:b w:val="0"/>
          <w:bCs/>
          <w:kern w:val="0"/>
          <w:sz w:val="28"/>
          <w:szCs w:val="28"/>
          <w:highlight w:val="none"/>
          <w:lang w:val="en-US" w:eastAsia="zh-CN" w:bidi="ar-SA"/>
        </w:rPr>
        <w:t>3.当甲方就餐人员用餐吃出异物时，乙方负责赔偿相同价值免费餐一份，并对上述问题及时采取纠正措施解决。因此给就餐人员造成身体损害的，乙方承担全部赔偿责任。由于就餐人员吃出异物造成的投诉由乙方进行解决，所有产生的赔偿及罚款等由乙方承担全部责任</w:t>
      </w:r>
      <w:r>
        <w:rPr>
          <w:rFonts w:hint="eastAsia" w:ascii="宋体" w:hAnsi="宋体" w:cs="Times New Roman"/>
          <w:b w:val="0"/>
          <w:bCs/>
          <w:kern w:val="0"/>
          <w:sz w:val="28"/>
          <w:szCs w:val="28"/>
          <w:highlight w:val="none"/>
          <w:lang w:val="en-US" w:eastAsia="zh-CN" w:bidi="ar-SA"/>
        </w:rPr>
        <w:t>。</w:t>
      </w:r>
    </w:p>
    <w:p>
      <w:pPr>
        <w:pStyle w:val="3"/>
        <w:keepNext/>
        <w:keepLines/>
        <w:pageBreakBefore w:val="0"/>
        <w:widowControl w:val="0"/>
        <w:numPr>
          <w:ilvl w:val="-1"/>
          <w:numId w:val="0"/>
        </w:numPr>
        <w:kinsoku/>
        <w:wordWrap/>
        <w:overflowPunct/>
        <w:topLinePunct w:val="0"/>
        <w:autoSpaceDE/>
        <w:autoSpaceDN/>
        <w:bidi w:val="0"/>
        <w:adjustRightInd/>
        <w:snapToGrid/>
        <w:spacing w:line="360" w:lineRule="auto"/>
        <w:textAlignment w:val="auto"/>
        <w:rPr>
          <w:rFonts w:hint="default"/>
          <w:b/>
          <w:bCs/>
          <w:color w:val="000000" w:themeColor="text1"/>
          <w:sz w:val="28"/>
          <w:szCs w:val="28"/>
          <w:highlight w:val="none"/>
          <w:lang w:eastAsia="zh-CN"/>
          <w14:textFill>
            <w14:solidFill>
              <w14:schemeClr w14:val="tx1"/>
            </w14:solidFill>
          </w14:textFill>
        </w:rPr>
      </w:pPr>
      <w:r>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t>第</w:t>
      </w:r>
      <w:r>
        <w:rPr>
          <w:rFonts w:hint="eastAsia" w:cs="Times New Roman"/>
          <w:b/>
          <w:bCs/>
          <w:color w:val="000000" w:themeColor="text1"/>
          <w:kern w:val="2"/>
          <w:sz w:val="28"/>
          <w:szCs w:val="28"/>
          <w:lang w:val="en-US" w:eastAsia="zh-CN" w:bidi="ar-SA"/>
          <w14:textFill>
            <w14:solidFill>
              <w14:schemeClr w14:val="tx1"/>
            </w14:solidFill>
          </w14:textFill>
        </w:rPr>
        <w:t>七</w:t>
      </w:r>
      <w:r>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t>条</w:t>
      </w:r>
      <w:r>
        <w:rPr>
          <w:rFonts w:hint="eastAsia" w:cs="Times New Roman"/>
          <w:b/>
          <w:bCs/>
          <w:color w:val="000000" w:themeColor="text1"/>
          <w:kern w:val="2"/>
          <w:sz w:val="28"/>
          <w:szCs w:val="28"/>
          <w:lang w:val="en-US" w:eastAsia="zh-CN" w:bidi="ar-SA"/>
          <w14:textFill>
            <w14:solidFill>
              <w14:schemeClr w14:val="tx1"/>
            </w14:solidFill>
          </w14:textFill>
        </w:rPr>
        <w:t xml:space="preserve"> </w:t>
      </w:r>
      <w:r>
        <w:rPr>
          <w:rFonts w:hint="eastAsia"/>
          <w:b/>
          <w:bCs/>
          <w:color w:val="000000" w:themeColor="text1"/>
          <w:sz w:val="28"/>
          <w:szCs w:val="28"/>
          <w:highlight w:val="none"/>
          <w:lang w:eastAsia="zh-CN"/>
          <w14:textFill>
            <w14:solidFill>
              <w14:schemeClr w14:val="tx1"/>
            </w14:solidFill>
          </w14:textFill>
        </w:rPr>
        <w:t>财务条款</w:t>
      </w:r>
    </w:p>
    <w:p>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kern w:val="44"/>
          <w:sz w:val="28"/>
          <w:szCs w:val="28"/>
          <w:highlight w:val="none"/>
          <w:lang w:eastAsia="zh-CN"/>
          <w14:textFill>
            <w14:solidFill>
              <w14:schemeClr w14:val="tx1"/>
            </w14:solidFill>
          </w14:textFill>
        </w:rPr>
      </w:pPr>
      <w:r>
        <w:rPr>
          <w:rFonts w:hint="eastAsia" w:ascii="宋体" w:hAnsi="宋体"/>
          <w:b w:val="0"/>
          <w:bCs w:val="0"/>
          <w:color w:val="000000" w:themeColor="text1"/>
          <w:kern w:val="44"/>
          <w:sz w:val="28"/>
          <w:szCs w:val="28"/>
          <w:highlight w:val="none"/>
          <w:lang w:eastAsia="zh-CN"/>
          <w14:textFill>
            <w14:solidFill>
              <w14:schemeClr w14:val="tx1"/>
            </w14:solidFill>
          </w14:textFill>
        </w:rPr>
        <w:t>1</w:t>
      </w:r>
      <w:r>
        <w:rPr>
          <w:rFonts w:hint="eastAsia" w:ascii="宋体" w:hAnsi="宋体"/>
          <w:b w:val="0"/>
          <w:bCs w:val="0"/>
          <w:color w:val="000000" w:themeColor="text1"/>
          <w:kern w:val="44"/>
          <w:sz w:val="28"/>
          <w:szCs w:val="28"/>
          <w:highlight w:val="none"/>
          <w:lang w:val="en-US" w:eastAsia="zh-CN"/>
          <w14:textFill>
            <w14:solidFill>
              <w14:schemeClr w14:val="tx1"/>
            </w14:solidFill>
          </w14:textFill>
        </w:rPr>
        <w:t>.</w:t>
      </w:r>
      <w:r>
        <w:rPr>
          <w:rFonts w:hint="eastAsia" w:ascii="宋体" w:hAnsi="宋体"/>
          <w:b w:val="0"/>
          <w:bCs w:val="0"/>
          <w:color w:val="000000" w:themeColor="text1"/>
          <w:kern w:val="44"/>
          <w:sz w:val="28"/>
          <w:szCs w:val="28"/>
          <w:highlight w:val="none"/>
          <w:lang w:eastAsia="zh-CN"/>
          <w14:textFill>
            <w14:solidFill>
              <w14:schemeClr w14:val="tx1"/>
            </w14:solidFill>
          </w14:textFill>
        </w:rPr>
        <w:t>本合同中所有涉及到财务往来的币种为人民币，单位为元。</w:t>
      </w:r>
    </w:p>
    <w:p>
      <w:pPr>
        <w:pStyle w:val="8"/>
        <w:pageBreakBefore w:val="0"/>
        <w:kinsoku/>
        <w:wordWrap/>
        <w:overflowPunct/>
        <w:topLinePunct w:val="0"/>
        <w:autoSpaceDE/>
        <w:autoSpaceDN/>
        <w:bidi w:val="0"/>
        <w:adjustRightInd/>
        <w:snapToGrid/>
        <w:spacing w:line="360" w:lineRule="auto"/>
        <w:textAlignment w:val="auto"/>
        <w:rPr>
          <w:rFonts w:hint="eastAsia" w:ascii="宋体" w:hAnsi="宋体" w:cs="Times New Roman"/>
          <w:color w:val="000000" w:themeColor="text1"/>
          <w:kern w:val="44"/>
          <w:sz w:val="28"/>
          <w:szCs w:val="28"/>
          <w:highlight w:val="none"/>
          <w:lang w:val="en-US" w:eastAsia="zh-CN"/>
          <w14:textFill>
            <w14:solidFill>
              <w14:schemeClr w14:val="tx1"/>
            </w14:solidFill>
          </w14:textFill>
        </w:rPr>
      </w:pPr>
      <w:r>
        <w:rPr>
          <w:rFonts w:hint="eastAsia" w:ascii="宋体" w:hAnsi="宋体"/>
          <w:b w:val="0"/>
          <w:bCs w:val="0"/>
          <w:color w:val="000000" w:themeColor="text1"/>
          <w:kern w:val="44"/>
          <w:sz w:val="28"/>
          <w:szCs w:val="28"/>
          <w:highlight w:val="none"/>
          <w:lang w:val="en-US" w:eastAsia="zh-CN"/>
          <w14:textFill>
            <w14:solidFill>
              <w14:schemeClr w14:val="tx1"/>
            </w14:solidFill>
          </w14:textFill>
        </w:rPr>
        <w:t>2.</w:t>
      </w:r>
      <w:r>
        <w:rPr>
          <w:rFonts w:hint="eastAsia" w:ascii="宋体" w:hAnsi="宋体"/>
          <w:b w:val="0"/>
          <w:bCs w:val="0"/>
          <w:color w:val="000000" w:themeColor="text1"/>
          <w:kern w:val="44"/>
          <w:sz w:val="28"/>
          <w:szCs w:val="28"/>
          <w:highlight w:val="none"/>
          <w:lang w:eastAsia="zh-CN"/>
          <w14:textFill>
            <w14:solidFill>
              <w14:schemeClr w14:val="tx1"/>
            </w14:solidFill>
          </w14:textFill>
        </w:rPr>
        <w:t>每月</w:t>
      </w:r>
      <w:r>
        <w:rPr>
          <w:rFonts w:hint="eastAsia" w:ascii="宋体" w:hAnsi="宋体"/>
          <w:b w:val="0"/>
          <w:bCs w:val="0"/>
          <w:color w:val="000000" w:themeColor="text1"/>
          <w:kern w:val="44"/>
          <w:sz w:val="28"/>
          <w:szCs w:val="28"/>
          <w:highlight w:val="none"/>
          <w:u w:val="none"/>
          <w:lang w:val="en-US" w:eastAsia="zh-CN"/>
          <w14:textFill>
            <w14:solidFill>
              <w14:schemeClr w14:val="tx1"/>
            </w14:solidFill>
          </w14:textFill>
        </w:rPr>
        <w:t>15</w:t>
      </w:r>
      <w:r>
        <w:rPr>
          <w:rFonts w:hint="eastAsia" w:ascii="宋体" w:hAnsi="宋体"/>
          <w:b w:val="0"/>
          <w:bCs w:val="0"/>
          <w:color w:val="000000" w:themeColor="text1"/>
          <w:kern w:val="44"/>
          <w:sz w:val="28"/>
          <w:szCs w:val="28"/>
          <w:highlight w:val="none"/>
          <w:lang w:eastAsia="zh-CN"/>
          <w14:textFill>
            <w14:solidFill>
              <w14:schemeClr w14:val="tx1"/>
            </w14:solidFill>
          </w14:textFill>
        </w:rPr>
        <w:t>日按伙食费</w:t>
      </w:r>
      <w:r>
        <w:rPr>
          <w:rFonts w:hint="eastAsia" w:ascii="宋体" w:hAnsi="宋体"/>
          <w:b w:val="0"/>
          <w:bCs w:val="0"/>
          <w:color w:val="000000" w:themeColor="text1"/>
          <w:kern w:val="44"/>
          <w:sz w:val="28"/>
          <w:szCs w:val="28"/>
          <w:highlight w:val="none"/>
          <w:u w:val="none"/>
          <w:lang w:val="en-US" w:eastAsia="zh-CN"/>
          <w14:textFill>
            <w14:solidFill>
              <w14:schemeClr w14:val="tx1"/>
            </w14:solidFill>
          </w14:textFill>
        </w:rPr>
        <w:t>400</w:t>
      </w:r>
      <w:r>
        <w:rPr>
          <w:rFonts w:hint="eastAsia" w:ascii="宋体" w:hAnsi="宋体"/>
          <w:b w:val="0"/>
          <w:bCs w:val="0"/>
          <w:color w:val="000000" w:themeColor="text1"/>
          <w:kern w:val="44"/>
          <w:sz w:val="28"/>
          <w:szCs w:val="28"/>
          <w:highlight w:val="none"/>
          <w:lang w:eastAsia="zh-CN"/>
          <w14:textFill>
            <w14:solidFill>
              <w14:schemeClr w14:val="tx1"/>
            </w14:solidFill>
          </w14:textFill>
        </w:rPr>
        <w:t>元/月/人，由甲方以餐卡补贴形式等数据提供给乙方，</w:t>
      </w:r>
      <w:r>
        <w:rPr>
          <w:rFonts w:hint="eastAsia" w:ascii="宋体" w:hAnsi="宋体"/>
          <w:b w:val="0"/>
          <w:bCs w:val="0"/>
          <w:color w:val="000000" w:themeColor="text1"/>
          <w:kern w:val="44"/>
          <w:sz w:val="28"/>
          <w:szCs w:val="28"/>
          <w:highlight w:val="none"/>
          <w:lang w:val="en-US" w:eastAsia="zh-CN"/>
          <w14:textFill>
            <w14:solidFill>
              <w14:schemeClr w14:val="tx1"/>
            </w14:solidFill>
          </w14:textFill>
        </w:rPr>
        <w:t>乙</w:t>
      </w:r>
      <w:r>
        <w:rPr>
          <w:rFonts w:hint="eastAsia" w:ascii="宋体" w:hAnsi="宋体"/>
          <w:b w:val="0"/>
          <w:bCs w:val="0"/>
          <w:color w:val="000000" w:themeColor="text1"/>
          <w:kern w:val="44"/>
          <w:sz w:val="28"/>
          <w:szCs w:val="28"/>
          <w:highlight w:val="none"/>
          <w:lang w:eastAsia="zh-CN"/>
          <w14:textFill>
            <w14:solidFill>
              <w14:schemeClr w14:val="tx1"/>
            </w14:solidFill>
          </w14:textFill>
        </w:rPr>
        <w:t>方及时完成充值，</w:t>
      </w:r>
      <w:r>
        <w:rPr>
          <w:rFonts w:hint="eastAsia" w:ascii="宋体" w:hAnsi="宋体"/>
          <w:b w:val="0"/>
          <w:bCs w:val="0"/>
          <w:color w:val="000000" w:themeColor="text1"/>
          <w:kern w:val="44"/>
          <w:sz w:val="28"/>
          <w:szCs w:val="28"/>
          <w:highlight w:val="none"/>
          <w:lang w:val="en-US" w:eastAsia="zh-CN"/>
          <w14:textFill>
            <w14:solidFill>
              <w14:schemeClr w14:val="tx1"/>
            </w14:solidFill>
          </w14:textFill>
        </w:rPr>
        <w:t>乙</w:t>
      </w:r>
      <w:r>
        <w:rPr>
          <w:rFonts w:hint="eastAsia" w:ascii="宋体" w:hAnsi="宋体" w:eastAsia="宋体" w:cs="Times New Roman"/>
          <w:color w:val="000000" w:themeColor="text1"/>
          <w:kern w:val="44"/>
          <w:sz w:val="28"/>
          <w:szCs w:val="28"/>
          <w:highlight w:val="none"/>
          <w14:textFill>
            <w14:solidFill>
              <w14:schemeClr w14:val="tx1"/>
            </w14:solidFill>
          </w14:textFill>
        </w:rPr>
        <w:t>方负责</w:t>
      </w:r>
      <w:r>
        <w:rPr>
          <w:rFonts w:hint="eastAsia" w:ascii="宋体" w:hAnsi="宋体" w:eastAsia="宋体" w:cs="Times New Roman"/>
          <w:color w:val="000000" w:themeColor="text1"/>
          <w:kern w:val="44"/>
          <w:sz w:val="28"/>
          <w:szCs w:val="28"/>
          <w:highlight w:val="none"/>
          <w:lang w:val="en-US" w:eastAsia="zh-CN"/>
          <w14:textFill>
            <w14:solidFill>
              <w14:schemeClr w14:val="tx1"/>
            </w14:solidFill>
          </w14:textFill>
        </w:rPr>
        <w:t>职工</w:t>
      </w:r>
      <w:r>
        <w:rPr>
          <w:rFonts w:hint="eastAsia" w:ascii="宋体" w:hAnsi="宋体" w:eastAsia="宋体" w:cs="Times New Roman"/>
          <w:color w:val="000000" w:themeColor="text1"/>
          <w:kern w:val="44"/>
          <w:sz w:val="28"/>
          <w:szCs w:val="28"/>
          <w:highlight w:val="none"/>
          <w14:textFill>
            <w14:solidFill>
              <w14:schemeClr w14:val="tx1"/>
            </w14:solidFill>
          </w14:textFill>
        </w:rPr>
        <w:t>餐卡的充值管理工作，</w:t>
      </w:r>
      <w:r>
        <w:rPr>
          <w:rFonts w:hint="eastAsia" w:ascii="宋体" w:hAnsi="宋体" w:cs="Times New Roman"/>
          <w:color w:val="000000" w:themeColor="text1"/>
          <w:kern w:val="44"/>
          <w:sz w:val="28"/>
          <w:szCs w:val="28"/>
          <w:highlight w:val="none"/>
          <w:lang w:val="en-US" w:eastAsia="zh-CN"/>
          <w14:textFill>
            <w14:solidFill>
              <w14:schemeClr w14:val="tx1"/>
            </w14:solidFill>
          </w14:textFill>
        </w:rPr>
        <w:t>甲方</w:t>
      </w:r>
      <w:r>
        <w:rPr>
          <w:rFonts w:hint="eastAsia" w:ascii="宋体" w:hAnsi="宋体" w:eastAsia="宋体" w:cs="Times New Roman"/>
          <w:color w:val="000000" w:themeColor="text1"/>
          <w:kern w:val="44"/>
          <w:sz w:val="28"/>
          <w:szCs w:val="28"/>
          <w:highlight w:val="none"/>
          <w14:textFill>
            <w14:solidFill>
              <w14:schemeClr w14:val="tx1"/>
            </w14:solidFill>
          </w14:textFill>
        </w:rPr>
        <w:t>对乙方所管理的职工充值消费系统具有监管查询的权利</w:t>
      </w:r>
      <w:r>
        <w:rPr>
          <w:rFonts w:hint="eastAsia" w:ascii="宋体" w:hAnsi="宋体" w:cs="Times New Roman"/>
          <w:color w:val="000000" w:themeColor="text1"/>
          <w:kern w:val="44"/>
          <w:sz w:val="28"/>
          <w:szCs w:val="28"/>
          <w:highlight w:val="none"/>
          <w:lang w:eastAsia="zh-CN"/>
          <w14:textFill>
            <w14:solidFill>
              <w14:schemeClr w14:val="tx1"/>
            </w14:solidFill>
          </w14:textFill>
        </w:rPr>
        <w:t>（</w:t>
      </w:r>
      <w:r>
        <w:rPr>
          <w:rFonts w:hint="eastAsia" w:ascii="宋体" w:hAnsi="宋体" w:cs="Times New Roman"/>
          <w:color w:val="000000" w:themeColor="text1"/>
          <w:kern w:val="44"/>
          <w:sz w:val="28"/>
          <w:szCs w:val="28"/>
          <w:highlight w:val="none"/>
          <w:lang w:val="en-US" w:eastAsia="zh-CN"/>
          <w14:textFill>
            <w14:solidFill>
              <w14:schemeClr w14:val="tx1"/>
            </w14:solidFill>
          </w14:textFill>
        </w:rPr>
        <w:t>查询用户名，密码由乙方主动提供</w:t>
      </w:r>
      <w:r>
        <w:rPr>
          <w:rFonts w:hint="eastAsia" w:ascii="宋体" w:hAnsi="宋体" w:cs="Times New Roman"/>
          <w:color w:val="000000" w:themeColor="text1"/>
          <w:kern w:val="44"/>
          <w:sz w:val="28"/>
          <w:szCs w:val="28"/>
          <w:highlight w:val="none"/>
          <w:lang w:eastAsia="zh-CN"/>
          <w14:textFill>
            <w14:solidFill>
              <w14:schemeClr w14:val="tx1"/>
            </w14:solidFill>
          </w14:textFill>
        </w:rPr>
        <w:t>）</w:t>
      </w:r>
      <w:r>
        <w:rPr>
          <w:rFonts w:hint="eastAsia" w:ascii="宋体" w:hAnsi="宋体" w:eastAsia="宋体" w:cs="Times New Roman"/>
          <w:color w:val="000000" w:themeColor="text1"/>
          <w:kern w:val="44"/>
          <w:sz w:val="28"/>
          <w:szCs w:val="28"/>
          <w:highlight w:val="none"/>
          <w14:textFill>
            <w14:solidFill>
              <w14:schemeClr w14:val="tx1"/>
            </w14:solidFill>
          </w14:textFill>
        </w:rPr>
        <w:t>，乙方每月</w:t>
      </w:r>
      <w:r>
        <w:rPr>
          <w:rFonts w:hint="eastAsia" w:ascii="宋体" w:hAnsi="宋体" w:cs="Times New Roman"/>
          <w:color w:val="000000" w:themeColor="text1"/>
          <w:kern w:val="44"/>
          <w:sz w:val="28"/>
          <w:szCs w:val="28"/>
          <w:highlight w:val="none"/>
          <w:lang w:val="en-US" w:eastAsia="zh-CN"/>
          <w14:textFill>
            <w14:solidFill>
              <w14:schemeClr w14:val="tx1"/>
            </w14:solidFill>
          </w14:textFill>
        </w:rPr>
        <w:t>5</w:t>
      </w:r>
      <w:r>
        <w:rPr>
          <w:rFonts w:hint="eastAsia" w:ascii="宋体" w:hAnsi="宋体" w:eastAsia="宋体" w:cs="Times New Roman"/>
          <w:color w:val="000000" w:themeColor="text1"/>
          <w:kern w:val="44"/>
          <w:sz w:val="28"/>
          <w:szCs w:val="28"/>
          <w:highlight w:val="none"/>
          <w14:textFill>
            <w14:solidFill>
              <w14:schemeClr w14:val="tx1"/>
            </w14:solidFill>
          </w14:textFill>
        </w:rPr>
        <w:t>日前向甲方财务科提供</w:t>
      </w:r>
      <w:r>
        <w:rPr>
          <w:rFonts w:hint="eastAsia" w:ascii="宋体" w:hAnsi="宋体" w:cs="Times New Roman"/>
          <w:color w:val="000000" w:themeColor="text1"/>
          <w:kern w:val="44"/>
          <w:sz w:val="28"/>
          <w:szCs w:val="28"/>
          <w:highlight w:val="none"/>
          <w:lang w:val="en-US" w:eastAsia="zh-CN"/>
          <w14:textFill>
            <w14:solidFill>
              <w14:schemeClr w14:val="tx1"/>
            </w14:solidFill>
          </w14:textFill>
        </w:rPr>
        <w:t>上月</w:t>
      </w:r>
      <w:r>
        <w:rPr>
          <w:rFonts w:hint="eastAsia" w:ascii="宋体" w:hAnsi="宋体" w:eastAsia="宋体" w:cs="Times New Roman"/>
          <w:color w:val="000000" w:themeColor="text1"/>
          <w:kern w:val="44"/>
          <w:sz w:val="28"/>
          <w:szCs w:val="28"/>
          <w:highlight w:val="none"/>
          <w14:textFill>
            <w14:solidFill>
              <w14:schemeClr w14:val="tx1"/>
            </w14:solidFill>
          </w14:textFill>
        </w:rPr>
        <w:t>消费清单汇总表</w:t>
      </w:r>
      <w:r>
        <w:rPr>
          <w:rFonts w:hint="eastAsia" w:ascii="宋体" w:hAnsi="宋体" w:cs="Times New Roman"/>
          <w:color w:val="000000" w:themeColor="text1"/>
          <w:kern w:val="44"/>
          <w:sz w:val="28"/>
          <w:szCs w:val="28"/>
          <w:highlight w:val="none"/>
          <w:lang w:eastAsia="zh-CN"/>
          <w14:textFill>
            <w14:solidFill>
              <w14:schemeClr w14:val="tx1"/>
            </w14:solidFill>
          </w14:textFill>
        </w:rPr>
        <w:t>。</w:t>
      </w:r>
      <w:r>
        <w:rPr>
          <w:rFonts w:hint="eastAsia" w:ascii="宋体" w:hAnsi="宋体" w:cs="Times New Roman"/>
          <w:color w:val="000000" w:themeColor="text1"/>
          <w:kern w:val="44"/>
          <w:sz w:val="28"/>
          <w:szCs w:val="28"/>
          <w:highlight w:val="none"/>
          <w:lang w:val="en-US" w:eastAsia="zh-CN"/>
          <w14:textFill>
            <w14:solidFill>
              <w14:schemeClr w14:val="tx1"/>
            </w14:solidFill>
          </w14:textFill>
        </w:rPr>
        <w:t>同时对于职工当月未及时消费的充值金额可换购同等金额的食品。</w:t>
      </w:r>
    </w:p>
    <w:p>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kern w:val="44"/>
          <w:sz w:val="28"/>
          <w:szCs w:val="28"/>
          <w:highlight w:val="none"/>
          <w:lang w:eastAsia="zh-CN"/>
          <w14:textFill>
            <w14:solidFill>
              <w14:schemeClr w14:val="tx1"/>
            </w14:solidFill>
          </w14:textFill>
        </w:rPr>
      </w:pPr>
      <w:r>
        <w:rPr>
          <w:rFonts w:hint="eastAsia" w:ascii="宋体" w:hAnsi="宋体" w:cs="Times New Roman"/>
          <w:color w:val="000000" w:themeColor="text1"/>
          <w:kern w:val="44"/>
          <w:sz w:val="28"/>
          <w:szCs w:val="28"/>
          <w:highlight w:val="none"/>
          <w:lang w:val="en-US" w:eastAsia="zh-CN"/>
          <w14:textFill>
            <w14:solidFill>
              <w14:schemeClr w14:val="tx1"/>
            </w14:solidFill>
          </w14:textFill>
        </w:rPr>
        <w:t>3.</w:t>
      </w:r>
      <w:r>
        <w:rPr>
          <w:rFonts w:hint="eastAsia" w:ascii="宋体" w:hAnsi="宋体" w:eastAsia="宋体" w:cs="Times New Roman"/>
          <w:color w:val="000000" w:themeColor="text1"/>
          <w:kern w:val="44"/>
          <w:sz w:val="28"/>
          <w:szCs w:val="28"/>
          <w:highlight w:val="none"/>
          <w14:textFill>
            <w14:solidFill>
              <w14:schemeClr w14:val="tx1"/>
            </w14:solidFill>
          </w14:textFill>
        </w:rPr>
        <w:t>甲方于每月</w:t>
      </w:r>
      <w:r>
        <w:rPr>
          <w:rFonts w:hint="eastAsia" w:ascii="宋体" w:hAnsi="宋体" w:cs="Times New Roman"/>
          <w:color w:val="000000" w:themeColor="text1"/>
          <w:kern w:val="44"/>
          <w:sz w:val="28"/>
          <w:szCs w:val="28"/>
          <w:highlight w:val="none"/>
          <w:lang w:val="en-US" w:eastAsia="zh-CN"/>
          <w14:textFill>
            <w14:solidFill>
              <w14:schemeClr w14:val="tx1"/>
            </w14:solidFill>
          </w14:textFill>
        </w:rPr>
        <w:t>25</w:t>
      </w:r>
      <w:r>
        <w:rPr>
          <w:rFonts w:hint="eastAsia" w:ascii="宋体" w:hAnsi="宋体" w:eastAsia="宋体" w:cs="Times New Roman"/>
          <w:color w:val="000000" w:themeColor="text1"/>
          <w:kern w:val="44"/>
          <w:sz w:val="28"/>
          <w:szCs w:val="28"/>
          <w:highlight w:val="none"/>
          <w14:textFill>
            <w14:solidFill>
              <w14:schemeClr w14:val="tx1"/>
            </w14:solidFill>
          </w14:textFill>
        </w:rPr>
        <w:t>日前向乙方予以结清认可的上月月初截至到上月月底的卡机消费及</w:t>
      </w:r>
      <w:r>
        <w:rPr>
          <w:rFonts w:hint="eastAsia" w:ascii="宋体" w:hAnsi="宋体" w:cs="Times New Roman"/>
          <w:color w:val="000000" w:themeColor="text1"/>
          <w:kern w:val="44"/>
          <w:sz w:val="28"/>
          <w:szCs w:val="28"/>
          <w:highlight w:val="none"/>
          <w:lang w:val="en-US" w:eastAsia="zh-CN"/>
          <w14:textFill>
            <w14:solidFill>
              <w14:schemeClr w14:val="tx1"/>
            </w14:solidFill>
          </w14:textFill>
        </w:rPr>
        <w:t>住院患者伙食费</w:t>
      </w:r>
      <w:r>
        <w:rPr>
          <w:rFonts w:hint="eastAsia" w:ascii="宋体" w:hAnsi="宋体" w:eastAsia="宋体" w:cs="Times New Roman"/>
          <w:color w:val="000000" w:themeColor="text1"/>
          <w:kern w:val="44"/>
          <w:sz w:val="28"/>
          <w:szCs w:val="28"/>
          <w:highlight w:val="none"/>
          <w14:textFill>
            <w14:solidFill>
              <w14:schemeClr w14:val="tx1"/>
            </w14:solidFill>
          </w14:textFill>
        </w:rPr>
        <w:t>款项</w:t>
      </w:r>
      <w:bookmarkStart w:id="13" w:name="_GoBack"/>
      <w:bookmarkEnd w:id="13"/>
      <w:r>
        <w:rPr>
          <w:rFonts w:hint="eastAsia" w:ascii="宋体" w:hAnsi="宋体" w:eastAsia="宋体" w:cs="Times New Roman"/>
          <w:color w:val="000000" w:themeColor="text1"/>
          <w:kern w:val="44"/>
          <w:sz w:val="28"/>
          <w:szCs w:val="28"/>
          <w:highlight w:val="none"/>
          <w14:textFill>
            <w14:solidFill>
              <w14:schemeClr w14:val="tx1"/>
            </w14:solidFill>
          </w14:textFill>
        </w:rPr>
        <w:t>。</w:t>
      </w:r>
      <w:r>
        <w:rPr>
          <w:rFonts w:hint="eastAsia" w:ascii="宋体" w:hAnsi="宋体"/>
          <w:b w:val="0"/>
          <w:bCs w:val="0"/>
          <w:color w:val="000000" w:themeColor="text1"/>
          <w:kern w:val="44"/>
          <w:sz w:val="28"/>
          <w:szCs w:val="28"/>
          <w:highlight w:val="none"/>
          <w:lang w:eastAsia="zh-CN"/>
          <w14:textFill>
            <w14:solidFill>
              <w14:schemeClr w14:val="tx1"/>
            </w14:solidFill>
          </w14:textFill>
        </w:rPr>
        <w:t>经乙方确认数据无误后，乙方每月</w:t>
      </w:r>
      <w:r>
        <w:rPr>
          <w:rFonts w:hint="eastAsia" w:ascii="宋体" w:hAnsi="宋体"/>
          <w:b w:val="0"/>
          <w:bCs w:val="0"/>
          <w:color w:val="000000" w:themeColor="text1"/>
          <w:kern w:val="44"/>
          <w:sz w:val="28"/>
          <w:szCs w:val="28"/>
          <w:highlight w:val="none"/>
          <w:lang w:val="en-US" w:eastAsia="zh-CN"/>
          <w14:textFill>
            <w14:solidFill>
              <w14:schemeClr w14:val="tx1"/>
            </w14:solidFill>
          </w14:textFill>
        </w:rPr>
        <w:t>10</w:t>
      </w:r>
      <w:r>
        <w:rPr>
          <w:rFonts w:hint="eastAsia" w:ascii="宋体" w:hAnsi="宋体"/>
          <w:b w:val="0"/>
          <w:bCs w:val="0"/>
          <w:color w:val="000000" w:themeColor="text1"/>
          <w:kern w:val="44"/>
          <w:sz w:val="28"/>
          <w:szCs w:val="28"/>
          <w:highlight w:val="none"/>
          <w:lang w:eastAsia="zh-CN"/>
          <w14:textFill>
            <w14:solidFill>
              <w14:schemeClr w14:val="tx1"/>
            </w14:solidFill>
          </w14:textFill>
        </w:rPr>
        <w:t>日之前为甲方开具（</w:t>
      </w:r>
      <w:r>
        <w:rPr>
          <w:rFonts w:hint="eastAsia" w:ascii="宋体" w:hAnsi="宋体"/>
          <w:b w:val="0"/>
          <w:bCs w:val="0"/>
          <w:color w:val="000000" w:themeColor="text1"/>
          <w:kern w:val="44"/>
          <w:sz w:val="28"/>
          <w:szCs w:val="28"/>
          <w:highlight w:val="none"/>
          <w:lang w:val="en-US" w:eastAsia="zh-CN"/>
          <w14:textFill>
            <w14:solidFill>
              <w14:schemeClr w14:val="tx1"/>
            </w14:solidFill>
          </w14:textFill>
        </w:rPr>
        <w:t>增值费普票</w:t>
      </w:r>
      <w:r>
        <w:rPr>
          <w:rFonts w:hint="eastAsia" w:ascii="宋体" w:hAnsi="宋体"/>
          <w:b w:val="0"/>
          <w:bCs w:val="0"/>
          <w:color w:val="000000" w:themeColor="text1"/>
          <w:kern w:val="44"/>
          <w:sz w:val="28"/>
          <w:szCs w:val="28"/>
          <w:highlight w:val="none"/>
          <w:lang w:eastAsia="zh-CN"/>
          <w14:textFill>
            <w14:solidFill>
              <w14:schemeClr w14:val="tx1"/>
            </w14:solidFill>
          </w14:textFill>
        </w:rPr>
        <w:t>）等额</w:t>
      </w:r>
      <w:r>
        <w:rPr>
          <w:rFonts w:hint="eastAsia" w:ascii="宋体" w:hAnsi="宋体"/>
          <w:b w:val="0"/>
          <w:bCs w:val="0"/>
          <w:color w:val="000000" w:themeColor="text1"/>
          <w:kern w:val="44"/>
          <w:sz w:val="28"/>
          <w:szCs w:val="28"/>
          <w:highlight w:val="none"/>
          <w:u w:val="none"/>
          <w:lang w:val="en-US" w:eastAsia="zh-CN"/>
          <w14:textFill>
            <w14:solidFill>
              <w14:schemeClr w14:val="tx1"/>
            </w14:solidFill>
          </w14:textFill>
        </w:rPr>
        <w:t>税率为6%的增值税普通</w:t>
      </w:r>
      <w:r>
        <w:rPr>
          <w:rFonts w:hint="eastAsia" w:ascii="宋体" w:hAnsi="宋体"/>
          <w:b w:val="0"/>
          <w:bCs w:val="0"/>
          <w:color w:val="000000" w:themeColor="text1"/>
          <w:kern w:val="44"/>
          <w:sz w:val="28"/>
          <w:szCs w:val="28"/>
          <w:highlight w:val="none"/>
          <w:lang w:eastAsia="zh-CN"/>
          <w14:textFill>
            <w14:solidFill>
              <w14:schemeClr w14:val="tx1"/>
            </w14:solidFill>
          </w14:textFill>
        </w:rPr>
        <w:t>发票，</w:t>
      </w:r>
      <w:r>
        <w:rPr>
          <w:rFonts w:hint="eastAsia" w:ascii="宋体" w:hAnsi="宋体"/>
          <w:b w:val="0"/>
          <w:bCs w:val="0"/>
          <w:strike w:val="0"/>
          <w:dstrike w:val="0"/>
          <w:color w:val="000000" w:themeColor="text1"/>
          <w:kern w:val="44"/>
          <w:sz w:val="28"/>
          <w:szCs w:val="28"/>
          <w:highlight w:val="none"/>
          <w:lang w:eastAsia="zh-CN"/>
          <w14:textFill>
            <w14:solidFill>
              <w14:schemeClr w14:val="tx1"/>
            </w14:solidFill>
          </w14:textFill>
        </w:rPr>
        <w:t>（</w:t>
      </w:r>
      <w:r>
        <w:rPr>
          <w:rFonts w:hint="eastAsia" w:ascii="宋体" w:hAnsi="宋体"/>
          <w:b w:val="0"/>
          <w:bCs w:val="0"/>
          <w:strike w:val="0"/>
          <w:dstrike w:val="0"/>
          <w:color w:val="000000" w:themeColor="text1"/>
          <w:kern w:val="44"/>
          <w:sz w:val="28"/>
          <w:szCs w:val="28"/>
          <w:highlight w:val="none"/>
          <w:lang w:val="en-US" w:eastAsia="zh-CN"/>
          <w14:textFill>
            <w14:solidFill>
              <w14:schemeClr w14:val="tx1"/>
            </w14:solidFill>
          </w14:textFill>
        </w:rPr>
        <w:t>乙方在完成服务工作内容后，经甲方考核，无异议后，经甲方院长办公会或支委会审议后，及时支付餐饮服务费。</w:t>
      </w:r>
      <w:r>
        <w:rPr>
          <w:rFonts w:hint="eastAsia" w:ascii="宋体" w:hAnsi="宋体"/>
          <w:b w:val="0"/>
          <w:bCs w:val="0"/>
          <w:strike w:val="0"/>
          <w:dstrike w:val="0"/>
          <w:color w:val="000000" w:themeColor="text1"/>
          <w:kern w:val="44"/>
          <w:sz w:val="28"/>
          <w:szCs w:val="28"/>
          <w:highlight w:val="none"/>
          <w:lang w:eastAsia="zh-CN"/>
          <w14:textFill>
            <w14:solidFill>
              <w14:schemeClr w14:val="tx1"/>
            </w14:solidFill>
          </w14:textFill>
        </w:rPr>
        <w:t>）</w:t>
      </w:r>
      <w:r>
        <w:rPr>
          <w:rFonts w:hint="eastAsia" w:ascii="宋体" w:hAnsi="宋体"/>
          <w:b w:val="0"/>
          <w:bCs w:val="0"/>
          <w:color w:val="000000" w:themeColor="text1"/>
          <w:kern w:val="44"/>
          <w:sz w:val="28"/>
          <w:szCs w:val="28"/>
          <w:highlight w:val="none"/>
          <w:lang w:eastAsia="zh-CN"/>
          <w14:textFill>
            <w14:solidFill>
              <w14:schemeClr w14:val="tx1"/>
            </w14:solidFill>
          </w14:textFill>
        </w:rPr>
        <w:t>甲乙双方约定餐卡补贴当月使用，</w:t>
      </w:r>
      <w:r>
        <w:rPr>
          <w:rFonts w:hint="eastAsia" w:ascii="宋体" w:hAnsi="宋体"/>
          <w:b w:val="0"/>
          <w:bCs w:val="0"/>
          <w:color w:val="000000" w:themeColor="text1"/>
          <w:kern w:val="44"/>
          <w:sz w:val="28"/>
          <w:szCs w:val="28"/>
          <w:highlight w:val="none"/>
          <w:lang w:val="en-US" w:eastAsia="zh-CN"/>
          <w14:textFill>
            <w14:solidFill>
              <w14:schemeClr w14:val="tx1"/>
            </w14:solidFill>
          </w14:textFill>
        </w:rPr>
        <w:t>次月15日</w:t>
      </w:r>
      <w:r>
        <w:rPr>
          <w:rFonts w:hint="eastAsia" w:ascii="宋体" w:hAnsi="宋体"/>
          <w:b w:val="0"/>
          <w:bCs w:val="0"/>
          <w:color w:val="000000" w:themeColor="text1"/>
          <w:kern w:val="44"/>
          <w:sz w:val="28"/>
          <w:szCs w:val="28"/>
          <w:highlight w:val="none"/>
          <w:u w:val="none"/>
          <w:lang w:val="en-US" w:eastAsia="zh-CN"/>
          <w14:textFill>
            <w14:solidFill>
              <w14:schemeClr w14:val="tx1"/>
            </w14:solidFill>
          </w14:textFill>
        </w:rPr>
        <w:t>全部</w:t>
      </w:r>
      <w:r>
        <w:rPr>
          <w:rFonts w:hint="eastAsia" w:ascii="宋体" w:hAnsi="宋体"/>
          <w:b w:val="0"/>
          <w:bCs w:val="0"/>
          <w:color w:val="000000" w:themeColor="text1"/>
          <w:kern w:val="44"/>
          <w:sz w:val="28"/>
          <w:szCs w:val="28"/>
          <w:highlight w:val="none"/>
          <w:lang w:eastAsia="zh-CN"/>
          <w14:textFill>
            <w14:solidFill>
              <w14:schemeClr w14:val="tx1"/>
            </w14:solidFill>
          </w14:textFill>
        </w:rPr>
        <w:t>清零（</w:t>
      </w:r>
      <w:r>
        <w:rPr>
          <w:rFonts w:hint="eastAsia" w:ascii="宋体" w:hAnsi="宋体"/>
          <w:b w:val="0"/>
          <w:bCs w:val="0"/>
          <w:color w:val="000000" w:themeColor="text1"/>
          <w:kern w:val="44"/>
          <w:sz w:val="28"/>
          <w:szCs w:val="28"/>
          <w:highlight w:val="none"/>
          <w:lang w:val="en-US" w:eastAsia="zh-CN"/>
          <w14:textFill>
            <w14:solidFill>
              <w14:schemeClr w14:val="tx1"/>
            </w14:solidFill>
          </w14:textFill>
        </w:rPr>
        <w:t>如遇节假日甲方可申请延期，延期时间由甲乙双方协商约定</w:t>
      </w:r>
      <w:r>
        <w:rPr>
          <w:rFonts w:hint="eastAsia" w:ascii="宋体" w:hAnsi="宋体"/>
          <w:b w:val="0"/>
          <w:bCs w:val="0"/>
          <w:color w:val="000000" w:themeColor="text1"/>
          <w:kern w:val="44"/>
          <w:sz w:val="28"/>
          <w:szCs w:val="28"/>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560" w:firstLineChars="200"/>
        <w:jc w:val="left"/>
        <w:textAlignment w:val="auto"/>
        <w:rPr>
          <w:rFonts w:hint="default" w:ascii="宋体" w:hAnsi="宋体"/>
          <w:b w:val="0"/>
          <w:bCs w:val="0"/>
          <w:color w:val="auto"/>
          <w:kern w:val="44"/>
          <w:sz w:val="28"/>
          <w:szCs w:val="28"/>
          <w:highlight w:val="none"/>
          <w:u w:val="none"/>
          <w:lang w:val="en-US" w:eastAsia="zh-CN"/>
        </w:rPr>
      </w:pPr>
      <w:r>
        <w:rPr>
          <w:rFonts w:hint="eastAsia" w:ascii="宋体" w:hAnsi="宋体"/>
          <w:b w:val="0"/>
          <w:bCs w:val="0"/>
          <w:color w:val="000000" w:themeColor="text1"/>
          <w:kern w:val="44"/>
          <w:sz w:val="28"/>
          <w:szCs w:val="28"/>
          <w:highlight w:val="none"/>
          <w:lang w:val="en-US" w:eastAsia="zh-CN"/>
          <w14:textFill>
            <w14:solidFill>
              <w14:schemeClr w14:val="tx1"/>
            </w14:solidFill>
          </w14:textFill>
        </w:rPr>
        <w:t>4.乙方按实际发生额每月</w:t>
      </w:r>
      <w:r>
        <w:rPr>
          <w:rFonts w:hint="eastAsia" w:ascii="宋体" w:hAnsi="宋体"/>
          <w:b w:val="0"/>
          <w:bCs w:val="0"/>
          <w:color w:val="000000" w:themeColor="text1"/>
          <w:kern w:val="44"/>
          <w:sz w:val="28"/>
          <w:szCs w:val="28"/>
          <w:highlight w:val="none"/>
          <w:u w:val="single"/>
          <w:lang w:val="en-US" w:eastAsia="zh-CN"/>
          <w14:textFill>
            <w14:solidFill>
              <w14:schemeClr w14:val="tx1"/>
            </w14:solidFill>
          </w14:textFill>
        </w:rPr>
        <w:t xml:space="preserve"> 15 </w:t>
      </w:r>
      <w:r>
        <w:rPr>
          <w:rFonts w:hint="eastAsia" w:ascii="宋体" w:hAnsi="宋体"/>
          <w:b w:val="0"/>
          <w:bCs w:val="0"/>
          <w:color w:val="000000" w:themeColor="text1"/>
          <w:kern w:val="44"/>
          <w:sz w:val="28"/>
          <w:szCs w:val="28"/>
          <w:highlight w:val="none"/>
          <w:u w:val="none"/>
          <w:lang w:val="en-US" w:eastAsia="zh-CN"/>
          <w14:textFill>
            <w14:solidFill>
              <w14:schemeClr w14:val="tx1"/>
            </w14:solidFill>
          </w14:textFill>
        </w:rPr>
        <w:t>日前与甲方结算餐厅水电、燃气等费用，支付后甲方七个工作日内为乙方开具等额往来票据。</w:t>
      </w:r>
      <w:r>
        <w:rPr>
          <w:rFonts w:hint="eastAsia" w:ascii="宋体" w:hAnsi="宋体" w:cs="Times New Roman"/>
          <w:color w:val="000000" w:themeColor="text1"/>
          <w:kern w:val="2"/>
          <w:sz w:val="28"/>
          <w:szCs w:val="28"/>
          <w:highlight w:val="none"/>
          <w:lang w:val="en-US" w:eastAsia="zh-CN" w:bidi="ar-SA"/>
          <w14:textFill>
            <w14:solidFill>
              <w14:schemeClr w14:val="tx1"/>
            </w14:solidFill>
          </w14:textFill>
        </w:rPr>
        <w:t>乙方负责甲方住院病人匀浆膳当月金额的50%，剩余金额由甲方自付，</w:t>
      </w:r>
      <w:r>
        <w:rPr>
          <w:rFonts w:hint="eastAsia" w:ascii="宋体" w:hAnsi="宋体" w:cs="Times New Roman"/>
          <w:color w:val="auto"/>
          <w:kern w:val="2"/>
          <w:sz w:val="28"/>
          <w:szCs w:val="28"/>
          <w:highlight w:val="none"/>
          <w:lang w:val="en-US" w:eastAsia="zh-CN" w:bidi="ar-SA"/>
        </w:rPr>
        <w:t>甲方</w:t>
      </w:r>
      <w:r>
        <w:rPr>
          <w:rFonts w:hint="eastAsia" w:ascii="宋体" w:hAnsi="宋体"/>
          <w:b w:val="0"/>
          <w:bCs w:val="0"/>
          <w:color w:val="auto"/>
          <w:kern w:val="44"/>
          <w:sz w:val="28"/>
          <w:szCs w:val="28"/>
          <w:highlight w:val="none"/>
          <w:u w:val="none"/>
          <w:lang w:val="en-US" w:eastAsia="zh-CN"/>
        </w:rPr>
        <w:t>匀浆膳费用同餐饮服务费一起支付。</w:t>
      </w:r>
    </w:p>
    <w:p>
      <w:pPr>
        <w:pStyle w:val="8"/>
        <w:pageBreakBefore w:val="0"/>
        <w:kinsoku/>
        <w:wordWrap/>
        <w:overflowPunct/>
        <w:topLinePunct w:val="0"/>
        <w:autoSpaceDE/>
        <w:autoSpaceDN/>
        <w:bidi w:val="0"/>
        <w:spacing w:line="360" w:lineRule="auto"/>
        <w:textAlignment w:val="auto"/>
        <w:rPr>
          <w:rFonts w:hint="eastAsia" w:ascii="宋体" w:hAnsi="宋体"/>
          <w:b/>
          <w:bCs/>
          <w:color w:val="FF0000"/>
          <w:kern w:val="44"/>
          <w:sz w:val="28"/>
          <w:szCs w:val="28"/>
          <w:highlight w:val="none"/>
          <w:u w:val="none"/>
          <w:lang w:val="en-US" w:eastAsia="zh-CN"/>
        </w:rPr>
      </w:pPr>
      <w:r>
        <w:rPr>
          <w:rFonts w:hint="eastAsia" w:ascii="宋体" w:hAnsi="宋体"/>
          <w:b w:val="0"/>
          <w:bCs w:val="0"/>
          <w:color w:val="000000" w:themeColor="text1"/>
          <w:kern w:val="44"/>
          <w:sz w:val="28"/>
          <w:szCs w:val="28"/>
          <w:highlight w:val="none"/>
          <w:u w:val="none"/>
          <w:lang w:val="en-US" w:eastAsia="zh-CN"/>
          <w14:textFill>
            <w14:solidFill>
              <w14:schemeClr w14:val="tx1"/>
            </w14:solidFill>
          </w14:textFill>
        </w:rPr>
        <w:t>5.甲方每月按照餐饮服务费金额的2%收取管理费，扣减当期向乙方支付的费用。</w:t>
      </w:r>
    </w:p>
    <w:p>
      <w:pPr>
        <w:pStyle w:val="3"/>
        <w:pageBreakBefore w:val="0"/>
        <w:kinsoku/>
        <w:wordWrap/>
        <w:overflowPunct/>
        <w:topLinePunct w:val="0"/>
        <w:autoSpaceDE/>
        <w:autoSpaceDN/>
        <w:bidi w:val="0"/>
        <w:spacing w:line="360" w:lineRule="auto"/>
        <w:textAlignment w:val="auto"/>
        <w:rPr>
          <w:rFonts w:ascii="宋体" w:hAnsi="宋体"/>
          <w:kern w:val="0"/>
          <w:sz w:val="28"/>
          <w:szCs w:val="28"/>
          <w:highlight w:val="none"/>
        </w:rPr>
      </w:pPr>
      <w:r>
        <w:rPr>
          <w:rFonts w:hint="eastAsia" w:ascii="宋体" w:hAnsi="宋体"/>
          <w:color w:val="auto"/>
          <w:sz w:val="28"/>
          <w:szCs w:val="28"/>
          <w:highlight w:val="none"/>
        </w:rPr>
        <w:t>第</w:t>
      </w:r>
      <w:r>
        <w:rPr>
          <w:rFonts w:hint="eastAsia" w:ascii="宋体" w:hAnsi="宋体"/>
          <w:color w:val="auto"/>
          <w:sz w:val="28"/>
          <w:szCs w:val="28"/>
          <w:highlight w:val="none"/>
          <w:lang w:eastAsia="zh-CN"/>
        </w:rPr>
        <w:t>八</w:t>
      </w:r>
      <w:r>
        <w:rPr>
          <w:rFonts w:hint="eastAsia" w:ascii="宋体" w:hAnsi="宋体"/>
          <w:color w:val="auto"/>
          <w:sz w:val="28"/>
          <w:szCs w:val="28"/>
          <w:highlight w:val="none"/>
        </w:rPr>
        <w:t>条</w:t>
      </w:r>
      <w:r>
        <w:rPr>
          <w:rFonts w:hint="eastAsia" w:ascii="宋体" w:hAnsi="宋体"/>
          <w:color w:val="auto"/>
          <w:sz w:val="28"/>
          <w:szCs w:val="28"/>
          <w:highlight w:val="none"/>
          <w:lang w:val="en-US" w:eastAsia="zh-CN"/>
        </w:rPr>
        <w:t xml:space="preserve"> </w:t>
      </w:r>
      <w:r>
        <w:rPr>
          <w:rFonts w:hint="eastAsia" w:ascii="宋体" w:hAnsi="宋体"/>
          <w:kern w:val="0"/>
          <w:sz w:val="28"/>
          <w:szCs w:val="28"/>
          <w:highlight w:val="none"/>
        </w:rPr>
        <w:t>违约责任与争议解决</w:t>
      </w:r>
      <w:bookmarkEnd w:id="9"/>
    </w:p>
    <w:p>
      <w:pPr>
        <w:pStyle w:val="8"/>
        <w:pageBreakBefore w:val="0"/>
        <w:kinsoku/>
        <w:wordWrap/>
        <w:overflowPunct/>
        <w:topLinePunct w:val="0"/>
        <w:autoSpaceDE/>
        <w:autoSpaceDN/>
        <w:bidi w:val="0"/>
        <w:spacing w:line="360" w:lineRule="auto"/>
        <w:textAlignment w:val="auto"/>
        <w:rPr>
          <w:rFonts w:hint="eastAsia" w:ascii="宋体" w:hAnsi="宋体"/>
          <w:b w:val="0"/>
          <w:bCs w:val="0"/>
          <w:color w:val="000000" w:themeColor="text1"/>
          <w:kern w:val="44"/>
          <w:sz w:val="28"/>
          <w:szCs w:val="28"/>
          <w:highlight w:val="none"/>
          <w:lang w:eastAsia="zh-CN"/>
          <w14:textFill>
            <w14:solidFill>
              <w14:schemeClr w14:val="tx1"/>
            </w14:solidFill>
          </w14:textFill>
        </w:rPr>
      </w:pPr>
      <w:r>
        <w:rPr>
          <w:rFonts w:hint="eastAsia" w:ascii="宋体" w:hAnsi="宋体"/>
          <w:b w:val="0"/>
          <w:bCs w:val="0"/>
          <w:color w:val="000000" w:themeColor="text1"/>
          <w:kern w:val="44"/>
          <w:sz w:val="28"/>
          <w:szCs w:val="28"/>
          <w:highlight w:val="none"/>
          <w:lang w:val="en-US" w:eastAsia="zh-CN"/>
          <w14:textFill>
            <w14:solidFill>
              <w14:schemeClr w14:val="tx1"/>
            </w14:solidFill>
          </w14:textFill>
        </w:rPr>
        <w:t>1、</w:t>
      </w:r>
      <w:r>
        <w:rPr>
          <w:rFonts w:hint="eastAsia" w:ascii="宋体" w:hAnsi="宋体"/>
          <w:b w:val="0"/>
          <w:bCs w:val="0"/>
          <w:color w:val="000000" w:themeColor="text1"/>
          <w:kern w:val="44"/>
          <w:sz w:val="28"/>
          <w:szCs w:val="28"/>
          <w:highlight w:val="none"/>
          <w:lang w:eastAsia="zh-CN"/>
          <w14:textFill>
            <w14:solidFill>
              <w14:schemeClr w14:val="tx1"/>
            </w14:solidFill>
          </w14:textFill>
        </w:rPr>
        <w:t>甲乙双方任何一方</w:t>
      </w:r>
      <w:r>
        <w:rPr>
          <w:rFonts w:hint="eastAsia" w:ascii="宋体" w:hAnsi="宋体"/>
          <w:b w:val="0"/>
          <w:bCs w:val="0"/>
          <w:color w:val="000000" w:themeColor="text1"/>
          <w:kern w:val="44"/>
          <w:sz w:val="28"/>
          <w:szCs w:val="28"/>
          <w:highlight w:val="none"/>
          <w:lang w:val="en-US" w:eastAsia="zh-CN"/>
          <w14:textFill>
            <w14:solidFill>
              <w14:schemeClr w14:val="tx1"/>
            </w14:solidFill>
          </w14:textFill>
        </w:rPr>
        <w:t>未在</w:t>
      </w:r>
      <w:r>
        <w:rPr>
          <w:rFonts w:hint="eastAsia" w:ascii="宋体" w:hAnsi="宋体"/>
          <w:b w:val="0"/>
          <w:bCs w:val="0"/>
          <w:color w:val="000000" w:themeColor="text1"/>
          <w:kern w:val="44"/>
          <w:sz w:val="28"/>
          <w:szCs w:val="28"/>
          <w:highlight w:val="none"/>
          <w:lang w:eastAsia="zh-CN"/>
          <w14:textFill>
            <w14:solidFill>
              <w14:schemeClr w14:val="tx1"/>
            </w14:solidFill>
          </w14:textFill>
        </w:rPr>
        <w:t>本合同规定条款依据下提前终止本合同的或有违反本合同行为的，违约方应向守约方支付因此给守约方造成损失费用；</w:t>
      </w:r>
    </w:p>
    <w:p>
      <w:pPr>
        <w:pStyle w:val="8"/>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b w:val="0"/>
          <w:bCs w:val="0"/>
          <w:color w:val="000000" w:themeColor="text1"/>
          <w:kern w:val="44"/>
          <w:sz w:val="28"/>
          <w:szCs w:val="28"/>
          <w:highlight w:val="none"/>
          <w:lang w:eastAsia="zh-CN"/>
          <w14:textFill>
            <w14:solidFill>
              <w14:schemeClr w14:val="tx1"/>
            </w14:solidFill>
          </w14:textFill>
        </w:rPr>
      </w:pPr>
      <w:r>
        <w:rPr>
          <w:rFonts w:hint="eastAsia" w:ascii="宋体" w:hAnsi="宋体"/>
          <w:b w:val="0"/>
          <w:bCs w:val="0"/>
          <w:color w:val="000000" w:themeColor="text1"/>
          <w:kern w:val="44"/>
          <w:sz w:val="28"/>
          <w:szCs w:val="28"/>
          <w:highlight w:val="none"/>
          <w:lang w:val="en-US" w:eastAsia="zh-CN"/>
          <w14:textFill>
            <w14:solidFill>
              <w14:schemeClr w14:val="tx1"/>
            </w14:solidFill>
          </w14:textFill>
        </w:rPr>
        <w:t>2、</w:t>
      </w:r>
      <w:r>
        <w:rPr>
          <w:rFonts w:hint="eastAsia" w:ascii="宋体" w:hAnsi="宋体"/>
          <w:b w:val="0"/>
          <w:bCs w:val="0"/>
          <w:color w:val="000000" w:themeColor="text1"/>
          <w:kern w:val="44"/>
          <w:sz w:val="28"/>
          <w:szCs w:val="28"/>
          <w:highlight w:val="none"/>
          <w:lang w:eastAsia="zh-CN"/>
          <w14:textFill>
            <w14:solidFill>
              <w14:schemeClr w14:val="tx1"/>
            </w14:solidFill>
          </w14:textFill>
        </w:rPr>
        <w:t>凡因履行本合同所发生的或与本协议有关的争议，甲乙双方应首先通过友好协商加以解决。通过协商仍不能解决的，甲乙双方同意，任何一方均可向</w:t>
      </w:r>
      <w:r>
        <w:rPr>
          <w:rFonts w:hint="eastAsia" w:ascii="宋体" w:hAnsi="宋体"/>
          <w:b w:val="0"/>
          <w:bCs w:val="0"/>
          <w:color w:val="000000" w:themeColor="text1"/>
          <w:kern w:val="44"/>
          <w:sz w:val="28"/>
          <w:szCs w:val="28"/>
          <w:highlight w:val="none"/>
          <w:lang w:val="en-US" w:eastAsia="zh-CN"/>
          <w14:textFill>
            <w14:solidFill>
              <w14:schemeClr w14:val="tx1"/>
            </w14:solidFill>
          </w14:textFill>
        </w:rPr>
        <w:t>甲方所在地</w:t>
      </w:r>
      <w:r>
        <w:rPr>
          <w:rFonts w:hint="eastAsia" w:ascii="宋体" w:hAnsi="宋体"/>
          <w:b w:val="0"/>
          <w:bCs w:val="0"/>
          <w:color w:val="000000" w:themeColor="text1"/>
          <w:kern w:val="44"/>
          <w:sz w:val="28"/>
          <w:szCs w:val="28"/>
          <w:highlight w:val="none"/>
          <w:lang w:eastAsia="zh-CN"/>
          <w14:textFill>
            <w14:solidFill>
              <w14:schemeClr w14:val="tx1"/>
            </w14:solidFill>
          </w14:textFill>
        </w:rPr>
        <w:t>人民法院提起诉讼。在诉讼过程中，本合同应继续履行；</w:t>
      </w:r>
    </w:p>
    <w:p>
      <w:pPr>
        <w:pStyle w:val="8"/>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b w:val="0"/>
          <w:bCs w:val="0"/>
          <w:color w:val="000000" w:themeColor="text1"/>
          <w:kern w:val="44"/>
          <w:sz w:val="28"/>
          <w:szCs w:val="28"/>
          <w:highlight w:val="none"/>
          <w:lang w:eastAsia="zh-CN"/>
          <w14:textFill>
            <w14:solidFill>
              <w14:schemeClr w14:val="tx1"/>
            </w14:solidFill>
          </w14:textFill>
        </w:rPr>
      </w:pPr>
      <w:r>
        <w:rPr>
          <w:rFonts w:hint="eastAsia" w:ascii="宋体" w:hAnsi="宋体"/>
          <w:b w:val="0"/>
          <w:bCs w:val="0"/>
          <w:color w:val="000000" w:themeColor="text1"/>
          <w:kern w:val="44"/>
          <w:sz w:val="28"/>
          <w:szCs w:val="28"/>
          <w:highlight w:val="none"/>
          <w:lang w:val="en-US" w:eastAsia="zh-CN"/>
          <w14:textFill>
            <w14:solidFill>
              <w14:schemeClr w14:val="tx1"/>
            </w14:solidFill>
          </w14:textFill>
        </w:rPr>
        <w:t>3、</w:t>
      </w:r>
      <w:r>
        <w:rPr>
          <w:rFonts w:hint="eastAsia" w:ascii="宋体" w:hAnsi="宋体"/>
          <w:b w:val="0"/>
          <w:bCs w:val="0"/>
          <w:color w:val="000000" w:themeColor="text1"/>
          <w:kern w:val="44"/>
          <w:sz w:val="28"/>
          <w:szCs w:val="28"/>
          <w:highlight w:val="none"/>
          <w:lang w:eastAsia="zh-CN"/>
          <w14:textFill>
            <w14:solidFill>
              <w14:schemeClr w14:val="tx1"/>
            </w14:solidFill>
          </w14:textFill>
        </w:rPr>
        <w:t>任何一方非因对方原因而产生的债权债务等纠纷问题均自行解决。</w:t>
      </w:r>
    </w:p>
    <w:p>
      <w:pPr>
        <w:pStyle w:val="3"/>
        <w:pageBreakBefore w:val="0"/>
        <w:kinsoku/>
        <w:wordWrap/>
        <w:overflowPunct/>
        <w:topLinePunct w:val="0"/>
        <w:autoSpaceDE/>
        <w:autoSpaceDN/>
        <w:bidi w:val="0"/>
        <w:spacing w:line="360" w:lineRule="auto"/>
        <w:textAlignment w:val="auto"/>
        <w:rPr>
          <w:rFonts w:hint="eastAsia" w:ascii="宋体" w:hAnsi="宋体"/>
          <w:kern w:val="0"/>
          <w:sz w:val="28"/>
          <w:szCs w:val="28"/>
          <w:highlight w:val="none"/>
        </w:rPr>
      </w:pPr>
      <w:bookmarkStart w:id="10" w:name="_Toc9451"/>
      <w:r>
        <w:rPr>
          <w:rFonts w:hint="eastAsia" w:ascii="宋体" w:hAnsi="宋体"/>
          <w:color w:val="auto"/>
          <w:sz w:val="28"/>
          <w:szCs w:val="28"/>
          <w:highlight w:val="none"/>
        </w:rPr>
        <w:t>第</w:t>
      </w:r>
      <w:r>
        <w:rPr>
          <w:rFonts w:hint="eastAsia" w:ascii="宋体" w:hAnsi="宋体"/>
          <w:color w:val="auto"/>
          <w:sz w:val="28"/>
          <w:szCs w:val="28"/>
          <w:highlight w:val="none"/>
          <w:lang w:eastAsia="zh-CN"/>
        </w:rPr>
        <w:t>九</w:t>
      </w:r>
      <w:r>
        <w:rPr>
          <w:rFonts w:hint="eastAsia" w:ascii="宋体" w:hAnsi="宋体"/>
          <w:color w:val="auto"/>
          <w:sz w:val="28"/>
          <w:szCs w:val="28"/>
          <w:highlight w:val="none"/>
        </w:rPr>
        <w:t>条</w:t>
      </w:r>
      <w:r>
        <w:rPr>
          <w:rFonts w:hint="eastAsia" w:ascii="宋体" w:hAnsi="宋体"/>
          <w:color w:val="auto"/>
          <w:sz w:val="28"/>
          <w:szCs w:val="28"/>
          <w:highlight w:val="none"/>
          <w:lang w:val="en-US" w:eastAsia="zh-CN"/>
        </w:rPr>
        <w:t xml:space="preserve"> </w:t>
      </w:r>
      <w:r>
        <w:rPr>
          <w:rFonts w:hint="eastAsia" w:ascii="宋体" w:hAnsi="宋体"/>
          <w:kern w:val="0"/>
          <w:sz w:val="28"/>
          <w:szCs w:val="28"/>
          <w:highlight w:val="none"/>
        </w:rPr>
        <w:t>协议终止</w:t>
      </w:r>
      <w:bookmarkEnd w:id="10"/>
    </w:p>
    <w:p>
      <w:pPr>
        <w:pStyle w:val="8"/>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b w:val="0"/>
          <w:bCs w:val="0"/>
          <w:color w:val="000000" w:themeColor="text1"/>
          <w:kern w:val="44"/>
          <w:sz w:val="28"/>
          <w:szCs w:val="28"/>
          <w:highlight w:val="none"/>
          <w:lang w:val="en-US" w:eastAsia="zh-CN"/>
          <w14:textFill>
            <w14:solidFill>
              <w14:schemeClr w14:val="tx1"/>
            </w14:solidFill>
          </w14:textFill>
        </w:rPr>
      </w:pPr>
      <w:r>
        <w:rPr>
          <w:rFonts w:hint="eastAsia" w:ascii="宋体" w:hAnsi="宋体"/>
          <w:b w:val="0"/>
          <w:bCs w:val="0"/>
          <w:color w:val="000000" w:themeColor="text1"/>
          <w:kern w:val="44"/>
          <w:sz w:val="28"/>
          <w:szCs w:val="28"/>
          <w:highlight w:val="none"/>
          <w:lang w:val="en-US" w:eastAsia="zh-CN"/>
          <w14:textFill>
            <w14:solidFill>
              <w14:schemeClr w14:val="tx1"/>
            </w14:solidFill>
          </w14:textFill>
        </w:rPr>
        <w:t>甲乙双方同意发生下列情况在任何时间可终止本合同：</w:t>
      </w:r>
    </w:p>
    <w:p>
      <w:pPr>
        <w:pStyle w:val="8"/>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b w:val="0"/>
          <w:bCs w:val="0"/>
          <w:color w:val="000000" w:themeColor="text1"/>
          <w:kern w:val="44"/>
          <w:sz w:val="28"/>
          <w:szCs w:val="28"/>
          <w:highlight w:val="none"/>
          <w:lang w:val="en-US" w:eastAsia="zh-CN"/>
          <w14:textFill>
            <w14:solidFill>
              <w14:schemeClr w14:val="tx1"/>
            </w14:solidFill>
          </w14:textFill>
        </w:rPr>
      </w:pPr>
      <w:r>
        <w:rPr>
          <w:rFonts w:hint="eastAsia" w:ascii="宋体" w:hAnsi="宋体"/>
          <w:b w:val="0"/>
          <w:bCs w:val="0"/>
          <w:color w:val="000000" w:themeColor="text1"/>
          <w:kern w:val="44"/>
          <w:sz w:val="28"/>
          <w:szCs w:val="28"/>
          <w:highlight w:val="none"/>
          <w:lang w:val="en-US" w:eastAsia="zh-CN"/>
          <w14:textFill>
            <w14:solidFill>
              <w14:schemeClr w14:val="tx1"/>
            </w14:solidFill>
          </w14:textFill>
        </w:rPr>
        <w:t>1、本合同规定的可终止条件发生时；</w:t>
      </w:r>
    </w:p>
    <w:p>
      <w:pPr>
        <w:pStyle w:val="8"/>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b w:val="0"/>
          <w:bCs w:val="0"/>
          <w:color w:val="000000" w:themeColor="text1"/>
          <w:kern w:val="44"/>
          <w:sz w:val="28"/>
          <w:szCs w:val="28"/>
          <w:highlight w:val="none"/>
          <w:lang w:val="en-US" w:eastAsia="zh-CN"/>
          <w14:textFill>
            <w14:solidFill>
              <w14:schemeClr w14:val="tx1"/>
            </w14:solidFill>
          </w14:textFill>
        </w:rPr>
      </w:pPr>
      <w:r>
        <w:rPr>
          <w:rFonts w:hint="eastAsia" w:ascii="宋体" w:hAnsi="宋体"/>
          <w:b w:val="0"/>
          <w:bCs w:val="0"/>
          <w:color w:val="000000" w:themeColor="text1"/>
          <w:kern w:val="44"/>
          <w:sz w:val="28"/>
          <w:szCs w:val="28"/>
          <w:highlight w:val="none"/>
          <w:lang w:val="en-US" w:eastAsia="zh-CN"/>
          <w14:textFill>
            <w14:solidFill>
              <w14:schemeClr w14:val="tx1"/>
            </w14:solidFill>
          </w14:textFill>
        </w:rPr>
        <w:t>2、由于不可抗力的发生，致使本合同无法履行；</w:t>
      </w:r>
    </w:p>
    <w:p>
      <w:pPr>
        <w:pStyle w:val="8"/>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b w:val="0"/>
          <w:bCs w:val="0"/>
          <w:color w:val="000000" w:themeColor="text1"/>
          <w:kern w:val="44"/>
          <w:sz w:val="28"/>
          <w:szCs w:val="28"/>
          <w:highlight w:val="none"/>
          <w:lang w:val="en-US" w:eastAsia="zh-CN"/>
          <w14:textFill>
            <w14:solidFill>
              <w14:schemeClr w14:val="tx1"/>
            </w14:solidFill>
          </w14:textFill>
        </w:rPr>
      </w:pPr>
      <w:r>
        <w:rPr>
          <w:rFonts w:hint="eastAsia" w:ascii="宋体" w:hAnsi="宋体"/>
          <w:b w:val="0"/>
          <w:bCs w:val="0"/>
          <w:color w:val="000000" w:themeColor="text1"/>
          <w:kern w:val="44"/>
          <w:sz w:val="28"/>
          <w:szCs w:val="28"/>
          <w:highlight w:val="none"/>
          <w:lang w:val="en-US" w:eastAsia="zh-CN"/>
          <w14:textFill>
            <w14:solidFill>
              <w14:schemeClr w14:val="tx1"/>
            </w14:solidFill>
          </w14:textFill>
        </w:rPr>
        <w:t>3、任何一方严重违反或未履行本合同所列任何条款职责，并接到对方书面通知起计20天内未能改善及履行有关条款职责，足以影响协议实现的；</w:t>
      </w:r>
    </w:p>
    <w:p>
      <w:pPr>
        <w:pStyle w:val="8"/>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b w:val="0"/>
          <w:bCs w:val="0"/>
          <w:color w:val="000000" w:themeColor="text1"/>
          <w:kern w:val="44"/>
          <w:sz w:val="28"/>
          <w:szCs w:val="28"/>
          <w:highlight w:val="none"/>
          <w:lang w:val="en-US" w:eastAsia="zh-CN"/>
          <w14:textFill>
            <w14:solidFill>
              <w14:schemeClr w14:val="tx1"/>
            </w14:solidFill>
          </w14:textFill>
        </w:rPr>
      </w:pPr>
      <w:r>
        <w:rPr>
          <w:rFonts w:hint="eastAsia" w:ascii="宋体" w:hAnsi="宋体"/>
          <w:b w:val="0"/>
          <w:bCs w:val="0"/>
          <w:color w:val="000000" w:themeColor="text1"/>
          <w:kern w:val="44"/>
          <w:sz w:val="28"/>
          <w:szCs w:val="28"/>
          <w:highlight w:val="none"/>
          <w:lang w:val="en-US" w:eastAsia="zh-CN"/>
          <w14:textFill>
            <w14:solidFill>
              <w14:schemeClr w14:val="tx1"/>
            </w14:solidFill>
          </w14:textFill>
        </w:rPr>
        <w:t>4、任何一方受到法律制裁而引起破产清算；</w:t>
      </w:r>
    </w:p>
    <w:p>
      <w:pPr>
        <w:pStyle w:val="8"/>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b w:val="0"/>
          <w:bCs w:val="0"/>
          <w:color w:val="000000" w:themeColor="text1"/>
          <w:kern w:val="44"/>
          <w:sz w:val="28"/>
          <w:szCs w:val="28"/>
          <w:highlight w:val="none"/>
          <w:lang w:val="en-US" w:eastAsia="zh-CN"/>
          <w14:textFill>
            <w14:solidFill>
              <w14:schemeClr w14:val="tx1"/>
            </w14:solidFill>
          </w14:textFill>
        </w:rPr>
      </w:pPr>
      <w:r>
        <w:rPr>
          <w:rFonts w:hint="eastAsia" w:ascii="宋体" w:hAnsi="宋体"/>
          <w:b w:val="0"/>
          <w:bCs w:val="0"/>
          <w:color w:val="000000" w:themeColor="text1"/>
          <w:kern w:val="44"/>
          <w:sz w:val="28"/>
          <w:szCs w:val="28"/>
          <w:highlight w:val="none"/>
          <w:lang w:val="en-US" w:eastAsia="zh-CN"/>
          <w14:textFill>
            <w14:solidFill>
              <w14:schemeClr w14:val="tx1"/>
            </w14:solidFill>
          </w14:textFill>
        </w:rPr>
        <w:t>5、合同期满前，甲乙双方未能续签合同。</w:t>
      </w:r>
    </w:p>
    <w:p>
      <w:pPr>
        <w:pStyle w:val="8"/>
        <w:pageBreakBefore w:val="0"/>
        <w:kinsoku/>
        <w:wordWrap/>
        <w:overflowPunct/>
        <w:topLinePunct w:val="0"/>
        <w:autoSpaceDE/>
        <w:autoSpaceDN/>
        <w:bidi w:val="0"/>
        <w:spacing w:line="360" w:lineRule="auto"/>
        <w:ind w:left="0" w:leftChars="0" w:firstLine="560" w:firstLineChars="200"/>
        <w:textAlignment w:val="auto"/>
        <w:rPr>
          <w:rFonts w:hint="eastAsia" w:ascii="宋体" w:hAnsi="宋体"/>
          <w:b w:val="0"/>
          <w:bCs w:val="0"/>
          <w:color w:val="000000" w:themeColor="text1"/>
          <w:kern w:val="44"/>
          <w:sz w:val="28"/>
          <w:szCs w:val="28"/>
          <w:highlight w:val="none"/>
          <w:lang w:val="en-US" w:eastAsia="zh-CN"/>
          <w14:textFill>
            <w14:solidFill>
              <w14:schemeClr w14:val="tx1"/>
            </w14:solidFill>
          </w14:textFill>
        </w:rPr>
      </w:pPr>
      <w:r>
        <w:rPr>
          <w:rFonts w:hint="eastAsia" w:ascii="宋体" w:hAnsi="宋体"/>
          <w:b w:val="0"/>
          <w:bCs w:val="0"/>
          <w:color w:val="000000" w:themeColor="text1"/>
          <w:kern w:val="44"/>
          <w:sz w:val="28"/>
          <w:szCs w:val="28"/>
          <w:highlight w:val="none"/>
          <w:lang w:val="en-US" w:eastAsia="zh-CN"/>
          <w14:textFill>
            <w14:solidFill>
              <w14:schemeClr w14:val="tx1"/>
            </w14:solidFill>
          </w14:textFill>
        </w:rPr>
        <w:t>合同终止后，甲方投资的设备设施归甲方所有，乙方投资的设施设备归乙方所有</w:t>
      </w:r>
      <w:bookmarkStart w:id="11" w:name="_Toc17791"/>
      <w:r>
        <w:rPr>
          <w:rFonts w:hint="eastAsia" w:ascii="宋体" w:hAnsi="宋体"/>
          <w:b w:val="0"/>
          <w:bCs w:val="0"/>
          <w:color w:val="000000" w:themeColor="text1"/>
          <w:kern w:val="44"/>
          <w:sz w:val="28"/>
          <w:szCs w:val="28"/>
          <w:highlight w:val="none"/>
          <w:lang w:val="en-US" w:eastAsia="zh-CN"/>
          <w14:textFill>
            <w14:solidFill>
              <w14:schemeClr w14:val="tx1"/>
            </w14:solidFill>
          </w14:textFill>
        </w:rPr>
        <w:t>；本合同期满前60日，甲方应提前告知乙方是否需要续签或终止合同事宜否则合同自动顺延。若合同期满，甲方尚未完成招标的，经甲乙双方协商，可以续签补充协议。</w:t>
      </w:r>
      <w:bookmarkEnd w:id="11"/>
      <w:bookmarkStart w:id="12" w:name="_Toc29384"/>
    </w:p>
    <w:p>
      <w:pPr>
        <w:pStyle w:val="3"/>
        <w:pageBreakBefore w:val="0"/>
        <w:kinsoku/>
        <w:wordWrap/>
        <w:overflowPunct/>
        <w:topLinePunct w:val="0"/>
        <w:autoSpaceDE/>
        <w:autoSpaceDN/>
        <w:bidi w:val="0"/>
        <w:spacing w:line="360" w:lineRule="auto"/>
        <w:ind w:left="25" w:leftChars="-67" w:hanging="166" w:hangingChars="59"/>
        <w:textAlignment w:val="auto"/>
        <w:rPr>
          <w:rFonts w:ascii="宋体" w:hAnsi="宋体"/>
          <w:kern w:val="0"/>
          <w:sz w:val="28"/>
          <w:szCs w:val="28"/>
          <w:highlight w:val="none"/>
        </w:rPr>
      </w:pPr>
      <w:r>
        <w:rPr>
          <w:rFonts w:hint="eastAsia" w:ascii="宋体" w:hAnsi="宋体"/>
          <w:color w:val="auto"/>
          <w:sz w:val="28"/>
          <w:szCs w:val="28"/>
          <w:highlight w:val="none"/>
        </w:rPr>
        <w:t>第</w:t>
      </w:r>
      <w:r>
        <w:rPr>
          <w:rFonts w:hint="eastAsia" w:ascii="宋体" w:hAnsi="宋体"/>
          <w:color w:val="auto"/>
          <w:sz w:val="28"/>
          <w:szCs w:val="28"/>
          <w:highlight w:val="none"/>
          <w:lang w:val="en-US" w:eastAsia="zh-CN"/>
        </w:rPr>
        <w:t>十</w:t>
      </w:r>
      <w:r>
        <w:rPr>
          <w:rFonts w:hint="eastAsia" w:ascii="宋体" w:hAnsi="宋体"/>
          <w:color w:val="auto"/>
          <w:sz w:val="28"/>
          <w:szCs w:val="28"/>
          <w:highlight w:val="none"/>
        </w:rPr>
        <w:t>条</w:t>
      </w:r>
      <w:r>
        <w:rPr>
          <w:rFonts w:hint="eastAsia" w:ascii="宋体" w:hAnsi="宋体"/>
          <w:color w:val="auto"/>
          <w:sz w:val="28"/>
          <w:szCs w:val="28"/>
          <w:highlight w:val="none"/>
          <w:lang w:val="en-US" w:eastAsia="zh-CN"/>
        </w:rPr>
        <w:t xml:space="preserve"> </w:t>
      </w:r>
      <w:r>
        <w:rPr>
          <w:rFonts w:hint="eastAsia" w:ascii="宋体" w:hAnsi="宋体"/>
          <w:kern w:val="0"/>
          <w:sz w:val="28"/>
          <w:szCs w:val="28"/>
          <w:highlight w:val="none"/>
        </w:rPr>
        <w:t>其他约定</w:t>
      </w:r>
      <w:bookmarkEnd w:id="12"/>
    </w:p>
    <w:p>
      <w:pPr>
        <w:pStyle w:val="8"/>
        <w:pageBreakBefore w:val="0"/>
        <w:numPr>
          <w:ilvl w:val="0"/>
          <w:numId w:val="0"/>
        </w:numPr>
        <w:kinsoku/>
        <w:wordWrap/>
        <w:overflowPunct/>
        <w:topLinePunct w:val="0"/>
        <w:autoSpaceDE/>
        <w:autoSpaceDN/>
        <w:bidi w:val="0"/>
        <w:spacing w:line="360" w:lineRule="auto"/>
        <w:ind w:firstLine="560" w:firstLineChars="200"/>
        <w:textAlignment w:val="auto"/>
        <w:rPr>
          <w:rFonts w:hint="eastAsia" w:ascii="宋体" w:hAnsi="宋体"/>
          <w:bCs/>
          <w:color w:val="auto"/>
          <w:kern w:val="0"/>
          <w:sz w:val="28"/>
          <w:szCs w:val="28"/>
          <w:highlight w:val="none"/>
        </w:rPr>
      </w:pPr>
      <w:r>
        <w:rPr>
          <w:rFonts w:hint="eastAsia" w:ascii="宋体" w:hAnsi="宋体"/>
          <w:bCs/>
          <w:color w:val="auto"/>
          <w:kern w:val="0"/>
          <w:sz w:val="28"/>
          <w:szCs w:val="28"/>
          <w:highlight w:val="none"/>
          <w:lang w:val="en-US" w:eastAsia="zh-CN"/>
        </w:rPr>
        <w:t>1、</w:t>
      </w:r>
      <w:r>
        <w:rPr>
          <w:rFonts w:hint="eastAsia" w:ascii="宋体" w:hAnsi="宋体"/>
          <w:bCs/>
          <w:color w:val="auto"/>
          <w:kern w:val="0"/>
          <w:sz w:val="28"/>
          <w:szCs w:val="28"/>
          <w:highlight w:val="none"/>
        </w:rPr>
        <w:t>本合同其他未尽事宜，由甲乙双方协商一致后签订补充协议予以明确约定，补充协议与本合同具有同等法律效力，补充协议与本合同不一致之处，以补充合同为准；</w:t>
      </w:r>
    </w:p>
    <w:p>
      <w:pPr>
        <w:pStyle w:val="8"/>
        <w:pageBreakBefore w:val="0"/>
        <w:numPr>
          <w:ilvl w:val="0"/>
          <w:numId w:val="0"/>
        </w:numPr>
        <w:kinsoku/>
        <w:wordWrap/>
        <w:overflowPunct/>
        <w:topLinePunct w:val="0"/>
        <w:autoSpaceDE/>
        <w:autoSpaceDN/>
        <w:bidi w:val="0"/>
        <w:spacing w:line="360" w:lineRule="auto"/>
        <w:ind w:firstLine="560" w:firstLineChars="200"/>
        <w:textAlignment w:val="auto"/>
        <w:rPr>
          <w:rFonts w:hint="eastAsia" w:ascii="宋体" w:hAnsi="宋体"/>
          <w:bCs/>
          <w:color w:val="auto"/>
          <w:kern w:val="0"/>
          <w:sz w:val="28"/>
          <w:szCs w:val="28"/>
          <w:highlight w:val="none"/>
        </w:rPr>
      </w:pPr>
      <w:r>
        <w:rPr>
          <w:rFonts w:hint="eastAsia" w:ascii="宋体" w:hAnsi="宋体"/>
          <w:bCs/>
          <w:color w:val="auto"/>
          <w:kern w:val="0"/>
          <w:sz w:val="28"/>
          <w:szCs w:val="28"/>
          <w:highlight w:val="none"/>
          <w:lang w:val="en-US" w:eastAsia="zh-CN"/>
        </w:rPr>
        <w:t>2、</w:t>
      </w:r>
      <w:r>
        <w:rPr>
          <w:rFonts w:hint="eastAsia" w:ascii="宋体" w:hAnsi="宋体"/>
          <w:bCs/>
          <w:color w:val="auto"/>
          <w:kern w:val="0"/>
          <w:sz w:val="28"/>
          <w:szCs w:val="28"/>
          <w:highlight w:val="none"/>
        </w:rPr>
        <w:t>本合同一式</w:t>
      </w:r>
      <w:r>
        <w:rPr>
          <w:rFonts w:hint="eastAsia" w:ascii="宋体" w:hAnsi="宋体"/>
          <w:bCs/>
          <w:color w:val="auto"/>
          <w:kern w:val="0"/>
          <w:sz w:val="28"/>
          <w:szCs w:val="28"/>
          <w:highlight w:val="none"/>
          <w:lang w:val="en-US" w:eastAsia="zh-CN"/>
        </w:rPr>
        <w:t>4</w:t>
      </w:r>
      <w:r>
        <w:rPr>
          <w:rFonts w:hint="eastAsia" w:ascii="宋体" w:hAnsi="宋体"/>
          <w:bCs/>
          <w:color w:val="auto"/>
          <w:kern w:val="0"/>
          <w:sz w:val="28"/>
          <w:szCs w:val="28"/>
          <w:highlight w:val="none"/>
        </w:rPr>
        <w:t>份，甲方执</w:t>
      </w:r>
      <w:r>
        <w:rPr>
          <w:rFonts w:hint="eastAsia" w:ascii="宋体" w:hAnsi="宋体"/>
          <w:bCs/>
          <w:color w:val="auto"/>
          <w:kern w:val="0"/>
          <w:sz w:val="28"/>
          <w:szCs w:val="28"/>
          <w:highlight w:val="none"/>
          <w:lang w:val="en-US" w:eastAsia="zh-CN"/>
        </w:rPr>
        <w:t>2</w:t>
      </w:r>
      <w:r>
        <w:rPr>
          <w:rFonts w:hint="eastAsia" w:ascii="宋体" w:hAnsi="宋体"/>
          <w:bCs/>
          <w:color w:val="auto"/>
          <w:kern w:val="0"/>
          <w:sz w:val="28"/>
          <w:szCs w:val="28"/>
          <w:highlight w:val="none"/>
        </w:rPr>
        <w:t>份、乙方执2份，本合同经甲乙双方法定代表人或委托代理人签字并加盖公章后生效</w:t>
      </w:r>
      <w:r>
        <w:rPr>
          <w:rFonts w:hint="eastAsia" w:ascii="宋体" w:hAnsi="宋体"/>
          <w:bCs/>
          <w:color w:val="auto"/>
          <w:kern w:val="0"/>
          <w:sz w:val="28"/>
          <w:szCs w:val="28"/>
          <w:highlight w:val="none"/>
          <w:lang w:eastAsia="zh-CN"/>
        </w:rPr>
        <w:t>。</w:t>
      </w:r>
    </w:p>
    <w:p>
      <w:pPr>
        <w:pageBreakBefore w:val="0"/>
        <w:kinsoku/>
        <w:wordWrap/>
        <w:overflowPunct/>
        <w:topLinePunct w:val="0"/>
        <w:autoSpaceDE/>
        <w:autoSpaceDN/>
        <w:bidi w:val="0"/>
        <w:spacing w:line="360" w:lineRule="auto"/>
        <w:textAlignment w:val="auto"/>
        <w:rPr>
          <w:rFonts w:ascii="宋体" w:hAnsi="宋体"/>
          <w:b/>
          <w:sz w:val="28"/>
          <w:highlight w:val="none"/>
        </w:rPr>
      </w:pPr>
    </w:p>
    <w:p>
      <w:pPr>
        <w:pageBreakBefore w:val="0"/>
        <w:kinsoku/>
        <w:wordWrap/>
        <w:overflowPunct/>
        <w:topLinePunct w:val="0"/>
        <w:autoSpaceDE/>
        <w:autoSpaceDN/>
        <w:bidi w:val="0"/>
        <w:spacing w:line="360" w:lineRule="auto"/>
        <w:textAlignment w:val="auto"/>
        <w:rPr>
          <w:rFonts w:ascii="宋体" w:hAnsi="宋体"/>
          <w:b/>
          <w:sz w:val="28"/>
          <w:szCs w:val="28"/>
          <w:highlight w:val="none"/>
        </w:rPr>
      </w:pPr>
      <w:r>
        <w:rPr>
          <w:rFonts w:hint="eastAsia" w:ascii="宋体" w:hAnsi="宋体"/>
          <w:b/>
          <w:sz w:val="28"/>
          <w:szCs w:val="28"/>
          <w:highlight w:val="none"/>
        </w:rPr>
        <w:t xml:space="preserve">甲方：（盖章）      </w:t>
      </w:r>
      <w:r>
        <w:rPr>
          <w:rFonts w:hint="eastAsia" w:ascii="宋体" w:hAnsi="宋体"/>
          <w:b/>
          <w:sz w:val="28"/>
          <w:szCs w:val="28"/>
          <w:highlight w:val="none"/>
          <w:lang w:val="en-US" w:eastAsia="zh-CN"/>
        </w:rPr>
        <w:t xml:space="preserve">                 </w:t>
      </w:r>
      <w:r>
        <w:rPr>
          <w:rFonts w:hint="eastAsia" w:ascii="宋体" w:hAnsi="宋体"/>
          <w:b/>
          <w:sz w:val="28"/>
          <w:szCs w:val="28"/>
          <w:highlight w:val="none"/>
        </w:rPr>
        <w:t>乙方：（盖章）</w:t>
      </w:r>
    </w:p>
    <w:p>
      <w:pPr>
        <w:pageBreakBefore w:val="0"/>
        <w:kinsoku/>
        <w:wordWrap/>
        <w:overflowPunct/>
        <w:topLinePunct w:val="0"/>
        <w:autoSpaceDE/>
        <w:autoSpaceDN/>
        <w:bidi w:val="0"/>
        <w:spacing w:line="360" w:lineRule="auto"/>
        <w:ind w:firstLine="138" w:firstLineChars="49"/>
        <w:textAlignment w:val="auto"/>
        <w:rPr>
          <w:rFonts w:ascii="宋体" w:hAnsi="宋体"/>
          <w:b/>
          <w:sz w:val="28"/>
          <w:szCs w:val="28"/>
          <w:highlight w:val="none"/>
        </w:rPr>
      </w:pPr>
    </w:p>
    <w:p>
      <w:pPr>
        <w:pageBreakBefore w:val="0"/>
        <w:kinsoku/>
        <w:wordWrap/>
        <w:overflowPunct/>
        <w:topLinePunct w:val="0"/>
        <w:autoSpaceDE/>
        <w:autoSpaceDN/>
        <w:bidi w:val="0"/>
        <w:spacing w:line="360" w:lineRule="auto"/>
        <w:textAlignment w:val="auto"/>
        <w:rPr>
          <w:rFonts w:hint="eastAsia" w:ascii="宋体" w:hAnsi="宋体"/>
          <w:b/>
          <w:sz w:val="28"/>
          <w:szCs w:val="28"/>
          <w:highlight w:val="none"/>
        </w:rPr>
      </w:pPr>
      <w:r>
        <w:rPr>
          <w:rFonts w:hint="eastAsia" w:ascii="宋体" w:hAnsi="宋体"/>
          <w:b/>
          <w:sz w:val="28"/>
          <w:szCs w:val="28"/>
          <w:highlight w:val="none"/>
        </w:rPr>
        <w:t xml:space="preserve">法定代表人或委托代理人：            </w:t>
      </w:r>
      <w:r>
        <w:rPr>
          <w:rFonts w:ascii="宋体" w:hAnsi="宋体"/>
          <w:b/>
          <w:sz w:val="28"/>
          <w:szCs w:val="28"/>
          <w:highlight w:val="none"/>
        </w:rPr>
        <w:t>法定代表人或委托代理人</w:t>
      </w:r>
      <w:r>
        <w:rPr>
          <w:rFonts w:hint="eastAsia" w:ascii="宋体" w:hAnsi="宋体"/>
          <w:b/>
          <w:sz w:val="28"/>
          <w:szCs w:val="28"/>
          <w:highlight w:val="none"/>
        </w:rPr>
        <w:t>：</w:t>
      </w:r>
    </w:p>
    <w:p>
      <w:pPr>
        <w:pageBreakBefore w:val="0"/>
        <w:kinsoku/>
        <w:wordWrap/>
        <w:overflowPunct/>
        <w:topLinePunct w:val="0"/>
        <w:autoSpaceDE/>
        <w:autoSpaceDN/>
        <w:bidi w:val="0"/>
        <w:spacing w:line="360" w:lineRule="auto"/>
        <w:ind w:firstLine="138" w:firstLineChars="49"/>
        <w:textAlignment w:val="auto"/>
        <w:rPr>
          <w:rFonts w:hint="eastAsia" w:ascii="宋体" w:hAnsi="宋体"/>
          <w:b/>
          <w:sz w:val="28"/>
          <w:szCs w:val="28"/>
          <w:highlight w:val="none"/>
        </w:rPr>
      </w:pPr>
      <w:r>
        <w:rPr>
          <w:rFonts w:hint="eastAsia" w:ascii="宋体" w:hAnsi="宋体"/>
          <w:b/>
          <w:sz w:val="28"/>
          <w:szCs w:val="28"/>
          <w:highlight w:val="none"/>
        </w:rPr>
        <w:t xml:space="preserve">    </w:t>
      </w:r>
    </w:p>
    <w:p>
      <w:pPr>
        <w:pageBreakBefore w:val="0"/>
        <w:kinsoku/>
        <w:wordWrap/>
        <w:overflowPunct/>
        <w:topLinePunct w:val="0"/>
        <w:autoSpaceDE/>
        <w:autoSpaceDN/>
        <w:bidi w:val="0"/>
        <w:spacing w:line="360" w:lineRule="auto"/>
        <w:textAlignment w:val="auto"/>
        <w:rPr>
          <w:rFonts w:hint="eastAsia" w:ascii="宋体" w:hAnsi="宋体"/>
          <w:b/>
          <w:sz w:val="28"/>
          <w:szCs w:val="28"/>
          <w:highlight w:val="none"/>
        </w:rPr>
      </w:pPr>
    </w:p>
    <w:p>
      <w:pPr>
        <w:pageBreakBefore w:val="0"/>
        <w:kinsoku/>
        <w:wordWrap/>
        <w:overflowPunct/>
        <w:topLinePunct w:val="0"/>
        <w:autoSpaceDE/>
        <w:autoSpaceDN/>
        <w:bidi w:val="0"/>
        <w:spacing w:line="360" w:lineRule="auto"/>
        <w:textAlignment w:val="auto"/>
      </w:pPr>
      <w:r>
        <w:rPr>
          <w:rFonts w:hint="eastAsia" w:ascii="宋体" w:hAnsi="宋体"/>
          <w:b/>
          <w:sz w:val="28"/>
          <w:szCs w:val="28"/>
          <w:highlight w:val="none"/>
        </w:rPr>
        <w:t xml:space="preserve">日期：      年 </w:t>
      </w:r>
      <w:r>
        <w:rPr>
          <w:rFonts w:ascii="宋体" w:hAnsi="宋体"/>
          <w:b/>
          <w:sz w:val="28"/>
          <w:szCs w:val="28"/>
          <w:highlight w:val="none"/>
        </w:rPr>
        <w:t xml:space="preserve"> </w:t>
      </w:r>
      <w:r>
        <w:rPr>
          <w:rFonts w:hint="eastAsia" w:ascii="宋体" w:hAnsi="宋体"/>
          <w:b/>
          <w:sz w:val="28"/>
          <w:szCs w:val="28"/>
          <w:highlight w:val="none"/>
        </w:rPr>
        <w:t xml:space="preserve"> 月   日            日期：  </w:t>
      </w:r>
      <w:r>
        <w:rPr>
          <w:rFonts w:ascii="宋体" w:hAnsi="宋体"/>
          <w:b/>
          <w:sz w:val="28"/>
          <w:szCs w:val="28"/>
          <w:highlight w:val="none"/>
        </w:rPr>
        <w:t xml:space="preserve"> </w:t>
      </w:r>
      <w:r>
        <w:rPr>
          <w:rFonts w:hint="eastAsia" w:ascii="宋体" w:hAnsi="宋体"/>
          <w:b/>
          <w:sz w:val="28"/>
          <w:szCs w:val="28"/>
          <w:highlight w:val="none"/>
        </w:rPr>
        <w:t xml:space="preserve">   年 </w:t>
      </w:r>
      <w:r>
        <w:rPr>
          <w:rFonts w:ascii="宋体" w:hAnsi="宋体"/>
          <w:b/>
          <w:sz w:val="28"/>
          <w:szCs w:val="28"/>
          <w:highlight w:val="none"/>
        </w:rPr>
        <w:t xml:space="preserve"> </w:t>
      </w:r>
      <w:r>
        <w:rPr>
          <w:rFonts w:hint="eastAsia" w:ascii="宋体" w:hAnsi="宋体"/>
          <w:b/>
          <w:sz w:val="28"/>
          <w:szCs w:val="28"/>
          <w:highlight w:val="none"/>
        </w:rPr>
        <w:t xml:space="preserve"> 月   日</w:t>
      </w:r>
      <w:r>
        <w:rPr>
          <w:rFonts w:hint="eastAsia" w:ascii="宋体" w:hAnsi="宋体"/>
          <w:sz w:val="28"/>
          <w:szCs w:val="28"/>
          <w:highlight w:val="none"/>
        </w:rPr>
        <w:t xml:space="preserve">    </w:t>
      </w:r>
    </w:p>
    <w:p>
      <w:pPr>
        <w:spacing w:line="360" w:lineRule="exact"/>
        <w:ind w:firstLine="138" w:firstLineChars="49"/>
        <w:rPr>
          <w:rFonts w:hint="eastAsia" w:ascii="宋体" w:hAnsi="宋体"/>
          <w:b/>
          <w:sz w:val="28"/>
          <w:szCs w:val="28"/>
          <w:highlight w:val="none"/>
        </w:rPr>
      </w:pPr>
    </w:p>
    <w:p>
      <w:pPr>
        <w:spacing w:line="360" w:lineRule="exact"/>
        <w:ind w:firstLine="138" w:firstLineChars="49"/>
        <w:rPr>
          <w:rFonts w:hint="eastAsia" w:ascii="宋体" w:hAnsi="宋体"/>
          <w:b/>
          <w:sz w:val="28"/>
          <w:szCs w:val="28"/>
          <w:highlight w:val="none"/>
        </w:rPr>
      </w:pPr>
    </w:p>
    <w:p>
      <w:pPr>
        <w:spacing w:line="360" w:lineRule="exact"/>
        <w:ind w:firstLine="138" w:firstLineChars="49"/>
        <w:rPr>
          <w:rFonts w:hint="eastAsia" w:ascii="宋体" w:hAnsi="宋体"/>
          <w:b/>
          <w:sz w:val="28"/>
          <w:szCs w:val="28"/>
          <w:highlight w:val="none"/>
        </w:rPr>
      </w:pPr>
    </w:p>
    <w:p>
      <w:pPr>
        <w:spacing w:line="360" w:lineRule="exact"/>
        <w:ind w:firstLine="138" w:firstLineChars="49"/>
        <w:rPr>
          <w:rFonts w:hint="eastAsia" w:ascii="宋体" w:hAnsi="宋体"/>
          <w:b/>
          <w:sz w:val="28"/>
          <w:szCs w:val="28"/>
          <w:highlight w:val="none"/>
        </w:rPr>
      </w:pPr>
    </w:p>
    <w:p>
      <w:pPr>
        <w:spacing w:line="360" w:lineRule="exact"/>
        <w:ind w:firstLine="138" w:firstLineChars="49"/>
        <w:rPr>
          <w:rFonts w:hint="eastAsia" w:ascii="宋体" w:hAnsi="宋体"/>
          <w:b/>
          <w:sz w:val="28"/>
          <w:szCs w:val="28"/>
          <w:highlight w:val="none"/>
        </w:rPr>
      </w:pPr>
    </w:p>
    <w:p>
      <w:pPr>
        <w:spacing w:line="360" w:lineRule="exact"/>
        <w:ind w:firstLine="138" w:firstLineChars="49"/>
        <w:rPr>
          <w:rFonts w:hint="eastAsia" w:ascii="宋体" w:hAnsi="宋体"/>
          <w:b/>
          <w:sz w:val="28"/>
          <w:szCs w:val="28"/>
          <w:highlight w:val="none"/>
        </w:rPr>
      </w:pPr>
    </w:p>
    <w:p>
      <w:pPr>
        <w:spacing w:line="360" w:lineRule="exact"/>
        <w:rPr>
          <w:rFonts w:hint="eastAsia" w:ascii="宋体" w:hAnsi="宋体"/>
          <w:b/>
          <w:sz w:val="28"/>
          <w:szCs w:val="28"/>
          <w:highlight w:val="none"/>
        </w:rPr>
      </w:pPr>
    </w:p>
    <w:p>
      <w:pPr>
        <w:spacing w:line="360" w:lineRule="exact"/>
        <w:rPr>
          <w:rFonts w:hint="eastAsia" w:ascii="宋体" w:hAnsi="宋体"/>
          <w:b/>
          <w:sz w:val="28"/>
          <w:szCs w:val="28"/>
          <w:highlight w:val="none"/>
        </w:rPr>
      </w:pPr>
    </w:p>
    <w:p>
      <w:pPr>
        <w:spacing w:line="360" w:lineRule="exact"/>
        <w:rPr>
          <w:rFonts w:hint="eastAsia" w:ascii="宋体" w:hAnsi="宋体"/>
          <w:sz w:val="28"/>
          <w:szCs w:val="28"/>
          <w:highlight w:val="none"/>
        </w:rPr>
      </w:pPr>
      <w:r>
        <w:rPr>
          <w:rFonts w:hint="eastAsia" w:ascii="宋体" w:hAnsi="宋体"/>
          <w:sz w:val="28"/>
          <w:szCs w:val="28"/>
          <w:highlight w:val="none"/>
        </w:rPr>
        <w:t xml:space="preserve"> </w:t>
      </w:r>
    </w:p>
    <w:p>
      <w:pPr>
        <w:rPr>
          <w:rFonts w:hint="eastAsia" w:ascii="宋体" w:hAnsi="宋体"/>
          <w:sz w:val="28"/>
          <w:szCs w:val="28"/>
          <w:highlight w:val="none"/>
        </w:rPr>
      </w:pPr>
    </w:p>
    <w:p>
      <w:pPr>
        <w:pStyle w:val="2"/>
        <w:rPr>
          <w:rFonts w:hint="eastAsia" w:ascii="宋体" w:hAnsi="宋体"/>
          <w:sz w:val="28"/>
          <w:szCs w:val="28"/>
          <w:highlight w:val="none"/>
        </w:rPr>
      </w:pPr>
    </w:p>
    <w:p>
      <w:pPr>
        <w:rPr>
          <w:rFonts w:hint="eastAsia" w:ascii="宋体" w:hAnsi="宋体"/>
          <w:sz w:val="28"/>
          <w:szCs w:val="28"/>
          <w:highlight w:val="none"/>
        </w:rPr>
      </w:pPr>
    </w:p>
    <w:p>
      <w:pPr>
        <w:pStyle w:val="2"/>
        <w:rPr>
          <w:rFonts w:hint="eastAsia" w:ascii="宋体" w:hAnsi="宋体"/>
          <w:sz w:val="28"/>
          <w:szCs w:val="28"/>
          <w:highlight w:val="none"/>
        </w:rPr>
      </w:pPr>
    </w:p>
    <w:p>
      <w:pPr>
        <w:rPr>
          <w:rFonts w:hint="eastAsia" w:ascii="宋体" w:hAnsi="宋体"/>
          <w:sz w:val="28"/>
          <w:szCs w:val="28"/>
          <w:highlight w:val="none"/>
        </w:rPr>
      </w:pPr>
    </w:p>
    <w:p>
      <w:pPr>
        <w:pStyle w:val="2"/>
        <w:rPr>
          <w:rFonts w:hint="eastAsia" w:ascii="宋体" w:hAnsi="宋体"/>
          <w:sz w:val="28"/>
          <w:szCs w:val="28"/>
          <w:highlight w:val="none"/>
        </w:rPr>
      </w:pPr>
    </w:p>
    <w:p>
      <w:pPr>
        <w:rPr>
          <w:rFonts w:hint="eastAsia" w:ascii="宋体" w:hAnsi="宋体"/>
          <w:sz w:val="28"/>
          <w:szCs w:val="28"/>
          <w:highlight w:val="none"/>
        </w:rPr>
      </w:pPr>
    </w:p>
    <w:p>
      <w:pPr>
        <w:pStyle w:val="2"/>
        <w:rPr>
          <w:rFonts w:hint="eastAsia" w:ascii="宋体" w:hAnsi="宋体"/>
          <w:sz w:val="28"/>
          <w:szCs w:val="28"/>
          <w:highlight w:val="none"/>
        </w:rPr>
      </w:pPr>
    </w:p>
    <w:p/>
    <w:p/>
    <w:tbl>
      <w:tblPr>
        <w:tblStyle w:val="9"/>
        <w:tblpPr w:leftFromText="180" w:rightFromText="180" w:vertAnchor="text" w:horzAnchor="page" w:tblpX="1615" w:tblpY="179"/>
        <w:tblW w:w="8465" w:type="dxa"/>
        <w:tblInd w:w="0" w:type="dxa"/>
        <w:tblLayout w:type="fixed"/>
        <w:tblCellMar>
          <w:top w:w="0" w:type="dxa"/>
          <w:left w:w="108" w:type="dxa"/>
          <w:bottom w:w="0" w:type="dxa"/>
          <w:right w:w="108" w:type="dxa"/>
        </w:tblCellMar>
      </w:tblPr>
      <w:tblGrid>
        <w:gridCol w:w="1242"/>
        <w:gridCol w:w="3969"/>
        <w:gridCol w:w="851"/>
        <w:gridCol w:w="2403"/>
      </w:tblGrid>
      <w:tr>
        <w:tblPrEx>
          <w:tblLayout w:type="fixed"/>
          <w:tblCellMar>
            <w:top w:w="0" w:type="dxa"/>
            <w:left w:w="108" w:type="dxa"/>
            <w:bottom w:w="0" w:type="dxa"/>
            <w:right w:w="108" w:type="dxa"/>
          </w:tblCellMar>
        </w:tblPrEx>
        <w:trPr>
          <w:trHeight w:val="776" w:hRule="atLeast"/>
        </w:trPr>
        <w:tc>
          <w:tcPr>
            <w:tcW w:w="8465" w:type="dxa"/>
            <w:gridSpan w:val="4"/>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b/>
                <w:bCs/>
                <w:kern w:val="0"/>
                <w:sz w:val="24"/>
              </w:rPr>
            </w:pPr>
            <w:r>
              <w:rPr>
                <w:rFonts w:hint="eastAsia" w:ascii="黑体" w:hAnsi="黑体" w:eastAsia="黑体" w:cs="黑体"/>
                <w:b/>
                <w:bCs/>
                <w:kern w:val="0"/>
                <w:sz w:val="36"/>
                <w:szCs w:val="36"/>
                <w:lang w:eastAsia="zh-CN"/>
              </w:rPr>
              <w:t>附件</w:t>
            </w:r>
            <w:r>
              <w:rPr>
                <w:rFonts w:hint="eastAsia" w:ascii="黑体" w:hAnsi="黑体" w:eastAsia="黑体" w:cs="黑体"/>
                <w:b/>
                <w:bCs/>
                <w:kern w:val="0"/>
                <w:sz w:val="36"/>
                <w:szCs w:val="36"/>
                <w:lang w:val="en-US" w:eastAsia="zh-CN"/>
              </w:rPr>
              <w:t>1</w:t>
            </w:r>
            <w:r>
              <w:rPr>
                <w:rFonts w:hint="eastAsia" w:ascii="黑体" w:hAnsi="黑体" w:eastAsia="黑体" w:cs="黑体"/>
                <w:b/>
                <w:bCs/>
                <w:kern w:val="0"/>
                <w:sz w:val="36"/>
                <w:szCs w:val="36"/>
                <w:lang w:eastAsia="zh-CN"/>
              </w:rPr>
              <w:t>：</w:t>
            </w:r>
            <w:r>
              <w:rPr>
                <w:rFonts w:hint="eastAsia" w:ascii="黑体" w:hAnsi="黑体" w:eastAsia="黑体" w:cs="黑体"/>
                <w:b/>
                <w:bCs/>
                <w:kern w:val="0"/>
                <w:sz w:val="36"/>
                <w:szCs w:val="36"/>
              </w:rPr>
              <w:t>餐饮服务考核评分表</w:t>
            </w:r>
          </w:p>
        </w:tc>
      </w:tr>
      <w:tr>
        <w:tblPrEx>
          <w:tblLayout w:type="fixed"/>
          <w:tblCellMar>
            <w:top w:w="0" w:type="dxa"/>
            <w:left w:w="108" w:type="dxa"/>
            <w:bottom w:w="0" w:type="dxa"/>
            <w:right w:w="108" w:type="dxa"/>
          </w:tblCellMar>
        </w:tblPrEx>
        <w:trPr>
          <w:trHeight w:val="545" w:hRule="atLeast"/>
        </w:trPr>
        <w:tc>
          <w:tcPr>
            <w:tcW w:w="12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b/>
                <w:bCs/>
                <w:kern w:val="0"/>
                <w:sz w:val="24"/>
              </w:rPr>
            </w:pPr>
            <w:r>
              <w:rPr>
                <w:rFonts w:ascii="宋体" w:hAnsi="宋体" w:cs="Arial"/>
                <w:b/>
                <w:bCs/>
                <w:kern w:val="0"/>
                <w:sz w:val="24"/>
              </w:rPr>
              <w:t>检查内容</w:t>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b/>
                <w:bCs/>
                <w:kern w:val="0"/>
                <w:sz w:val="24"/>
              </w:rPr>
            </w:pPr>
            <w:r>
              <w:rPr>
                <w:rFonts w:ascii="宋体" w:hAnsi="宋体" w:cs="Arial"/>
                <w:b/>
                <w:bCs/>
                <w:kern w:val="0"/>
                <w:sz w:val="24"/>
              </w:rPr>
              <w:t>服务标准</w:t>
            </w:r>
          </w:p>
        </w:tc>
        <w:tc>
          <w:tcPr>
            <w:tcW w:w="8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b/>
                <w:bCs/>
                <w:kern w:val="0"/>
                <w:sz w:val="24"/>
              </w:rPr>
            </w:pPr>
            <w:r>
              <w:rPr>
                <w:rFonts w:ascii="宋体" w:hAnsi="宋体" w:cs="Arial"/>
                <w:b/>
                <w:bCs/>
                <w:kern w:val="0"/>
                <w:sz w:val="24"/>
              </w:rPr>
              <w:t>分值</w:t>
            </w:r>
          </w:p>
        </w:tc>
        <w:tc>
          <w:tcPr>
            <w:tcW w:w="24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b/>
                <w:bCs/>
                <w:kern w:val="0"/>
                <w:sz w:val="24"/>
              </w:rPr>
            </w:pPr>
            <w:r>
              <w:rPr>
                <w:rFonts w:ascii="宋体" w:hAnsi="宋体" w:cs="Arial"/>
                <w:b/>
                <w:bCs/>
                <w:kern w:val="0"/>
                <w:sz w:val="24"/>
              </w:rPr>
              <w:t>扣分细则达不到标准</w:t>
            </w:r>
          </w:p>
        </w:tc>
      </w:tr>
      <w:tr>
        <w:tblPrEx>
          <w:tblLayout w:type="fixed"/>
          <w:tblCellMar>
            <w:top w:w="0" w:type="dxa"/>
            <w:left w:w="108" w:type="dxa"/>
            <w:bottom w:w="0" w:type="dxa"/>
            <w:right w:w="108" w:type="dxa"/>
          </w:tblCellMar>
        </w:tblPrEx>
        <w:trPr>
          <w:trHeight w:val="1092" w:hRule="atLeast"/>
        </w:trPr>
        <w:tc>
          <w:tcPr>
            <w:tcW w:w="1242"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制度管理</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Arial"/>
                <w:kern w:val="0"/>
                <w:sz w:val="24"/>
              </w:rPr>
            </w:pPr>
            <w:r>
              <w:rPr>
                <w:rFonts w:ascii="宋体" w:hAnsi="宋体" w:cs="Arial"/>
                <w:kern w:val="0"/>
                <w:sz w:val="24"/>
              </w:rPr>
              <w:t>岗位责任制、卫生管理制度、食材管理制度、食品管理制度、安全管理制度、能源管理制度、财务管理制度、库房管理制度、设备管理制度、垃圾分类和厨余垃圾管理制度等。</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8</w:t>
            </w:r>
          </w:p>
        </w:tc>
        <w:tc>
          <w:tcPr>
            <w:tcW w:w="24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缺一项扣0.5分</w:t>
            </w:r>
          </w:p>
        </w:tc>
      </w:tr>
      <w:tr>
        <w:tblPrEx>
          <w:tblLayout w:type="fixed"/>
          <w:tblCellMar>
            <w:top w:w="0" w:type="dxa"/>
            <w:left w:w="108" w:type="dxa"/>
            <w:bottom w:w="0" w:type="dxa"/>
            <w:right w:w="108" w:type="dxa"/>
          </w:tblCellMar>
        </w:tblPrEx>
        <w:trPr>
          <w:trHeight w:val="1092" w:hRule="atLeast"/>
        </w:trPr>
        <w:tc>
          <w:tcPr>
            <w:tcW w:w="124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Arial"/>
                <w:kern w:val="0"/>
                <w:sz w:val="24"/>
              </w:rPr>
            </w:pPr>
            <w:r>
              <w:rPr>
                <w:rFonts w:ascii="宋体" w:hAnsi="宋体" w:cs="Arial"/>
                <w:kern w:val="0"/>
                <w:sz w:val="24"/>
              </w:rPr>
              <w:t>从业人员须持有健康证，健康证需在有效期内且“上墙”管理。</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3</w:t>
            </w:r>
          </w:p>
        </w:tc>
        <w:tc>
          <w:tcPr>
            <w:tcW w:w="24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不符合要求，扣3分</w:t>
            </w:r>
          </w:p>
        </w:tc>
      </w:tr>
      <w:tr>
        <w:tblPrEx>
          <w:tblLayout w:type="fixed"/>
          <w:tblCellMar>
            <w:top w:w="0" w:type="dxa"/>
            <w:left w:w="108" w:type="dxa"/>
            <w:bottom w:w="0" w:type="dxa"/>
            <w:right w:w="108" w:type="dxa"/>
          </w:tblCellMar>
        </w:tblPrEx>
        <w:trPr>
          <w:trHeight w:val="1092" w:hRule="atLeast"/>
        </w:trPr>
        <w:tc>
          <w:tcPr>
            <w:tcW w:w="1242"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人员管理</w:t>
            </w:r>
          </w:p>
        </w:tc>
        <w:tc>
          <w:tcPr>
            <w:tcW w:w="3969"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着装统一，整洁，规范（不得敞胸露怀，不得卷袖卷裤腿），胸牌佩带指定位置，从业人员穿戴整洁工作衣帽，个人卫生良好，手指甲不超1.5mm</w:t>
            </w:r>
          </w:p>
        </w:tc>
        <w:tc>
          <w:tcPr>
            <w:tcW w:w="851"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5</w:t>
            </w:r>
          </w:p>
        </w:tc>
        <w:tc>
          <w:tcPr>
            <w:tcW w:w="2403"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不符合要求，每人次扣0.5分</w:t>
            </w:r>
          </w:p>
        </w:tc>
      </w:tr>
      <w:tr>
        <w:tblPrEx>
          <w:tblLayout w:type="fixed"/>
          <w:tblCellMar>
            <w:top w:w="0" w:type="dxa"/>
            <w:left w:w="108" w:type="dxa"/>
            <w:bottom w:w="0" w:type="dxa"/>
            <w:right w:w="108" w:type="dxa"/>
          </w:tblCellMar>
        </w:tblPrEx>
        <w:trPr>
          <w:trHeight w:val="1092" w:hRule="atLeast"/>
        </w:trPr>
        <w:tc>
          <w:tcPr>
            <w:tcW w:w="12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p>
        </w:tc>
        <w:tc>
          <w:tcPr>
            <w:tcW w:w="3969"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态度和蔼，热情，做到微笑服务；使用礼貌用语如：“您好”，“欢迎您”，“不客气”“您慢走”等。</w:t>
            </w:r>
          </w:p>
        </w:tc>
        <w:tc>
          <w:tcPr>
            <w:tcW w:w="851"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2</w:t>
            </w:r>
          </w:p>
        </w:tc>
        <w:tc>
          <w:tcPr>
            <w:tcW w:w="2403"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不符合要求，每人次扣0.5分</w:t>
            </w:r>
          </w:p>
        </w:tc>
      </w:tr>
      <w:tr>
        <w:tblPrEx>
          <w:tblLayout w:type="fixed"/>
          <w:tblCellMar>
            <w:top w:w="0" w:type="dxa"/>
            <w:left w:w="108" w:type="dxa"/>
            <w:bottom w:w="0" w:type="dxa"/>
            <w:right w:w="108" w:type="dxa"/>
          </w:tblCellMar>
        </w:tblPrEx>
        <w:trPr>
          <w:trHeight w:val="1092" w:hRule="atLeast"/>
        </w:trPr>
        <w:tc>
          <w:tcPr>
            <w:tcW w:w="124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p>
        </w:tc>
        <w:tc>
          <w:tcPr>
            <w:tcW w:w="3969"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不得做与工作无关的事：上岗不得吸烟、吃零食、嚼口香糖。吹口哨、听收录机、玩手机、接（打）私人电话，与人闲聊、大声喧哗或与人争吵、打瞌睡等</w:t>
            </w:r>
          </w:p>
        </w:tc>
        <w:tc>
          <w:tcPr>
            <w:tcW w:w="851"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2</w:t>
            </w:r>
          </w:p>
        </w:tc>
        <w:tc>
          <w:tcPr>
            <w:tcW w:w="2403"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不符合要求，每人次扣0.5分</w:t>
            </w:r>
          </w:p>
        </w:tc>
      </w:tr>
      <w:tr>
        <w:tblPrEx>
          <w:tblLayout w:type="fixed"/>
          <w:tblCellMar>
            <w:top w:w="0" w:type="dxa"/>
            <w:left w:w="108" w:type="dxa"/>
            <w:bottom w:w="0" w:type="dxa"/>
            <w:right w:w="108" w:type="dxa"/>
          </w:tblCellMar>
        </w:tblPrEx>
        <w:trPr>
          <w:trHeight w:val="1092" w:hRule="atLeast"/>
        </w:trPr>
        <w:tc>
          <w:tcPr>
            <w:tcW w:w="1242"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卫生管理</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b/>
                <w:bCs/>
                <w:kern w:val="0"/>
                <w:sz w:val="24"/>
              </w:rPr>
            </w:pPr>
            <w:r>
              <w:rPr>
                <w:rFonts w:ascii="宋体" w:hAnsi="宋体" w:cs="Arial"/>
                <w:kern w:val="0"/>
                <w:sz w:val="24"/>
              </w:rPr>
              <w:t>保持前厅、桌椅、地面、售饭区等区域整洁，确保洗手液、餐巾纸供应，售饭时增派人员打扫清洁</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5</w:t>
            </w:r>
          </w:p>
        </w:tc>
        <w:tc>
          <w:tcPr>
            <w:tcW w:w="24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不符合要求，每次扣0.5分</w:t>
            </w:r>
          </w:p>
        </w:tc>
      </w:tr>
      <w:tr>
        <w:tblPrEx>
          <w:tblLayout w:type="fixed"/>
          <w:tblCellMar>
            <w:top w:w="0" w:type="dxa"/>
            <w:left w:w="108" w:type="dxa"/>
            <w:bottom w:w="0" w:type="dxa"/>
            <w:right w:w="108" w:type="dxa"/>
          </w:tblCellMar>
        </w:tblPrEx>
        <w:trPr>
          <w:trHeight w:val="1092" w:hRule="atLeast"/>
        </w:trPr>
        <w:tc>
          <w:tcPr>
            <w:tcW w:w="124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b/>
                <w:bCs/>
                <w:kern w:val="0"/>
                <w:sz w:val="24"/>
              </w:rPr>
            </w:pPr>
            <w:r>
              <w:rPr>
                <w:rFonts w:ascii="宋体" w:hAnsi="宋体" w:cs="Arial"/>
                <w:kern w:val="0"/>
                <w:sz w:val="24"/>
              </w:rPr>
              <w:t>保持区域整洁，各类厨具、调料、食材固定区域整齐放置，厨具等工具定期消毒</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5</w:t>
            </w:r>
          </w:p>
        </w:tc>
        <w:tc>
          <w:tcPr>
            <w:tcW w:w="24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不符合要求，每次扣1分</w:t>
            </w:r>
          </w:p>
        </w:tc>
      </w:tr>
      <w:tr>
        <w:tblPrEx>
          <w:tblLayout w:type="fixed"/>
          <w:tblCellMar>
            <w:top w:w="0" w:type="dxa"/>
            <w:left w:w="108" w:type="dxa"/>
            <w:bottom w:w="0" w:type="dxa"/>
            <w:right w:w="108" w:type="dxa"/>
          </w:tblCellMar>
        </w:tblPrEx>
        <w:trPr>
          <w:trHeight w:val="1445" w:hRule="atLeast"/>
        </w:trPr>
        <w:tc>
          <w:tcPr>
            <w:tcW w:w="124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运营管理</w:t>
            </w:r>
            <w:r>
              <w:rPr>
                <w:rFonts w:ascii="宋体" w:hAnsi="宋体" w:cs="Arial"/>
                <w:kern w:val="0"/>
                <w:sz w:val="24"/>
              </w:rPr>
              <w:br w:type="textWrapping"/>
            </w: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b/>
                <w:bCs/>
                <w:kern w:val="0"/>
                <w:sz w:val="24"/>
              </w:rPr>
            </w:pPr>
            <w:r>
              <w:rPr>
                <w:rFonts w:ascii="宋体" w:hAnsi="宋体" w:cs="Arial"/>
                <w:kern w:val="0"/>
                <w:sz w:val="24"/>
              </w:rPr>
              <w:t>做好全员生活垃圾分类培训，确保全员应知应会。做好厨余垃圾计量记录及运送工作。</w:t>
            </w:r>
          </w:p>
        </w:tc>
        <w:tc>
          <w:tcPr>
            <w:tcW w:w="8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10</w:t>
            </w:r>
          </w:p>
        </w:tc>
        <w:tc>
          <w:tcPr>
            <w:tcW w:w="24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不符合要求，每次扣2分</w:t>
            </w:r>
          </w:p>
        </w:tc>
      </w:tr>
      <w:tr>
        <w:tblPrEx>
          <w:tblLayout w:type="fixed"/>
          <w:tblCellMar>
            <w:top w:w="0" w:type="dxa"/>
            <w:left w:w="108" w:type="dxa"/>
            <w:bottom w:w="0" w:type="dxa"/>
            <w:right w:w="108" w:type="dxa"/>
          </w:tblCellMar>
        </w:tblPrEx>
        <w:trPr>
          <w:trHeight w:val="1445"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做好隔油池清理工作，严格管理废弃油脂，禁止回收再利用，可追溯废弃油脂去向</w:t>
            </w:r>
          </w:p>
        </w:tc>
        <w:tc>
          <w:tcPr>
            <w:tcW w:w="8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5</w:t>
            </w:r>
          </w:p>
        </w:tc>
        <w:tc>
          <w:tcPr>
            <w:tcW w:w="24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不符合要求，每次扣2分</w:t>
            </w:r>
          </w:p>
        </w:tc>
      </w:tr>
      <w:tr>
        <w:tblPrEx>
          <w:tblLayout w:type="fixed"/>
          <w:tblCellMar>
            <w:top w:w="0" w:type="dxa"/>
            <w:left w:w="108" w:type="dxa"/>
            <w:bottom w:w="0" w:type="dxa"/>
            <w:right w:w="108" w:type="dxa"/>
          </w:tblCellMar>
        </w:tblPrEx>
        <w:trPr>
          <w:trHeight w:val="1950" w:hRule="atLeast"/>
        </w:trPr>
        <w:tc>
          <w:tcPr>
            <w:tcW w:w="1242"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b/>
                <w:bCs/>
                <w:kern w:val="0"/>
                <w:sz w:val="24"/>
              </w:rPr>
            </w:pPr>
            <w:r>
              <w:rPr>
                <w:rFonts w:ascii="宋体" w:hAnsi="宋体" w:cs="Arial"/>
                <w:sz w:val="24"/>
              </w:rPr>
              <w:t>各类食材必须从正规市场购入，提供原材料采购点的营业执照、食品经营许可证、等资质，符合国家有关食品安全方面的规定</w:t>
            </w:r>
          </w:p>
        </w:tc>
        <w:tc>
          <w:tcPr>
            <w:tcW w:w="8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10</w:t>
            </w:r>
          </w:p>
        </w:tc>
        <w:tc>
          <w:tcPr>
            <w:tcW w:w="24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不符合要求，每次扣3分</w:t>
            </w:r>
          </w:p>
        </w:tc>
      </w:tr>
      <w:tr>
        <w:tblPrEx>
          <w:tblLayout w:type="fixed"/>
          <w:tblCellMar>
            <w:top w:w="0" w:type="dxa"/>
            <w:left w:w="108" w:type="dxa"/>
            <w:bottom w:w="0" w:type="dxa"/>
            <w:right w:w="108" w:type="dxa"/>
          </w:tblCellMar>
        </w:tblPrEx>
        <w:trPr>
          <w:trHeight w:val="1119" w:hRule="atLeast"/>
        </w:trPr>
        <w:tc>
          <w:tcPr>
            <w:tcW w:w="1242"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专人负责食品留样管理，确保留样真实，数量、重量、保存环境符合食品留样管理规定</w:t>
            </w:r>
          </w:p>
        </w:tc>
        <w:tc>
          <w:tcPr>
            <w:tcW w:w="8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5</w:t>
            </w:r>
          </w:p>
        </w:tc>
        <w:tc>
          <w:tcPr>
            <w:tcW w:w="24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不符合要求，每次扣2分</w:t>
            </w:r>
          </w:p>
        </w:tc>
      </w:tr>
      <w:tr>
        <w:tblPrEx>
          <w:tblLayout w:type="fixed"/>
          <w:tblCellMar>
            <w:top w:w="0" w:type="dxa"/>
            <w:left w:w="108" w:type="dxa"/>
            <w:bottom w:w="0" w:type="dxa"/>
            <w:right w:w="108" w:type="dxa"/>
          </w:tblCellMar>
        </w:tblPrEx>
        <w:trPr>
          <w:trHeight w:val="843" w:hRule="atLeast"/>
        </w:trPr>
        <w:tc>
          <w:tcPr>
            <w:tcW w:w="1242"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p>
        </w:tc>
        <w:tc>
          <w:tcPr>
            <w:tcW w:w="3969"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库存食材满足规范要求，</w:t>
            </w:r>
            <w:r>
              <w:rPr>
                <w:rFonts w:ascii="宋体" w:hAnsi="宋体" w:cs="Arial"/>
                <w:sz w:val="24"/>
              </w:rPr>
              <w:t>名称、生产日期、保质期标注清晰，采购流程清晰，记录完整。</w:t>
            </w:r>
          </w:p>
        </w:tc>
        <w:tc>
          <w:tcPr>
            <w:tcW w:w="851"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3</w:t>
            </w:r>
          </w:p>
        </w:tc>
        <w:tc>
          <w:tcPr>
            <w:tcW w:w="24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不符合要求，每次扣1分</w:t>
            </w:r>
          </w:p>
        </w:tc>
      </w:tr>
      <w:tr>
        <w:tblPrEx>
          <w:tblLayout w:type="fixed"/>
          <w:tblCellMar>
            <w:top w:w="0" w:type="dxa"/>
            <w:left w:w="108" w:type="dxa"/>
            <w:bottom w:w="0" w:type="dxa"/>
            <w:right w:w="108" w:type="dxa"/>
          </w:tblCellMar>
        </w:tblPrEx>
        <w:trPr>
          <w:trHeight w:val="1092"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Arial"/>
                <w:kern w:val="0"/>
                <w:sz w:val="24"/>
              </w:rPr>
            </w:pPr>
          </w:p>
        </w:tc>
        <w:tc>
          <w:tcPr>
            <w:tcW w:w="3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b/>
                <w:bCs/>
                <w:kern w:val="0"/>
                <w:sz w:val="24"/>
              </w:rPr>
            </w:pPr>
            <w:r>
              <w:rPr>
                <w:rFonts w:ascii="宋体" w:hAnsi="宋体" w:cs="Arial"/>
                <w:kern w:val="0"/>
                <w:sz w:val="24"/>
              </w:rPr>
              <w:t>定期检修灶具、蒸箱、排烟风机、油水分离器等设备，巡检维修记录完善。</w:t>
            </w:r>
          </w:p>
        </w:tc>
        <w:tc>
          <w:tcPr>
            <w:tcW w:w="8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10</w:t>
            </w:r>
          </w:p>
        </w:tc>
        <w:tc>
          <w:tcPr>
            <w:tcW w:w="24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不符合要求，每次扣1分</w:t>
            </w:r>
          </w:p>
        </w:tc>
      </w:tr>
      <w:tr>
        <w:tblPrEx>
          <w:tblLayout w:type="fixed"/>
          <w:tblCellMar>
            <w:top w:w="0" w:type="dxa"/>
            <w:left w:w="108" w:type="dxa"/>
            <w:bottom w:w="0" w:type="dxa"/>
            <w:right w:w="108" w:type="dxa"/>
          </w:tblCellMar>
        </w:tblPrEx>
        <w:trPr>
          <w:trHeight w:val="840" w:hRule="atLeast"/>
        </w:trPr>
        <w:tc>
          <w:tcPr>
            <w:tcW w:w="1242" w:type="dxa"/>
            <w:vMerge w:val="restart"/>
            <w:tcBorders>
              <w:top w:val="nil"/>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安全管理</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定期对员工进行安全生产培训，并做好培训记录（用电、防火等）</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5</w:t>
            </w:r>
          </w:p>
        </w:tc>
        <w:tc>
          <w:tcPr>
            <w:tcW w:w="24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不符合要求，每次扣1分</w:t>
            </w:r>
          </w:p>
        </w:tc>
      </w:tr>
      <w:tr>
        <w:tblPrEx>
          <w:tblLayout w:type="fixed"/>
          <w:tblCellMar>
            <w:top w:w="0" w:type="dxa"/>
            <w:left w:w="108" w:type="dxa"/>
            <w:bottom w:w="0" w:type="dxa"/>
            <w:right w:w="108" w:type="dxa"/>
          </w:tblCellMar>
        </w:tblPrEx>
        <w:trPr>
          <w:trHeight w:val="1106" w:hRule="atLeast"/>
        </w:trPr>
        <w:tc>
          <w:tcPr>
            <w:tcW w:w="12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Arial"/>
                <w:kern w:val="0"/>
                <w:sz w:val="24"/>
              </w:rPr>
            </w:pP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Arial"/>
                <w:kern w:val="0"/>
                <w:sz w:val="24"/>
              </w:rPr>
            </w:pPr>
            <w:r>
              <w:rPr>
                <w:rFonts w:ascii="宋体" w:hAnsi="宋体" w:cs="Arial"/>
                <w:kern w:val="0"/>
                <w:sz w:val="24"/>
              </w:rPr>
              <w:t>定期巡检燃气设备、表间、阀门、管道、电器柜、线路等，并做巡检记录</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2</w:t>
            </w:r>
          </w:p>
        </w:tc>
        <w:tc>
          <w:tcPr>
            <w:tcW w:w="24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不符合要求，每次扣1分</w:t>
            </w:r>
          </w:p>
        </w:tc>
      </w:tr>
      <w:tr>
        <w:tblPrEx>
          <w:tblLayout w:type="fixed"/>
          <w:tblCellMar>
            <w:top w:w="0" w:type="dxa"/>
            <w:left w:w="108" w:type="dxa"/>
            <w:bottom w:w="0" w:type="dxa"/>
            <w:right w:w="108" w:type="dxa"/>
          </w:tblCellMar>
        </w:tblPrEx>
        <w:trPr>
          <w:trHeight w:val="477" w:hRule="atLeast"/>
        </w:trPr>
        <w:tc>
          <w:tcPr>
            <w:tcW w:w="124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Arial"/>
                <w:kern w:val="0"/>
                <w:sz w:val="24"/>
              </w:rPr>
            </w:pP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Arial"/>
                <w:kern w:val="0"/>
                <w:sz w:val="24"/>
              </w:rPr>
            </w:pPr>
            <w:r>
              <w:rPr>
                <w:rFonts w:ascii="宋体" w:hAnsi="宋体" w:cs="Arial"/>
                <w:kern w:val="0"/>
                <w:sz w:val="24"/>
              </w:rPr>
              <w:t>定期进行应急处置演练，并做好应急演练记录</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5</w:t>
            </w:r>
          </w:p>
        </w:tc>
        <w:tc>
          <w:tcPr>
            <w:tcW w:w="24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不符合要求，每次扣1分</w:t>
            </w:r>
          </w:p>
        </w:tc>
      </w:tr>
      <w:tr>
        <w:tblPrEx>
          <w:tblLayout w:type="fixed"/>
          <w:tblCellMar>
            <w:top w:w="0" w:type="dxa"/>
            <w:left w:w="108" w:type="dxa"/>
            <w:bottom w:w="0" w:type="dxa"/>
            <w:right w:w="108" w:type="dxa"/>
          </w:tblCellMar>
        </w:tblPrEx>
        <w:trPr>
          <w:trHeight w:val="816" w:hRule="atLeast"/>
        </w:trPr>
        <w:tc>
          <w:tcPr>
            <w:tcW w:w="1242"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能源管理</w:t>
            </w: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Arial"/>
                <w:kern w:val="0"/>
                <w:sz w:val="24"/>
              </w:rPr>
            </w:pPr>
            <w:r>
              <w:rPr>
                <w:rFonts w:ascii="宋体" w:hAnsi="宋体" w:cs="Arial"/>
                <w:kern w:val="0"/>
                <w:sz w:val="24"/>
              </w:rPr>
              <w:t>建立燃气、水、电能源管理台账，确保信息真实准确</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10</w:t>
            </w:r>
          </w:p>
        </w:tc>
        <w:tc>
          <w:tcPr>
            <w:tcW w:w="24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不符合要求，每次扣2分</w:t>
            </w:r>
          </w:p>
        </w:tc>
      </w:tr>
      <w:tr>
        <w:tblPrEx>
          <w:tblLayout w:type="fixed"/>
          <w:tblCellMar>
            <w:top w:w="0" w:type="dxa"/>
            <w:left w:w="108" w:type="dxa"/>
            <w:bottom w:w="0" w:type="dxa"/>
            <w:right w:w="108" w:type="dxa"/>
          </w:tblCellMar>
        </w:tblPrEx>
        <w:trPr>
          <w:trHeight w:val="858" w:hRule="atLeast"/>
        </w:trPr>
        <w:tc>
          <w:tcPr>
            <w:tcW w:w="124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p>
        </w:tc>
        <w:tc>
          <w:tcPr>
            <w:tcW w:w="3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Arial"/>
                <w:kern w:val="0"/>
                <w:sz w:val="24"/>
              </w:rPr>
            </w:pPr>
            <w:r>
              <w:rPr>
                <w:rFonts w:ascii="宋体" w:hAnsi="宋体" w:cs="Arial"/>
                <w:kern w:val="0"/>
                <w:sz w:val="24"/>
              </w:rPr>
              <w:t>定期进行节水、节电等节能管理培训，并做好相关记录</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Arial"/>
                <w:kern w:val="0"/>
                <w:sz w:val="24"/>
              </w:rPr>
            </w:pPr>
            <w:r>
              <w:rPr>
                <w:rFonts w:ascii="宋体" w:hAnsi="宋体" w:cs="Arial"/>
                <w:kern w:val="0"/>
                <w:sz w:val="24"/>
              </w:rPr>
              <w:t>5</w:t>
            </w:r>
          </w:p>
        </w:tc>
        <w:tc>
          <w:tcPr>
            <w:tcW w:w="24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cs="Arial"/>
                <w:kern w:val="0"/>
                <w:sz w:val="24"/>
              </w:rPr>
            </w:pPr>
            <w:r>
              <w:rPr>
                <w:rFonts w:ascii="宋体" w:hAnsi="宋体" w:cs="Arial"/>
                <w:kern w:val="0"/>
                <w:sz w:val="24"/>
              </w:rPr>
              <w:t>不符合要求，每次扣1分</w:t>
            </w:r>
          </w:p>
        </w:tc>
      </w:tr>
    </w:tbl>
    <w:p>
      <w:pPr>
        <w:pStyle w:val="2"/>
      </w:pPr>
    </w:p>
    <w:p/>
    <w:p>
      <w:pPr>
        <w:pStyle w:val="2"/>
      </w:pPr>
    </w:p>
    <w:p/>
    <w:p>
      <w:pPr>
        <w:pStyle w:val="2"/>
      </w:pPr>
    </w:p>
    <w:p/>
    <w:p>
      <w:pPr>
        <w:pStyle w:val="2"/>
      </w:pPr>
    </w:p>
    <w:p/>
    <w:p>
      <w:pPr>
        <w:pStyle w:val="6"/>
        <w:adjustRightInd w:val="0"/>
        <w:snapToGrid w:val="0"/>
        <w:spacing w:before="0" w:beforeAutospacing="0" w:after="0" w:afterAutospacing="0" w:line="360" w:lineRule="auto"/>
        <w:jc w:val="both"/>
        <w:rPr>
          <w:rFonts w:ascii="Arial" w:hAnsi="Arial" w:cs="Arial"/>
          <w:b/>
          <w:bCs/>
        </w:rPr>
      </w:pPr>
    </w:p>
    <w:p>
      <w:pPr>
        <w:pStyle w:val="6"/>
        <w:adjustRightInd w:val="0"/>
        <w:snapToGrid w:val="0"/>
        <w:spacing w:before="0" w:beforeAutospacing="0" w:after="0" w:afterAutospacing="0" w:line="360" w:lineRule="auto"/>
        <w:ind w:firstLine="723" w:firstLineChars="200"/>
        <w:jc w:val="center"/>
        <w:rPr>
          <w:rFonts w:ascii="Arial" w:hAnsi="Arial" w:cs="Arial"/>
          <w:b/>
          <w:bCs/>
        </w:rPr>
      </w:pPr>
      <w:r>
        <w:rPr>
          <w:rFonts w:hint="eastAsia" w:ascii="黑体" w:hAnsi="黑体" w:eastAsia="黑体" w:cs="黑体"/>
          <w:b/>
          <w:bCs/>
          <w:sz w:val="36"/>
          <w:szCs w:val="36"/>
          <w:lang w:eastAsia="zh-CN"/>
        </w:rPr>
        <w:t>附件</w:t>
      </w:r>
      <w:r>
        <w:rPr>
          <w:rFonts w:hint="eastAsia" w:ascii="黑体" w:hAnsi="黑体" w:eastAsia="黑体" w:cs="黑体"/>
          <w:b/>
          <w:bCs/>
          <w:sz w:val="36"/>
          <w:szCs w:val="36"/>
          <w:lang w:val="en-US" w:eastAsia="zh-CN"/>
        </w:rPr>
        <w:t>2：</w:t>
      </w:r>
      <w:r>
        <w:rPr>
          <w:rFonts w:hint="eastAsia" w:ascii="黑体" w:hAnsi="黑体" w:eastAsia="黑体" w:cs="黑体"/>
          <w:b/>
          <w:bCs/>
          <w:sz w:val="36"/>
          <w:szCs w:val="36"/>
        </w:rPr>
        <w:t>职工食堂满意度调查表</w:t>
      </w:r>
    </w:p>
    <w:p>
      <w:pPr>
        <w:pStyle w:val="6"/>
        <w:adjustRightInd w:val="0"/>
        <w:snapToGrid w:val="0"/>
        <w:spacing w:before="0" w:beforeAutospacing="0" w:after="0" w:afterAutospacing="0" w:line="360" w:lineRule="auto"/>
        <w:ind w:firstLine="480" w:firstLineChars="200"/>
        <w:jc w:val="both"/>
        <w:rPr>
          <w:rFonts w:ascii="Arial" w:hAnsi="Arial" w:cs="Arial"/>
        </w:rPr>
      </w:pPr>
      <w:r>
        <w:rPr>
          <w:rFonts w:ascii="Arial" w:hAnsi="Arial" w:cs="Arial"/>
        </w:rPr>
        <w:t>为您在用餐时得到满意的服务，请您协助填写本调查表，在相应的选项上打“√”。感谢您给我们提供的宝贵信息并感谢您的参与和支持！</w:t>
      </w:r>
    </w:p>
    <w:p>
      <w:pPr>
        <w:pStyle w:val="6"/>
        <w:adjustRightInd w:val="0"/>
        <w:snapToGrid w:val="0"/>
        <w:spacing w:before="0" w:beforeAutospacing="0" w:after="0" w:afterAutospacing="0" w:line="360" w:lineRule="auto"/>
        <w:ind w:firstLine="470" w:firstLineChars="196"/>
        <w:jc w:val="both"/>
        <w:rPr>
          <w:rFonts w:ascii="Arial" w:hAnsi="Arial" w:cs="Arial"/>
        </w:rPr>
      </w:pPr>
      <w:r>
        <w:rPr>
          <w:rFonts w:ascii="Arial" w:hAnsi="Arial" w:cs="Arial"/>
        </w:rPr>
        <w:t>1、您对职工食堂提供菜品的质量是否满意？</w:t>
      </w:r>
    </w:p>
    <w:p>
      <w:pPr>
        <w:pStyle w:val="6"/>
        <w:adjustRightInd w:val="0"/>
        <w:snapToGrid w:val="0"/>
        <w:spacing w:before="0" w:beforeAutospacing="0" w:after="0" w:afterAutospacing="0" w:line="360" w:lineRule="auto"/>
        <w:jc w:val="both"/>
        <w:rPr>
          <w:rFonts w:ascii="Arial" w:hAnsi="Arial" w:cs="Arial"/>
        </w:rPr>
      </w:pPr>
      <w:r>
        <w:rPr>
          <w:rFonts w:ascii="Arial" w:hAnsi="Arial" w:cs="Arial"/>
        </w:rPr>
        <w:t xml:space="preserve">    满意10分（）        基本满意7分（）      不满意3分（ ）</w:t>
      </w:r>
    </w:p>
    <w:p>
      <w:pPr>
        <w:pStyle w:val="6"/>
        <w:adjustRightInd w:val="0"/>
        <w:snapToGrid w:val="0"/>
        <w:spacing w:before="0" w:beforeAutospacing="0" w:after="0" w:afterAutospacing="0" w:line="360" w:lineRule="auto"/>
        <w:ind w:firstLine="470" w:firstLineChars="196"/>
        <w:jc w:val="both"/>
        <w:rPr>
          <w:rFonts w:ascii="Arial" w:hAnsi="Arial" w:cs="Arial"/>
        </w:rPr>
      </w:pPr>
      <w:r>
        <w:rPr>
          <w:rFonts w:ascii="Arial" w:hAnsi="Arial" w:cs="Arial"/>
        </w:rPr>
        <w:t>2、您对职工食堂提供的菜品价格是否满意？</w:t>
      </w:r>
    </w:p>
    <w:p>
      <w:pPr>
        <w:pStyle w:val="6"/>
        <w:adjustRightInd w:val="0"/>
        <w:snapToGrid w:val="0"/>
        <w:spacing w:before="0" w:beforeAutospacing="0" w:after="0" w:afterAutospacing="0" w:line="360" w:lineRule="auto"/>
        <w:jc w:val="both"/>
        <w:rPr>
          <w:rFonts w:ascii="Arial" w:hAnsi="Arial" w:cs="Arial"/>
        </w:rPr>
      </w:pPr>
      <w:r>
        <w:rPr>
          <w:rFonts w:ascii="Arial" w:hAnsi="Arial" w:cs="Arial"/>
        </w:rPr>
        <w:t xml:space="preserve">    满意10分（）         基本满意7分（）     不满意3分（ ）</w:t>
      </w:r>
    </w:p>
    <w:p>
      <w:pPr>
        <w:adjustRightInd w:val="0"/>
        <w:snapToGrid w:val="0"/>
        <w:spacing w:line="360" w:lineRule="auto"/>
        <w:ind w:firstLine="480" w:firstLineChars="200"/>
        <w:rPr>
          <w:rFonts w:ascii="Arial" w:hAnsi="Arial" w:cs="Arial"/>
          <w:kern w:val="0"/>
          <w:sz w:val="24"/>
        </w:rPr>
      </w:pPr>
      <w:r>
        <w:rPr>
          <w:rFonts w:ascii="Arial" w:hAnsi="Arial" w:cs="Arial"/>
          <w:kern w:val="0"/>
          <w:sz w:val="24"/>
        </w:rPr>
        <w:t>3、您对</w:t>
      </w:r>
      <w:r>
        <w:rPr>
          <w:rFonts w:ascii="Arial" w:hAnsi="Arial" w:cs="Arial"/>
          <w:sz w:val="24"/>
        </w:rPr>
        <w:t>职工食堂</w:t>
      </w:r>
      <w:r>
        <w:rPr>
          <w:rFonts w:ascii="Arial" w:hAnsi="Arial" w:cs="Arial"/>
          <w:kern w:val="0"/>
          <w:sz w:val="24"/>
        </w:rPr>
        <w:t>提供的菜品安全卫生是否满意。</w:t>
      </w:r>
    </w:p>
    <w:p>
      <w:pPr>
        <w:pStyle w:val="6"/>
        <w:adjustRightInd w:val="0"/>
        <w:snapToGrid w:val="0"/>
        <w:spacing w:before="0" w:beforeAutospacing="0" w:after="0" w:afterAutospacing="0" w:line="360" w:lineRule="auto"/>
        <w:jc w:val="both"/>
        <w:rPr>
          <w:rFonts w:ascii="Arial" w:hAnsi="Arial" w:cs="Arial"/>
        </w:rPr>
      </w:pPr>
      <w:r>
        <w:rPr>
          <w:rFonts w:ascii="Arial" w:hAnsi="Arial" w:cs="Arial"/>
        </w:rPr>
        <w:t xml:space="preserve">    满意10分（）         基本满意7分（）     不满意3分（ ）</w:t>
      </w:r>
    </w:p>
    <w:p>
      <w:pPr>
        <w:pStyle w:val="6"/>
        <w:adjustRightInd w:val="0"/>
        <w:snapToGrid w:val="0"/>
        <w:spacing w:before="0" w:beforeAutospacing="0" w:after="0" w:afterAutospacing="0" w:line="360" w:lineRule="auto"/>
        <w:ind w:firstLine="470" w:firstLineChars="196"/>
        <w:jc w:val="both"/>
        <w:rPr>
          <w:rFonts w:ascii="Arial" w:hAnsi="Arial" w:cs="Arial"/>
        </w:rPr>
      </w:pPr>
      <w:r>
        <w:rPr>
          <w:rFonts w:ascii="Arial" w:hAnsi="Arial" w:cs="Arial"/>
        </w:rPr>
        <w:t xml:space="preserve">4、您对服务人员的服务态度是否满意。 </w:t>
      </w:r>
    </w:p>
    <w:p>
      <w:pPr>
        <w:pStyle w:val="6"/>
        <w:adjustRightInd w:val="0"/>
        <w:snapToGrid w:val="0"/>
        <w:spacing w:before="0" w:beforeAutospacing="0" w:after="0" w:afterAutospacing="0" w:line="360" w:lineRule="auto"/>
        <w:jc w:val="both"/>
        <w:rPr>
          <w:rFonts w:ascii="Arial" w:hAnsi="Arial" w:cs="Arial"/>
          <w:b/>
          <w:bCs/>
        </w:rPr>
      </w:pPr>
      <w:r>
        <w:rPr>
          <w:rFonts w:ascii="Arial" w:hAnsi="Arial" w:cs="Arial"/>
        </w:rPr>
        <w:t xml:space="preserve">    满意10分（）        基本满意7分（）      不满意3分（ ）</w:t>
      </w:r>
    </w:p>
    <w:p>
      <w:pPr>
        <w:pStyle w:val="6"/>
        <w:adjustRightInd w:val="0"/>
        <w:snapToGrid w:val="0"/>
        <w:spacing w:before="0" w:beforeAutospacing="0" w:after="0" w:afterAutospacing="0" w:line="360" w:lineRule="auto"/>
        <w:ind w:firstLine="470" w:firstLineChars="196"/>
        <w:jc w:val="both"/>
        <w:rPr>
          <w:rFonts w:ascii="Arial" w:hAnsi="Arial" w:cs="Arial"/>
        </w:rPr>
      </w:pPr>
      <w:r>
        <w:rPr>
          <w:rFonts w:ascii="Arial" w:hAnsi="Arial" w:cs="Arial"/>
        </w:rPr>
        <w:t>5、您对职工食堂服务服务人员个人卫生是否符合要求。</w:t>
      </w:r>
    </w:p>
    <w:p>
      <w:pPr>
        <w:pStyle w:val="6"/>
        <w:adjustRightInd w:val="0"/>
        <w:snapToGrid w:val="0"/>
        <w:spacing w:before="0" w:beforeAutospacing="0" w:after="0" w:afterAutospacing="0" w:line="360" w:lineRule="auto"/>
        <w:ind w:firstLine="470" w:firstLineChars="196"/>
        <w:jc w:val="both"/>
        <w:rPr>
          <w:rFonts w:ascii="Arial" w:hAnsi="Arial" w:cs="Arial"/>
        </w:rPr>
      </w:pPr>
      <w:r>
        <w:rPr>
          <w:rFonts w:ascii="Arial" w:hAnsi="Arial" w:cs="Arial"/>
        </w:rPr>
        <w:t xml:space="preserve">满意20分（）        基本满意14分（）     不满意6分（ ） </w:t>
      </w:r>
    </w:p>
    <w:p>
      <w:pPr>
        <w:pStyle w:val="6"/>
        <w:adjustRightInd w:val="0"/>
        <w:snapToGrid w:val="0"/>
        <w:spacing w:before="0" w:beforeAutospacing="0" w:after="0" w:afterAutospacing="0" w:line="360" w:lineRule="auto"/>
        <w:ind w:firstLine="470" w:firstLineChars="196"/>
        <w:jc w:val="both"/>
        <w:rPr>
          <w:rFonts w:ascii="Arial" w:hAnsi="Arial" w:cs="Arial"/>
        </w:rPr>
      </w:pPr>
      <w:r>
        <w:rPr>
          <w:rFonts w:ascii="Arial" w:hAnsi="Arial" w:cs="Arial"/>
        </w:rPr>
        <w:t>6、您对职工食堂就餐环境、卫生是否满意。</w:t>
      </w:r>
    </w:p>
    <w:p>
      <w:pPr>
        <w:pStyle w:val="6"/>
        <w:adjustRightInd w:val="0"/>
        <w:snapToGrid w:val="0"/>
        <w:spacing w:before="0" w:beforeAutospacing="0" w:after="0" w:afterAutospacing="0" w:line="360" w:lineRule="auto"/>
        <w:ind w:firstLine="470" w:firstLineChars="196"/>
        <w:jc w:val="both"/>
        <w:rPr>
          <w:rFonts w:ascii="Arial" w:hAnsi="Arial" w:cs="Arial"/>
        </w:rPr>
      </w:pPr>
      <w:r>
        <w:rPr>
          <w:rFonts w:ascii="Arial" w:hAnsi="Arial" w:cs="Arial"/>
        </w:rPr>
        <w:t>满意20分（）        基本满意14分（）     不满意6分（ ）</w:t>
      </w:r>
    </w:p>
    <w:p>
      <w:pPr>
        <w:adjustRightInd w:val="0"/>
        <w:snapToGrid w:val="0"/>
        <w:spacing w:line="360" w:lineRule="auto"/>
        <w:ind w:firstLine="480" w:firstLineChars="200"/>
        <w:rPr>
          <w:rFonts w:ascii="Arial" w:hAnsi="Arial" w:cs="Arial"/>
          <w:kern w:val="0"/>
          <w:sz w:val="24"/>
        </w:rPr>
      </w:pPr>
      <w:r>
        <w:rPr>
          <w:rFonts w:ascii="Arial" w:hAnsi="Arial" w:cs="Arial"/>
          <w:sz w:val="24"/>
        </w:rPr>
        <w:t>7、</w:t>
      </w:r>
      <w:r>
        <w:rPr>
          <w:rFonts w:ascii="Arial" w:hAnsi="Arial" w:cs="Arial"/>
          <w:kern w:val="0"/>
          <w:sz w:val="24"/>
        </w:rPr>
        <w:t>您对餐厅的整体服务评价是：</w:t>
      </w:r>
    </w:p>
    <w:p>
      <w:pPr>
        <w:pStyle w:val="6"/>
        <w:adjustRightInd w:val="0"/>
        <w:snapToGrid w:val="0"/>
        <w:spacing w:before="0" w:beforeAutospacing="0" w:after="0" w:afterAutospacing="0" w:line="360" w:lineRule="auto"/>
        <w:ind w:firstLine="480" w:firstLineChars="200"/>
        <w:jc w:val="both"/>
        <w:rPr>
          <w:rFonts w:ascii="Arial" w:hAnsi="Arial" w:cs="Arial"/>
        </w:rPr>
      </w:pPr>
      <w:r>
        <w:rPr>
          <w:rFonts w:ascii="Arial" w:hAnsi="Arial" w:cs="Arial"/>
        </w:rPr>
        <w:t>满意20分（）        基本满意14分（）     不满意6分（ ）</w:t>
      </w:r>
    </w:p>
    <w:p>
      <w:pPr>
        <w:pStyle w:val="6"/>
        <w:adjustRightInd w:val="0"/>
        <w:snapToGrid w:val="0"/>
        <w:spacing w:before="0" w:beforeAutospacing="0" w:after="0" w:afterAutospacing="0" w:line="360" w:lineRule="auto"/>
        <w:ind w:firstLine="480" w:firstLineChars="200"/>
        <w:jc w:val="both"/>
        <w:rPr>
          <w:rFonts w:ascii="Arial" w:hAnsi="Arial" w:cs="Arial"/>
          <w:u w:val="single"/>
        </w:rPr>
      </w:pPr>
      <w:r>
        <w:rPr>
          <w:rFonts w:ascii="Arial" w:hAnsi="Arial" w:cs="Arial"/>
        </w:rPr>
        <w:t>8、请提出您的建议及要求</w:t>
      </w:r>
    </w:p>
    <w:p>
      <w:pPr>
        <w:pStyle w:val="2"/>
        <w:tabs>
          <w:tab w:val="left" w:pos="567"/>
        </w:tabs>
        <w:rPr>
          <w:rFonts w:hint="eastAsia" w:ascii="宋体" w:hAnsi="宋体"/>
        </w:rPr>
      </w:pPr>
    </w:p>
    <w:p/>
    <w:p>
      <w:pPr>
        <w:widowControl/>
        <w:jc w:val="left"/>
        <w:rPr>
          <w:rFonts w:hint="eastAsia" w:ascii="ˎ̥" w:hAnsi="ˎ̥"/>
          <w:sz w:val="24"/>
        </w:rPr>
      </w:pPr>
    </w:p>
    <w:sectPr>
      <w:footerReference r:id="rId3" w:type="default"/>
      <w:pgSz w:w="11906" w:h="16838"/>
      <w:pgMar w:top="1440" w:right="1418" w:bottom="1440" w:left="141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宋体"/>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YTk0OTEyOWZmZjBhNDA0MTVhOTI0ODJkZDY2OWYifQ=="/>
  </w:docVars>
  <w:rsids>
    <w:rsidRoot w:val="0D227ED3"/>
    <w:rsid w:val="00215AA4"/>
    <w:rsid w:val="004D3427"/>
    <w:rsid w:val="00742804"/>
    <w:rsid w:val="00A3470B"/>
    <w:rsid w:val="00AB2936"/>
    <w:rsid w:val="00D42B17"/>
    <w:rsid w:val="00E239D8"/>
    <w:rsid w:val="010871B7"/>
    <w:rsid w:val="01305521"/>
    <w:rsid w:val="01EF654C"/>
    <w:rsid w:val="0211334D"/>
    <w:rsid w:val="02337EB9"/>
    <w:rsid w:val="02973B41"/>
    <w:rsid w:val="02DE7C7D"/>
    <w:rsid w:val="033723EA"/>
    <w:rsid w:val="0346551E"/>
    <w:rsid w:val="038A3960"/>
    <w:rsid w:val="038D51FF"/>
    <w:rsid w:val="03BC5816"/>
    <w:rsid w:val="03CE7CF1"/>
    <w:rsid w:val="03F90AE6"/>
    <w:rsid w:val="040E6340"/>
    <w:rsid w:val="041F376C"/>
    <w:rsid w:val="046E3282"/>
    <w:rsid w:val="047A6E76"/>
    <w:rsid w:val="04C9670A"/>
    <w:rsid w:val="05056A86"/>
    <w:rsid w:val="050E12CD"/>
    <w:rsid w:val="05176287"/>
    <w:rsid w:val="052E47BF"/>
    <w:rsid w:val="05545445"/>
    <w:rsid w:val="055E50D3"/>
    <w:rsid w:val="059804C2"/>
    <w:rsid w:val="05AB5E10"/>
    <w:rsid w:val="05CF3661"/>
    <w:rsid w:val="0616772D"/>
    <w:rsid w:val="061B03FB"/>
    <w:rsid w:val="069074E0"/>
    <w:rsid w:val="06B11F2E"/>
    <w:rsid w:val="06CB20BC"/>
    <w:rsid w:val="07E76E79"/>
    <w:rsid w:val="07F12200"/>
    <w:rsid w:val="08A64063"/>
    <w:rsid w:val="08B17BE1"/>
    <w:rsid w:val="08DA2B81"/>
    <w:rsid w:val="098F1CD1"/>
    <w:rsid w:val="09BC683E"/>
    <w:rsid w:val="0A087BAD"/>
    <w:rsid w:val="0A0A57FB"/>
    <w:rsid w:val="0A261F09"/>
    <w:rsid w:val="0A773CC2"/>
    <w:rsid w:val="0A7D421F"/>
    <w:rsid w:val="0A881213"/>
    <w:rsid w:val="0AEC3153"/>
    <w:rsid w:val="0B6D3CE2"/>
    <w:rsid w:val="0BA031E7"/>
    <w:rsid w:val="0BB4477C"/>
    <w:rsid w:val="0BE502CE"/>
    <w:rsid w:val="0BEF504F"/>
    <w:rsid w:val="0C34090D"/>
    <w:rsid w:val="0C342DE2"/>
    <w:rsid w:val="0C382ACF"/>
    <w:rsid w:val="0C664BA2"/>
    <w:rsid w:val="0C786F65"/>
    <w:rsid w:val="0CBD0903"/>
    <w:rsid w:val="0CD30126"/>
    <w:rsid w:val="0CE85166"/>
    <w:rsid w:val="0D0F4ED6"/>
    <w:rsid w:val="0D227ED3"/>
    <w:rsid w:val="0D2B2D8B"/>
    <w:rsid w:val="0D4032E2"/>
    <w:rsid w:val="0D4C1F42"/>
    <w:rsid w:val="0D554661"/>
    <w:rsid w:val="0D5C636E"/>
    <w:rsid w:val="0E015764"/>
    <w:rsid w:val="0E1C78AB"/>
    <w:rsid w:val="0E3863F6"/>
    <w:rsid w:val="0EA0228A"/>
    <w:rsid w:val="0FA1450C"/>
    <w:rsid w:val="0FA47B58"/>
    <w:rsid w:val="0FE609EB"/>
    <w:rsid w:val="100E1475"/>
    <w:rsid w:val="10900F59"/>
    <w:rsid w:val="10AB65D7"/>
    <w:rsid w:val="10C83D1A"/>
    <w:rsid w:val="10D34B99"/>
    <w:rsid w:val="10E04696"/>
    <w:rsid w:val="11E3705D"/>
    <w:rsid w:val="120C3CBB"/>
    <w:rsid w:val="12B5660D"/>
    <w:rsid w:val="12F108B5"/>
    <w:rsid w:val="131D034D"/>
    <w:rsid w:val="13DB21B2"/>
    <w:rsid w:val="13F54E26"/>
    <w:rsid w:val="146473D6"/>
    <w:rsid w:val="15282C61"/>
    <w:rsid w:val="155E0B2D"/>
    <w:rsid w:val="158E5F7F"/>
    <w:rsid w:val="15AF54A9"/>
    <w:rsid w:val="15BB2A37"/>
    <w:rsid w:val="15DB004C"/>
    <w:rsid w:val="15FF01DE"/>
    <w:rsid w:val="16914F6A"/>
    <w:rsid w:val="16D15D81"/>
    <w:rsid w:val="16EF6BEA"/>
    <w:rsid w:val="17103D25"/>
    <w:rsid w:val="172D2B29"/>
    <w:rsid w:val="175328A7"/>
    <w:rsid w:val="17912542"/>
    <w:rsid w:val="17C26892"/>
    <w:rsid w:val="18027B12"/>
    <w:rsid w:val="182F5E8D"/>
    <w:rsid w:val="184F1017"/>
    <w:rsid w:val="186E33F9"/>
    <w:rsid w:val="18CD310D"/>
    <w:rsid w:val="18D52ECF"/>
    <w:rsid w:val="18E2201A"/>
    <w:rsid w:val="194C72D0"/>
    <w:rsid w:val="197C38F4"/>
    <w:rsid w:val="198D3D53"/>
    <w:rsid w:val="19CE0BFB"/>
    <w:rsid w:val="1A163D48"/>
    <w:rsid w:val="1A2B7A09"/>
    <w:rsid w:val="1A7B0A2D"/>
    <w:rsid w:val="1ABD179A"/>
    <w:rsid w:val="1AEC7941"/>
    <w:rsid w:val="1B55264E"/>
    <w:rsid w:val="1B62190C"/>
    <w:rsid w:val="1B9413C8"/>
    <w:rsid w:val="1BA227D9"/>
    <w:rsid w:val="1BC7354C"/>
    <w:rsid w:val="1C36422E"/>
    <w:rsid w:val="1C882E0D"/>
    <w:rsid w:val="1C915908"/>
    <w:rsid w:val="1C99656B"/>
    <w:rsid w:val="1CDD0B4D"/>
    <w:rsid w:val="1D3F35B6"/>
    <w:rsid w:val="1D532BBD"/>
    <w:rsid w:val="1D745877"/>
    <w:rsid w:val="1D933269"/>
    <w:rsid w:val="1D9B4C90"/>
    <w:rsid w:val="1DCA71AD"/>
    <w:rsid w:val="1EE27377"/>
    <w:rsid w:val="1EEC5078"/>
    <w:rsid w:val="1EFC175F"/>
    <w:rsid w:val="1F075E0F"/>
    <w:rsid w:val="1F111F2C"/>
    <w:rsid w:val="1F486752"/>
    <w:rsid w:val="1F9D1E54"/>
    <w:rsid w:val="20360CA0"/>
    <w:rsid w:val="207E61A3"/>
    <w:rsid w:val="20B059BF"/>
    <w:rsid w:val="2157642B"/>
    <w:rsid w:val="21577120"/>
    <w:rsid w:val="216B29A6"/>
    <w:rsid w:val="217C6B87"/>
    <w:rsid w:val="226F2247"/>
    <w:rsid w:val="22705D37"/>
    <w:rsid w:val="22877591"/>
    <w:rsid w:val="22B61C24"/>
    <w:rsid w:val="22C447D4"/>
    <w:rsid w:val="22C97BAA"/>
    <w:rsid w:val="22D36C7A"/>
    <w:rsid w:val="23305E7B"/>
    <w:rsid w:val="238240CA"/>
    <w:rsid w:val="23DF7C70"/>
    <w:rsid w:val="2418637F"/>
    <w:rsid w:val="24436F7C"/>
    <w:rsid w:val="2536529E"/>
    <w:rsid w:val="254D024A"/>
    <w:rsid w:val="255D017A"/>
    <w:rsid w:val="256B0A4F"/>
    <w:rsid w:val="258860EE"/>
    <w:rsid w:val="25930F57"/>
    <w:rsid w:val="25A46F8E"/>
    <w:rsid w:val="25C66622"/>
    <w:rsid w:val="25FC2044"/>
    <w:rsid w:val="263717E3"/>
    <w:rsid w:val="266A67C9"/>
    <w:rsid w:val="26962499"/>
    <w:rsid w:val="26B75F6B"/>
    <w:rsid w:val="26C27A32"/>
    <w:rsid w:val="270F5DA7"/>
    <w:rsid w:val="274201D8"/>
    <w:rsid w:val="27914A0E"/>
    <w:rsid w:val="27921848"/>
    <w:rsid w:val="279E2313"/>
    <w:rsid w:val="27DD5EA5"/>
    <w:rsid w:val="28096C3A"/>
    <w:rsid w:val="285223EF"/>
    <w:rsid w:val="28906719"/>
    <w:rsid w:val="29461CB4"/>
    <w:rsid w:val="29555847"/>
    <w:rsid w:val="295B3526"/>
    <w:rsid w:val="29673C78"/>
    <w:rsid w:val="299E3412"/>
    <w:rsid w:val="29BA5AA2"/>
    <w:rsid w:val="2A353D77"/>
    <w:rsid w:val="2A685EFA"/>
    <w:rsid w:val="2A71368C"/>
    <w:rsid w:val="2AB253C7"/>
    <w:rsid w:val="2AC450FA"/>
    <w:rsid w:val="2AC944BF"/>
    <w:rsid w:val="2B0C60B1"/>
    <w:rsid w:val="2BDF21EC"/>
    <w:rsid w:val="2BF92C85"/>
    <w:rsid w:val="2C1A1476"/>
    <w:rsid w:val="2C466D5A"/>
    <w:rsid w:val="2C526E62"/>
    <w:rsid w:val="2C772424"/>
    <w:rsid w:val="2CA174A1"/>
    <w:rsid w:val="2CF05D9C"/>
    <w:rsid w:val="2D6329A9"/>
    <w:rsid w:val="2D855015"/>
    <w:rsid w:val="2D867A8F"/>
    <w:rsid w:val="2DBB4593"/>
    <w:rsid w:val="2E1B14D5"/>
    <w:rsid w:val="2E46686F"/>
    <w:rsid w:val="2E8C6F72"/>
    <w:rsid w:val="2EC64D3D"/>
    <w:rsid w:val="2ED0406E"/>
    <w:rsid w:val="2F4E693D"/>
    <w:rsid w:val="2F7075FF"/>
    <w:rsid w:val="2F7E595B"/>
    <w:rsid w:val="2FBD21DA"/>
    <w:rsid w:val="2FC11C09"/>
    <w:rsid w:val="30093CDB"/>
    <w:rsid w:val="309252C3"/>
    <w:rsid w:val="30BA043C"/>
    <w:rsid w:val="30E97669"/>
    <w:rsid w:val="30F82148"/>
    <w:rsid w:val="31035A48"/>
    <w:rsid w:val="316E3DDC"/>
    <w:rsid w:val="31DB16A7"/>
    <w:rsid w:val="323808A8"/>
    <w:rsid w:val="3255145A"/>
    <w:rsid w:val="32756A70"/>
    <w:rsid w:val="32981347"/>
    <w:rsid w:val="336A6ACF"/>
    <w:rsid w:val="336F654B"/>
    <w:rsid w:val="33EF7023"/>
    <w:rsid w:val="33F40730"/>
    <w:rsid w:val="34131CBE"/>
    <w:rsid w:val="346E05B1"/>
    <w:rsid w:val="348F213D"/>
    <w:rsid w:val="34CE0FF2"/>
    <w:rsid w:val="34FF7944"/>
    <w:rsid w:val="358B759E"/>
    <w:rsid w:val="35956011"/>
    <w:rsid w:val="361C403D"/>
    <w:rsid w:val="363475D8"/>
    <w:rsid w:val="363640D7"/>
    <w:rsid w:val="365B2DB7"/>
    <w:rsid w:val="36931856"/>
    <w:rsid w:val="370074BA"/>
    <w:rsid w:val="371048D5"/>
    <w:rsid w:val="372554C7"/>
    <w:rsid w:val="37676EC5"/>
    <w:rsid w:val="379E3513"/>
    <w:rsid w:val="37BC0347"/>
    <w:rsid w:val="37D56B99"/>
    <w:rsid w:val="38BB6B41"/>
    <w:rsid w:val="39137979"/>
    <w:rsid w:val="39554657"/>
    <w:rsid w:val="397A712E"/>
    <w:rsid w:val="39EB4452"/>
    <w:rsid w:val="3A3A2CE3"/>
    <w:rsid w:val="3A9643BE"/>
    <w:rsid w:val="3AAD593E"/>
    <w:rsid w:val="3AF0135C"/>
    <w:rsid w:val="3AFD268F"/>
    <w:rsid w:val="3B077069"/>
    <w:rsid w:val="3B4946DA"/>
    <w:rsid w:val="3B8A2B4A"/>
    <w:rsid w:val="3B964165"/>
    <w:rsid w:val="3BC1182C"/>
    <w:rsid w:val="3C7B7D0F"/>
    <w:rsid w:val="3C982E9F"/>
    <w:rsid w:val="3C990195"/>
    <w:rsid w:val="3CE514DB"/>
    <w:rsid w:val="3CE77152"/>
    <w:rsid w:val="3D0D2931"/>
    <w:rsid w:val="3DF064DB"/>
    <w:rsid w:val="3E66054B"/>
    <w:rsid w:val="3EA757C9"/>
    <w:rsid w:val="3ECB4852"/>
    <w:rsid w:val="3ED576CF"/>
    <w:rsid w:val="3F463461"/>
    <w:rsid w:val="3F8769CB"/>
    <w:rsid w:val="3FBB2BB5"/>
    <w:rsid w:val="3FD15E98"/>
    <w:rsid w:val="3FF658FE"/>
    <w:rsid w:val="405E1754"/>
    <w:rsid w:val="40774C91"/>
    <w:rsid w:val="40D44B8B"/>
    <w:rsid w:val="41053359"/>
    <w:rsid w:val="41F6331B"/>
    <w:rsid w:val="42193083"/>
    <w:rsid w:val="42415908"/>
    <w:rsid w:val="424B0183"/>
    <w:rsid w:val="424F7C7F"/>
    <w:rsid w:val="4258464E"/>
    <w:rsid w:val="425F778B"/>
    <w:rsid w:val="427C658F"/>
    <w:rsid w:val="42A96C58"/>
    <w:rsid w:val="42AF329B"/>
    <w:rsid w:val="4311006A"/>
    <w:rsid w:val="4340580E"/>
    <w:rsid w:val="43413334"/>
    <w:rsid w:val="438E31ED"/>
    <w:rsid w:val="43AC7308"/>
    <w:rsid w:val="43DB5537"/>
    <w:rsid w:val="43EA7528"/>
    <w:rsid w:val="43F81C45"/>
    <w:rsid w:val="440C3942"/>
    <w:rsid w:val="443A4D45"/>
    <w:rsid w:val="444255B6"/>
    <w:rsid w:val="4448737E"/>
    <w:rsid w:val="448C6831"/>
    <w:rsid w:val="448E20A4"/>
    <w:rsid w:val="44C17BA5"/>
    <w:rsid w:val="44C86ECD"/>
    <w:rsid w:val="45106AFB"/>
    <w:rsid w:val="451E53DE"/>
    <w:rsid w:val="45252F0E"/>
    <w:rsid w:val="452A258C"/>
    <w:rsid w:val="452A3C1D"/>
    <w:rsid w:val="45AC436B"/>
    <w:rsid w:val="45E50802"/>
    <w:rsid w:val="45FC77BE"/>
    <w:rsid w:val="4601026A"/>
    <w:rsid w:val="46164D55"/>
    <w:rsid w:val="4678706D"/>
    <w:rsid w:val="467C3B94"/>
    <w:rsid w:val="46821C9A"/>
    <w:rsid w:val="469F6EA7"/>
    <w:rsid w:val="46C50477"/>
    <w:rsid w:val="46CE1383"/>
    <w:rsid w:val="46E17B5B"/>
    <w:rsid w:val="46FD1369"/>
    <w:rsid w:val="472B3AC3"/>
    <w:rsid w:val="476E609C"/>
    <w:rsid w:val="47BE1E32"/>
    <w:rsid w:val="47D41668"/>
    <w:rsid w:val="4800675A"/>
    <w:rsid w:val="481728B6"/>
    <w:rsid w:val="484570DD"/>
    <w:rsid w:val="486C0E54"/>
    <w:rsid w:val="487200F3"/>
    <w:rsid w:val="488A5869"/>
    <w:rsid w:val="48D31AEB"/>
    <w:rsid w:val="49613532"/>
    <w:rsid w:val="4972249A"/>
    <w:rsid w:val="49870D97"/>
    <w:rsid w:val="49A308A5"/>
    <w:rsid w:val="49B0751C"/>
    <w:rsid w:val="4A363D59"/>
    <w:rsid w:val="4A95657B"/>
    <w:rsid w:val="4AAC1FD5"/>
    <w:rsid w:val="4AD35D68"/>
    <w:rsid w:val="4AF40C8C"/>
    <w:rsid w:val="4AFC67C0"/>
    <w:rsid w:val="4B9506C1"/>
    <w:rsid w:val="4B9750BD"/>
    <w:rsid w:val="4BB87F0C"/>
    <w:rsid w:val="4BC62629"/>
    <w:rsid w:val="4BF453E8"/>
    <w:rsid w:val="4C4E038D"/>
    <w:rsid w:val="4C795EF9"/>
    <w:rsid w:val="4C826DB5"/>
    <w:rsid w:val="4C841EB9"/>
    <w:rsid w:val="4D063625"/>
    <w:rsid w:val="4D227D33"/>
    <w:rsid w:val="4D603B90"/>
    <w:rsid w:val="4DDC7F13"/>
    <w:rsid w:val="4E191136"/>
    <w:rsid w:val="4E2A50F1"/>
    <w:rsid w:val="4E393586"/>
    <w:rsid w:val="4EC512BE"/>
    <w:rsid w:val="4EE259B7"/>
    <w:rsid w:val="4EFB083B"/>
    <w:rsid w:val="4F132029"/>
    <w:rsid w:val="4F3C6A39"/>
    <w:rsid w:val="4F6208BA"/>
    <w:rsid w:val="4F7A3E56"/>
    <w:rsid w:val="4FC5689C"/>
    <w:rsid w:val="50874A25"/>
    <w:rsid w:val="50874A7C"/>
    <w:rsid w:val="50E95FB5"/>
    <w:rsid w:val="51056F3E"/>
    <w:rsid w:val="51346287"/>
    <w:rsid w:val="51673727"/>
    <w:rsid w:val="51694182"/>
    <w:rsid w:val="51962A9D"/>
    <w:rsid w:val="52095115"/>
    <w:rsid w:val="523129FF"/>
    <w:rsid w:val="52335F4B"/>
    <w:rsid w:val="52354064"/>
    <w:rsid w:val="52734B8D"/>
    <w:rsid w:val="52823E7F"/>
    <w:rsid w:val="52B05E75"/>
    <w:rsid w:val="5302663C"/>
    <w:rsid w:val="53144E64"/>
    <w:rsid w:val="531B14AC"/>
    <w:rsid w:val="53310CD0"/>
    <w:rsid w:val="537C13CD"/>
    <w:rsid w:val="53883D96"/>
    <w:rsid w:val="539856EE"/>
    <w:rsid w:val="539F45B7"/>
    <w:rsid w:val="541C514A"/>
    <w:rsid w:val="546D3F89"/>
    <w:rsid w:val="54774E08"/>
    <w:rsid w:val="54C15662"/>
    <w:rsid w:val="54F1040A"/>
    <w:rsid w:val="557355CF"/>
    <w:rsid w:val="55A439DB"/>
    <w:rsid w:val="55AA2FBB"/>
    <w:rsid w:val="55E30B9D"/>
    <w:rsid w:val="561D378D"/>
    <w:rsid w:val="569E72A1"/>
    <w:rsid w:val="57077FCE"/>
    <w:rsid w:val="57524764"/>
    <w:rsid w:val="57706C63"/>
    <w:rsid w:val="57833AC4"/>
    <w:rsid w:val="57891EAD"/>
    <w:rsid w:val="579E26AC"/>
    <w:rsid w:val="57FD73D2"/>
    <w:rsid w:val="58094CC6"/>
    <w:rsid w:val="580D0C22"/>
    <w:rsid w:val="5837336F"/>
    <w:rsid w:val="5846772B"/>
    <w:rsid w:val="58572B41"/>
    <w:rsid w:val="58785178"/>
    <w:rsid w:val="58BC7A2C"/>
    <w:rsid w:val="58D6012C"/>
    <w:rsid w:val="58EF1411"/>
    <w:rsid w:val="59161335"/>
    <w:rsid w:val="592945C9"/>
    <w:rsid w:val="596933EA"/>
    <w:rsid w:val="597F2DEA"/>
    <w:rsid w:val="59A044B9"/>
    <w:rsid w:val="5A032C9A"/>
    <w:rsid w:val="5A1D3D5C"/>
    <w:rsid w:val="5AEB549C"/>
    <w:rsid w:val="5B4830A2"/>
    <w:rsid w:val="5B570E5D"/>
    <w:rsid w:val="5B595267"/>
    <w:rsid w:val="5B694D7F"/>
    <w:rsid w:val="5BDF4B31"/>
    <w:rsid w:val="5C193103"/>
    <w:rsid w:val="5C441A74"/>
    <w:rsid w:val="5C803F8F"/>
    <w:rsid w:val="5C82259C"/>
    <w:rsid w:val="5CF1327E"/>
    <w:rsid w:val="5D123920"/>
    <w:rsid w:val="5D720862"/>
    <w:rsid w:val="5D973E25"/>
    <w:rsid w:val="5DB24D50"/>
    <w:rsid w:val="5E070FAB"/>
    <w:rsid w:val="5E266C0D"/>
    <w:rsid w:val="5E401EC7"/>
    <w:rsid w:val="5EE057BF"/>
    <w:rsid w:val="5F0059FA"/>
    <w:rsid w:val="5F385194"/>
    <w:rsid w:val="5F5A335C"/>
    <w:rsid w:val="5F7F6E68"/>
    <w:rsid w:val="5FC125D0"/>
    <w:rsid w:val="5FC51B07"/>
    <w:rsid w:val="5FC77257"/>
    <w:rsid w:val="5FF437B1"/>
    <w:rsid w:val="60216398"/>
    <w:rsid w:val="603A4D6D"/>
    <w:rsid w:val="60402552"/>
    <w:rsid w:val="60970C11"/>
    <w:rsid w:val="60995C77"/>
    <w:rsid w:val="60A850A8"/>
    <w:rsid w:val="60BA7BDC"/>
    <w:rsid w:val="60E767F4"/>
    <w:rsid w:val="611B4D6D"/>
    <w:rsid w:val="619B476D"/>
    <w:rsid w:val="61C63FB6"/>
    <w:rsid w:val="62350D5B"/>
    <w:rsid w:val="62EA49F7"/>
    <w:rsid w:val="62F81CDA"/>
    <w:rsid w:val="632C6821"/>
    <w:rsid w:val="633E7777"/>
    <w:rsid w:val="63950E07"/>
    <w:rsid w:val="63D23E09"/>
    <w:rsid w:val="64137F7D"/>
    <w:rsid w:val="646D58E0"/>
    <w:rsid w:val="64917820"/>
    <w:rsid w:val="649E263D"/>
    <w:rsid w:val="64E539DB"/>
    <w:rsid w:val="65470975"/>
    <w:rsid w:val="654C5E68"/>
    <w:rsid w:val="655B398A"/>
    <w:rsid w:val="65736F26"/>
    <w:rsid w:val="65A90B99"/>
    <w:rsid w:val="661B1EF2"/>
    <w:rsid w:val="664D6D60"/>
    <w:rsid w:val="66910B3F"/>
    <w:rsid w:val="66CA0555"/>
    <w:rsid w:val="66E82E2A"/>
    <w:rsid w:val="66F10A4A"/>
    <w:rsid w:val="672F4B23"/>
    <w:rsid w:val="677D408C"/>
    <w:rsid w:val="67B101D9"/>
    <w:rsid w:val="6817176C"/>
    <w:rsid w:val="68282249"/>
    <w:rsid w:val="68A3535B"/>
    <w:rsid w:val="6918702C"/>
    <w:rsid w:val="69C77840"/>
    <w:rsid w:val="6A1B7B8C"/>
    <w:rsid w:val="6A2D38D1"/>
    <w:rsid w:val="6A6C38EF"/>
    <w:rsid w:val="6A7C4ACE"/>
    <w:rsid w:val="6A8353C1"/>
    <w:rsid w:val="6A841BD5"/>
    <w:rsid w:val="6A8614A9"/>
    <w:rsid w:val="6A8F2E98"/>
    <w:rsid w:val="6AEB080A"/>
    <w:rsid w:val="6AEF34F2"/>
    <w:rsid w:val="6B1A49A6"/>
    <w:rsid w:val="6B2807B2"/>
    <w:rsid w:val="6B2B7BD5"/>
    <w:rsid w:val="6B654606"/>
    <w:rsid w:val="6B763D86"/>
    <w:rsid w:val="6B7834E8"/>
    <w:rsid w:val="6B96571C"/>
    <w:rsid w:val="6B9E2823"/>
    <w:rsid w:val="6BCF6E80"/>
    <w:rsid w:val="6C094140"/>
    <w:rsid w:val="6C2F155B"/>
    <w:rsid w:val="6CA513FC"/>
    <w:rsid w:val="6CE9242B"/>
    <w:rsid w:val="6D486EEA"/>
    <w:rsid w:val="6D532905"/>
    <w:rsid w:val="6D633D24"/>
    <w:rsid w:val="6D6C2BD8"/>
    <w:rsid w:val="6E276AFF"/>
    <w:rsid w:val="6E767061"/>
    <w:rsid w:val="6E955296"/>
    <w:rsid w:val="6EC407F2"/>
    <w:rsid w:val="6EF56BFD"/>
    <w:rsid w:val="6EF677CC"/>
    <w:rsid w:val="6FA56536"/>
    <w:rsid w:val="6FAC0ED6"/>
    <w:rsid w:val="6FB95E7D"/>
    <w:rsid w:val="702769C4"/>
    <w:rsid w:val="70287D3E"/>
    <w:rsid w:val="704E2A69"/>
    <w:rsid w:val="706E00B6"/>
    <w:rsid w:val="70763D6E"/>
    <w:rsid w:val="707B115E"/>
    <w:rsid w:val="70CD6C3A"/>
    <w:rsid w:val="70E84C6C"/>
    <w:rsid w:val="70FF18A6"/>
    <w:rsid w:val="714149C8"/>
    <w:rsid w:val="71473B1E"/>
    <w:rsid w:val="715F627F"/>
    <w:rsid w:val="71CA7D6E"/>
    <w:rsid w:val="721D0C2A"/>
    <w:rsid w:val="72800C0D"/>
    <w:rsid w:val="72CC236B"/>
    <w:rsid w:val="72EC5503"/>
    <w:rsid w:val="72F44A69"/>
    <w:rsid w:val="73016AEF"/>
    <w:rsid w:val="732968CD"/>
    <w:rsid w:val="732C6966"/>
    <w:rsid w:val="73357976"/>
    <w:rsid w:val="734B14E2"/>
    <w:rsid w:val="740630DF"/>
    <w:rsid w:val="74781791"/>
    <w:rsid w:val="7482674A"/>
    <w:rsid w:val="748A603A"/>
    <w:rsid w:val="74C07232"/>
    <w:rsid w:val="753D7DE4"/>
    <w:rsid w:val="75410838"/>
    <w:rsid w:val="75584F31"/>
    <w:rsid w:val="75596138"/>
    <w:rsid w:val="75662603"/>
    <w:rsid w:val="756E4DF1"/>
    <w:rsid w:val="757C4006"/>
    <w:rsid w:val="75CC3AD6"/>
    <w:rsid w:val="762928E0"/>
    <w:rsid w:val="763B0A64"/>
    <w:rsid w:val="76631114"/>
    <w:rsid w:val="766F54E7"/>
    <w:rsid w:val="7682521B"/>
    <w:rsid w:val="76883D47"/>
    <w:rsid w:val="76C07AF1"/>
    <w:rsid w:val="77087B85"/>
    <w:rsid w:val="771151A9"/>
    <w:rsid w:val="77244524"/>
    <w:rsid w:val="77A6318B"/>
    <w:rsid w:val="780E78D2"/>
    <w:rsid w:val="788D60F9"/>
    <w:rsid w:val="78AC1C81"/>
    <w:rsid w:val="78B35B5F"/>
    <w:rsid w:val="78F9378E"/>
    <w:rsid w:val="790C37BB"/>
    <w:rsid w:val="79815C5D"/>
    <w:rsid w:val="79B972A5"/>
    <w:rsid w:val="79E0461D"/>
    <w:rsid w:val="7A0643B5"/>
    <w:rsid w:val="7A2D1941"/>
    <w:rsid w:val="7AD04A20"/>
    <w:rsid w:val="7B0326A2"/>
    <w:rsid w:val="7B9307E3"/>
    <w:rsid w:val="7B976209"/>
    <w:rsid w:val="7BC10F3E"/>
    <w:rsid w:val="7BF5590C"/>
    <w:rsid w:val="7CC55B2E"/>
    <w:rsid w:val="7CDA39AB"/>
    <w:rsid w:val="7CE35473"/>
    <w:rsid w:val="7D3F20B7"/>
    <w:rsid w:val="7DE844FD"/>
    <w:rsid w:val="7DF32EA2"/>
    <w:rsid w:val="7E0B7A08"/>
    <w:rsid w:val="7E4B74D3"/>
    <w:rsid w:val="7E507CD7"/>
    <w:rsid w:val="7E7D7E06"/>
    <w:rsid w:val="7ECF3A21"/>
    <w:rsid w:val="7ED4682F"/>
    <w:rsid w:val="7EE50A3C"/>
    <w:rsid w:val="7F111831"/>
    <w:rsid w:val="7F280929"/>
    <w:rsid w:val="7F2C0419"/>
    <w:rsid w:val="7F3E66F7"/>
    <w:rsid w:val="7F871AF4"/>
    <w:rsid w:val="7F9F6701"/>
    <w:rsid w:val="7FC3483A"/>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semiHidden/>
    <w:unhideWhenUsed/>
    <w:qFormat/>
    <w:uiPriority w:val="99"/>
    <w:pPr>
      <w:widowControl/>
      <w:jc w:val="left"/>
    </w:pPr>
    <w:rPr>
      <w:kern w:val="0"/>
      <w:sz w:val="28"/>
      <w:szCs w:val="20"/>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ˎ̥" w:hAnsi="ˎ̥" w:cs="ˎ̥"/>
      <w:kern w:val="0"/>
      <w:sz w:val="24"/>
    </w:rPr>
  </w:style>
  <w:style w:type="paragraph" w:styleId="7">
    <w:name w:val="Title"/>
    <w:basedOn w:val="1"/>
    <w:next w:val="1"/>
    <w:qFormat/>
    <w:uiPriority w:val="0"/>
    <w:pPr>
      <w:spacing w:before="240" w:after="240"/>
      <w:jc w:val="center"/>
      <w:outlineLvl w:val="0"/>
    </w:pPr>
    <w:rPr>
      <w:rFonts w:ascii="Cambria" w:hAnsi="Cambria" w:eastAsia="微软雅黑" w:cstheme="minorBidi"/>
      <w:b/>
      <w:bCs/>
      <w:sz w:val="36"/>
      <w:szCs w:val="32"/>
    </w:rPr>
  </w:style>
  <w:style w:type="paragraph" w:styleId="8">
    <w:name w:val="Body Text First Indent"/>
    <w:basedOn w:val="2"/>
    <w:semiHidden/>
    <w:unhideWhenUsed/>
    <w:qFormat/>
    <w:uiPriority w:val="99"/>
    <w:pPr>
      <w:ind w:firstLine="723" w:firstLineChars="200"/>
    </w:pPr>
  </w:style>
  <w:style w:type="character" w:styleId="11">
    <w:name w:val="Strong"/>
    <w:basedOn w:val="10"/>
    <w:qFormat/>
    <w:uiPriority w:val="0"/>
    <w:rPr>
      <w:b/>
      <w:bCs/>
    </w:rPr>
  </w:style>
  <w:style w:type="character" w:styleId="12">
    <w:name w:val="Emphasis"/>
    <w:basedOn w:val="10"/>
    <w:qFormat/>
    <w:uiPriority w:val="0"/>
    <w:rPr>
      <w:i/>
    </w:rPr>
  </w:style>
  <w:style w:type="paragraph" w:customStyle="1" w:styleId="13">
    <w:name w:val="普通 (Web)"/>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4">
    <w:name w:val="List Paragraph"/>
    <w:basedOn w:val="1"/>
    <w:qFormat/>
    <w:uiPriority w:val="34"/>
    <w:pPr>
      <w:ind w:firstLine="420" w:firstLineChars="200"/>
    </w:pPr>
    <w:rPr>
      <w:rFonts w:ascii="Calibri" w:hAnsi="Calibri"/>
      <w:szCs w:val="22"/>
    </w:rPr>
  </w:style>
  <w:style w:type="paragraph" w:customStyle="1" w:styleId="15">
    <w:name w:val="Body text|1"/>
    <w:basedOn w:val="1"/>
    <w:link w:val="16"/>
    <w:qFormat/>
    <w:uiPriority w:val="0"/>
    <w:pPr>
      <w:spacing w:line="480" w:lineRule="auto"/>
      <w:ind w:firstLine="400"/>
    </w:pPr>
    <w:rPr>
      <w:rFonts w:ascii="宋体" w:hAnsi="宋体" w:eastAsia="宋体" w:cs="宋体"/>
      <w:sz w:val="20"/>
      <w:szCs w:val="20"/>
      <w:lang w:val="ko-KR" w:eastAsia="ko-KR" w:bidi="ko-KR"/>
    </w:rPr>
  </w:style>
  <w:style w:type="character" w:customStyle="1" w:styleId="16">
    <w:name w:val="Body text|1_"/>
    <w:basedOn w:val="10"/>
    <w:link w:val="15"/>
    <w:qFormat/>
    <w:uiPriority w:val="0"/>
    <w:rPr>
      <w:rFonts w:ascii="宋体" w:hAnsi="宋体" w:eastAsia="宋体" w:cs="宋体"/>
      <w:sz w:val="20"/>
      <w:szCs w:val="20"/>
      <w:lang w:val="ko-KR" w:eastAsia="ko-KR" w:bidi="ko-K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7838</Words>
  <Characters>7995</Characters>
  <Lines>0</Lines>
  <Paragraphs>0</Paragraphs>
  <TotalTime>3</TotalTime>
  <ScaleCrop>false</ScaleCrop>
  <LinksUpToDate>false</LinksUpToDate>
  <CharactersWithSpaces>8302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2023-08-06T02:29:00Z</dcterms:created>
  <dc:creator>比虎大的猫</dc:creator>
  <cp:lastModifiedBy>杨连萍</cp:lastModifiedBy>
  <dcterms:modified xsi:type="dcterms:W3CDTF">2013-02-06T17:01:08Z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8B8ADA2C0BDB4997B4D25EC5ABD9EE73</vt:lpwstr>
  </property>
  <property fmtid="{D5CDD505-2E9C-101B-9397-08002B2CF9AE}" pid="4" name="KSOTemplateDocerSaveRecord">
    <vt:lpwstr>eyJoZGlkIjoiYTdiZTM5ZDc3ODdjZWJkOGE5N2U5Y2UzM2ZjYjQwM2IiLCJ1c2VySWQiOiIxNzE5MjE2MDk0In0=</vt:lpwstr>
  </property>
</Properties>
</file>