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pageBreakBefore w:val="0"/>
        <w:wordWrap/>
        <w:overflowPunct/>
        <w:topLinePunct w:val="0"/>
        <w:bidi w:val="0"/>
        <w:spacing w:line="560" w:lineRule="exact"/>
        <w:ind w:left="0" w:leftChars="0" w:right="0" w:firstLine="3646" w:firstLineChars="800"/>
        <w:jc w:val="both"/>
        <w:outlineLvl w:val="0"/>
        <w:rPr>
          <w:rFonts w:hint="eastAsia" w:ascii="黑体" w:hAnsi="黑体" w:eastAsia="黑体" w:cs="黑体"/>
          <w:color w:val="auto"/>
          <w:sz w:val="44"/>
          <w:szCs w:val="44"/>
        </w:rPr>
      </w:pPr>
      <w:r>
        <w:rPr>
          <w:rFonts w:hint="eastAsia" w:ascii="黑体" w:hAnsi="黑体" w:eastAsia="黑体" w:cs="黑体"/>
          <w:b/>
          <w:bCs/>
          <w:color w:val="auto"/>
          <w:spacing w:val="7"/>
          <w:sz w:val="44"/>
          <w:szCs w:val="44"/>
        </w:rPr>
        <w:t>采购需求</w:t>
      </w:r>
      <w:bookmarkStart w:id="15" w:name="_GoBack"/>
      <w:bookmarkEnd w:id="15"/>
    </w:p>
    <w:p>
      <w:pPr>
        <w:keepNext w:val="0"/>
        <w:keepLines w:val="0"/>
        <w:pageBreakBefore w:val="0"/>
        <w:widowControl/>
        <w:kinsoku w:val="0"/>
        <w:wordWrap/>
        <w:overflowPunct/>
        <w:topLinePunct w:val="0"/>
        <w:autoSpaceDE/>
        <w:autoSpaceDN/>
        <w:bidi w:val="0"/>
        <w:adjustRightInd w:val="0"/>
        <w:snapToGrid w:val="0"/>
        <w:spacing w:line="560" w:lineRule="exact"/>
        <w:ind w:left="0" w:right="0"/>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说明：</w:t>
      </w:r>
    </w:p>
    <w:p>
      <w:pPr>
        <w:keepNext w:val="0"/>
        <w:keepLines w:val="0"/>
        <w:pageBreakBefore w:val="0"/>
        <w:widowControl/>
        <w:kinsoku w:val="0"/>
        <w:wordWrap/>
        <w:overflowPunct/>
        <w:topLinePunct w:val="0"/>
        <w:autoSpaceDE/>
        <w:autoSpaceDN/>
        <w:bidi w:val="0"/>
        <w:adjustRightInd w:val="0"/>
        <w:snapToGrid w:val="0"/>
        <w:spacing w:line="560" w:lineRule="exact"/>
        <w:ind w:left="0" w:right="0" w:firstLine="18"/>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1.当采购项目涉及政务信息系统时 ，采购需求应当符合《政务信息系统政府采购管理 暂行办法》（财库〔2017〕210 号）的相关要求。</w:t>
      </w:r>
    </w:p>
    <w:p>
      <w:pPr>
        <w:keepNext w:val="0"/>
        <w:keepLines w:val="0"/>
        <w:pageBreakBefore w:val="0"/>
        <w:widowControl/>
        <w:kinsoku w:val="0"/>
        <w:wordWrap/>
        <w:overflowPunct/>
        <w:topLinePunct w:val="0"/>
        <w:autoSpaceDE/>
        <w:autoSpaceDN/>
        <w:bidi w:val="0"/>
        <w:adjustRightInd w:val="0"/>
        <w:snapToGrid w:val="0"/>
        <w:spacing w:line="560" w:lineRule="exact"/>
        <w:ind w:left="0" w:right="0" w:firstLine="12"/>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2.采购人及采购代理机构应关注财政部门会同有关部门制定发布的需求标准 ，结合具体应用场景</w:t>
      </w:r>
      <w:r>
        <w:rPr>
          <w:rFonts w:hint="eastAsia" w:ascii="微软雅黑" w:hAnsi="微软雅黑" w:eastAsia="微软雅黑" w:cs="微软雅黑"/>
          <w:snapToGrid w:val="0"/>
          <w:color w:val="auto"/>
          <w:kern w:val="0"/>
          <w:sz w:val="24"/>
          <w:szCs w:val="24"/>
          <w:lang w:val="en-US" w:eastAsia="zh-CN" w:bidi="ar-SA"/>
        </w:rPr>
        <w:t>，</w:t>
      </w:r>
      <w:r>
        <w:rPr>
          <w:rFonts w:hint="eastAsia" w:ascii="微软雅黑" w:hAnsi="微软雅黑" w:eastAsia="微软雅黑" w:cs="微软雅黑"/>
          <w:snapToGrid w:val="0"/>
          <w:color w:val="auto"/>
          <w:kern w:val="0"/>
          <w:sz w:val="24"/>
          <w:szCs w:val="24"/>
          <w:lang w:val="en-US" w:eastAsia="en-US" w:bidi="ar-SA"/>
        </w:rPr>
        <w:t>根据对应《需求标准》确定采购需求。</w:t>
      </w:r>
    </w:p>
    <w:p>
      <w:pPr>
        <w:keepNext w:val="0"/>
        <w:keepLines w:val="0"/>
        <w:pageBreakBefore w:val="0"/>
        <w:widowControl/>
        <w:kinsoku w:val="0"/>
        <w:wordWrap/>
        <w:overflowPunct/>
        <w:topLinePunct w:val="0"/>
        <w:autoSpaceDE/>
        <w:autoSpaceDN/>
        <w:bidi w:val="0"/>
        <w:adjustRightInd w:val="0"/>
        <w:snapToGrid w:val="0"/>
        <w:spacing w:line="560" w:lineRule="exact"/>
        <w:ind w:left="0" w:right="0"/>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已发布的需求标准如下：</w:t>
      </w:r>
    </w:p>
    <w:p>
      <w:pPr>
        <w:keepNext w:val="0"/>
        <w:keepLines w:val="0"/>
        <w:pageBreakBefore w:val="0"/>
        <w:widowControl/>
        <w:kinsoku w:val="0"/>
        <w:wordWrap/>
        <w:overflowPunct/>
        <w:topLinePunct w:val="0"/>
        <w:autoSpaceDE/>
        <w:autoSpaceDN/>
        <w:bidi w:val="0"/>
        <w:adjustRightInd w:val="0"/>
        <w:snapToGrid w:val="0"/>
        <w:spacing w:line="560" w:lineRule="exact"/>
        <w:ind w:left="0" w:right="0"/>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《关于印发〈商品包装政府采购需求标准（试行）〉、〈快递包装政府采购需求标准（试行）〉的通知》（财办库﹝2020﹞ 123 号））</w:t>
      </w:r>
    </w:p>
    <w:p>
      <w:pPr>
        <w:keepNext w:val="0"/>
        <w:keepLines w:val="0"/>
        <w:pageBreakBefore w:val="0"/>
        <w:widowControl/>
        <w:kinsoku/>
        <w:wordWrap w:val="0"/>
        <w:overflowPunct w:val="0"/>
        <w:topLinePunct w:val="0"/>
        <w:autoSpaceDE/>
        <w:autoSpaceDN/>
        <w:bidi w:val="0"/>
        <w:adjustRightInd w:val="0"/>
        <w:snapToGrid w:val="0"/>
        <w:spacing w:line="560" w:lineRule="exact"/>
        <w:ind w:left="0" w:right="0"/>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《绿色数据中心政府采购需求标准（试行）》（财库〔2023〕7 号）</w:t>
      </w:r>
    </w:p>
    <w:p>
      <w:pPr>
        <w:keepNext w:val="0"/>
        <w:keepLines w:val="0"/>
        <w:pageBreakBefore w:val="0"/>
        <w:widowControl/>
        <w:kinsoku/>
        <w:wordWrap w:val="0"/>
        <w:overflowPunct w:val="0"/>
        <w:topLinePunct w:val="0"/>
        <w:autoSpaceDE/>
        <w:autoSpaceDN/>
        <w:bidi w:val="0"/>
        <w:adjustRightInd w:val="0"/>
        <w:snapToGrid w:val="0"/>
        <w:spacing w:line="560" w:lineRule="exact"/>
        <w:ind w:left="0" w:right="0" w:rightChars="0"/>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 xml:space="preserve">《台式计算机政府采购需求标准（2023年版）》（财库〔2023〕29 号）  </w:t>
      </w:r>
    </w:p>
    <w:p>
      <w:pPr>
        <w:keepNext w:val="0"/>
        <w:keepLines w:val="0"/>
        <w:pageBreakBefore w:val="0"/>
        <w:widowControl/>
        <w:kinsoku/>
        <w:wordWrap w:val="0"/>
        <w:overflowPunct w:val="0"/>
        <w:topLinePunct w:val="0"/>
        <w:autoSpaceDE/>
        <w:autoSpaceDN/>
        <w:bidi w:val="0"/>
        <w:adjustRightInd w:val="0"/>
        <w:snapToGrid w:val="0"/>
        <w:spacing w:line="560" w:lineRule="exact"/>
        <w:ind w:left="0" w:right="0" w:rightChars="0"/>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《便携式计算机政府采购需求标准（2023年版）》（财库〔2023〕30 号）</w:t>
      </w:r>
    </w:p>
    <w:p>
      <w:pPr>
        <w:keepNext w:val="0"/>
        <w:keepLines w:val="0"/>
        <w:pageBreakBefore w:val="0"/>
        <w:widowControl/>
        <w:kinsoku/>
        <w:wordWrap w:val="0"/>
        <w:overflowPunct w:val="0"/>
        <w:topLinePunct w:val="0"/>
        <w:autoSpaceDE/>
        <w:autoSpaceDN/>
        <w:bidi w:val="0"/>
        <w:adjustRightInd w:val="0"/>
        <w:snapToGrid w:val="0"/>
        <w:spacing w:before="188" w:line="560" w:lineRule="exact"/>
        <w:ind w:right="25" w:rightChars="0"/>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《一体式计算机政府采购需求标准（2023年版）》（财库〔2023〕31号）</w:t>
      </w:r>
    </w:p>
    <w:p>
      <w:pPr>
        <w:keepNext w:val="0"/>
        <w:keepLines w:val="0"/>
        <w:pageBreakBefore w:val="0"/>
        <w:widowControl/>
        <w:kinsoku/>
        <w:wordWrap w:val="0"/>
        <w:overflowPunct w:val="0"/>
        <w:topLinePunct w:val="0"/>
        <w:autoSpaceDE/>
        <w:autoSpaceDN/>
        <w:bidi w:val="0"/>
        <w:adjustRightInd w:val="0"/>
        <w:snapToGrid w:val="0"/>
        <w:spacing w:before="188" w:line="560" w:lineRule="exact"/>
        <w:ind w:right="25" w:rightChars="0"/>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《工作站政府采购需求标准（2023年版）》（财库〔2023〕32号）</w:t>
      </w:r>
    </w:p>
    <w:p>
      <w:pPr>
        <w:keepNext w:val="0"/>
        <w:keepLines w:val="0"/>
        <w:pageBreakBefore w:val="0"/>
        <w:widowControl/>
        <w:kinsoku/>
        <w:wordWrap w:val="0"/>
        <w:overflowPunct w:val="0"/>
        <w:topLinePunct w:val="0"/>
        <w:autoSpaceDE/>
        <w:autoSpaceDN/>
        <w:bidi w:val="0"/>
        <w:adjustRightInd w:val="0"/>
        <w:snapToGrid w:val="0"/>
        <w:spacing w:before="188" w:line="560" w:lineRule="exact"/>
        <w:ind w:right="25" w:rightChars="0"/>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 xml:space="preserve">《通用服务器政府采购需求标准（2023年版）》（财库〔2023〕33号） </w:t>
      </w:r>
    </w:p>
    <w:p>
      <w:pPr>
        <w:keepNext w:val="0"/>
        <w:keepLines w:val="0"/>
        <w:pageBreakBefore w:val="0"/>
        <w:widowControl/>
        <w:kinsoku/>
        <w:wordWrap w:val="0"/>
        <w:overflowPunct w:val="0"/>
        <w:topLinePunct w:val="0"/>
        <w:autoSpaceDE/>
        <w:autoSpaceDN/>
        <w:bidi w:val="0"/>
        <w:adjustRightInd w:val="0"/>
        <w:snapToGrid w:val="0"/>
        <w:spacing w:before="188" w:line="560" w:lineRule="exact"/>
        <w:ind w:right="25" w:rightChars="0"/>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 xml:space="preserve">《操作系统政府采购需求标准（2023年版）》（财库〔2023〕34号）  </w:t>
      </w:r>
    </w:p>
    <w:p>
      <w:pPr>
        <w:keepNext w:val="0"/>
        <w:keepLines w:val="0"/>
        <w:pageBreakBefore w:val="0"/>
        <w:widowControl/>
        <w:kinsoku/>
        <w:wordWrap w:val="0"/>
        <w:overflowPunct w:val="0"/>
        <w:topLinePunct w:val="0"/>
        <w:autoSpaceDE/>
        <w:autoSpaceDN/>
        <w:bidi w:val="0"/>
        <w:adjustRightInd w:val="0"/>
        <w:snapToGrid w:val="0"/>
        <w:spacing w:before="188" w:line="560" w:lineRule="exact"/>
        <w:ind w:right="25" w:rightChars="0"/>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《数据库政府采购需求标准（2023 年版）》（财库〔2023〕35 号）</w:t>
      </w:r>
    </w:p>
    <w:p>
      <w:pPr>
        <w:keepNext w:val="0"/>
        <w:keepLines w:val="0"/>
        <w:pageBreakBefore w:val="0"/>
        <w:widowControl/>
        <w:kinsoku/>
        <w:wordWrap w:val="0"/>
        <w:overflowPunct w:val="0"/>
        <w:topLinePunct w:val="0"/>
        <w:autoSpaceDE/>
        <w:autoSpaceDN/>
        <w:bidi w:val="0"/>
        <w:adjustRightInd w:val="0"/>
        <w:snapToGrid w:val="0"/>
        <w:spacing w:before="18" w:line="560" w:lineRule="exact"/>
        <w:ind w:left="22" w:hanging="22"/>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 xml:space="preserve">《物业管理服务政府采购需求标准（办公场所类）（试行）》（财办库〔2024〕113 号） </w:t>
      </w:r>
    </w:p>
    <w:p>
      <w:pPr>
        <w:keepNext w:val="0"/>
        <w:keepLines w:val="0"/>
        <w:pageBreakBefore w:val="0"/>
        <w:widowControl/>
        <w:kinsoku/>
        <w:wordWrap w:val="0"/>
        <w:overflowPunct w:val="0"/>
        <w:topLinePunct w:val="0"/>
        <w:autoSpaceDE/>
        <w:autoSpaceDN/>
        <w:bidi w:val="0"/>
        <w:adjustRightInd w:val="0"/>
        <w:snapToGrid w:val="0"/>
        <w:spacing w:before="18" w:line="560" w:lineRule="exact"/>
        <w:ind w:left="22" w:hanging="22"/>
        <w:jc w:val="left"/>
        <w:textAlignment w:val="baseline"/>
        <w:rPr>
          <w:rFonts w:hint="eastAsia" w:ascii="微软雅黑" w:hAnsi="微软雅黑" w:eastAsia="微软雅黑" w:cs="微软雅黑"/>
          <w:snapToGrid w:val="0"/>
          <w:color w:val="auto"/>
          <w:kern w:val="0"/>
          <w:sz w:val="24"/>
          <w:szCs w:val="24"/>
          <w:lang w:val="en-US" w:eastAsia="en-US" w:bidi="ar-SA"/>
        </w:rPr>
      </w:pPr>
      <w:r>
        <w:rPr>
          <w:rFonts w:hint="eastAsia" w:ascii="微软雅黑" w:hAnsi="微软雅黑" w:eastAsia="微软雅黑" w:cs="微软雅黑"/>
          <w:snapToGrid w:val="0"/>
          <w:color w:val="auto"/>
          <w:kern w:val="0"/>
          <w:sz w:val="24"/>
          <w:szCs w:val="24"/>
          <w:lang w:val="en-US" w:eastAsia="en-US" w:bidi="ar-SA"/>
        </w:rPr>
        <w:t>如有更新或增加 ，以财政部门发布为准。</w:t>
      </w: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ascii="微软雅黑" w:hAnsi="微软雅黑" w:eastAsia="微软雅黑" w:cs="微软雅黑"/>
          <w:b/>
          <w:bCs/>
          <w:color w:val="auto"/>
          <w:spacing w:val="2"/>
          <w:sz w:val="24"/>
          <w:szCs w:val="24"/>
        </w:rPr>
      </w:pP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ascii="微软雅黑" w:hAnsi="微软雅黑" w:eastAsia="微软雅黑" w:cs="微软雅黑"/>
          <w:color w:val="auto"/>
          <w:sz w:val="24"/>
          <w:szCs w:val="24"/>
        </w:rPr>
      </w:pPr>
      <w:r>
        <w:rPr>
          <w:rFonts w:hint="eastAsia" w:ascii="微软雅黑" w:hAnsi="微软雅黑" w:eastAsia="微软雅黑" w:cs="微软雅黑"/>
          <w:b/>
          <w:bCs/>
          <w:color w:val="auto"/>
          <w:spacing w:val="2"/>
          <w:sz w:val="24"/>
          <w:szCs w:val="24"/>
        </w:rPr>
        <w:t>一、采购标的</w:t>
      </w: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r>
        <w:rPr>
          <w:rFonts w:hint="eastAsia" w:cs="微软雅黑"/>
          <w:color w:val="auto"/>
          <w:kern w:val="0"/>
          <w:sz w:val="24"/>
          <w:szCs w:val="24"/>
          <w:lang w:val="en-US" w:eastAsia="zh-CN"/>
        </w:rPr>
        <w:t xml:space="preserve">1. 采购标的（货物需求一览表或简要服务内容及数量） </w:t>
      </w: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r>
        <w:rPr>
          <w:rFonts w:hint="eastAsia" w:cs="微软雅黑"/>
          <w:color w:val="auto"/>
          <w:kern w:val="0"/>
          <w:sz w:val="24"/>
          <w:szCs w:val="24"/>
          <w:lang w:val="en-US" w:eastAsia="zh-CN"/>
        </w:rPr>
        <w:t>项目名称：北京市延庆区精神病医院2026年劳务派遣服务采购项目</w:t>
      </w: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r>
        <w:rPr>
          <w:rFonts w:hint="eastAsia" w:cs="微软雅黑"/>
          <w:color w:val="auto"/>
          <w:kern w:val="0"/>
          <w:sz w:val="24"/>
          <w:szCs w:val="24"/>
          <w:lang w:val="en-US" w:eastAsia="zh-CN"/>
        </w:rPr>
        <w:t>项目预算金额：人民币149万元（人民币大写：壹佰肆拾玖万元整）</w:t>
      </w:r>
    </w:p>
    <w:tbl>
      <w:tblPr>
        <w:tblStyle w:val="13"/>
        <w:tblpPr w:leftFromText="180" w:rightFromText="180" w:vertAnchor="text" w:horzAnchor="page" w:tblpX="1469" w:tblpY="223"/>
        <w:tblOverlap w:val="never"/>
        <w:tblW w:w="8828" w:type="dxa"/>
        <w:tblInd w:w="0" w:type="dxa"/>
        <w:tblLayout w:type="fixed"/>
        <w:tblCellMar>
          <w:top w:w="0" w:type="dxa"/>
          <w:left w:w="0" w:type="dxa"/>
          <w:bottom w:w="0" w:type="dxa"/>
          <w:right w:w="0" w:type="dxa"/>
        </w:tblCellMar>
      </w:tblPr>
      <w:tblGrid>
        <w:gridCol w:w="703"/>
        <w:gridCol w:w="2147"/>
        <w:gridCol w:w="956"/>
        <w:gridCol w:w="1750"/>
        <w:gridCol w:w="3272"/>
      </w:tblGrid>
      <w:tr>
        <w:trPr>
          <w:trHeight w:val="904" w:hRule="exact"/>
        </w:trPr>
        <w:tc>
          <w:tcPr>
            <w:tcW w:w="703" w:type="dxa"/>
            <w:tcBorders>
              <w:top w:val="single" w:color="000000" w:sz="4" w:space="0"/>
              <w:left w:val="single" w:color="000000" w:sz="4" w:space="0"/>
              <w:bottom w:val="single" w:color="000000" w:sz="4" w:space="0"/>
              <w:right w:val="single" w:color="000000" w:sz="4" w:space="0"/>
            </w:tcBorders>
            <w:noWrap w:val="0"/>
            <w:vAlign w:val="center"/>
          </w:tcPr>
          <w:p>
            <w:pPr>
              <w:pStyle w:val="21"/>
              <w:snapToGrid w:val="0"/>
              <w:jc w:val="center"/>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包号</w:t>
            </w:r>
          </w:p>
        </w:tc>
        <w:tc>
          <w:tcPr>
            <w:tcW w:w="2147" w:type="dxa"/>
            <w:tcBorders>
              <w:top w:val="single" w:color="000000" w:sz="4" w:space="0"/>
              <w:left w:val="single" w:color="000000" w:sz="4" w:space="0"/>
              <w:bottom w:val="single" w:color="000000" w:sz="4" w:space="0"/>
              <w:right w:val="single" w:color="000000" w:sz="4" w:space="0"/>
            </w:tcBorders>
            <w:noWrap w:val="0"/>
            <w:vAlign w:val="center"/>
          </w:tcPr>
          <w:p>
            <w:pPr>
              <w:pStyle w:val="21"/>
              <w:snapToGrid w:val="0"/>
              <w:jc w:val="center"/>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标</w:t>
            </w:r>
            <w:r>
              <w:rPr>
                <w:rFonts w:hint="eastAsia" w:ascii="微软雅黑" w:hAnsi="微软雅黑" w:eastAsia="微软雅黑" w:cs="微软雅黑"/>
                <w:color w:val="auto"/>
                <w:spacing w:val="2"/>
                <w:sz w:val="24"/>
                <w:szCs w:val="24"/>
              </w:rPr>
              <w:t>的</w:t>
            </w:r>
            <w:r>
              <w:rPr>
                <w:rFonts w:hint="eastAsia" w:ascii="微软雅黑" w:hAnsi="微软雅黑" w:eastAsia="微软雅黑" w:cs="微软雅黑"/>
                <w:color w:val="auto"/>
                <w:sz w:val="24"/>
                <w:szCs w:val="24"/>
              </w:rPr>
              <w:t>名称</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pPr>
              <w:pStyle w:val="21"/>
              <w:snapToGrid w:val="0"/>
              <w:jc w:val="center"/>
              <w:rPr>
                <w:rFonts w:hint="eastAsia" w:ascii="微软雅黑" w:hAnsi="微软雅黑" w:eastAsia="微软雅黑" w:cs="微软雅黑"/>
                <w:color w:val="auto"/>
                <w:kern w:val="0"/>
                <w:sz w:val="24"/>
                <w:szCs w:val="24"/>
                <w:lang w:val="en-US" w:eastAsia="zh-CN" w:bidi="ar-SA"/>
              </w:rPr>
            </w:pPr>
            <w:r>
              <w:rPr>
                <w:rFonts w:hint="eastAsia" w:ascii="微软雅黑" w:hAnsi="微软雅黑" w:eastAsia="微软雅黑" w:cs="微软雅黑"/>
                <w:color w:val="auto"/>
                <w:sz w:val="24"/>
                <w:szCs w:val="24"/>
                <w:lang w:val="en-US" w:eastAsia="zh-CN"/>
              </w:rPr>
              <w:t>人数</w:t>
            </w:r>
          </w:p>
        </w:tc>
        <w:tc>
          <w:tcPr>
            <w:tcW w:w="1750" w:type="dxa"/>
            <w:tcBorders>
              <w:top w:val="single" w:color="000000" w:sz="4" w:space="0"/>
              <w:left w:val="single" w:color="000000" w:sz="4" w:space="0"/>
              <w:bottom w:val="single" w:color="000000" w:sz="4" w:space="0"/>
              <w:right w:val="single" w:color="000000" w:sz="4" w:space="0"/>
            </w:tcBorders>
            <w:noWrap w:val="0"/>
            <w:vAlign w:val="center"/>
          </w:tcPr>
          <w:p>
            <w:pPr>
              <w:pStyle w:val="21"/>
              <w:snapToGrid w:val="0"/>
              <w:jc w:val="center"/>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color w:val="auto"/>
                <w:sz w:val="24"/>
                <w:szCs w:val="24"/>
                <w:lang w:eastAsia="zh-CN"/>
              </w:rPr>
              <w:t>采</w:t>
            </w:r>
            <w:r>
              <w:rPr>
                <w:rFonts w:hint="eastAsia" w:ascii="微软雅黑" w:hAnsi="微软雅黑" w:eastAsia="微软雅黑" w:cs="微软雅黑"/>
                <w:color w:val="auto"/>
                <w:spacing w:val="2"/>
                <w:sz w:val="24"/>
                <w:szCs w:val="24"/>
                <w:lang w:eastAsia="zh-CN"/>
              </w:rPr>
              <w:t>购</w:t>
            </w:r>
            <w:r>
              <w:rPr>
                <w:rFonts w:hint="eastAsia" w:ascii="微软雅黑" w:hAnsi="微软雅黑" w:eastAsia="微软雅黑" w:cs="微软雅黑"/>
                <w:color w:val="auto"/>
                <w:sz w:val="24"/>
                <w:szCs w:val="24"/>
                <w:lang w:eastAsia="zh-CN"/>
              </w:rPr>
              <w:t>包</w:t>
            </w:r>
            <w:r>
              <w:rPr>
                <w:rFonts w:hint="eastAsia" w:ascii="微软雅黑" w:hAnsi="微软雅黑" w:eastAsia="微软雅黑" w:cs="微软雅黑"/>
                <w:color w:val="auto"/>
                <w:spacing w:val="2"/>
                <w:sz w:val="24"/>
                <w:szCs w:val="24"/>
                <w:lang w:eastAsia="zh-CN"/>
              </w:rPr>
              <w:t>预</w:t>
            </w:r>
            <w:r>
              <w:rPr>
                <w:rFonts w:hint="eastAsia" w:ascii="微软雅黑" w:hAnsi="微软雅黑" w:eastAsia="微软雅黑" w:cs="微软雅黑"/>
                <w:color w:val="auto"/>
                <w:sz w:val="24"/>
                <w:szCs w:val="24"/>
                <w:lang w:eastAsia="zh-CN"/>
              </w:rPr>
              <w:t>算</w:t>
            </w:r>
            <w:r>
              <w:rPr>
                <w:rFonts w:hint="eastAsia" w:ascii="微软雅黑" w:hAnsi="微软雅黑" w:eastAsia="微软雅黑" w:cs="微软雅黑"/>
                <w:color w:val="auto"/>
                <w:spacing w:val="2"/>
                <w:sz w:val="24"/>
                <w:szCs w:val="24"/>
                <w:lang w:eastAsia="zh-CN"/>
              </w:rPr>
              <w:t>金</w:t>
            </w:r>
            <w:r>
              <w:rPr>
                <w:rFonts w:hint="eastAsia" w:ascii="微软雅黑" w:hAnsi="微软雅黑" w:eastAsia="微软雅黑" w:cs="微软雅黑"/>
                <w:color w:val="auto"/>
                <w:sz w:val="24"/>
                <w:szCs w:val="24"/>
                <w:lang w:eastAsia="zh-CN"/>
              </w:rPr>
              <w:t>额</w:t>
            </w:r>
          </w:p>
          <w:p>
            <w:pPr>
              <w:pStyle w:val="21"/>
              <w:snapToGrid w:val="0"/>
              <w:jc w:val="center"/>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color w:val="auto"/>
                <w:sz w:val="24"/>
                <w:szCs w:val="24"/>
                <w:lang w:eastAsia="zh-CN"/>
              </w:rPr>
              <w:t>（</w:t>
            </w:r>
            <w:r>
              <w:rPr>
                <w:rFonts w:hint="eastAsia" w:ascii="微软雅黑" w:hAnsi="微软雅黑" w:eastAsia="微软雅黑" w:cs="微软雅黑"/>
                <w:color w:val="auto"/>
                <w:spacing w:val="2"/>
                <w:sz w:val="24"/>
                <w:szCs w:val="24"/>
                <w:lang w:eastAsia="zh-CN"/>
              </w:rPr>
              <w:t>万</w:t>
            </w:r>
            <w:r>
              <w:rPr>
                <w:rFonts w:hint="eastAsia" w:ascii="微软雅黑" w:hAnsi="微软雅黑" w:eastAsia="微软雅黑" w:cs="微软雅黑"/>
                <w:color w:val="auto"/>
                <w:sz w:val="24"/>
                <w:szCs w:val="24"/>
                <w:lang w:eastAsia="zh-CN"/>
              </w:rPr>
              <w:t>元）</w:t>
            </w: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pStyle w:val="21"/>
              <w:snapToGrid w:val="0"/>
              <w:jc w:val="center"/>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color w:val="auto"/>
                <w:sz w:val="24"/>
                <w:szCs w:val="24"/>
                <w:lang w:eastAsia="zh-CN"/>
              </w:rPr>
              <w:t>简</w:t>
            </w:r>
            <w:r>
              <w:rPr>
                <w:rFonts w:hint="eastAsia" w:ascii="微软雅黑" w:hAnsi="微软雅黑" w:eastAsia="微软雅黑" w:cs="微软雅黑"/>
                <w:color w:val="auto"/>
                <w:spacing w:val="2"/>
                <w:sz w:val="24"/>
                <w:szCs w:val="24"/>
                <w:lang w:eastAsia="zh-CN"/>
              </w:rPr>
              <w:t>要</w:t>
            </w:r>
            <w:r>
              <w:rPr>
                <w:rFonts w:hint="eastAsia" w:ascii="微软雅黑" w:hAnsi="微软雅黑" w:eastAsia="微软雅黑" w:cs="微软雅黑"/>
                <w:color w:val="auto"/>
                <w:sz w:val="24"/>
                <w:szCs w:val="24"/>
                <w:lang w:eastAsia="zh-CN"/>
              </w:rPr>
              <w:t>技</w:t>
            </w:r>
            <w:r>
              <w:rPr>
                <w:rFonts w:hint="eastAsia" w:ascii="微软雅黑" w:hAnsi="微软雅黑" w:eastAsia="微软雅黑" w:cs="微软雅黑"/>
                <w:color w:val="auto"/>
                <w:spacing w:val="2"/>
                <w:sz w:val="24"/>
                <w:szCs w:val="24"/>
                <w:lang w:eastAsia="zh-CN"/>
              </w:rPr>
              <w:t>术</w:t>
            </w:r>
            <w:r>
              <w:rPr>
                <w:rFonts w:hint="eastAsia" w:ascii="微软雅黑" w:hAnsi="微软雅黑" w:eastAsia="微软雅黑" w:cs="微软雅黑"/>
                <w:color w:val="auto"/>
                <w:sz w:val="24"/>
                <w:szCs w:val="24"/>
                <w:lang w:eastAsia="zh-CN"/>
              </w:rPr>
              <w:t>需</w:t>
            </w:r>
            <w:r>
              <w:rPr>
                <w:rFonts w:hint="eastAsia" w:ascii="微软雅黑" w:hAnsi="微软雅黑" w:eastAsia="微软雅黑" w:cs="微软雅黑"/>
                <w:color w:val="auto"/>
                <w:spacing w:val="2"/>
                <w:sz w:val="24"/>
                <w:szCs w:val="24"/>
                <w:lang w:eastAsia="zh-CN"/>
              </w:rPr>
              <w:t>求</w:t>
            </w:r>
            <w:r>
              <w:rPr>
                <w:rFonts w:hint="eastAsia" w:ascii="微软雅黑" w:hAnsi="微软雅黑" w:eastAsia="微软雅黑" w:cs="微软雅黑"/>
                <w:color w:val="auto"/>
                <w:sz w:val="24"/>
                <w:szCs w:val="24"/>
                <w:lang w:eastAsia="zh-CN"/>
              </w:rPr>
              <w:t>或</w:t>
            </w:r>
            <w:r>
              <w:rPr>
                <w:rFonts w:hint="eastAsia" w:ascii="微软雅黑" w:hAnsi="微软雅黑" w:eastAsia="微软雅黑" w:cs="微软雅黑"/>
                <w:color w:val="auto"/>
                <w:spacing w:val="2"/>
                <w:sz w:val="24"/>
                <w:szCs w:val="24"/>
                <w:lang w:eastAsia="zh-CN"/>
              </w:rPr>
              <w:t>服</w:t>
            </w:r>
            <w:r>
              <w:rPr>
                <w:rFonts w:hint="eastAsia" w:ascii="微软雅黑" w:hAnsi="微软雅黑" w:eastAsia="微软雅黑" w:cs="微软雅黑"/>
                <w:color w:val="auto"/>
                <w:sz w:val="24"/>
                <w:szCs w:val="24"/>
                <w:lang w:eastAsia="zh-CN"/>
              </w:rPr>
              <w:t>务</w:t>
            </w:r>
            <w:r>
              <w:rPr>
                <w:rFonts w:hint="eastAsia" w:ascii="微软雅黑" w:hAnsi="微软雅黑" w:eastAsia="微软雅黑" w:cs="微软雅黑"/>
                <w:color w:val="auto"/>
                <w:spacing w:val="2"/>
                <w:sz w:val="24"/>
                <w:szCs w:val="24"/>
                <w:lang w:eastAsia="zh-CN"/>
              </w:rPr>
              <w:t>要</w:t>
            </w:r>
            <w:r>
              <w:rPr>
                <w:rFonts w:hint="eastAsia" w:ascii="微软雅黑" w:hAnsi="微软雅黑" w:eastAsia="微软雅黑" w:cs="微软雅黑"/>
                <w:color w:val="auto"/>
                <w:sz w:val="24"/>
                <w:szCs w:val="24"/>
                <w:lang w:eastAsia="zh-CN"/>
              </w:rPr>
              <w:t>求</w:t>
            </w:r>
          </w:p>
        </w:tc>
      </w:tr>
      <w:tr>
        <w:tblPrEx>
          <w:tblCellMar>
            <w:top w:w="0" w:type="dxa"/>
            <w:left w:w="0" w:type="dxa"/>
            <w:bottom w:w="0" w:type="dxa"/>
            <w:right w:w="0" w:type="dxa"/>
          </w:tblCellMar>
        </w:tblPrEx>
        <w:trPr>
          <w:trHeight w:val="2800" w:hRule="exact"/>
        </w:trPr>
        <w:tc>
          <w:tcPr>
            <w:tcW w:w="703" w:type="dxa"/>
            <w:tcBorders>
              <w:top w:val="single" w:color="000000" w:sz="4" w:space="0"/>
              <w:left w:val="single" w:color="000000" w:sz="4" w:space="0"/>
              <w:right w:val="single" w:color="000000" w:sz="4" w:space="0"/>
            </w:tcBorders>
            <w:noWrap w:val="0"/>
            <w:vAlign w:val="center"/>
          </w:tcPr>
          <w:p>
            <w:pPr>
              <w:autoSpaceDE w:val="0"/>
              <w:autoSpaceDN w:val="0"/>
              <w:snapToGrid w:val="0"/>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01</w:t>
            </w:r>
          </w:p>
        </w:tc>
        <w:tc>
          <w:tcPr>
            <w:tcW w:w="2147" w:type="dxa"/>
            <w:tcBorders>
              <w:top w:val="single" w:color="000000" w:sz="4" w:space="0"/>
              <w:left w:val="single" w:color="000000" w:sz="4" w:space="0"/>
              <w:right w:val="single" w:color="000000" w:sz="4" w:space="0"/>
            </w:tcBorders>
            <w:noWrap w:val="0"/>
            <w:vAlign w:val="center"/>
          </w:tcPr>
          <w:p>
            <w:pPr>
              <w:autoSpaceDE w:val="0"/>
              <w:autoSpaceDN w:val="0"/>
              <w:snapToGrid w:val="0"/>
              <w:jc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北京市延庆区精神病医院2026年劳务派遣服务采购项目</w:t>
            </w:r>
          </w:p>
        </w:tc>
        <w:tc>
          <w:tcPr>
            <w:tcW w:w="956" w:type="dxa"/>
            <w:tcBorders>
              <w:top w:val="single" w:color="000000" w:sz="4" w:space="0"/>
              <w:left w:val="single" w:color="000000" w:sz="4" w:space="0"/>
              <w:right w:val="single" w:color="000000" w:sz="4" w:space="0"/>
            </w:tcBorders>
            <w:noWrap w:val="0"/>
            <w:vAlign w:val="center"/>
          </w:tcPr>
          <w:p>
            <w:pPr>
              <w:autoSpaceDE w:val="0"/>
              <w:autoSpaceDN w:val="0"/>
              <w:snapToGrid w:val="0"/>
              <w:jc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18人</w:t>
            </w:r>
          </w:p>
        </w:tc>
        <w:tc>
          <w:tcPr>
            <w:tcW w:w="1750" w:type="dxa"/>
            <w:tcBorders>
              <w:top w:val="single" w:color="000000" w:sz="4" w:space="0"/>
              <w:left w:val="single" w:color="000000" w:sz="4" w:space="0"/>
              <w:right w:val="single" w:color="000000" w:sz="4" w:space="0"/>
            </w:tcBorders>
            <w:noWrap w:val="0"/>
            <w:vAlign w:val="center"/>
          </w:tcPr>
          <w:p>
            <w:pPr>
              <w:autoSpaceDE w:val="0"/>
              <w:autoSpaceDN w:val="0"/>
              <w:snapToGrid w:val="0"/>
              <w:jc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149</w:t>
            </w:r>
          </w:p>
        </w:tc>
        <w:tc>
          <w:tcPr>
            <w:tcW w:w="3272" w:type="dxa"/>
            <w:tcBorders>
              <w:top w:val="single" w:color="000000" w:sz="4" w:space="0"/>
              <w:left w:val="single" w:color="000000" w:sz="4" w:space="0"/>
              <w:bottom w:val="single" w:color="auto" w:sz="4" w:space="0"/>
              <w:right w:val="single" w:color="000000" w:sz="4" w:space="0"/>
            </w:tcBorders>
            <w:noWrap w:val="0"/>
            <w:vAlign w:val="center"/>
          </w:tcPr>
          <w:p>
            <w:pPr>
              <w:autoSpaceDE w:val="0"/>
              <w:autoSpaceDN w:val="0"/>
              <w:snapToGrid w:val="0"/>
              <w:jc w:val="center"/>
              <w:rPr>
                <w:rFonts w:hint="default" w:ascii="微软雅黑" w:hAnsi="微软雅黑" w:eastAsia="微软雅黑" w:cs="微软雅黑"/>
                <w:color w:val="auto"/>
                <w:spacing w:val="2"/>
                <w:kern w:val="0"/>
                <w:sz w:val="24"/>
                <w:szCs w:val="24"/>
                <w:highlight w:val="none"/>
                <w:u w:val="none"/>
                <w:lang w:val="en-US" w:eastAsia="zh-CN"/>
              </w:rPr>
            </w:pPr>
            <w:bookmarkStart w:id="0" w:name="OLE_LINK2"/>
            <w:r>
              <w:rPr>
                <w:rFonts w:hint="eastAsia" w:ascii="宋体" w:hAnsi="宋体" w:eastAsia="宋体" w:cs="宋体"/>
                <w:i w:val="0"/>
                <w:iCs w:val="0"/>
                <w:color w:val="auto"/>
                <w:kern w:val="0"/>
                <w:sz w:val="24"/>
                <w:szCs w:val="24"/>
                <w:highlight w:val="none"/>
                <w:u w:val="none"/>
                <w:lang w:val="en-US" w:eastAsia="zh-CN" w:bidi="ar"/>
              </w:rPr>
              <w:t>信息统计1</w:t>
            </w:r>
            <w:r>
              <w:rPr>
                <w:rFonts w:hint="eastAsia" w:ascii="微软雅黑" w:hAnsi="微软雅黑" w:eastAsia="微软雅黑" w:cs="微软雅黑"/>
                <w:color w:val="auto"/>
                <w:spacing w:val="2"/>
                <w:kern w:val="0"/>
                <w:sz w:val="24"/>
                <w:szCs w:val="24"/>
                <w:highlight w:val="none"/>
                <w:u w:val="none"/>
              </w:rPr>
              <w:t>人；</w:t>
            </w:r>
            <w:r>
              <w:rPr>
                <w:rFonts w:hint="eastAsia" w:ascii="微软雅黑" w:hAnsi="微软雅黑" w:eastAsia="微软雅黑" w:cs="微软雅黑"/>
                <w:color w:val="auto"/>
                <w:spacing w:val="2"/>
                <w:kern w:val="0"/>
                <w:sz w:val="24"/>
                <w:szCs w:val="24"/>
                <w:highlight w:val="none"/>
                <w:u w:val="none"/>
                <w:lang w:val="en-US" w:eastAsia="zh-CN"/>
              </w:rPr>
              <w:t>财务</w:t>
            </w:r>
            <w:r>
              <w:rPr>
                <w:rFonts w:hint="eastAsia" w:ascii="宋体" w:hAnsi="宋体" w:eastAsia="宋体" w:cs="宋体"/>
                <w:i w:val="0"/>
                <w:iCs w:val="0"/>
                <w:color w:val="auto"/>
                <w:kern w:val="0"/>
                <w:sz w:val="24"/>
                <w:szCs w:val="24"/>
                <w:highlight w:val="none"/>
                <w:u w:val="none"/>
                <w:lang w:val="en-US" w:eastAsia="zh-CN" w:bidi="ar"/>
              </w:rPr>
              <w:t>会计2</w:t>
            </w:r>
            <w:r>
              <w:rPr>
                <w:rFonts w:hint="eastAsia" w:ascii="微软雅黑" w:hAnsi="微软雅黑" w:eastAsia="微软雅黑" w:cs="微软雅黑"/>
                <w:color w:val="auto"/>
                <w:spacing w:val="2"/>
                <w:kern w:val="0"/>
                <w:sz w:val="24"/>
                <w:szCs w:val="24"/>
                <w:highlight w:val="none"/>
                <w:u w:val="none"/>
              </w:rPr>
              <w:t>人</w:t>
            </w:r>
            <w:r>
              <w:rPr>
                <w:rFonts w:hint="eastAsia" w:ascii="微软雅黑" w:hAnsi="微软雅黑" w:eastAsia="微软雅黑" w:cs="微软雅黑"/>
                <w:color w:val="auto"/>
                <w:spacing w:val="2"/>
                <w:kern w:val="0"/>
                <w:sz w:val="24"/>
                <w:szCs w:val="24"/>
                <w:highlight w:val="none"/>
                <w:u w:val="none"/>
                <w:lang w:eastAsia="zh-CN"/>
              </w:rPr>
              <w:t>；</w:t>
            </w:r>
            <w:r>
              <w:rPr>
                <w:rFonts w:hint="eastAsia" w:ascii="宋体" w:hAnsi="宋体" w:eastAsia="宋体" w:cs="宋体"/>
                <w:i w:val="0"/>
                <w:iCs w:val="0"/>
                <w:color w:val="auto"/>
                <w:kern w:val="0"/>
                <w:sz w:val="24"/>
                <w:szCs w:val="24"/>
                <w:highlight w:val="none"/>
                <w:u w:val="none"/>
                <w:lang w:val="en-US" w:eastAsia="zh-CN" w:bidi="ar"/>
              </w:rPr>
              <w:t>医疗辅助1</w:t>
            </w:r>
            <w:r>
              <w:rPr>
                <w:rFonts w:hint="eastAsia" w:ascii="微软雅黑" w:hAnsi="微软雅黑" w:eastAsia="微软雅黑" w:cs="微软雅黑"/>
                <w:color w:val="auto"/>
                <w:spacing w:val="2"/>
                <w:kern w:val="0"/>
                <w:sz w:val="24"/>
                <w:szCs w:val="24"/>
                <w:highlight w:val="none"/>
                <w:u w:val="none"/>
                <w:lang w:val="en-US" w:eastAsia="zh-CN"/>
              </w:rPr>
              <w:t>人；职能科室</w:t>
            </w:r>
            <w:r>
              <w:rPr>
                <w:rFonts w:hint="eastAsia" w:ascii="宋体" w:hAnsi="宋体" w:eastAsia="宋体" w:cs="宋体"/>
                <w:i w:val="0"/>
                <w:iCs w:val="0"/>
                <w:color w:val="auto"/>
                <w:kern w:val="0"/>
                <w:sz w:val="24"/>
                <w:szCs w:val="24"/>
                <w:highlight w:val="none"/>
                <w:u w:val="none"/>
                <w:lang w:val="en-US" w:eastAsia="zh-CN" w:bidi="ar"/>
              </w:rPr>
              <w:t>文员2人；药剂2人；保洁服务4人；消防中控员6</w:t>
            </w:r>
            <w:r>
              <w:rPr>
                <w:rFonts w:hint="eastAsia" w:ascii="微软雅黑" w:hAnsi="微软雅黑" w:eastAsia="微软雅黑" w:cs="微软雅黑"/>
                <w:color w:val="auto"/>
                <w:spacing w:val="2"/>
                <w:kern w:val="0"/>
                <w:sz w:val="24"/>
                <w:szCs w:val="24"/>
                <w:highlight w:val="none"/>
                <w:u w:val="none"/>
                <w:lang w:val="en-US" w:eastAsia="zh-CN"/>
              </w:rPr>
              <w:t>人。</w:t>
            </w:r>
            <w:bookmarkEnd w:id="0"/>
          </w:p>
        </w:tc>
      </w:tr>
      <w:tr>
        <w:tblPrEx>
          <w:tblCellMar>
            <w:top w:w="0" w:type="dxa"/>
            <w:left w:w="0" w:type="dxa"/>
            <w:bottom w:w="0" w:type="dxa"/>
            <w:right w:w="0" w:type="dxa"/>
          </w:tblCellMar>
        </w:tblPrEx>
        <w:trPr>
          <w:trHeight w:val="698" w:hRule="exact"/>
        </w:trPr>
        <w:tc>
          <w:tcPr>
            <w:tcW w:w="3806"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snapToGrid w:val="0"/>
              <w:jc w:val="center"/>
              <w:rPr>
                <w:rFonts w:hint="eastAsia" w:ascii="微软雅黑" w:hAnsi="微软雅黑" w:eastAsia="微软雅黑" w:cs="微软雅黑"/>
                <w:color w:val="auto"/>
                <w:sz w:val="24"/>
                <w:szCs w:val="24"/>
                <w:u w:val="none"/>
                <w:lang w:val="en-US" w:eastAsia="zh-CN"/>
              </w:rPr>
            </w:pPr>
            <w:r>
              <w:rPr>
                <w:rFonts w:hint="eastAsia" w:ascii="微软雅黑" w:hAnsi="微软雅黑" w:eastAsia="微软雅黑" w:cs="微软雅黑"/>
                <w:color w:val="auto"/>
                <w:sz w:val="24"/>
                <w:szCs w:val="24"/>
                <w:u w:val="none"/>
                <w:lang w:val="en-US" w:eastAsia="zh-CN"/>
              </w:rPr>
              <w:t>合计</w:t>
            </w:r>
            <w:r>
              <w:rPr>
                <w:rFonts w:hint="eastAsia" w:ascii="微软雅黑" w:hAnsi="微软雅黑" w:eastAsia="微软雅黑" w:cs="微软雅黑"/>
                <w:color w:val="auto"/>
                <w:sz w:val="24"/>
                <w:szCs w:val="24"/>
                <w:u w:val="none"/>
                <w:lang w:eastAsia="zh-CN"/>
              </w:rPr>
              <w:t>（</w:t>
            </w:r>
            <w:r>
              <w:rPr>
                <w:rFonts w:hint="eastAsia" w:ascii="微软雅黑" w:hAnsi="微软雅黑" w:eastAsia="微软雅黑" w:cs="微软雅黑"/>
                <w:color w:val="auto"/>
                <w:spacing w:val="0"/>
                <w:sz w:val="24"/>
                <w:szCs w:val="24"/>
                <w:u w:val="none"/>
                <w:lang w:eastAsia="zh-CN"/>
              </w:rPr>
              <w:t>万</w:t>
            </w:r>
            <w:r>
              <w:rPr>
                <w:rFonts w:hint="eastAsia" w:ascii="微软雅黑" w:hAnsi="微软雅黑" w:eastAsia="微软雅黑" w:cs="微软雅黑"/>
                <w:color w:val="auto"/>
                <w:sz w:val="24"/>
                <w:szCs w:val="24"/>
                <w:u w:val="none"/>
                <w:lang w:eastAsia="zh-CN"/>
              </w:rPr>
              <w:t>元）</w:t>
            </w:r>
          </w:p>
        </w:tc>
        <w:tc>
          <w:tcPr>
            <w:tcW w:w="1750" w:type="dxa"/>
            <w:tcBorders>
              <w:top w:val="single" w:color="auto" w:sz="4" w:space="0"/>
              <w:left w:val="single" w:color="000000" w:sz="4" w:space="0"/>
              <w:bottom w:val="single" w:color="000000" w:sz="4" w:space="0"/>
              <w:right w:val="single" w:color="000000" w:sz="4" w:space="0"/>
            </w:tcBorders>
            <w:noWrap w:val="0"/>
            <w:vAlign w:val="center"/>
          </w:tcPr>
          <w:p>
            <w:pPr>
              <w:autoSpaceDE w:val="0"/>
              <w:autoSpaceDN w:val="0"/>
              <w:snapToGrid w:val="0"/>
              <w:jc w:val="center"/>
              <w:rPr>
                <w:rFonts w:hint="default" w:ascii="微软雅黑" w:hAnsi="微软雅黑" w:eastAsia="微软雅黑" w:cs="微软雅黑"/>
                <w:color w:val="auto"/>
                <w:sz w:val="24"/>
                <w:szCs w:val="24"/>
                <w:u w:val="none"/>
                <w:lang w:val="en-US" w:eastAsia="zh-CN"/>
              </w:rPr>
            </w:pPr>
            <w:r>
              <w:rPr>
                <w:rFonts w:hint="eastAsia" w:ascii="微软雅黑" w:hAnsi="微软雅黑" w:eastAsia="微软雅黑" w:cs="微软雅黑"/>
                <w:color w:val="auto"/>
                <w:sz w:val="24"/>
                <w:szCs w:val="24"/>
                <w:u w:val="none"/>
                <w:lang w:val="en-US" w:eastAsia="zh-CN"/>
              </w:rPr>
              <w:t>149</w:t>
            </w:r>
          </w:p>
        </w:tc>
        <w:tc>
          <w:tcPr>
            <w:tcW w:w="3272" w:type="dxa"/>
            <w:tcBorders>
              <w:top w:val="single" w:color="auto" w:sz="4" w:space="0"/>
              <w:left w:val="single" w:color="000000" w:sz="4" w:space="0"/>
              <w:bottom w:val="single" w:color="000000" w:sz="4" w:space="0"/>
              <w:right w:val="single" w:color="000000" w:sz="4" w:space="0"/>
            </w:tcBorders>
            <w:noWrap w:val="0"/>
            <w:vAlign w:val="center"/>
          </w:tcPr>
          <w:p>
            <w:pPr>
              <w:autoSpaceDE w:val="0"/>
              <w:autoSpaceDN w:val="0"/>
              <w:snapToGrid w:val="0"/>
              <w:jc w:val="center"/>
              <w:rPr>
                <w:rFonts w:hint="eastAsia" w:ascii="微软雅黑" w:hAnsi="微软雅黑" w:eastAsia="微软雅黑" w:cs="微软雅黑"/>
                <w:color w:val="auto"/>
                <w:sz w:val="24"/>
                <w:szCs w:val="24"/>
                <w:lang w:val="en-US" w:eastAsia="zh-CN"/>
              </w:rPr>
            </w:pPr>
            <w:r>
              <w:rPr>
                <w:rFonts w:hint="eastAsia" w:ascii="微软雅黑" w:hAnsi="微软雅黑" w:eastAsia="微软雅黑" w:cs="微软雅黑"/>
                <w:color w:val="auto"/>
                <w:sz w:val="24"/>
                <w:szCs w:val="24"/>
                <w:lang w:val="en-US" w:eastAsia="zh-CN"/>
              </w:rPr>
              <w:t>/</w:t>
            </w:r>
          </w:p>
        </w:tc>
      </w:tr>
    </w:tbl>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cs="微软雅黑"/>
          <w:color w:val="auto"/>
          <w:kern w:val="0"/>
          <w:sz w:val="24"/>
          <w:szCs w:val="24"/>
          <w:lang w:val="en-US" w:eastAsia="zh-CN"/>
        </w:rPr>
      </w:pPr>
    </w:p>
    <w:p>
      <w:pPr>
        <w:pStyle w:val="7"/>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183" w:leftChars="-95" w:right="-512" w:rightChars="-244" w:hanging="16" w:hangingChars="7"/>
        <w:textAlignment w:val="baseline"/>
        <w:rPr>
          <w:rFonts w:hint="default" w:ascii="Arial" w:hAnsi="Arial" w:cs="Arial"/>
          <w:color w:val="auto"/>
          <w:spacing w:val="10"/>
          <w:sz w:val="24"/>
          <w:szCs w:val="24"/>
        </w:rPr>
      </w:pPr>
      <w:r>
        <w:rPr>
          <w:color w:val="auto"/>
          <w:spacing w:val="1"/>
          <w:sz w:val="24"/>
          <w:szCs w:val="24"/>
        </w:rPr>
        <w:t>项目背景</w:t>
      </w:r>
      <w:r>
        <w:rPr>
          <w:rFonts w:ascii="Arial" w:hAnsi="Arial" w:eastAsia="Arial" w:cs="Arial"/>
          <w:color w:val="auto"/>
          <w:spacing w:val="1"/>
          <w:sz w:val="24"/>
          <w:szCs w:val="24"/>
        </w:rPr>
        <w:t>/</w:t>
      </w:r>
      <w:r>
        <w:rPr>
          <w:color w:val="auto"/>
          <w:spacing w:val="1"/>
          <w:sz w:val="24"/>
          <w:szCs w:val="24"/>
        </w:rPr>
        <w:t>项目概述（如有）</w:t>
      </w:r>
    </w:p>
    <w:p>
      <w:pPr>
        <w:pStyle w:val="7"/>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102" w:right="-512" w:rightChars="-244" w:firstLine="520" w:firstLineChars="200"/>
        <w:textAlignment w:val="baseline"/>
        <w:rPr>
          <w:rFonts w:hint="default" w:ascii="Arial" w:hAnsi="Arial" w:cs="Arial"/>
          <w:color w:val="auto"/>
          <w:spacing w:val="10"/>
          <w:sz w:val="24"/>
          <w:szCs w:val="24"/>
          <w:highlight w:val="none"/>
        </w:rPr>
      </w:pPr>
      <w:r>
        <w:rPr>
          <w:rFonts w:hint="default" w:ascii="Arial" w:hAnsi="Arial" w:cs="Arial"/>
          <w:color w:val="auto"/>
          <w:spacing w:val="10"/>
          <w:sz w:val="24"/>
          <w:szCs w:val="24"/>
        </w:rPr>
        <w:t>采购劳务</w:t>
      </w:r>
      <w:r>
        <w:rPr>
          <w:rFonts w:hint="default" w:ascii="Arial" w:hAnsi="Arial" w:cs="Arial"/>
          <w:color w:val="auto"/>
          <w:spacing w:val="10"/>
          <w:sz w:val="24"/>
          <w:szCs w:val="24"/>
          <w:highlight w:val="none"/>
        </w:rPr>
        <w:t>派遣</w:t>
      </w:r>
      <w:r>
        <w:rPr>
          <w:rFonts w:hint="eastAsia" w:ascii="Arial" w:hAnsi="Arial" w:cs="Arial"/>
          <w:color w:val="auto"/>
          <w:spacing w:val="10"/>
          <w:sz w:val="24"/>
          <w:szCs w:val="24"/>
          <w:highlight w:val="none"/>
          <w:lang w:val="en-US" w:eastAsia="zh-CN"/>
        </w:rPr>
        <w:t>单位</w:t>
      </w:r>
      <w:r>
        <w:rPr>
          <w:rFonts w:hint="default" w:ascii="Arial" w:hAnsi="Arial" w:cs="Arial"/>
          <w:color w:val="auto"/>
          <w:spacing w:val="10"/>
          <w:sz w:val="24"/>
          <w:szCs w:val="24"/>
          <w:highlight w:val="none"/>
        </w:rPr>
        <w:t>，派遣人员主要配置于</w:t>
      </w:r>
      <w:r>
        <w:rPr>
          <w:rFonts w:hint="eastAsia" w:ascii="Arial" w:hAnsi="Arial" w:cs="Arial"/>
          <w:color w:val="auto"/>
          <w:spacing w:val="10"/>
          <w:sz w:val="24"/>
          <w:szCs w:val="24"/>
          <w:highlight w:val="none"/>
          <w:lang w:val="en-US" w:eastAsia="zh-CN"/>
        </w:rPr>
        <w:t>医疗护理、医疗辅助、</w:t>
      </w:r>
      <w:r>
        <w:rPr>
          <w:rFonts w:hint="eastAsia" w:ascii="微软雅黑" w:hAnsi="微软雅黑" w:eastAsia="微软雅黑" w:cs="微软雅黑"/>
          <w:snapToGrid w:val="0"/>
          <w:color w:val="auto"/>
          <w:kern w:val="0"/>
          <w:sz w:val="24"/>
          <w:szCs w:val="24"/>
          <w:highlight w:val="none"/>
          <w:lang w:val="en-US" w:eastAsia="zh-CN" w:bidi="ar-SA"/>
        </w:rPr>
        <w:t>医院陪护</w:t>
      </w:r>
      <w:r>
        <w:rPr>
          <w:rFonts w:hint="eastAsia" w:cs="微软雅黑"/>
          <w:snapToGrid w:val="0"/>
          <w:color w:val="auto"/>
          <w:kern w:val="0"/>
          <w:sz w:val="24"/>
          <w:szCs w:val="24"/>
          <w:highlight w:val="none"/>
          <w:lang w:val="en-US" w:eastAsia="zh-CN" w:bidi="ar-SA"/>
        </w:rPr>
        <w:t>、</w:t>
      </w:r>
      <w:r>
        <w:rPr>
          <w:rFonts w:hint="eastAsia" w:ascii="微软雅黑" w:hAnsi="微软雅黑" w:eastAsia="微软雅黑" w:cs="微软雅黑"/>
          <w:snapToGrid w:val="0"/>
          <w:color w:val="auto"/>
          <w:kern w:val="0"/>
          <w:sz w:val="24"/>
          <w:szCs w:val="24"/>
          <w:highlight w:val="none"/>
          <w:lang w:val="en-US" w:eastAsia="zh-CN" w:bidi="ar-SA"/>
        </w:rPr>
        <w:t>预检分诊</w:t>
      </w:r>
      <w:r>
        <w:rPr>
          <w:rFonts w:hint="default" w:ascii="Arial" w:hAnsi="Arial" w:cs="Arial"/>
          <w:color w:val="auto"/>
          <w:spacing w:val="10"/>
          <w:sz w:val="24"/>
          <w:szCs w:val="24"/>
          <w:highlight w:val="none"/>
        </w:rPr>
        <w:t>等岗位，以支撑单位日常运营及业务开展。</w:t>
      </w:r>
    </w:p>
    <w:p>
      <w:pPr>
        <w:pStyle w:val="7"/>
        <w:keepNext w:val="0"/>
        <w:keepLines w:val="0"/>
        <w:pageBreakBefore w:val="0"/>
        <w:numPr>
          <w:ilvl w:val="0"/>
          <w:numId w:val="2"/>
        </w:numPr>
        <w:wordWrap/>
        <w:overflowPunct/>
        <w:topLinePunct w:val="0"/>
        <w:bidi w:val="0"/>
        <w:spacing w:line="360" w:lineRule="auto"/>
        <w:ind w:left="20"/>
        <w:rPr>
          <w:b/>
          <w:bCs/>
          <w:color w:val="auto"/>
          <w:spacing w:val="2"/>
          <w:sz w:val="24"/>
          <w:szCs w:val="24"/>
        </w:rPr>
      </w:pPr>
      <w:r>
        <w:rPr>
          <w:b/>
          <w:bCs/>
          <w:color w:val="auto"/>
          <w:spacing w:val="2"/>
          <w:sz w:val="24"/>
          <w:szCs w:val="24"/>
        </w:rPr>
        <w:t>商务要求</w:t>
      </w:r>
    </w:p>
    <w:p>
      <w:pPr>
        <w:pStyle w:val="7"/>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1.</w:t>
      </w:r>
      <w:r>
        <w:rPr>
          <w:rFonts w:hint="eastAsia" w:ascii="微软雅黑" w:hAnsi="微软雅黑" w:eastAsia="微软雅黑" w:cs="微软雅黑"/>
          <w:color w:val="auto"/>
          <w:spacing w:val="59"/>
          <w:sz w:val="24"/>
          <w:szCs w:val="24"/>
        </w:rPr>
        <w:t xml:space="preserve"> </w:t>
      </w:r>
      <w:r>
        <w:rPr>
          <w:rFonts w:hint="eastAsia" w:ascii="微软雅黑" w:hAnsi="微软雅黑" w:eastAsia="微软雅黑" w:cs="微软雅黑"/>
          <w:color w:val="auto"/>
          <w:sz w:val="24"/>
          <w:szCs w:val="24"/>
        </w:rPr>
        <w:t>交付（实施）的时间（期限）和地点（范围）</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微软雅黑" w:hAnsi="微软雅黑" w:eastAsia="微软雅黑" w:cs="微软雅黑"/>
          <w:snapToGrid w:val="0"/>
          <w:color w:val="auto"/>
          <w:kern w:val="0"/>
          <w:sz w:val="24"/>
          <w:szCs w:val="24"/>
          <w:highlight w:val="none"/>
          <w:lang w:val="en-US" w:eastAsia="zh-CN" w:bidi="ar-SA"/>
        </w:rPr>
      </w:pPr>
      <w:r>
        <w:rPr>
          <w:rFonts w:hint="eastAsia" w:ascii="微软雅黑" w:hAnsi="微软雅黑" w:eastAsia="微软雅黑" w:cs="微软雅黑"/>
          <w:snapToGrid w:val="0"/>
          <w:color w:val="auto"/>
          <w:kern w:val="0"/>
          <w:sz w:val="24"/>
          <w:szCs w:val="24"/>
          <w:lang w:val="en-US" w:eastAsia="zh-CN" w:bidi="ar-SA"/>
        </w:rPr>
        <w:t>地点：</w:t>
      </w:r>
      <w:r>
        <w:rPr>
          <w:rFonts w:hint="eastAsia" w:ascii="微软雅黑" w:hAnsi="微软雅黑" w:eastAsia="微软雅黑" w:cs="微软雅黑"/>
          <w:snapToGrid w:val="0"/>
          <w:color w:val="auto"/>
          <w:kern w:val="0"/>
          <w:sz w:val="24"/>
          <w:szCs w:val="24"/>
          <w:highlight w:val="none"/>
          <w:lang w:val="en-US" w:eastAsia="zh-CN" w:bidi="ar-SA"/>
        </w:rPr>
        <w:t>北京市延庆区</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微软雅黑" w:hAnsi="微软雅黑" w:eastAsia="微软雅黑" w:cs="微软雅黑"/>
          <w:snapToGrid w:val="0"/>
          <w:color w:val="auto"/>
          <w:kern w:val="0"/>
          <w:sz w:val="24"/>
          <w:szCs w:val="24"/>
          <w:highlight w:val="none"/>
          <w:lang w:val="en-US" w:eastAsia="zh-CN" w:bidi="ar-SA"/>
        </w:rPr>
      </w:pPr>
      <w:r>
        <w:rPr>
          <w:rFonts w:hint="eastAsia" w:ascii="微软雅黑" w:hAnsi="微软雅黑" w:eastAsia="微软雅黑" w:cs="微软雅黑"/>
          <w:color w:val="auto"/>
          <w:kern w:val="0"/>
          <w:sz w:val="24"/>
          <w:szCs w:val="24"/>
          <w:highlight w:val="none"/>
          <w:lang w:val="en-US" w:eastAsia="zh-CN"/>
        </w:rPr>
        <w:t>合同履行期限：自</w:t>
      </w:r>
      <w:r>
        <w:rPr>
          <w:rFonts w:hint="eastAsia" w:ascii="微软雅黑" w:hAnsi="微软雅黑" w:eastAsia="微软雅黑" w:cs="微软雅黑"/>
          <w:color w:val="auto"/>
          <w:sz w:val="24"/>
          <w:szCs w:val="24"/>
          <w:highlight w:val="none"/>
          <w:lang w:val="en-US" w:eastAsia="zh-CN"/>
        </w:rPr>
        <w:t>合同签订之日起一年</w:t>
      </w:r>
    </w:p>
    <w:p>
      <w:pPr>
        <w:pStyle w:val="7"/>
        <w:keepNext w:val="0"/>
        <w:keepLines w:val="0"/>
        <w:pageBreakBefore w:val="0"/>
        <w:wordWrap/>
        <w:overflowPunct/>
        <w:topLinePunct w:val="0"/>
        <w:bidi w:val="0"/>
        <w:spacing w:line="360" w:lineRule="auto"/>
        <w:ind w:left="18"/>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w:t>
      </w:r>
      <w:r>
        <w:rPr>
          <w:rFonts w:hint="eastAsia" w:ascii="微软雅黑" w:hAnsi="微软雅黑" w:eastAsia="微软雅黑" w:cs="微软雅黑"/>
          <w:color w:val="auto"/>
          <w:spacing w:val="67"/>
          <w:w w:val="101"/>
          <w:sz w:val="24"/>
          <w:szCs w:val="24"/>
          <w:highlight w:val="none"/>
        </w:rPr>
        <w:t xml:space="preserve"> </w:t>
      </w:r>
      <w:r>
        <w:rPr>
          <w:rFonts w:hint="eastAsia" w:ascii="微软雅黑" w:hAnsi="微软雅黑" w:eastAsia="微软雅黑" w:cs="微软雅黑"/>
          <w:color w:val="auto"/>
          <w:sz w:val="24"/>
          <w:szCs w:val="24"/>
          <w:highlight w:val="none"/>
        </w:rPr>
        <w:t>付款条件（进度和方式）</w:t>
      </w:r>
    </w:p>
    <w:p>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微软雅黑" w:hAnsi="微软雅黑" w:eastAsia="微软雅黑" w:cs="微软雅黑"/>
          <w:color w:val="auto"/>
          <w:sz w:val="24"/>
          <w:szCs w:val="24"/>
          <w:highlight w:val="none"/>
          <w:lang w:val="en-US" w:eastAsia="zh-CN"/>
        </w:rPr>
      </w:pPr>
      <w:r>
        <w:rPr>
          <w:rFonts w:hint="eastAsia" w:ascii="宋体" w:hAnsi="宋体" w:cs="宋体"/>
          <w:color w:val="auto"/>
          <w:sz w:val="24"/>
          <w:szCs w:val="24"/>
          <w:highlight w:val="none"/>
          <w:lang w:val="en-US" w:eastAsia="zh-CN"/>
        </w:rPr>
        <w:t>支付方式：按月</w:t>
      </w:r>
      <w:r>
        <w:rPr>
          <w:rFonts w:hint="eastAsia" w:ascii="宋体" w:hAnsi="宋体" w:cs="宋体"/>
          <w:color w:val="auto"/>
          <w:spacing w:val="9"/>
          <w:sz w:val="24"/>
          <w:highlight w:val="none"/>
          <w:u w:val="none"/>
        </w:rPr>
        <w:t>支付</w:t>
      </w:r>
      <w:r>
        <w:rPr>
          <w:rFonts w:hint="eastAsia" w:ascii="宋体" w:hAnsi="宋体" w:cs="宋体"/>
          <w:color w:val="auto"/>
          <w:spacing w:val="9"/>
          <w:sz w:val="24"/>
          <w:highlight w:val="none"/>
          <w:u w:val="none"/>
          <w:lang w:eastAsia="zh-CN"/>
        </w:rPr>
        <w:t>，</w:t>
      </w:r>
      <w:r>
        <w:rPr>
          <w:rFonts w:hint="eastAsia" w:ascii="宋体" w:hAnsi="宋体" w:cs="宋体"/>
          <w:color w:val="auto"/>
          <w:spacing w:val="9"/>
          <w:sz w:val="24"/>
          <w:highlight w:val="none"/>
          <w:u w:val="none"/>
          <w:lang w:val="en-US" w:eastAsia="zh-CN"/>
        </w:rPr>
        <w:t>每下一个月的第一周支付上一个月的派遣服务费。</w:t>
      </w:r>
    </w:p>
    <w:p>
      <w:pPr>
        <w:pStyle w:val="7"/>
        <w:keepNext w:val="0"/>
        <w:keepLines w:val="0"/>
        <w:pageBreakBefore w:val="0"/>
        <w:numPr>
          <w:ilvl w:val="0"/>
          <w:numId w:val="0"/>
        </w:numPr>
        <w:wordWrap/>
        <w:overflowPunct/>
        <w:topLinePunct w:val="0"/>
        <w:bidi w:val="0"/>
        <w:spacing w:line="360" w:lineRule="auto"/>
        <w:rPr>
          <w:rFonts w:hint="eastAsia" w:ascii="微软雅黑" w:hAnsi="微软雅黑" w:eastAsia="微软雅黑" w:cs="微软雅黑"/>
          <w:color w:val="auto"/>
          <w:sz w:val="24"/>
          <w:szCs w:val="24"/>
          <w:highlight w:val="none"/>
        </w:rPr>
      </w:pPr>
      <w:r>
        <w:rPr>
          <w:rFonts w:hint="eastAsia" w:cs="微软雅黑"/>
          <w:color w:val="auto"/>
          <w:sz w:val="24"/>
          <w:szCs w:val="24"/>
          <w:highlight w:val="none"/>
          <w:lang w:val="en-US" w:eastAsia="zh-CN"/>
        </w:rPr>
        <w:t>3.</w:t>
      </w:r>
      <w:r>
        <w:rPr>
          <w:rFonts w:hint="eastAsia" w:ascii="微软雅黑" w:hAnsi="微软雅黑" w:eastAsia="微软雅黑" w:cs="微软雅黑"/>
          <w:color w:val="auto"/>
          <w:sz w:val="24"/>
          <w:szCs w:val="24"/>
          <w:highlight w:val="none"/>
        </w:rPr>
        <w:t>售后服务（质保期）</w:t>
      </w:r>
    </w:p>
    <w:p>
      <w:pPr>
        <w:keepNext w:val="0"/>
        <w:keepLines w:val="0"/>
        <w:pageBreakBefore w:val="0"/>
        <w:wordWrap/>
        <w:overflowPunct/>
        <w:topLinePunct w:val="0"/>
        <w:bidi w:val="0"/>
        <w:spacing w:line="360" w:lineRule="auto"/>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w:t>
      </w:r>
    </w:p>
    <w:p>
      <w:pPr>
        <w:pStyle w:val="7"/>
        <w:keepNext w:val="0"/>
        <w:keepLines w:val="0"/>
        <w:pageBreakBefore w:val="0"/>
        <w:numPr>
          <w:ilvl w:val="0"/>
          <w:numId w:val="0"/>
        </w:numPr>
        <w:wordWrap/>
        <w:overflowPunct/>
        <w:topLinePunct w:val="0"/>
        <w:bidi w:val="0"/>
        <w:spacing w:line="360" w:lineRule="auto"/>
        <w:ind w:leftChars="-102" w:firstLine="242" w:firstLineChars="100"/>
        <w:rPr>
          <w:rFonts w:hint="eastAsia" w:eastAsia="宋体"/>
          <w:color w:val="auto"/>
          <w:sz w:val="24"/>
          <w:szCs w:val="24"/>
          <w:highlight w:val="none"/>
          <w:lang w:val="en-US" w:eastAsia="zh-CN"/>
        </w:rPr>
      </w:pPr>
      <w:r>
        <w:rPr>
          <w:rFonts w:hint="eastAsia" w:cs="微软雅黑"/>
          <w:color w:val="auto"/>
          <w:spacing w:val="1"/>
          <w:sz w:val="24"/>
          <w:szCs w:val="24"/>
          <w:highlight w:val="none"/>
          <w:lang w:val="en-US" w:eastAsia="zh-CN"/>
        </w:rPr>
        <w:t>4.</w:t>
      </w:r>
      <w:r>
        <w:rPr>
          <w:rFonts w:hint="eastAsia" w:ascii="微软雅黑" w:hAnsi="微软雅黑" w:eastAsia="微软雅黑" w:cs="微软雅黑"/>
          <w:color w:val="auto"/>
          <w:spacing w:val="1"/>
          <w:sz w:val="24"/>
          <w:szCs w:val="24"/>
          <w:highlight w:val="none"/>
        </w:rPr>
        <w:t>保险（如适用）</w:t>
      </w:r>
    </w:p>
    <w:p>
      <w:pPr>
        <w:keepNext w:val="0"/>
        <w:keepLines w:val="0"/>
        <w:pageBreakBefore w:val="0"/>
        <w:wordWrap/>
        <w:overflowPunct/>
        <w:topLinePunct w:val="0"/>
        <w:bidi w:val="0"/>
        <w:spacing w:line="360" w:lineRule="auto"/>
        <w:ind w:firstLine="480" w:firstLineChars="200"/>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中标人需要依据国家相关规定给与派遣人员的薪资、社会保险、税金、福利等。</w:t>
      </w:r>
    </w:p>
    <w:p>
      <w:pPr>
        <w:pStyle w:val="7"/>
        <w:keepNext w:val="0"/>
        <w:keepLines w:val="0"/>
        <w:pageBreakBefore w:val="0"/>
        <w:widowControl/>
        <w:kinsoku w:val="0"/>
        <w:wordWrap/>
        <w:overflowPunct/>
        <w:topLinePunct w:val="0"/>
        <w:autoSpaceDE w:val="0"/>
        <w:autoSpaceDN w:val="0"/>
        <w:bidi w:val="0"/>
        <w:adjustRightInd w:val="0"/>
        <w:snapToGrid w:val="0"/>
        <w:spacing w:line="560" w:lineRule="exact"/>
        <w:ind w:right="0"/>
        <w:jc w:val="left"/>
        <w:textAlignment w:val="baseline"/>
        <w:rPr>
          <w:rFonts w:hint="eastAsia" w:ascii="微软雅黑" w:hAnsi="微软雅黑" w:eastAsia="微软雅黑" w:cs="微软雅黑"/>
          <w:b/>
          <w:bCs/>
          <w:color w:val="auto"/>
          <w:spacing w:val="2"/>
          <w:sz w:val="24"/>
          <w:szCs w:val="24"/>
          <w:highlight w:val="none"/>
          <w:lang w:val="en-US" w:eastAsia="zh-CN"/>
        </w:rPr>
      </w:pPr>
      <w:r>
        <w:rPr>
          <w:rFonts w:hint="eastAsia" w:ascii="微软雅黑" w:hAnsi="微软雅黑" w:eastAsia="微软雅黑" w:cs="微软雅黑"/>
          <w:b/>
          <w:bCs/>
          <w:color w:val="auto"/>
          <w:spacing w:val="2"/>
          <w:sz w:val="24"/>
          <w:szCs w:val="24"/>
          <w:highlight w:val="none"/>
          <w:lang w:val="en-US" w:eastAsia="zh-CN"/>
        </w:rPr>
        <w:t>三、技术要求</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snapToGrid w:val="0"/>
          <w:color w:val="auto"/>
          <w:kern w:val="0"/>
          <w:sz w:val="24"/>
          <w:szCs w:val="24"/>
          <w:highlight w:val="none"/>
          <w:lang w:val="en-US" w:eastAsia="zh-CN" w:bidi="ar-SA"/>
        </w:rPr>
      </w:pPr>
      <w:r>
        <w:rPr>
          <w:rFonts w:hint="eastAsia" w:ascii="微软雅黑" w:hAnsi="微软雅黑" w:eastAsia="微软雅黑" w:cs="微软雅黑"/>
          <w:snapToGrid w:val="0"/>
          <w:color w:val="auto"/>
          <w:kern w:val="0"/>
          <w:sz w:val="24"/>
          <w:szCs w:val="24"/>
          <w:highlight w:val="none"/>
          <w:lang w:val="en-US" w:eastAsia="zh-CN" w:bidi="ar-SA"/>
        </w:rPr>
        <w:t>（一）</w:t>
      </w:r>
      <w:r>
        <w:rPr>
          <w:rFonts w:hint="eastAsia" w:ascii="宋体" w:hAnsi="宋体" w:eastAsia="宋体" w:cs="宋体"/>
          <w:i w:val="0"/>
          <w:iCs w:val="0"/>
          <w:color w:val="auto"/>
          <w:kern w:val="0"/>
          <w:sz w:val="24"/>
          <w:szCs w:val="24"/>
          <w:highlight w:val="none"/>
          <w:u w:val="none"/>
          <w:lang w:val="en-US" w:eastAsia="zh-CN" w:bidi="ar"/>
        </w:rPr>
        <w:t>信息统计</w:t>
      </w:r>
      <w:r>
        <w:rPr>
          <w:rFonts w:hint="eastAsia" w:ascii="微软雅黑" w:hAnsi="微软雅黑" w:eastAsia="微软雅黑" w:cs="微软雅黑"/>
          <w:snapToGrid w:val="0"/>
          <w:color w:val="auto"/>
          <w:kern w:val="0"/>
          <w:sz w:val="24"/>
          <w:szCs w:val="24"/>
          <w:highlight w:val="none"/>
          <w:lang w:val="en-US" w:eastAsia="zh-CN" w:bidi="ar-SA"/>
        </w:rPr>
        <w:t>：</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rPr>
        <w:t>工作地点</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统计科。</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职责要求：</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lang w:eastAsia="zh-CN"/>
        </w:rPr>
        <w:t>在部门主管领导下，接受派岗，努力做好本职工作。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负责本单位各类数据、信息、报表的收集、整理、登记与汇总，确保数据真实、准确、完整、及时。</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3</w:t>
      </w:r>
      <w:r>
        <w:rPr>
          <w:rFonts w:hint="eastAsia" w:ascii="微软雅黑" w:hAnsi="微软雅黑" w:eastAsia="微软雅黑" w:cs="微软雅黑"/>
          <w:color w:val="auto"/>
          <w:sz w:val="24"/>
          <w:szCs w:val="24"/>
          <w:highlight w:val="none"/>
          <w:lang w:eastAsia="zh-CN"/>
        </w:rPr>
        <w:t>）按照上级和科室要求，规范填报各类统计报表，做到不漏报、不错报、不迟报，做好台账记录与归档。</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lang w:eastAsia="zh-CN"/>
        </w:rPr>
        <w:t>）对日常工作信息进行分类统计、分析比对，及时发现异常数据并核实更正，为管理决策提供数据支撑。</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5</w:t>
      </w:r>
      <w:r>
        <w:rPr>
          <w:rFonts w:hint="eastAsia" w:ascii="微软雅黑" w:hAnsi="微软雅黑" w:eastAsia="微软雅黑" w:cs="微软雅黑"/>
          <w:color w:val="auto"/>
          <w:sz w:val="24"/>
          <w:szCs w:val="24"/>
          <w:highlight w:val="none"/>
          <w:lang w:eastAsia="zh-CN"/>
        </w:rPr>
        <w:t>）负责信息系统的数据录入、维护与更新，保障系统数据规范、清晰、可追溯。</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lang w:eastAsia="zh-CN"/>
        </w:rPr>
        <w:t>）做好资料存档和保密工作，严格管理统计数据、台账、报表，严禁擅自泄露、外传敏感信息。</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7</w:t>
      </w:r>
      <w:r>
        <w:rPr>
          <w:rFonts w:hint="eastAsia" w:ascii="微软雅黑" w:hAnsi="微软雅黑" w:eastAsia="微软雅黑" w:cs="微软雅黑"/>
          <w:color w:val="auto"/>
          <w:sz w:val="24"/>
          <w:szCs w:val="24"/>
          <w:highlight w:val="none"/>
          <w:lang w:eastAsia="zh-CN"/>
        </w:rPr>
        <w:t>）定期对统计数据进行梳理总结，形成简要统计分析或工作小结，上报领导参考。</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8</w:t>
      </w:r>
      <w:r>
        <w:rPr>
          <w:rFonts w:hint="eastAsia" w:ascii="微软雅黑" w:hAnsi="微软雅黑" w:eastAsia="微软雅黑" w:cs="微软雅黑"/>
          <w:color w:val="auto"/>
          <w:sz w:val="24"/>
          <w:szCs w:val="24"/>
          <w:highlight w:val="none"/>
          <w:lang w:eastAsia="zh-CN"/>
        </w:rPr>
        <w:t>）配合完成专项调查、数据核查、迎检备查等工作，按要求提供相关统计资料。</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9</w:t>
      </w:r>
      <w:r>
        <w:rPr>
          <w:rFonts w:hint="eastAsia" w:ascii="微软雅黑" w:hAnsi="微软雅黑" w:eastAsia="微软雅黑" w:cs="微软雅黑"/>
          <w:color w:val="auto"/>
          <w:sz w:val="24"/>
          <w:szCs w:val="24"/>
          <w:highlight w:val="none"/>
          <w:lang w:eastAsia="zh-CN"/>
        </w:rPr>
        <w:t>）完成领导交办的其他信息统计、数据报送及临时性工作。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二</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pacing w:val="2"/>
          <w:kern w:val="0"/>
          <w:sz w:val="24"/>
          <w:szCs w:val="24"/>
          <w:highlight w:val="none"/>
          <w:u w:val="none"/>
          <w:lang w:val="en-US" w:eastAsia="zh-CN"/>
        </w:rPr>
        <w:t>财务</w:t>
      </w:r>
      <w:r>
        <w:rPr>
          <w:rFonts w:hint="eastAsia" w:ascii="宋体" w:hAnsi="宋体" w:eastAsia="宋体" w:cs="宋体"/>
          <w:i w:val="0"/>
          <w:iCs w:val="0"/>
          <w:color w:val="auto"/>
          <w:kern w:val="0"/>
          <w:sz w:val="24"/>
          <w:szCs w:val="24"/>
          <w:highlight w:val="none"/>
          <w:u w:val="none"/>
          <w:lang w:val="en-US" w:eastAsia="zh-CN" w:bidi="ar"/>
        </w:rPr>
        <w:t>会计</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rPr>
        <w:t>工作地点</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财务科。</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职责要求：</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lang w:eastAsia="zh-CN"/>
        </w:rPr>
        <w:t>严格遵守国家财经法律法规及单位财务制度，规范开展会计核算，做到手续完备、内容真实、数字准确、账目清晰。</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）负责审核各类原始凭证，编制记账凭证，登记总账、明细账，按时完成月结、季结和年终结账，确保账证、账账、账实相符。</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3</w:t>
      </w:r>
      <w:r>
        <w:rPr>
          <w:rFonts w:hint="eastAsia" w:ascii="微软雅黑" w:hAnsi="微软雅黑" w:eastAsia="微软雅黑" w:cs="微软雅黑"/>
          <w:color w:val="auto"/>
          <w:sz w:val="24"/>
          <w:szCs w:val="24"/>
          <w:highlight w:val="none"/>
          <w:lang w:eastAsia="zh-CN"/>
        </w:rPr>
        <w:t>） 按规定办理收入、支出、往来款项、固定资产、药品耗材等财务核算工作，加强成本控制与经费管理。</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lang w:eastAsia="zh-CN"/>
        </w:rPr>
        <w:t>）按时编制财务会计报表、财务分析报告，真实反映单位财务状况、收支情况及运行效益，为领导决策提供依据。</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5</w:t>
      </w:r>
      <w:r>
        <w:rPr>
          <w:rFonts w:hint="eastAsia" w:ascii="微软雅黑" w:hAnsi="微软雅黑" w:eastAsia="微软雅黑" w:cs="微软雅黑"/>
          <w:color w:val="auto"/>
          <w:sz w:val="24"/>
          <w:szCs w:val="24"/>
          <w:highlight w:val="none"/>
          <w:lang w:eastAsia="zh-CN"/>
        </w:rPr>
        <w:t>）负责票据管理、发票开具、税费申报及缴纳等税务相关工作，规范票据领用、核销流程。</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lang w:eastAsia="zh-CN"/>
        </w:rPr>
        <w:t>）做好会计凭证、账簿、报表、合同等会计档案的整理、装订、归档和保管工作，确保档案完整规范。</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7</w:t>
      </w:r>
      <w:r>
        <w:rPr>
          <w:rFonts w:hint="eastAsia" w:ascii="微软雅黑" w:hAnsi="微软雅黑" w:eastAsia="微软雅黑" w:cs="微软雅黑"/>
          <w:color w:val="auto"/>
          <w:sz w:val="24"/>
          <w:szCs w:val="24"/>
          <w:highlight w:val="none"/>
          <w:lang w:eastAsia="zh-CN"/>
        </w:rPr>
        <w:t>）加强往来款项清理，及时核对债权债务，防范财务风险；配合开展内部审计、外部检查、绩效评价等工作。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8</w:t>
      </w:r>
      <w:r>
        <w:rPr>
          <w:rFonts w:hint="eastAsia" w:ascii="微软雅黑" w:hAnsi="微软雅黑" w:eastAsia="微软雅黑" w:cs="微软雅黑"/>
          <w:color w:val="auto"/>
          <w:sz w:val="24"/>
          <w:szCs w:val="24"/>
          <w:highlight w:val="none"/>
          <w:lang w:eastAsia="zh-CN"/>
        </w:rPr>
        <w:t>）严格执行经费审批制度，审核报销单据，对不符合规定的支出及时提出异议并拒绝办理。</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9</w:t>
      </w:r>
      <w:r>
        <w:rPr>
          <w:rFonts w:hint="eastAsia" w:ascii="微软雅黑" w:hAnsi="微软雅黑" w:eastAsia="微软雅黑" w:cs="微软雅黑"/>
          <w:color w:val="auto"/>
          <w:sz w:val="24"/>
          <w:szCs w:val="24"/>
          <w:highlight w:val="none"/>
          <w:lang w:eastAsia="zh-CN"/>
        </w:rPr>
        <w:t>）负责工资核算、社保公积金计提与缴纳、个人所得税代扣代缴等工作。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10</w:t>
      </w:r>
      <w:r>
        <w:rPr>
          <w:rFonts w:hint="eastAsia" w:ascii="微软雅黑" w:hAnsi="微软雅黑" w:eastAsia="微软雅黑" w:cs="微软雅黑"/>
          <w:color w:val="auto"/>
          <w:sz w:val="24"/>
          <w:szCs w:val="24"/>
          <w:highlight w:val="none"/>
          <w:lang w:eastAsia="zh-CN"/>
        </w:rPr>
        <w:t>）完成领导交办的其他财务管理、统计报送及临时性工作。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（三）医辅人员：</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lang w:eastAsia="zh-CN"/>
        </w:rPr>
        <w:t>工作地点：</w:t>
      </w:r>
      <w:r>
        <w:rPr>
          <w:rFonts w:hint="eastAsia" w:ascii="微软雅黑" w:hAnsi="微软雅黑" w:eastAsia="微软雅黑" w:cs="微软雅黑"/>
          <w:color w:val="auto"/>
          <w:sz w:val="24"/>
          <w:szCs w:val="24"/>
          <w:highlight w:val="none"/>
          <w:lang w:val="en-US" w:eastAsia="zh-CN"/>
        </w:rPr>
        <w:t>医务科。</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职责要求：</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lang w:eastAsia="zh-CN"/>
        </w:rPr>
        <w:t>服从所在科室管理及工作分配。</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遵守科室各项规章制度。</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（3）</w:t>
      </w:r>
      <w:r>
        <w:rPr>
          <w:rFonts w:hint="eastAsia" w:ascii="微软雅黑" w:hAnsi="微软雅黑" w:eastAsia="微软雅黑" w:cs="微软雅黑"/>
          <w:color w:val="auto"/>
          <w:sz w:val="24"/>
          <w:szCs w:val="24"/>
          <w:highlight w:val="none"/>
          <w:lang w:eastAsia="zh-CN"/>
        </w:rPr>
        <w:t>按照科室规范、岗位要求完成各项工作。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lang w:eastAsia="zh-CN"/>
        </w:rPr>
        <w:t>严格遵守各科室操作规程、生物安全及感控要求。</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（四）职能科室文员</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lang w:eastAsia="zh-CN"/>
        </w:rPr>
        <w:t>工作地点：</w:t>
      </w:r>
      <w:r>
        <w:rPr>
          <w:rFonts w:hint="eastAsia" w:ascii="微软雅黑" w:hAnsi="微软雅黑" w:eastAsia="微软雅黑" w:cs="微软雅黑"/>
          <w:color w:val="auto"/>
          <w:sz w:val="24"/>
          <w:szCs w:val="24"/>
          <w:highlight w:val="none"/>
          <w:lang w:val="en-US" w:eastAsia="zh-CN"/>
        </w:rPr>
        <w:t>器械科、宣传科。</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职责要求：</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（1）日常行政衔接：负责科室日常文件收发、登记，传达医院及上级部门通知，及时反馈各类工作要求，协调科室与其他部门、临床科室的工作对接，确保信息传递准确无误。</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（2）文书与档案管理：负责科室各类文件、报表、会议纪要的整理、归档，规范存放各类工作资料，严格遵守医院保密规定，不泄露工作及患者相关敏感信息。</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（3）数据与报表协助：配合完成各类工作报表的填报、核对，协助整理医院运营相关数据，确保数据真实、完整，为科室工作提供基础支撑。</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（4）会议与接待：协助筹备科室会议，做好会议通知、会场布置、会议记录，接待来访人员及上级检查，做好接待登记与沟通衔接。</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（5）办公保障：负责科室办公用品申领、登记、管理，维护办公环境，处理科室日常琐碎事务，配合完成上级部署的各项临时工作。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（6）合规配合：严格遵守医院各项规章制度，协助落实办公规范，配合医院各类检查、考核相关工作，提供所需佐证材料。</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（五）药剂人员</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lang w:eastAsia="zh-CN"/>
        </w:rPr>
        <w:t>工作地点：</w:t>
      </w:r>
      <w:r>
        <w:rPr>
          <w:rFonts w:hint="eastAsia" w:ascii="微软雅黑" w:hAnsi="微软雅黑" w:eastAsia="微软雅黑" w:cs="微软雅黑"/>
          <w:color w:val="auto"/>
          <w:sz w:val="24"/>
          <w:szCs w:val="24"/>
          <w:highlight w:val="none"/>
          <w:lang w:val="en-US" w:eastAsia="zh-CN"/>
        </w:rPr>
        <w:t>药房。</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职责要求：</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（1）严格执行《药品管理法》及医院药事管理制度，遵守药学技术操作规范，确保药品使用安全、有效、合理。</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（2）负责药品的采购验收、入库登记、储存养护、陈列摆放，做到分类管理、账物相符，定期盘点，严防过期、变质、失效药品。</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（3）严格执行处方审核、调配、核对、发药制度，认真核对患者信息、药品名称、规格、剂量、用法用量，杜绝差错事故。</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（4）做好用药指导与交代，向患者或临床医护人员说明药品用法、用量、禁忌、不良反应及注意事项，提供合理用药咨询服务。</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（5）参与临床用药监测，协助开展药品不良反应监测上报、合理用药点评、抗菌药物管理等药事管理工作。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（6）负责毒麻药品、精神药品、贵重药品的专项管理，严格执行双人双锁、专用处方、专册登记等规定。</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（7）做好药房环境卫生、消毒隔离及医疗废物处置，遵守院感防控要求，防止交叉污染。</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（8）妥善保管药品账目、处方、单据等资料，按时完成各类药品统计、报表上报工作。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（9）积极参加业务学习和培训，持续提升药学专业水平，配合完成药事检查、质控考核等工作。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（10）完成科室及医院交办的其他药学相关工作任务。</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六</w:t>
      </w:r>
      <w:r>
        <w:rPr>
          <w:rFonts w:hint="eastAsia" w:ascii="微软雅黑" w:hAnsi="微软雅黑" w:eastAsia="微软雅黑" w:cs="微软雅黑"/>
          <w:color w:val="auto"/>
          <w:sz w:val="24"/>
          <w:szCs w:val="24"/>
          <w:highlight w:val="none"/>
          <w:lang w:eastAsia="zh-CN"/>
        </w:rPr>
        <w:t>）</w:t>
      </w:r>
      <w:r>
        <w:rPr>
          <w:rFonts w:hint="eastAsia" w:ascii="宋体" w:hAnsi="宋体" w:eastAsia="宋体" w:cs="宋体"/>
          <w:i w:val="0"/>
          <w:iCs w:val="0"/>
          <w:color w:val="auto"/>
          <w:kern w:val="0"/>
          <w:sz w:val="24"/>
          <w:szCs w:val="24"/>
          <w:highlight w:val="none"/>
          <w:u w:val="none"/>
          <w:lang w:val="en-US" w:eastAsia="zh-CN" w:bidi="ar"/>
        </w:rPr>
        <w:t>保洁服务</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lang w:eastAsia="zh-CN"/>
        </w:rPr>
        <w:t>工作地点：</w:t>
      </w:r>
      <w:r>
        <w:rPr>
          <w:rFonts w:hint="eastAsia" w:ascii="微软雅黑" w:hAnsi="微软雅黑" w:eastAsia="微软雅黑" w:cs="微软雅黑"/>
          <w:color w:val="auto"/>
          <w:sz w:val="24"/>
          <w:szCs w:val="24"/>
          <w:highlight w:val="none"/>
          <w:lang w:val="en-US" w:eastAsia="zh-CN"/>
        </w:rPr>
        <w:t>医院公共区域、病区、行政办公区等。</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职责要求：</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日常清洁工作：负责所管辖区域（门诊大厅、走廊、病房、卫生间、治疗室、办公室、楼梯、电梯等）的日常清扫，包括地面拖拭、墙面擦拭、门窗玻璃清洁、桌椅台面擦拭，确保无灰尘、无污渍、无杂物、无积水。</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（2）消毒防控工作：严格按照医院院感防控要求，对高频接触部位（门把手、电梯按钮、扶手、诊疗器械摆放台等）进行定期消毒，做好消毒记录；配合院感部门完成专项消毒工作，杜绝交叉感染隐患。</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（3）垃圾处理工作：分类收集所管辖区域的医疗垃圾、生活垃圾，严格区分医疗废物（如棉签、针管等）与普通垃圾，按规定装入专用容器，及时转运至指定收集点，做好垃圾转运登记，不随意丢弃、混放。</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（4）环境维护工作：保持管辖区域清洁工具、消毒用品摆放整齐，妥善保管清洁设备（拖把、扫帚、水桶等），定期清洗、晾晒，避免二次污染；及时清理区域内杂物、废弃物品，保持环境整洁有序。</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5）专项配合工作：配合医院后勤、院感、科室开展环境整治、卫生检查、消毒演练等工作，及时整改检查中发现的问题；协助清理科室废弃物品、医疗耗材包装，配合完成突发公共卫生事件相关清洁消毒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6）合规与安全：严格遵守医院各项规章制度，服从科室及后勤部门管理，规范操作清洁、消毒流程；注意自身安全，避免因操作不当造成摔伤、碰伤等意外；不随意进入诊疗核心区域（未经允许），不触碰医疗设备、药品及患者物品。</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（7）其他工作：完成领导交办的其他清洁、消毒及临时性工作任务，主动维护医院整体环境卫生，提升就医及工作环境质量。</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（七）消防中控员</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1.工作地点：消防中控室。</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2.职责要求：</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（1）严格遵守医院消防安全管理制度，负责消防中控室的 24 小时值班值守，全程监控消防设施运行状态，不擅自离岗、脱岗。</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（2）熟练操作消防中控系统、火灾自动报警系统、应急广播系统，实时监测火灾报警信号，一旦发现报警，立即核实情况，第一时间启动对应处置流程，及时上报相关负责人。</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（3）负责消防设施、器材（灭火器、消火栓、应急照明、疏散指示标志等）的日常检查，发现损坏、过期或故障情况，及时上报并督促整改，做好检查记录。</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（4）熟悉医院消防疏散路线、应急处置预案，发生火灾时，快速启动应急响应，操作消防设备，引导人员有序疏散，配合开展火灾扑救、现场保护工作。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（5）定期参与医院消防安全培训、应急演练，熟练掌握火灾报警、初期火灾扑救的方法和技巧，提升应急处置能力。</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（6）负责消防中控系统的日常维护，确保系统正常运行，及时录入消防相关数据，做好值班记录、报警记录和设施检查记录。</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（7）配合医院开展消防安全检查、隐患排查工作，协助做好消防知识宣传、培训，提醒医护人员、就诊人员遵守消防安全规定。</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val="en-US" w:eastAsia="zh-CN"/>
        </w:rPr>
        <w:t>（8）妥善保管消防中控室相关资料、设备钥匙，严格执行保密规定，不泄露消防相关敏感信息，完成领导交办的其他消防安全相关工作。</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b/>
          <w:bCs/>
          <w:color w:val="auto"/>
          <w:sz w:val="24"/>
          <w:szCs w:val="24"/>
          <w:highlight w:val="none"/>
          <w:lang w:val="en-US" w:eastAsia="zh-CN"/>
        </w:rPr>
      </w:pPr>
      <w:r>
        <w:rPr>
          <w:rFonts w:hint="eastAsia" w:ascii="微软雅黑" w:hAnsi="微软雅黑" w:eastAsia="微软雅黑" w:cs="微软雅黑"/>
          <w:b/>
          <w:bCs/>
          <w:color w:val="auto"/>
          <w:sz w:val="24"/>
          <w:szCs w:val="24"/>
          <w:highlight w:val="none"/>
          <w:lang w:val="en-US" w:eastAsia="zh-CN"/>
        </w:rPr>
        <w:t>对供应商的核心要求：</w:t>
      </w:r>
    </w:p>
    <w:p>
      <w:pPr>
        <w:keepNext w:val="0"/>
        <w:keepLines w:val="0"/>
        <w:pageBreakBefore w:val="0"/>
        <w:widowControl/>
        <w:kinsoku/>
        <w:wordWrap/>
        <w:overflowPunct/>
        <w:topLinePunct w:val="0"/>
        <w:autoSpaceDE/>
        <w:autoSpaceDN/>
        <w:bidi w:val="0"/>
        <w:adjustRightInd/>
        <w:snapToGrid/>
        <w:spacing w:line="560" w:lineRule="exact"/>
        <w:ind w:right="0" w:firstLine="488" w:firstLineChars="200"/>
        <w:jc w:val="left"/>
        <w:textAlignment w:val="auto"/>
        <w:rPr>
          <w:rFonts w:hint="eastAsia" w:ascii="微软雅黑" w:hAnsi="微软雅黑" w:eastAsia="微软雅黑" w:cs="微软雅黑"/>
          <w:color w:val="auto"/>
          <w:sz w:val="24"/>
          <w:szCs w:val="24"/>
          <w:highlight w:val="none"/>
        </w:rPr>
      </w:pPr>
      <w:bookmarkStart w:id="1" w:name="auto_fouce_4"/>
      <w:r>
        <w:rPr>
          <w:rFonts w:ascii="微软雅黑" w:hAnsi="微软雅黑" w:eastAsia="微软雅黑" w:cs="微软雅黑"/>
          <w:color w:val="auto"/>
          <w:spacing w:val="2"/>
          <w:sz w:val="24"/>
          <w:szCs w:val="24"/>
          <w:highlight w:val="none"/>
        </w:rPr>
        <w:t>★</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1</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供应商</w:t>
      </w:r>
      <w:r>
        <w:rPr>
          <w:rFonts w:hint="eastAsia" w:ascii="微软雅黑" w:hAnsi="微软雅黑" w:eastAsia="微软雅黑" w:cs="微软雅黑"/>
          <w:color w:val="auto"/>
          <w:sz w:val="24"/>
          <w:szCs w:val="24"/>
          <w:highlight w:val="none"/>
        </w:rPr>
        <w:t>须具备有效的《劳务派遣经营许可证》或《人力资源服务许可证》</w:t>
      </w:r>
      <w:r>
        <w:rPr>
          <w:rFonts w:hint="eastAsia" w:ascii="微软雅黑" w:hAnsi="微软雅黑" w:eastAsia="微软雅黑" w:cs="微软雅黑"/>
          <w:color w:val="auto"/>
          <w:sz w:val="24"/>
          <w:szCs w:val="24"/>
          <w:highlight w:val="none"/>
          <w:lang w:eastAsia="zh-CN"/>
        </w:rPr>
        <w:t>，并须提供近三年无劳动监察处罚的</w:t>
      </w:r>
      <w:r>
        <w:rPr>
          <w:rFonts w:hint="eastAsia" w:ascii="微软雅黑" w:hAnsi="微软雅黑" w:eastAsia="微软雅黑" w:cs="微软雅黑"/>
          <w:b/>
          <w:bCs/>
          <w:color w:val="auto"/>
          <w:sz w:val="24"/>
          <w:szCs w:val="24"/>
          <w:highlight w:val="none"/>
          <w:lang w:eastAsia="zh-CN"/>
        </w:rPr>
        <w:t>书面承诺</w:t>
      </w:r>
      <w:r>
        <w:rPr>
          <w:rFonts w:hint="eastAsia" w:ascii="微软雅黑" w:hAnsi="微软雅黑" w:eastAsia="微软雅黑" w:cs="微软雅黑"/>
          <w:color w:val="auto"/>
          <w:sz w:val="24"/>
          <w:szCs w:val="24"/>
          <w:highlight w:val="none"/>
          <w:lang w:eastAsia="zh-CN"/>
        </w:rPr>
        <w:t>，隐瞒事实</w:t>
      </w:r>
      <w:r>
        <w:rPr>
          <w:rFonts w:hint="eastAsia" w:ascii="微软雅黑" w:hAnsi="微软雅黑" w:eastAsia="微软雅黑" w:cs="微软雅黑"/>
          <w:color w:val="auto"/>
          <w:sz w:val="24"/>
          <w:szCs w:val="24"/>
          <w:highlight w:val="none"/>
          <w:lang w:val="en-US" w:eastAsia="zh-CN"/>
        </w:rPr>
        <w:t>被发现</w:t>
      </w:r>
      <w:r>
        <w:rPr>
          <w:rFonts w:hint="eastAsia" w:ascii="微软雅黑" w:hAnsi="微软雅黑" w:eastAsia="微软雅黑" w:cs="微软雅黑"/>
          <w:color w:val="auto"/>
          <w:sz w:val="24"/>
          <w:szCs w:val="24"/>
          <w:highlight w:val="none"/>
          <w:lang w:eastAsia="zh-CN"/>
        </w:rPr>
        <w:t>将承担合同金额20%的违约金</w:t>
      </w:r>
      <w:bookmarkEnd w:id="1"/>
      <w:r>
        <w:rPr>
          <w:rFonts w:hint="eastAsia" w:ascii="微软雅黑" w:hAnsi="微软雅黑" w:eastAsia="微软雅黑" w:cs="微软雅黑"/>
          <w:color w:val="auto"/>
          <w:sz w:val="24"/>
          <w:szCs w:val="24"/>
          <w:highlight w:val="none"/>
        </w:rPr>
        <w:t xml:space="preserve">。   </w:t>
      </w:r>
      <w:r>
        <w:rPr>
          <w:rFonts w:hint="eastAsia" w:ascii="微软雅黑" w:hAnsi="微软雅黑" w:eastAsia="微软雅黑" w:cs="微软雅黑"/>
          <w:color w:val="auto"/>
          <w:sz w:val="24"/>
          <w:szCs w:val="24"/>
          <w:highlight w:val="none"/>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720" w:firstLineChars="3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）供应商须</w:t>
      </w:r>
      <w:r>
        <w:rPr>
          <w:rFonts w:hint="eastAsia" w:ascii="微软雅黑" w:hAnsi="微软雅黑" w:eastAsia="微软雅黑" w:cs="微软雅黑"/>
          <w:color w:val="auto"/>
          <w:sz w:val="24"/>
          <w:szCs w:val="24"/>
          <w:highlight w:val="none"/>
          <w:lang w:val="en-US" w:eastAsia="zh-CN"/>
        </w:rPr>
        <w:t>从2022年1月至本项目开标前</w:t>
      </w:r>
      <w:r>
        <w:rPr>
          <w:rFonts w:hint="eastAsia" w:ascii="微软雅黑" w:hAnsi="微软雅黑" w:eastAsia="微软雅黑" w:cs="微软雅黑"/>
          <w:color w:val="auto"/>
          <w:sz w:val="24"/>
          <w:szCs w:val="24"/>
          <w:highlight w:val="none"/>
          <w:lang w:eastAsia="zh-CN"/>
        </w:rPr>
        <w:t>为三级（或二级）及以上医院提供同类（</w:t>
      </w:r>
      <w:r>
        <w:rPr>
          <w:rFonts w:hint="eastAsia" w:ascii="宋体" w:hAnsi="宋体" w:eastAsia="宋体" w:cs="宋体"/>
          <w:i w:val="0"/>
          <w:iCs w:val="0"/>
          <w:color w:val="auto"/>
          <w:kern w:val="0"/>
          <w:sz w:val="24"/>
          <w:szCs w:val="24"/>
          <w:highlight w:val="none"/>
          <w:u w:val="none"/>
          <w:lang w:val="en-US" w:eastAsia="zh-CN" w:bidi="ar"/>
        </w:rPr>
        <w:t>信息统计、</w:t>
      </w:r>
      <w:r>
        <w:rPr>
          <w:rFonts w:hint="eastAsia" w:ascii="微软雅黑" w:hAnsi="微软雅黑" w:eastAsia="微软雅黑" w:cs="微软雅黑"/>
          <w:color w:val="auto"/>
          <w:spacing w:val="2"/>
          <w:kern w:val="0"/>
          <w:sz w:val="24"/>
          <w:szCs w:val="24"/>
          <w:highlight w:val="none"/>
          <w:u w:val="none"/>
          <w:lang w:val="en-US" w:eastAsia="zh-CN"/>
        </w:rPr>
        <w:t>财务</w:t>
      </w:r>
      <w:r>
        <w:rPr>
          <w:rFonts w:hint="eastAsia" w:ascii="宋体" w:hAnsi="宋体" w:eastAsia="宋体" w:cs="宋体"/>
          <w:i w:val="0"/>
          <w:iCs w:val="0"/>
          <w:color w:val="auto"/>
          <w:kern w:val="0"/>
          <w:sz w:val="24"/>
          <w:szCs w:val="24"/>
          <w:highlight w:val="none"/>
          <w:u w:val="none"/>
          <w:lang w:val="en-US" w:eastAsia="zh-CN" w:bidi="ar"/>
        </w:rPr>
        <w:t>会计、文员、药剂、保洁服务、消防中控员</w:t>
      </w:r>
      <w:r>
        <w:rPr>
          <w:rFonts w:hint="eastAsia" w:ascii="微软雅黑" w:hAnsi="微软雅黑" w:eastAsia="微软雅黑" w:cs="微软雅黑"/>
          <w:color w:val="auto"/>
          <w:sz w:val="24"/>
          <w:szCs w:val="24"/>
          <w:highlight w:val="none"/>
          <w:lang w:eastAsia="zh-CN"/>
        </w:rPr>
        <w:t>等）人员外包服务，并具备类似项目</w:t>
      </w:r>
      <w:r>
        <w:rPr>
          <w:rFonts w:hint="eastAsia" w:ascii="微软雅黑" w:hAnsi="微软雅黑" w:eastAsia="微软雅黑" w:cs="微软雅黑"/>
          <w:color w:val="auto"/>
          <w:sz w:val="24"/>
          <w:szCs w:val="24"/>
          <w:highlight w:val="none"/>
          <w:lang w:val="en-US" w:eastAsia="zh-CN"/>
        </w:rPr>
        <w:t>成功</w:t>
      </w:r>
      <w:r>
        <w:rPr>
          <w:rFonts w:hint="eastAsia" w:ascii="微软雅黑" w:hAnsi="微软雅黑" w:eastAsia="微软雅黑" w:cs="微软雅黑"/>
          <w:color w:val="auto"/>
          <w:sz w:val="24"/>
          <w:szCs w:val="24"/>
          <w:highlight w:val="none"/>
          <w:lang w:eastAsia="zh-CN"/>
        </w:rPr>
        <w:t>经验</w:t>
      </w:r>
      <w:r>
        <w:rPr>
          <w:rFonts w:hint="eastAsia" w:ascii="微软雅黑" w:hAnsi="微软雅黑" w:eastAsia="微软雅黑" w:cs="微软雅黑"/>
          <w:color w:val="auto"/>
          <w:sz w:val="24"/>
          <w:szCs w:val="24"/>
          <w:highlight w:val="none"/>
          <w:lang w:val="en-US" w:eastAsia="zh-CN"/>
        </w:rPr>
        <w:t>和良好业绩</w:t>
      </w:r>
      <w:r>
        <w:rPr>
          <w:rFonts w:hint="eastAsia" w:ascii="微软雅黑" w:hAnsi="微软雅黑" w:eastAsia="微软雅黑" w:cs="微软雅黑"/>
          <w:color w:val="auto"/>
          <w:sz w:val="24"/>
          <w:szCs w:val="24"/>
          <w:highlight w:val="none"/>
          <w:lang w:eastAsia="zh-CN"/>
        </w:rPr>
        <w:t>。需提供中标通知书或合同等材料。</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8" w:firstLineChars="200"/>
        <w:jc w:val="left"/>
        <w:textAlignment w:val="auto"/>
        <w:rPr>
          <w:rFonts w:hint="eastAsia" w:ascii="微软雅黑" w:hAnsi="微软雅黑" w:eastAsia="微软雅黑" w:cs="微软雅黑"/>
          <w:color w:val="auto"/>
          <w:sz w:val="24"/>
          <w:szCs w:val="24"/>
          <w:highlight w:val="none"/>
        </w:rPr>
      </w:pPr>
      <w:r>
        <w:rPr>
          <w:rFonts w:ascii="微软雅黑" w:hAnsi="微软雅黑" w:eastAsia="微软雅黑" w:cs="微软雅黑"/>
          <w:color w:val="auto"/>
          <w:spacing w:val="2"/>
          <w:sz w:val="24"/>
          <w:szCs w:val="24"/>
          <w:highlight w:val="none"/>
        </w:rPr>
        <w:t>★</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3</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rPr>
        <w:t>具有完善的人员招聘、培训、管理体系和质量控制制度（提供相关</w:t>
      </w:r>
      <w:r>
        <w:rPr>
          <w:rFonts w:hint="eastAsia" w:ascii="微软雅黑" w:hAnsi="微软雅黑" w:eastAsia="微软雅黑" w:cs="微软雅黑"/>
          <w:color w:val="auto"/>
          <w:sz w:val="24"/>
          <w:szCs w:val="24"/>
          <w:highlight w:val="none"/>
          <w:lang w:val="en-US" w:eastAsia="zh-CN"/>
        </w:rPr>
        <w:t>书面说明</w:t>
      </w:r>
      <w:r>
        <w:rPr>
          <w:rFonts w:hint="eastAsia" w:ascii="微软雅黑" w:hAnsi="微软雅黑" w:eastAsia="微软雅黑" w:cs="微软雅黑"/>
          <w:color w:val="auto"/>
          <w:sz w:val="24"/>
          <w:szCs w:val="24"/>
          <w:highlight w:val="none"/>
        </w:rPr>
        <w:t>或</w:t>
      </w:r>
      <w:r>
        <w:rPr>
          <w:rFonts w:hint="eastAsia" w:ascii="微软雅黑" w:hAnsi="微软雅黑" w:eastAsia="微软雅黑" w:cs="微软雅黑"/>
          <w:color w:val="auto"/>
          <w:sz w:val="24"/>
          <w:szCs w:val="24"/>
          <w:highlight w:val="none"/>
          <w:lang w:val="en-US" w:eastAsia="zh-CN"/>
        </w:rPr>
        <w:t>相关文件描述或手册摘要</w:t>
      </w:r>
      <w:r>
        <w:rPr>
          <w:rFonts w:hint="eastAsia" w:ascii="微软雅黑" w:hAnsi="微软雅黑" w:eastAsia="微软雅黑" w:cs="微软雅黑"/>
          <w:color w:val="auto"/>
          <w:sz w:val="24"/>
          <w:szCs w:val="24"/>
          <w:highlight w:val="none"/>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8" w:firstLineChars="200"/>
        <w:jc w:val="left"/>
        <w:textAlignment w:val="auto"/>
        <w:rPr>
          <w:rFonts w:hint="eastAsia" w:ascii="微软雅黑" w:hAnsi="微软雅黑" w:eastAsia="微软雅黑" w:cs="微软雅黑"/>
          <w:color w:val="auto"/>
          <w:sz w:val="24"/>
          <w:szCs w:val="24"/>
          <w:highlight w:val="none"/>
        </w:rPr>
      </w:pPr>
      <w:r>
        <w:rPr>
          <w:rFonts w:ascii="微软雅黑" w:hAnsi="微软雅黑" w:eastAsia="微软雅黑" w:cs="微软雅黑"/>
          <w:color w:val="auto"/>
          <w:spacing w:val="2"/>
          <w:sz w:val="24"/>
          <w:szCs w:val="24"/>
          <w:highlight w:val="none"/>
        </w:rPr>
        <w:t>★</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rPr>
        <w:t>具备处理突发事件和医疗纠纷的经验和能力（提供</w:t>
      </w:r>
      <w:r>
        <w:rPr>
          <w:rFonts w:hint="eastAsia" w:ascii="微软雅黑" w:hAnsi="微软雅黑" w:eastAsia="微软雅黑" w:cs="微软雅黑"/>
          <w:color w:val="auto"/>
          <w:sz w:val="24"/>
          <w:szCs w:val="24"/>
          <w:highlight w:val="none"/>
          <w:lang w:val="en-US" w:eastAsia="zh-CN"/>
        </w:rPr>
        <w:t>相关书面</w:t>
      </w:r>
      <w:r>
        <w:rPr>
          <w:rFonts w:hint="eastAsia" w:ascii="微软雅黑" w:hAnsi="微软雅黑" w:eastAsia="微软雅黑" w:cs="微软雅黑"/>
          <w:color w:val="auto"/>
          <w:sz w:val="24"/>
          <w:szCs w:val="24"/>
          <w:highlight w:val="none"/>
        </w:rPr>
        <w:t>说明）。</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8" w:firstLineChars="200"/>
        <w:jc w:val="left"/>
        <w:textAlignment w:val="auto"/>
        <w:rPr>
          <w:rFonts w:hint="eastAsia" w:ascii="微软雅黑" w:hAnsi="微软雅黑" w:eastAsia="微软雅黑" w:cs="微软雅黑"/>
          <w:color w:val="auto"/>
          <w:sz w:val="24"/>
          <w:szCs w:val="24"/>
          <w:highlight w:val="none"/>
        </w:rPr>
      </w:pPr>
      <w:r>
        <w:rPr>
          <w:rFonts w:ascii="微软雅黑" w:hAnsi="微软雅黑" w:eastAsia="微软雅黑" w:cs="微软雅黑"/>
          <w:color w:val="auto"/>
          <w:spacing w:val="2"/>
          <w:sz w:val="24"/>
          <w:szCs w:val="24"/>
          <w:highlight w:val="none"/>
        </w:rPr>
        <w:t>★</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5</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rPr>
        <w:t>在项目所在地（或临近区域）有稳定的管理人员和人力资源储备，能保证服务的及时响应和人员快速补充</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eastAsia="zh-CN"/>
        </w:rPr>
        <w:t>被三家以上医疗机构列入黑名单的员工不得派遣至本项目。</w:t>
      </w:r>
      <w:r>
        <w:rPr>
          <w:rFonts w:hint="eastAsia" w:ascii="微软雅黑" w:hAnsi="微软雅黑" w:eastAsia="微软雅黑" w:cs="微软雅黑"/>
          <w:color w:val="auto"/>
          <w:sz w:val="24"/>
          <w:szCs w:val="24"/>
          <w:highlight w:val="none"/>
        </w:rPr>
        <w:t>（提供</w:t>
      </w:r>
      <w:r>
        <w:rPr>
          <w:rFonts w:hint="eastAsia" w:ascii="微软雅黑" w:hAnsi="微软雅黑" w:eastAsia="微软雅黑" w:cs="微软雅黑"/>
          <w:color w:val="auto"/>
          <w:sz w:val="24"/>
          <w:szCs w:val="24"/>
          <w:highlight w:val="none"/>
          <w:lang w:val="en-US" w:eastAsia="zh-CN"/>
        </w:rPr>
        <w:t>相关书面</w:t>
      </w:r>
      <w:r>
        <w:rPr>
          <w:rFonts w:hint="eastAsia" w:ascii="微软雅黑" w:hAnsi="微软雅黑" w:eastAsia="微软雅黑" w:cs="微软雅黑"/>
          <w:color w:val="auto"/>
          <w:sz w:val="24"/>
          <w:szCs w:val="24"/>
          <w:highlight w:val="none"/>
        </w:rPr>
        <w:t>说明</w:t>
      </w:r>
      <w:r>
        <w:rPr>
          <w:rFonts w:hint="eastAsia" w:ascii="微软雅黑" w:hAnsi="微软雅黑" w:eastAsia="微软雅黑" w:cs="微软雅黑"/>
          <w:color w:val="auto"/>
          <w:sz w:val="24"/>
          <w:szCs w:val="24"/>
          <w:highlight w:val="none"/>
          <w:lang w:val="en-US" w:eastAsia="zh-CN"/>
        </w:rPr>
        <w:t>或承诺</w:t>
      </w:r>
      <w:r>
        <w:rPr>
          <w:rFonts w:hint="eastAsia" w:ascii="微软雅黑" w:hAnsi="微软雅黑" w:eastAsia="微软雅黑" w:cs="微软雅黑"/>
          <w:color w:val="auto"/>
          <w:sz w:val="24"/>
          <w:szCs w:val="24"/>
          <w:highlight w:val="none"/>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8" w:firstLineChars="200"/>
        <w:jc w:val="left"/>
        <w:textAlignment w:val="auto"/>
        <w:rPr>
          <w:rFonts w:hint="default" w:ascii="微软雅黑" w:hAnsi="微软雅黑" w:eastAsia="微软雅黑" w:cs="微软雅黑"/>
          <w:color w:val="auto"/>
          <w:sz w:val="24"/>
          <w:szCs w:val="24"/>
          <w:highlight w:val="none"/>
          <w:lang w:val="en-US" w:eastAsia="zh-CN"/>
        </w:rPr>
      </w:pPr>
      <w:r>
        <w:rPr>
          <w:rFonts w:ascii="微软雅黑" w:hAnsi="微软雅黑" w:eastAsia="微软雅黑" w:cs="微软雅黑"/>
          <w:color w:val="auto"/>
          <w:spacing w:val="2"/>
          <w:sz w:val="24"/>
          <w:szCs w:val="24"/>
          <w:highlight w:val="none"/>
        </w:rPr>
        <w:t>★</w:t>
      </w:r>
      <w:r>
        <w:rPr>
          <w:rFonts w:hint="eastAsia" w:ascii="微软雅黑" w:hAnsi="微软雅黑" w:eastAsia="微软雅黑" w:cs="微软雅黑"/>
          <w:color w:val="auto"/>
          <w:spacing w:val="2"/>
          <w:sz w:val="24"/>
          <w:szCs w:val="24"/>
          <w:highlight w:val="none"/>
          <w:lang w:val="en-US" w:eastAsia="zh-CN"/>
        </w:rPr>
        <w:t xml:space="preserve"> </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6）在突发公共卫生事件等应急状态</w:t>
      </w:r>
      <w:r>
        <w:rPr>
          <w:rFonts w:hint="eastAsia" w:ascii="微软雅黑" w:hAnsi="微软雅黑" w:eastAsia="微软雅黑" w:cs="微软雅黑"/>
          <w:color w:val="auto"/>
          <w:sz w:val="24"/>
          <w:szCs w:val="24"/>
          <w:highlight w:val="none"/>
          <w:lang w:eastAsia="zh-CN"/>
        </w:rPr>
        <w:t>下，供应商需确保</w:t>
      </w:r>
      <w:r>
        <w:rPr>
          <w:rFonts w:hint="eastAsia" w:ascii="微软雅黑" w:hAnsi="微软雅黑" w:eastAsia="微软雅黑" w:cs="微软雅黑"/>
          <w:color w:val="auto"/>
          <w:sz w:val="24"/>
          <w:szCs w:val="24"/>
          <w:highlight w:val="none"/>
          <w:lang w:eastAsia="zh-CN"/>
        </w:rPr>
        <w:t>人员到岗率不低于95%。如实际到岗率低于95%，每缺岗1人日，供应商需按该岗位3倍日工资标准向采购方支付赔偿金。每个岗位类别须提供至少10%的本地紧急替补及储备人员名单，确保突发情形下的即时补充与替换（</w:t>
      </w:r>
      <w:r>
        <w:rPr>
          <w:rFonts w:hint="eastAsia" w:ascii="微软雅黑" w:hAnsi="微软雅黑" w:eastAsia="微软雅黑" w:cs="微软雅黑"/>
          <w:color w:val="auto"/>
          <w:sz w:val="24"/>
          <w:szCs w:val="24"/>
          <w:highlight w:val="none"/>
          <w:lang w:val="en-US" w:eastAsia="zh-CN"/>
        </w:rPr>
        <w:t>提供书面承诺</w:t>
      </w:r>
      <w:r>
        <w:rPr>
          <w:rFonts w:hint="eastAsia" w:ascii="微软雅黑" w:hAnsi="微软雅黑" w:eastAsia="微软雅黑" w:cs="微软雅黑"/>
          <w:color w:val="auto"/>
          <w:sz w:val="24"/>
          <w:szCs w:val="24"/>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ind w:right="0"/>
        <w:jc w:val="left"/>
        <w:textAlignment w:val="auto"/>
        <w:rPr>
          <w:rFonts w:hint="eastAsia" w:ascii="微软雅黑" w:hAnsi="微软雅黑" w:eastAsia="微软雅黑" w:cs="微软雅黑"/>
          <w:b/>
          <w:bCs/>
          <w:color w:val="auto"/>
          <w:sz w:val="24"/>
          <w:szCs w:val="24"/>
          <w:highlight w:val="none"/>
          <w:lang w:val="en-US" w:eastAsia="zh-CN"/>
        </w:rPr>
      </w:pPr>
      <w:r>
        <w:rPr>
          <w:rFonts w:hint="eastAsia" w:ascii="微软雅黑" w:hAnsi="微软雅黑" w:eastAsia="微软雅黑" w:cs="微软雅黑"/>
          <w:b/>
          <w:bCs/>
          <w:color w:val="auto"/>
          <w:sz w:val="24"/>
          <w:szCs w:val="24"/>
          <w:highlight w:val="none"/>
          <w:lang w:eastAsia="zh-CN"/>
        </w:rPr>
        <w:t>四、</w:t>
      </w:r>
      <w:r>
        <w:rPr>
          <w:rFonts w:hint="eastAsia" w:ascii="微软雅黑" w:hAnsi="微软雅黑" w:eastAsia="微软雅黑" w:cs="微软雅黑"/>
          <w:b/>
          <w:bCs/>
          <w:color w:val="auto"/>
          <w:sz w:val="24"/>
          <w:szCs w:val="24"/>
          <w:highlight w:val="none"/>
          <w:lang w:val="en-US" w:eastAsia="zh-CN"/>
        </w:rPr>
        <w:t>对供应商服务方案的要求：</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rPr>
        <w:t>对采购需求的理解与分析。</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rPr>
        <w:t>人员招聘渠道、标准、流程及保障措施。</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lang w:val="en-US" w:eastAsia="zh-CN"/>
        </w:rPr>
        <w:t>3.</w:t>
      </w:r>
      <w:r>
        <w:rPr>
          <w:rFonts w:hint="eastAsia" w:ascii="微软雅黑" w:hAnsi="微软雅黑" w:eastAsia="微软雅黑" w:cs="微软雅黑"/>
          <w:color w:val="auto"/>
          <w:sz w:val="24"/>
          <w:szCs w:val="24"/>
          <w:highlight w:val="none"/>
        </w:rPr>
        <w:t>培训体系（岗前、在岗）的具体内容、师资、方式、考核标准及计划（重点阐述感染防控、岗位技能、服务规范的培训）。</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val="en-US" w:eastAsia="zh-CN"/>
        </w:rPr>
        <w:t>4.</w:t>
      </w:r>
      <w:r>
        <w:rPr>
          <w:rFonts w:hint="eastAsia" w:ascii="微软雅黑" w:hAnsi="微软雅黑" w:eastAsia="微软雅黑" w:cs="微软雅黑"/>
          <w:b w:val="0"/>
          <w:bCs w:val="0"/>
          <w:color w:val="auto"/>
          <w:sz w:val="24"/>
          <w:szCs w:val="24"/>
          <w:highlight w:val="none"/>
        </w:rPr>
        <w:t>人员配置计划（针对不同岗位、不同科室/区域）、排班管理方案。</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val="en-US" w:eastAsia="zh-CN"/>
        </w:rPr>
        <w:t>5.</w:t>
      </w:r>
      <w:r>
        <w:rPr>
          <w:rFonts w:hint="eastAsia" w:ascii="微软雅黑" w:hAnsi="微软雅黑" w:eastAsia="微软雅黑" w:cs="微软雅黑"/>
          <w:b w:val="0"/>
          <w:bCs w:val="0"/>
          <w:color w:val="auto"/>
          <w:sz w:val="24"/>
          <w:szCs w:val="24"/>
          <w:highlight w:val="none"/>
        </w:rPr>
        <w:t>日常管理架构（现场管理人员配置、职责）、沟通协调机制。</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val="en-US" w:eastAsia="zh-CN"/>
        </w:rPr>
        <w:t>6.</w:t>
      </w:r>
      <w:r>
        <w:rPr>
          <w:rFonts w:hint="eastAsia" w:ascii="微软雅黑" w:hAnsi="微软雅黑" w:eastAsia="微软雅黑" w:cs="微软雅黑"/>
          <w:b w:val="0"/>
          <w:bCs w:val="0"/>
          <w:color w:val="auto"/>
          <w:sz w:val="24"/>
          <w:szCs w:val="24"/>
          <w:highlight w:val="none"/>
        </w:rPr>
        <w:t>质量管理体系、内部检查与考核办法、持续改进措施。</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val="en-US" w:eastAsia="zh-CN"/>
        </w:rPr>
        <w:t>7.</w:t>
      </w:r>
      <w:r>
        <w:rPr>
          <w:rFonts w:hint="eastAsia" w:ascii="微软雅黑" w:hAnsi="微软雅黑" w:eastAsia="微软雅黑" w:cs="微软雅黑"/>
          <w:b w:val="0"/>
          <w:bCs w:val="0"/>
          <w:color w:val="auto"/>
          <w:sz w:val="24"/>
          <w:szCs w:val="24"/>
          <w:highlight w:val="none"/>
        </w:rPr>
        <w:t>应急预案（人员短缺、突发事件、投诉</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医疗纠纷</w:t>
      </w:r>
      <w:r>
        <w:rPr>
          <w:rFonts w:hint="eastAsia" w:ascii="微软雅黑" w:hAnsi="微软雅黑" w:eastAsia="微软雅黑" w:cs="微软雅黑"/>
          <w:b w:val="0"/>
          <w:bCs w:val="0"/>
          <w:color w:val="auto"/>
          <w:sz w:val="24"/>
          <w:szCs w:val="24"/>
          <w:highlight w:val="none"/>
        </w:rPr>
        <w:t>处理、工伤/感控暴露处理等）。</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val="en-US" w:eastAsia="zh-CN"/>
        </w:rPr>
        <w:t>8.</w:t>
      </w:r>
      <w:r>
        <w:rPr>
          <w:rFonts w:hint="eastAsia" w:ascii="微软雅黑" w:hAnsi="微软雅黑" w:eastAsia="微软雅黑" w:cs="微软雅黑"/>
          <w:b w:val="0"/>
          <w:bCs w:val="0"/>
          <w:color w:val="auto"/>
          <w:sz w:val="24"/>
          <w:szCs w:val="24"/>
          <w:highlight w:val="none"/>
        </w:rPr>
        <w:t>保障人员稳定性（薪酬福利设计、激励机制、关怀措施）及降低流失率的具体措施。</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val="en-US" w:eastAsia="zh-CN"/>
        </w:rPr>
        <w:t>9.</w:t>
      </w:r>
      <w:r>
        <w:rPr>
          <w:rFonts w:hint="eastAsia" w:ascii="微软雅黑" w:hAnsi="微软雅黑" w:eastAsia="微软雅黑" w:cs="微软雅黑"/>
          <w:b w:val="0"/>
          <w:bCs w:val="0"/>
          <w:color w:val="auto"/>
          <w:sz w:val="24"/>
          <w:szCs w:val="24"/>
          <w:highlight w:val="none"/>
        </w:rPr>
        <w:t>安全管理制度与措施。</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val="en-US" w:eastAsia="zh-CN"/>
        </w:rPr>
        <w:t>10.</w:t>
      </w:r>
      <w:r>
        <w:rPr>
          <w:rFonts w:hint="eastAsia" w:ascii="微软雅黑" w:hAnsi="微软雅黑" w:eastAsia="微软雅黑" w:cs="微软雅黑"/>
          <w:b w:val="0"/>
          <w:bCs w:val="0"/>
          <w:color w:val="auto"/>
          <w:sz w:val="24"/>
          <w:szCs w:val="24"/>
          <w:highlight w:val="none"/>
        </w:rPr>
        <w:t>信息保密方案。</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val="en-US" w:eastAsia="zh-CN"/>
        </w:rPr>
        <w:t>11.</w:t>
      </w:r>
      <w:r>
        <w:rPr>
          <w:rFonts w:hint="eastAsia" w:ascii="微软雅黑" w:hAnsi="微软雅黑" w:eastAsia="微软雅黑" w:cs="微软雅黑"/>
          <w:b w:val="0"/>
          <w:bCs w:val="0"/>
          <w:color w:val="auto"/>
          <w:sz w:val="24"/>
          <w:szCs w:val="24"/>
          <w:highlight w:val="none"/>
        </w:rPr>
        <w:t>对医院流程的熟悉与对接计划。</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val="en-US" w:eastAsia="zh-CN"/>
        </w:rPr>
        <w:t>12.</w:t>
      </w:r>
      <w:r>
        <w:rPr>
          <w:rFonts w:hint="eastAsia" w:ascii="微软雅黑" w:hAnsi="微软雅黑" w:eastAsia="微软雅黑" w:cs="微软雅黑"/>
          <w:b w:val="0"/>
          <w:bCs w:val="0"/>
          <w:color w:val="auto"/>
          <w:sz w:val="24"/>
          <w:szCs w:val="24"/>
          <w:highlight w:val="none"/>
        </w:rPr>
        <w:t>拟投入的项目管理团队人员名单、简历及相关经验。</w:t>
      </w:r>
    </w:p>
    <w:p>
      <w:pPr>
        <w:keepNext w:val="0"/>
        <w:keepLines w:val="0"/>
        <w:pageBreakBefore w:val="0"/>
        <w:widowControl/>
        <w:kinsoku/>
        <w:wordWrap/>
        <w:overflowPunct/>
        <w:topLinePunct w:val="0"/>
        <w:autoSpaceDE/>
        <w:autoSpaceDN/>
        <w:bidi w:val="0"/>
        <w:adjustRightInd/>
        <w:snapToGrid/>
        <w:spacing w:line="560" w:lineRule="exact"/>
        <w:ind w:right="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一</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通用人员要求：</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1.基本条件：</w:t>
      </w:r>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1</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年龄：一般18-55周岁（特殊岗位或能力突出者可适当放宽），身体健康，能胜任岗位劳动强度（如长时间站立、搬运、协助患者活动等）。</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2</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身份证明：持有合法有效的中华人民共和国居民身份证。</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3</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健康证明：必须提供指定或认可的医疗机构出具的、在有效期内的健康体检合格证明（必须包含但不限于：</w:t>
      </w:r>
      <w:r>
        <w:rPr>
          <w:rFonts w:hint="eastAsia" w:ascii="微软雅黑" w:hAnsi="微软雅黑" w:eastAsia="微软雅黑" w:cs="微软雅黑"/>
          <w:b w:val="0"/>
          <w:bCs w:val="0"/>
          <w:color w:val="auto"/>
          <w:sz w:val="24"/>
          <w:szCs w:val="24"/>
          <w:highlight w:val="none"/>
          <w:lang w:eastAsia="zh-CN"/>
        </w:rPr>
        <w:t>艾滋病抗体检测、丙型</w:t>
      </w:r>
      <w:r>
        <w:rPr>
          <w:rFonts w:hint="eastAsia" w:ascii="微软雅黑" w:hAnsi="微软雅黑" w:eastAsia="微软雅黑" w:cs="微软雅黑"/>
          <w:b w:val="0"/>
          <w:bCs w:val="0"/>
          <w:color w:val="auto"/>
          <w:sz w:val="24"/>
          <w:szCs w:val="24"/>
          <w:highlight w:val="none"/>
        </w:rPr>
        <w:t>肝</w:t>
      </w:r>
      <w:r>
        <w:rPr>
          <w:rFonts w:hint="eastAsia" w:ascii="微软雅黑" w:hAnsi="微软雅黑" w:eastAsia="微软雅黑" w:cs="微软雅黑"/>
          <w:b w:val="0"/>
          <w:bCs w:val="0"/>
          <w:color w:val="auto"/>
          <w:sz w:val="24"/>
          <w:szCs w:val="24"/>
          <w:highlight w:val="none"/>
          <w:lang w:eastAsia="zh-CN"/>
        </w:rPr>
        <w:t>炎抗体检测</w:t>
      </w:r>
      <w:r>
        <w:rPr>
          <w:rFonts w:hint="eastAsia" w:ascii="微软雅黑" w:hAnsi="微软雅黑" w:eastAsia="微软雅黑" w:cs="微软雅黑"/>
          <w:b w:val="0"/>
          <w:bCs w:val="0"/>
          <w:color w:val="auto"/>
          <w:sz w:val="24"/>
          <w:szCs w:val="24"/>
          <w:highlight w:val="none"/>
        </w:rPr>
        <w:t>、</w:t>
      </w:r>
      <w:r>
        <w:rPr>
          <w:rFonts w:hint="eastAsia" w:ascii="微软雅黑" w:hAnsi="微软雅黑" w:eastAsia="微软雅黑" w:cs="微软雅黑"/>
          <w:b w:val="0"/>
          <w:bCs w:val="0"/>
          <w:color w:val="auto"/>
          <w:sz w:val="24"/>
          <w:szCs w:val="24"/>
          <w:highlight w:val="none"/>
          <w:lang w:eastAsia="zh-CN"/>
        </w:rPr>
        <w:t>梅毒血清学检测等法定</w:t>
      </w:r>
      <w:r>
        <w:rPr>
          <w:rFonts w:hint="eastAsia" w:ascii="微软雅黑" w:hAnsi="微软雅黑" w:eastAsia="微软雅黑" w:cs="微软雅黑"/>
          <w:b w:val="0"/>
          <w:bCs w:val="0"/>
          <w:color w:val="auto"/>
          <w:sz w:val="24"/>
          <w:szCs w:val="24"/>
          <w:highlight w:val="none"/>
        </w:rPr>
        <w:t>传染病项目</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肝功能、</w:t>
      </w:r>
      <w:r>
        <w:rPr>
          <w:rFonts w:hint="eastAsia" w:ascii="微软雅黑" w:hAnsi="微软雅黑" w:eastAsia="微软雅黑" w:cs="微软雅黑"/>
          <w:b w:val="0"/>
          <w:bCs w:val="0"/>
          <w:color w:val="auto"/>
          <w:sz w:val="24"/>
          <w:szCs w:val="24"/>
          <w:highlight w:val="none"/>
        </w:rPr>
        <w:t>胸部X光/肺结核筛查，</w:t>
      </w:r>
      <w:r>
        <w:rPr>
          <w:rFonts w:hint="eastAsia" w:ascii="微软雅黑" w:hAnsi="微软雅黑" w:eastAsia="微软雅黑" w:cs="微软雅黑"/>
          <w:b w:val="0"/>
          <w:bCs w:val="0"/>
          <w:color w:val="auto"/>
          <w:sz w:val="24"/>
          <w:szCs w:val="24"/>
          <w:highlight w:val="none"/>
          <w:lang w:eastAsia="zh-CN"/>
        </w:rPr>
        <w:t>且检测机构须为三级甲</w:t>
      </w:r>
      <w:r>
        <w:rPr>
          <w:rFonts w:hint="eastAsia" w:ascii="微软雅黑" w:hAnsi="微软雅黑" w:eastAsia="微软雅黑" w:cs="微软雅黑"/>
          <w:b w:val="0"/>
          <w:bCs w:val="0"/>
          <w:color w:val="auto"/>
          <w:sz w:val="24"/>
          <w:szCs w:val="24"/>
          <w:highlight w:val="none"/>
        </w:rPr>
        <w:t>等</w:t>
      </w:r>
      <w:r>
        <w:rPr>
          <w:rFonts w:hint="eastAsia" w:ascii="微软雅黑" w:hAnsi="微软雅黑" w:eastAsia="微软雅黑" w:cs="微软雅黑"/>
          <w:b w:val="0"/>
          <w:bCs w:val="0"/>
          <w:color w:val="auto"/>
          <w:sz w:val="24"/>
          <w:szCs w:val="24"/>
          <w:highlight w:val="none"/>
          <w:lang w:eastAsia="zh-CN"/>
        </w:rPr>
        <w:t>医院或采购方指定机构</w:t>
      </w:r>
      <w:r>
        <w:rPr>
          <w:rFonts w:hint="eastAsia" w:ascii="微软雅黑" w:hAnsi="微软雅黑" w:eastAsia="微软雅黑" w:cs="微软雅黑"/>
          <w:b w:val="0"/>
          <w:bCs w:val="0"/>
          <w:color w:val="auto"/>
          <w:sz w:val="24"/>
          <w:szCs w:val="24"/>
          <w:highlight w:val="none"/>
        </w:rPr>
        <w:t>，具体项目按医院要求执行）。工作期间需按医院规定定期复查。无精神类疾病、无严重慢性病或传染病（活动期）。</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4</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品行要求：遵纪守法，无违法犯罪记录（需提供无犯罪记录证明或承诺书），诚实守信，有责任心，有服务意识和爱心。</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5</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语言能力：具备基本的普通话沟通能力（预检分诊人员要求较高），能听懂本地常用方言者优先。</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val="en-US" w:eastAsia="zh-CN"/>
        </w:rPr>
        <w:t>2.上岗人员</w:t>
      </w:r>
      <w:r>
        <w:rPr>
          <w:rFonts w:hint="eastAsia" w:ascii="微软雅黑" w:hAnsi="微软雅黑" w:eastAsia="微软雅黑" w:cs="微软雅黑"/>
          <w:b w:val="0"/>
          <w:bCs w:val="0"/>
          <w:color w:val="auto"/>
          <w:sz w:val="24"/>
          <w:szCs w:val="24"/>
          <w:highlight w:val="none"/>
        </w:rPr>
        <w:t>培训</w:t>
      </w:r>
      <w:r>
        <w:rPr>
          <w:rFonts w:hint="eastAsia" w:ascii="微软雅黑" w:hAnsi="微软雅黑" w:eastAsia="微软雅黑" w:cs="微软雅黑"/>
          <w:b w:val="0"/>
          <w:bCs w:val="0"/>
          <w:color w:val="auto"/>
          <w:sz w:val="24"/>
          <w:szCs w:val="24"/>
          <w:highlight w:val="none"/>
          <w:lang w:val="en-US" w:eastAsia="zh-CN"/>
        </w:rPr>
        <w:t>与考核</w:t>
      </w:r>
      <w:r>
        <w:rPr>
          <w:rFonts w:hint="eastAsia" w:ascii="微软雅黑" w:hAnsi="微软雅黑" w:eastAsia="微软雅黑" w:cs="微软雅黑"/>
          <w:b w:val="0"/>
          <w:bCs w:val="0"/>
          <w:color w:val="auto"/>
          <w:sz w:val="24"/>
          <w:szCs w:val="24"/>
          <w:highlight w:val="none"/>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1</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供应商责任</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中标供应商必须负责所有派遣人员的招聘、背景调查、岗前培训（必须包括但不限于：医院规章制度、岗位职责</w:t>
      </w:r>
      <w:r>
        <w:rPr>
          <w:rFonts w:hint="eastAsia" w:ascii="微软雅黑" w:hAnsi="微软雅黑" w:eastAsia="微软雅黑" w:cs="微软雅黑"/>
          <w:b w:val="0"/>
          <w:bCs w:val="0"/>
          <w:color w:val="auto"/>
          <w:sz w:val="24"/>
          <w:szCs w:val="24"/>
          <w:highlight w:val="none"/>
          <w:lang w:eastAsia="zh-CN"/>
        </w:rPr>
        <w:t>及相应理论知识和技术</w:t>
      </w:r>
      <w:r>
        <w:rPr>
          <w:rFonts w:hint="eastAsia" w:ascii="微软雅黑" w:hAnsi="微软雅黑" w:eastAsia="微软雅黑" w:cs="微软雅黑"/>
          <w:b w:val="0"/>
          <w:bCs w:val="0"/>
          <w:color w:val="auto"/>
          <w:sz w:val="24"/>
          <w:szCs w:val="24"/>
          <w:highlight w:val="none"/>
        </w:rPr>
        <w:t>、服务礼仪、沟通技巧、感染防控知识及操作、手卫生、消防安全、急救基础知识、职业防护、相关法律法规、患者隐私保护等）、在岗持续培训及考核。</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2</w:t>
      </w:r>
      <w:r>
        <w:rPr>
          <w:rFonts w:hint="eastAsia" w:ascii="微软雅黑" w:hAnsi="微软雅黑" w:eastAsia="微软雅黑" w:cs="微软雅黑"/>
          <w:b w:val="0"/>
          <w:bCs w:val="0"/>
          <w:color w:val="auto"/>
          <w:sz w:val="24"/>
          <w:szCs w:val="24"/>
          <w:highlight w:val="none"/>
          <w:lang w:eastAsia="zh-CN"/>
        </w:rPr>
        <w:t>）采购方有权参与所有人员的面试、培训及考核环节，并有权对拟上岗人员的不合格或不符标准情况行使否决权，不予录用或要求更换。供应商应根据采购方反馈及时整改，否则视为违约。</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bookmarkStart w:id="2" w:name="auto_fouce_16"/>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3</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岗前培训与考核：所有人员上岗前，岗前培训</w:t>
      </w:r>
      <w:r>
        <w:rPr>
          <w:rFonts w:hint="eastAsia" w:ascii="微软雅黑" w:hAnsi="微软雅黑" w:eastAsia="微软雅黑" w:cs="微软雅黑"/>
          <w:b w:val="0"/>
          <w:bCs w:val="0"/>
          <w:color w:val="auto"/>
          <w:sz w:val="24"/>
          <w:szCs w:val="24"/>
          <w:highlight w:val="none"/>
          <w:lang w:eastAsia="zh-CN"/>
        </w:rPr>
        <w:t>总课时不得少于40学时</w:t>
      </w:r>
      <w:r>
        <w:rPr>
          <w:rFonts w:hint="eastAsia" w:ascii="微软雅黑" w:hAnsi="微软雅黑" w:eastAsia="微软雅黑" w:cs="微软雅黑"/>
          <w:b w:val="0"/>
          <w:bCs w:val="0"/>
          <w:color w:val="auto"/>
          <w:sz w:val="24"/>
          <w:szCs w:val="24"/>
          <w:highlight w:val="none"/>
        </w:rPr>
        <w:t>，</w:t>
      </w:r>
      <w:r>
        <w:rPr>
          <w:rFonts w:hint="eastAsia" w:ascii="微软雅黑" w:hAnsi="微软雅黑" w:eastAsia="微软雅黑" w:cs="微软雅黑"/>
          <w:b w:val="0"/>
          <w:bCs w:val="0"/>
          <w:color w:val="auto"/>
          <w:sz w:val="24"/>
          <w:szCs w:val="24"/>
          <w:highlight w:val="none"/>
          <w:lang w:eastAsia="zh-CN"/>
        </w:rPr>
        <w:t>其中感染防控培训占比不低于30%，</w:t>
      </w:r>
      <w:r>
        <w:rPr>
          <w:rFonts w:hint="eastAsia" w:ascii="微软雅黑" w:hAnsi="微软雅黑" w:eastAsia="微软雅黑" w:cs="微软雅黑"/>
          <w:b w:val="0"/>
          <w:bCs w:val="0"/>
          <w:color w:val="auto"/>
          <w:sz w:val="24"/>
          <w:szCs w:val="24"/>
          <w:highlight w:val="none"/>
        </w:rPr>
        <w:t>并通过供应商组织的考核（理论和/或操作），考核合格后方可上岗。</w:t>
      </w:r>
      <w:r>
        <w:rPr>
          <w:rFonts w:hint="eastAsia" w:ascii="微软雅黑" w:hAnsi="微软雅黑" w:eastAsia="微软雅黑" w:cs="微软雅黑"/>
          <w:b w:val="0"/>
          <w:bCs w:val="0"/>
          <w:color w:val="auto"/>
          <w:sz w:val="24"/>
          <w:szCs w:val="24"/>
          <w:highlight w:val="none"/>
          <w:lang w:eastAsia="zh-CN"/>
        </w:rPr>
        <w:t>培训记录须经采购方护理</w:t>
      </w:r>
      <w:r>
        <w:rPr>
          <w:rFonts w:hint="eastAsia" w:ascii="微软雅黑" w:hAnsi="微软雅黑" w:eastAsia="微软雅黑" w:cs="微软雅黑"/>
          <w:b w:val="0"/>
          <w:bCs w:val="0"/>
          <w:color w:val="auto"/>
          <w:sz w:val="24"/>
          <w:szCs w:val="24"/>
          <w:highlight w:val="none"/>
          <w:lang w:val="en-US" w:eastAsia="zh-CN"/>
        </w:rPr>
        <w:t>部</w:t>
      </w:r>
      <w:r>
        <w:rPr>
          <w:rFonts w:hint="eastAsia" w:ascii="微软雅黑" w:hAnsi="微软雅黑" w:eastAsia="微软雅黑" w:cs="微软雅黑"/>
          <w:b w:val="0"/>
          <w:bCs w:val="0"/>
          <w:i w:val="0"/>
          <w:iCs w:val="0"/>
          <w:color w:val="auto"/>
          <w:sz w:val="24"/>
          <w:szCs w:val="24"/>
          <w:highlight w:val="none"/>
          <w:lang w:val="en-US" w:eastAsia="zh-CN"/>
        </w:rPr>
        <w:t>签字</w:t>
      </w:r>
      <w:r>
        <w:rPr>
          <w:rFonts w:hint="eastAsia" w:ascii="微软雅黑" w:hAnsi="微软雅黑" w:eastAsia="微软雅黑" w:cs="微软雅黑"/>
          <w:b w:val="0"/>
          <w:bCs w:val="0"/>
          <w:color w:val="auto"/>
          <w:sz w:val="24"/>
          <w:szCs w:val="24"/>
          <w:highlight w:val="none"/>
          <w:lang w:eastAsia="zh-CN"/>
        </w:rPr>
        <w:t>确认方为有效。</w:t>
      </w:r>
      <w:bookmarkEnd w:id="2"/>
      <w:r>
        <w:rPr>
          <w:rFonts w:hint="eastAsia" w:ascii="微软雅黑" w:hAnsi="微软雅黑" w:eastAsia="微软雅黑" w:cs="微软雅黑"/>
          <w:b w:val="0"/>
          <w:bCs w:val="0"/>
          <w:color w:val="auto"/>
          <w:sz w:val="24"/>
          <w:szCs w:val="24"/>
          <w:highlight w:val="none"/>
          <w:lang w:eastAsia="zh-CN"/>
        </w:rPr>
        <w:t>供应商做好</w:t>
      </w:r>
      <w:r>
        <w:rPr>
          <w:rFonts w:hint="eastAsia" w:ascii="微软雅黑" w:hAnsi="微软雅黑" w:eastAsia="微软雅黑" w:cs="微软雅黑"/>
          <w:b w:val="0"/>
          <w:bCs w:val="0"/>
          <w:color w:val="auto"/>
          <w:sz w:val="24"/>
          <w:szCs w:val="24"/>
          <w:highlight w:val="none"/>
        </w:rPr>
        <w:t>培训及考核记录</w:t>
      </w:r>
      <w:r>
        <w:rPr>
          <w:rFonts w:hint="eastAsia" w:ascii="微软雅黑" w:hAnsi="微软雅黑" w:eastAsia="微软雅黑" w:cs="微软雅黑"/>
          <w:b w:val="0"/>
          <w:bCs w:val="0"/>
          <w:color w:val="auto"/>
          <w:sz w:val="24"/>
          <w:szCs w:val="24"/>
          <w:highlight w:val="none"/>
          <w:lang w:eastAsia="zh-CN"/>
        </w:rPr>
        <w:t>留档工作。</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4</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医院特定培训：人员上岗后，需按医院要求参加医院组织的特定岗位培训（如新系统使用、特定流程更新、专项感控要求等）。</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3</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上岗人员</w:t>
      </w:r>
      <w:r>
        <w:rPr>
          <w:rFonts w:hint="eastAsia" w:ascii="微软雅黑" w:hAnsi="微软雅黑" w:eastAsia="微软雅黑" w:cs="微软雅黑"/>
          <w:b w:val="0"/>
          <w:bCs w:val="0"/>
          <w:color w:val="auto"/>
          <w:sz w:val="24"/>
          <w:szCs w:val="24"/>
          <w:highlight w:val="none"/>
        </w:rPr>
        <w:t>形象与行为规范：</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1</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着装统一、整洁、规范（供应商提供符合医院要求的统一工作服、工牌）。</w:t>
      </w:r>
      <w:r>
        <w:rPr>
          <w:rFonts w:hint="eastAsia" w:ascii="微软雅黑" w:hAnsi="微软雅黑" w:eastAsia="微软雅黑" w:cs="微软雅黑"/>
          <w:b w:val="0"/>
          <w:bCs w:val="0"/>
          <w:color w:val="auto"/>
          <w:sz w:val="24"/>
          <w:szCs w:val="24"/>
          <w:highlight w:val="none"/>
        </w:rPr>
        <w:t>工作服应设置显著区分标识且不得标注供应商商号，服装样式须经采购方书面批准。</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2</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仪表端庄，举止文明，态度和蔼，耐心细致。</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val="en-US" w:eastAsia="zh-CN"/>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3</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严格遵守医院各项规章制度、劳动纪律、服务规范和职业道</w:t>
      </w:r>
      <w:r>
        <w:rPr>
          <w:rFonts w:hint="eastAsia" w:ascii="微软雅黑" w:hAnsi="微软雅黑" w:eastAsia="微软雅黑" w:cs="微软雅黑"/>
          <w:b w:val="0"/>
          <w:bCs w:val="0"/>
          <w:color w:val="auto"/>
          <w:sz w:val="24"/>
          <w:szCs w:val="24"/>
          <w:highlight w:val="none"/>
          <w:lang w:val="en-US" w:eastAsia="zh-CN"/>
        </w:rPr>
        <w:t>德。</w:t>
      </w:r>
    </w:p>
    <w:p>
      <w:pPr>
        <w:keepNext w:val="0"/>
        <w:keepLines w:val="0"/>
        <w:pageBreakBefore w:val="0"/>
        <w:widowControl/>
        <w:kinsoku/>
        <w:wordWrap/>
        <w:overflowPunct/>
        <w:topLinePunct w:val="0"/>
        <w:autoSpaceDE/>
        <w:autoSpaceDN/>
        <w:bidi w:val="0"/>
        <w:adjustRightInd/>
        <w:snapToGrid/>
        <w:spacing w:line="560" w:lineRule="exact"/>
        <w:ind w:right="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lang w:val="en-US" w:eastAsia="zh-CN"/>
        </w:rPr>
        <w:t>二</w:t>
      </w:r>
      <w:r>
        <w:rPr>
          <w:rFonts w:hint="eastAsia" w:ascii="微软雅黑" w:hAnsi="微软雅黑" w:eastAsia="微软雅黑" w:cs="微软雅黑"/>
          <w:b w:val="0"/>
          <w:bCs w:val="0"/>
          <w:color w:val="auto"/>
          <w:sz w:val="24"/>
          <w:szCs w:val="24"/>
          <w:highlight w:val="none"/>
          <w:lang w:eastAsia="zh-CN"/>
        </w:rPr>
        <w:t>）</w:t>
      </w:r>
      <w:r>
        <w:rPr>
          <w:rFonts w:hint="eastAsia" w:ascii="微软雅黑" w:hAnsi="微软雅黑" w:eastAsia="微软雅黑" w:cs="微软雅黑"/>
          <w:b w:val="0"/>
          <w:bCs w:val="0"/>
          <w:color w:val="auto"/>
          <w:sz w:val="24"/>
          <w:szCs w:val="24"/>
          <w:highlight w:val="none"/>
        </w:rPr>
        <w:t>服务管理要求：</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1. 人员配置与排班</w:t>
      </w:r>
      <w:r>
        <w:rPr>
          <w:rFonts w:hint="eastAsia" w:ascii="微软雅黑" w:hAnsi="微软雅黑" w:eastAsia="微软雅黑" w:cs="微软雅黑"/>
          <w:b w:val="0"/>
          <w:bCs w:val="0"/>
          <w:color w:val="auto"/>
          <w:sz w:val="24"/>
          <w:szCs w:val="24"/>
          <w:highlight w:val="none"/>
          <w:lang w:val="en-US" w:eastAsia="zh-CN"/>
        </w:rPr>
        <w:t>要求</w:t>
      </w:r>
      <w:r>
        <w:rPr>
          <w:rFonts w:hint="eastAsia" w:ascii="微软雅黑" w:hAnsi="微软雅黑" w:eastAsia="微软雅黑" w:cs="微软雅黑"/>
          <w:b w:val="0"/>
          <w:bCs w:val="0"/>
          <w:color w:val="auto"/>
          <w:sz w:val="24"/>
          <w:szCs w:val="24"/>
          <w:highlight w:val="none"/>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r>
        <w:rPr>
          <w:rFonts w:hint="eastAsia" w:ascii="微软雅黑" w:hAnsi="微软雅黑" w:eastAsia="微软雅黑" w:cs="微软雅黑"/>
          <w:b w:val="0"/>
          <w:bCs w:val="0"/>
          <w:color w:val="auto"/>
          <w:sz w:val="24"/>
          <w:szCs w:val="24"/>
          <w:highlight w:val="none"/>
        </w:rPr>
        <w:t>供应商应根据医院各科室/岗位的实际需求（包括日常需求、高峰时段需求、夜班需求、节假日需求等），科学、合理、足额地配置人员，确保服务无缺位。</w:t>
      </w:r>
      <w:bookmarkStart w:id="3" w:name="auto_fouce_19"/>
      <w:r>
        <w:rPr>
          <w:rFonts w:hint="eastAsia" w:ascii="微软雅黑" w:hAnsi="微软雅黑" w:eastAsia="微软雅黑" w:cs="微软雅黑"/>
          <w:b w:val="0"/>
          <w:bCs w:val="0"/>
          <w:color w:val="auto"/>
          <w:sz w:val="24"/>
          <w:szCs w:val="24"/>
          <w:highlight w:val="none"/>
          <w:lang w:eastAsia="zh-CN"/>
        </w:rPr>
        <w:t>采购方有权</w:t>
      </w:r>
      <w:r>
        <w:rPr>
          <w:rFonts w:hint="eastAsia" w:ascii="微软雅黑" w:hAnsi="微软雅黑" w:eastAsia="微软雅黑" w:cs="微软雅黑"/>
          <w:b w:val="0"/>
          <w:bCs w:val="0"/>
          <w:color w:val="auto"/>
          <w:sz w:val="24"/>
          <w:szCs w:val="24"/>
          <w:highlight w:val="none"/>
        </w:rPr>
        <w:t>根据</w:t>
      </w:r>
      <w:r>
        <w:rPr>
          <w:rFonts w:hint="eastAsia" w:ascii="微软雅黑" w:hAnsi="微软雅黑" w:eastAsia="微软雅黑" w:cs="微软雅黑"/>
          <w:b w:val="0"/>
          <w:bCs w:val="0"/>
          <w:color w:val="auto"/>
          <w:sz w:val="24"/>
          <w:szCs w:val="24"/>
          <w:highlight w:val="none"/>
          <w:lang w:eastAsia="zh-CN"/>
        </w:rPr>
        <w:t>科室开放情况、病患流</w:t>
      </w:r>
      <w:r>
        <w:rPr>
          <w:rFonts w:hint="eastAsia" w:ascii="微软雅黑" w:hAnsi="微软雅黑" w:eastAsia="微软雅黑" w:cs="微软雅黑"/>
          <w:b w:val="0"/>
          <w:bCs w:val="0"/>
          <w:color w:val="auto"/>
          <w:sz w:val="24"/>
          <w:szCs w:val="24"/>
          <w:highlight w:val="none"/>
        </w:rPr>
        <w:t>量</w:t>
      </w:r>
      <w:r>
        <w:rPr>
          <w:rFonts w:hint="eastAsia" w:ascii="微软雅黑" w:hAnsi="微软雅黑" w:eastAsia="微软雅黑" w:cs="微软雅黑"/>
          <w:b w:val="0"/>
          <w:bCs w:val="0"/>
          <w:color w:val="auto"/>
          <w:sz w:val="24"/>
          <w:szCs w:val="24"/>
          <w:highlight w:val="none"/>
          <w:lang w:eastAsia="zh-CN"/>
        </w:rPr>
        <w:t>、政策</w:t>
      </w:r>
      <w:r>
        <w:rPr>
          <w:rFonts w:hint="eastAsia" w:ascii="微软雅黑" w:hAnsi="微软雅黑" w:eastAsia="微软雅黑" w:cs="微软雅黑"/>
          <w:b w:val="0"/>
          <w:bCs w:val="0"/>
          <w:color w:val="auto"/>
          <w:sz w:val="24"/>
          <w:szCs w:val="24"/>
          <w:highlight w:val="none"/>
        </w:rPr>
        <w:t>变化</w:t>
      </w:r>
      <w:r>
        <w:rPr>
          <w:rFonts w:hint="eastAsia" w:ascii="微软雅黑" w:hAnsi="微软雅黑" w:eastAsia="微软雅黑" w:cs="微软雅黑"/>
          <w:b w:val="0"/>
          <w:bCs w:val="0"/>
          <w:color w:val="auto"/>
          <w:sz w:val="24"/>
          <w:szCs w:val="24"/>
          <w:highlight w:val="none"/>
          <w:lang w:eastAsia="zh-CN"/>
        </w:rPr>
        <w:t>等运营需要，</w:t>
      </w:r>
      <w:r>
        <w:rPr>
          <w:rFonts w:hint="eastAsia" w:ascii="微软雅黑" w:hAnsi="微软雅黑" w:eastAsia="微软雅黑" w:cs="微软雅黑"/>
          <w:b w:val="0"/>
          <w:bCs w:val="0"/>
          <w:color w:val="auto"/>
          <w:sz w:val="24"/>
          <w:szCs w:val="24"/>
          <w:highlight w:val="none"/>
        </w:rPr>
        <w:t>动态调整</w:t>
      </w:r>
      <w:r>
        <w:rPr>
          <w:rFonts w:hint="eastAsia" w:ascii="微软雅黑" w:hAnsi="微软雅黑" w:eastAsia="微软雅黑" w:cs="微软雅黑"/>
          <w:b w:val="0"/>
          <w:bCs w:val="0"/>
          <w:color w:val="auto"/>
          <w:sz w:val="24"/>
          <w:szCs w:val="24"/>
          <w:highlight w:val="none"/>
          <w:lang w:eastAsia="zh-CN"/>
        </w:rPr>
        <w:t>各岗位用工</w:t>
      </w:r>
      <w:r>
        <w:rPr>
          <w:rFonts w:hint="eastAsia" w:ascii="微软雅黑" w:hAnsi="微软雅黑" w:eastAsia="微软雅黑" w:cs="微软雅黑"/>
          <w:b w:val="0"/>
          <w:bCs w:val="0"/>
          <w:color w:val="auto"/>
          <w:sz w:val="24"/>
          <w:szCs w:val="24"/>
          <w:highlight w:val="none"/>
        </w:rPr>
        <w:t>人数</w:t>
      </w:r>
      <w:r>
        <w:rPr>
          <w:rFonts w:hint="eastAsia" w:ascii="微软雅黑" w:hAnsi="微软雅黑" w:eastAsia="微软雅黑" w:cs="微软雅黑"/>
          <w:b w:val="0"/>
          <w:bCs w:val="0"/>
          <w:color w:val="auto"/>
          <w:sz w:val="24"/>
          <w:szCs w:val="24"/>
          <w:highlight w:val="none"/>
          <w:lang w:eastAsia="zh-CN"/>
        </w:rPr>
        <w:t>、服务区域及服务内容。采购方须提前3日通知供应商，供应商应无条件配合执行，不得主张任何费用增加。对于服务质量、人数动态调整、绩效考核事项，采购方有</w:t>
      </w:r>
      <w:r>
        <w:rPr>
          <w:rFonts w:hint="eastAsia" w:ascii="微软雅黑" w:hAnsi="微软雅黑" w:eastAsia="微软雅黑" w:cs="微软雅黑"/>
          <w:b w:val="0"/>
          <w:bCs w:val="0"/>
          <w:color w:val="auto"/>
          <w:sz w:val="24"/>
          <w:szCs w:val="24"/>
          <w:highlight w:val="none"/>
        </w:rPr>
        <w:t>权</w:t>
      </w:r>
      <w:r>
        <w:rPr>
          <w:rFonts w:hint="eastAsia" w:ascii="微软雅黑" w:hAnsi="微软雅黑" w:eastAsia="微软雅黑" w:cs="微软雅黑"/>
          <w:b w:val="0"/>
          <w:bCs w:val="0"/>
          <w:color w:val="auto"/>
          <w:sz w:val="24"/>
          <w:szCs w:val="24"/>
          <w:highlight w:val="none"/>
          <w:lang w:eastAsia="zh-CN"/>
        </w:rPr>
        <w:t>单方制定考核标准和整改要求，并明确整改时限（最长不超过5个工作日）</w:t>
      </w:r>
      <w:r>
        <w:rPr>
          <w:rFonts w:hint="eastAsia" w:ascii="微软雅黑" w:hAnsi="微软雅黑" w:eastAsia="微软雅黑" w:cs="微软雅黑"/>
          <w:b w:val="0"/>
          <w:bCs w:val="0"/>
          <w:color w:val="auto"/>
          <w:sz w:val="24"/>
          <w:szCs w:val="24"/>
          <w:highlight w:val="none"/>
        </w:rPr>
        <w:t>。</w:t>
      </w:r>
      <w:r>
        <w:rPr>
          <w:rFonts w:hint="eastAsia" w:ascii="微软雅黑" w:hAnsi="微软雅黑" w:eastAsia="微软雅黑" w:cs="微软雅黑"/>
          <w:b w:val="0"/>
          <w:bCs w:val="0"/>
          <w:color w:val="auto"/>
          <w:sz w:val="24"/>
          <w:szCs w:val="24"/>
          <w:highlight w:val="none"/>
          <w:lang w:eastAsia="zh-CN"/>
        </w:rPr>
        <w:t>供应商应按采购方要求提交整改方案并落实，逾期视为违约。价格调整由双方本着公平合理原则协商确定。</w:t>
      </w:r>
      <w:bookmarkEnd w:id="3"/>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r>
        <w:rPr>
          <w:rFonts w:hint="eastAsia" w:ascii="微软雅黑" w:hAnsi="微软雅黑" w:eastAsia="微软雅黑" w:cs="微软雅黑"/>
          <w:b w:val="0"/>
          <w:bCs w:val="0"/>
          <w:color w:val="auto"/>
          <w:sz w:val="24"/>
          <w:szCs w:val="24"/>
          <w:highlight w:val="none"/>
        </w:rPr>
        <w:t>提供详细的排班计划，确保班次覆盖无缝隙（如24小时轮班制岗位）。人员变动（请假、离职、替岗）需提前通知医院相关管理部门并获得同意，确保及时补充合格人员。</w:t>
      </w:r>
      <w:bookmarkStart w:id="4" w:name="auto_fouce_21"/>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r>
        <w:rPr>
          <w:rFonts w:hint="eastAsia" w:ascii="微软雅黑" w:hAnsi="微软雅黑" w:eastAsia="微软雅黑" w:cs="微软雅黑"/>
          <w:b w:val="0"/>
          <w:bCs w:val="0"/>
          <w:color w:val="auto"/>
          <w:sz w:val="24"/>
          <w:szCs w:val="24"/>
          <w:highlight w:val="none"/>
          <w:lang w:eastAsia="zh-CN"/>
        </w:rPr>
        <w:t>若供应商未按采购方或排班计划足额配置人员，致实际岗位存在空岗，每空岗1人日采购方有权要求供应商按相应日薪标准的3倍向采购方进行赔偿。该赔偿不影响采购方按实际服务情况核减结算费用及追究其他责任。</w:t>
      </w:r>
      <w:bookmarkEnd w:id="4"/>
    </w:p>
    <w:p>
      <w:pPr>
        <w:keepNext w:val="0"/>
        <w:keepLines w:val="0"/>
        <w:pageBreakBefore w:val="0"/>
        <w:widowControl/>
        <w:kinsoku/>
        <w:wordWrap/>
        <w:overflowPunct/>
        <w:topLinePunct w:val="0"/>
        <w:autoSpaceDE/>
        <w:autoSpaceDN/>
        <w:bidi w:val="0"/>
        <w:adjustRightInd/>
        <w:snapToGrid/>
        <w:spacing w:line="560" w:lineRule="exact"/>
        <w:ind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bookmarkStart w:id="5" w:name="auto_fouce_22"/>
      <w:r>
        <w:rPr>
          <w:rFonts w:hint="eastAsia" w:ascii="微软雅黑" w:hAnsi="微软雅黑" w:eastAsia="微软雅黑" w:cs="微软雅黑"/>
          <w:b w:val="0"/>
          <w:bCs w:val="0"/>
          <w:color w:val="auto"/>
          <w:sz w:val="24"/>
          <w:szCs w:val="24"/>
          <w:highlight w:val="none"/>
        </w:rPr>
        <w:t>保证人员稳定性，降低频繁更换率。</w:t>
      </w:r>
      <w:r>
        <w:rPr>
          <w:rFonts w:hint="eastAsia" w:ascii="微软雅黑" w:hAnsi="微软雅黑" w:eastAsia="微软雅黑" w:cs="微软雅黑"/>
          <w:b w:val="0"/>
          <w:bCs w:val="0"/>
          <w:color w:val="auto"/>
          <w:sz w:val="24"/>
          <w:szCs w:val="24"/>
          <w:highlight w:val="none"/>
          <w:lang w:eastAsia="zh-CN"/>
        </w:rPr>
        <w:t>年度人员更换率不得高于10%，如超过，供应商应承担违约责任，并在48小时内补足合格人员。供应商应在收到采购方人员调整或补充通知后5个工作日内完成相应人员的补充，每逾期一日，按当月服务费总额的1%向采购方支付违约金。若供应商人员流失率超过15%，采购方有权按流失人数扣除当月管理费的200%作为违约金，且可单方解除合同。普通病区医疗护理员及医辅人员年流失率不得超过15%，门急诊/预检分诊不得超过10%。人员离职、请假或调动导致岗位空缺时，供应商须在3日内补充到位，超过期限视为违约，采购方有权扣减服务费并按每天每人500元收取违约金。流失率超标时，采购方可按比例扣减年度服务费用。</w:t>
      </w:r>
      <w:r>
        <w:rPr>
          <w:rFonts w:hint="eastAsia" w:ascii="微软雅黑" w:hAnsi="微软雅黑" w:eastAsia="微软雅黑" w:cs="微软雅黑"/>
          <w:b w:val="0"/>
          <w:bCs w:val="0"/>
          <w:color w:val="auto"/>
          <w:sz w:val="24"/>
          <w:szCs w:val="24"/>
          <w:highlight w:val="none"/>
        </w:rPr>
        <w:t>明确约定人员流失率上限及补充到位时限。</w:t>
      </w:r>
      <w:r>
        <w:rPr>
          <w:rFonts w:hint="eastAsia" w:ascii="微软雅黑" w:hAnsi="微软雅黑" w:eastAsia="微软雅黑" w:cs="微软雅黑"/>
          <w:b w:val="0"/>
          <w:bCs w:val="0"/>
          <w:color w:val="auto"/>
          <w:sz w:val="24"/>
          <w:szCs w:val="24"/>
          <w:highlight w:val="none"/>
          <w:lang w:eastAsia="zh-CN"/>
        </w:rPr>
        <w:t>同一岗位人员年度替换率超过30%时，供应商需承担专项培训费每人次</w:t>
      </w:r>
      <w:r>
        <w:rPr>
          <w:rFonts w:hint="eastAsia" w:ascii="微软雅黑" w:hAnsi="微软雅黑" w:eastAsia="微软雅黑" w:cs="微软雅黑"/>
          <w:b w:val="0"/>
          <w:bCs w:val="0"/>
          <w:color w:val="auto"/>
          <w:sz w:val="24"/>
          <w:szCs w:val="24"/>
          <w:highlight w:val="none"/>
          <w:lang w:val="en-US" w:eastAsia="zh-CN"/>
        </w:rPr>
        <w:t>1</w:t>
      </w:r>
      <w:r>
        <w:rPr>
          <w:rFonts w:hint="eastAsia" w:ascii="微软雅黑" w:hAnsi="微软雅黑" w:eastAsia="微软雅黑" w:cs="微软雅黑"/>
          <w:b w:val="0"/>
          <w:bCs w:val="0"/>
          <w:color w:val="auto"/>
          <w:sz w:val="24"/>
          <w:szCs w:val="24"/>
          <w:highlight w:val="none"/>
          <w:lang w:eastAsia="zh-CN"/>
        </w:rPr>
        <w:t>000元。</w:t>
      </w:r>
      <w:bookmarkEnd w:id="5"/>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2.</w:t>
      </w:r>
      <w:r>
        <w:rPr>
          <w:rFonts w:hint="eastAsia" w:ascii="微软雅黑" w:hAnsi="微软雅黑" w:eastAsia="微软雅黑" w:cs="微软雅黑"/>
          <w:b w:val="0"/>
          <w:bCs w:val="0"/>
          <w:color w:val="auto"/>
          <w:sz w:val="24"/>
          <w:szCs w:val="24"/>
          <w:highlight w:val="none"/>
          <w:lang w:val="en-US" w:eastAsia="zh-CN"/>
        </w:rPr>
        <w:t>合同签订后的</w:t>
      </w:r>
      <w:r>
        <w:rPr>
          <w:rFonts w:hint="eastAsia" w:ascii="微软雅黑" w:hAnsi="微软雅黑" w:eastAsia="微软雅黑" w:cs="微软雅黑"/>
          <w:b w:val="0"/>
          <w:bCs w:val="0"/>
          <w:color w:val="auto"/>
          <w:sz w:val="24"/>
          <w:szCs w:val="24"/>
          <w:highlight w:val="none"/>
        </w:rPr>
        <w:t>日常管理与沟通</w:t>
      </w:r>
      <w:r>
        <w:rPr>
          <w:rFonts w:hint="eastAsia" w:ascii="微软雅黑" w:hAnsi="微软雅黑" w:eastAsia="微软雅黑" w:cs="微软雅黑"/>
          <w:b w:val="0"/>
          <w:bCs w:val="0"/>
          <w:color w:val="auto"/>
          <w:sz w:val="24"/>
          <w:szCs w:val="24"/>
          <w:highlight w:val="none"/>
          <w:lang w:val="en-US" w:eastAsia="zh-CN"/>
        </w:rPr>
        <w:t>要求</w:t>
      </w:r>
      <w:r>
        <w:rPr>
          <w:rFonts w:hint="eastAsia" w:ascii="微软雅黑" w:hAnsi="微软雅黑" w:eastAsia="微软雅黑" w:cs="微软雅黑"/>
          <w:b w:val="0"/>
          <w:bCs w:val="0"/>
          <w:color w:val="auto"/>
          <w:sz w:val="24"/>
          <w:szCs w:val="24"/>
          <w:highlight w:val="none"/>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供应商需在医院指定地点设立常驻现场管理人员（项目主管/经理），负责人员的日常管理、工作协调、质量检查、问题处理、与医院各部门的沟通联络。</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r>
        <w:rPr>
          <w:rFonts w:hint="eastAsia" w:ascii="微软雅黑" w:hAnsi="微软雅黑" w:eastAsia="微软雅黑" w:cs="微软雅黑"/>
          <w:b w:val="0"/>
          <w:bCs w:val="0"/>
          <w:color w:val="auto"/>
          <w:sz w:val="24"/>
          <w:szCs w:val="24"/>
          <w:highlight w:val="none"/>
          <w:lang w:eastAsia="zh-CN"/>
        </w:rPr>
        <w:t>供应商管理人员每月现场巡查不得少于4次，如巡查次数不足，每次少巡查1次，采购方有权在当月管理费中扣减5%。 采购方对服务项目中具体派遣人员享有一票否决权，如采购方认定某人员不符合岗位要求，有权随时书面通知供应商更换，供应商需于24小时内完成人员替换。遇突发事件，供应商必须在2小时内增派临时管理人员，及时响应采购方应急需求。</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建立畅通、高效的沟通机制（如定期例会、即时通讯群、紧急联系人制度）。</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bookmarkStart w:id="6" w:name="auto_fouce_26"/>
      <w:r>
        <w:rPr>
          <w:rFonts w:hint="eastAsia" w:ascii="微软雅黑" w:hAnsi="微软雅黑" w:eastAsia="微软雅黑" w:cs="微软雅黑"/>
          <w:b w:val="0"/>
          <w:bCs w:val="0"/>
          <w:color w:val="auto"/>
          <w:sz w:val="24"/>
          <w:szCs w:val="24"/>
          <w:highlight w:val="none"/>
        </w:rPr>
        <w:t>供应商管理人员需定期向医院相关部门汇报工作，接受医院的监督、指导与考核。</w:t>
      </w:r>
      <w:r>
        <w:rPr>
          <w:rFonts w:hint="eastAsia" w:ascii="微软雅黑" w:hAnsi="微软雅黑" w:eastAsia="微软雅黑" w:cs="微软雅黑"/>
          <w:b w:val="0"/>
          <w:bCs w:val="0"/>
          <w:color w:val="auto"/>
          <w:sz w:val="24"/>
          <w:szCs w:val="24"/>
          <w:highlight w:val="none"/>
          <w:lang w:eastAsia="zh-CN"/>
        </w:rPr>
        <w:t>供应商每月5日前须提供上月所有在岗人员的完整考勤记录、培训记录、考核结果及保险缴纳凭证，逾期提交视为违约并按日千分之三支付违约金。因政策调整或医院业务变化需要变更服务内容时，采购方有权提出变更，供应商应于收到采购方书面变更通知之日起7日内予以响应，双方按采购方要求签署补充协议。采购方有权委托第三方审计机构对供应商服务人数、服务质量及成本构成进行专项审计，供应商须全面配合并提供考勤、工资发放等所有相关原始凭证。</w:t>
      </w:r>
      <w:bookmarkEnd w:id="6"/>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3.质量控制与持续改进</w:t>
      </w:r>
      <w:r>
        <w:rPr>
          <w:rFonts w:hint="eastAsia" w:ascii="微软雅黑" w:hAnsi="微软雅黑" w:eastAsia="微软雅黑" w:cs="微软雅黑"/>
          <w:b w:val="0"/>
          <w:bCs w:val="0"/>
          <w:color w:val="auto"/>
          <w:sz w:val="24"/>
          <w:szCs w:val="24"/>
          <w:highlight w:val="none"/>
          <w:lang w:val="en-US" w:eastAsia="zh-CN"/>
        </w:rPr>
        <w:t>要求</w:t>
      </w:r>
      <w:r>
        <w:rPr>
          <w:rFonts w:hint="eastAsia" w:ascii="微软雅黑" w:hAnsi="微软雅黑" w:eastAsia="微软雅黑" w:cs="微软雅黑"/>
          <w:b w:val="0"/>
          <w:bCs w:val="0"/>
          <w:color w:val="auto"/>
          <w:sz w:val="24"/>
          <w:szCs w:val="24"/>
          <w:highlight w:val="none"/>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供应商应建立完善的服务质量管理体系，制定内部质量检查标准和流程，定期进行服务质量自查、巡查。</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bookmarkStart w:id="7" w:name="auto_fouce_27"/>
      <w:r>
        <w:rPr>
          <w:rFonts w:hint="eastAsia" w:ascii="微软雅黑" w:hAnsi="微软雅黑" w:eastAsia="微软雅黑" w:cs="微软雅黑"/>
          <w:b w:val="0"/>
          <w:bCs w:val="0"/>
          <w:color w:val="auto"/>
          <w:sz w:val="24"/>
          <w:szCs w:val="24"/>
          <w:highlight w:val="none"/>
        </w:rPr>
        <w:t>接受并积极配合医院对服务质量的监督、检查、考核（包括日常检查、患者满意度调查、专项检查等）。</w:t>
      </w:r>
      <w:r>
        <w:rPr>
          <w:rFonts w:hint="eastAsia" w:ascii="微软雅黑" w:hAnsi="微软雅黑" w:eastAsia="微软雅黑" w:cs="微软雅黑"/>
          <w:b w:val="0"/>
          <w:bCs w:val="0"/>
          <w:color w:val="auto"/>
          <w:sz w:val="24"/>
          <w:szCs w:val="24"/>
          <w:highlight w:val="none"/>
          <w:lang w:eastAsia="zh-CN"/>
        </w:rPr>
        <w:t>采购方有权随机调取服务过程监控录像进行质量抽查，发现违规行为可直接从服务费中扣除违约金。连续三个月患者满意度低于85%或出现两次重大投诉，采购方有权单方解除合同且不承担任何违约责任。</w:t>
      </w:r>
      <w:bookmarkEnd w:id="7"/>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bookmarkStart w:id="8" w:name="auto_fouce_28"/>
      <w:r>
        <w:rPr>
          <w:rFonts w:hint="eastAsia" w:ascii="微软雅黑" w:hAnsi="微软雅黑" w:eastAsia="微软雅黑" w:cs="微软雅黑"/>
          <w:b w:val="0"/>
          <w:bCs w:val="0"/>
          <w:color w:val="auto"/>
          <w:sz w:val="24"/>
          <w:szCs w:val="24"/>
          <w:highlight w:val="none"/>
        </w:rPr>
        <w:t>对医院提出的问题、投诉和建议，</w:t>
      </w:r>
      <w:r>
        <w:rPr>
          <w:rFonts w:hint="eastAsia" w:ascii="微软雅黑" w:hAnsi="微软雅黑" w:eastAsia="微软雅黑" w:cs="微软雅黑"/>
          <w:b w:val="0"/>
          <w:bCs w:val="0"/>
          <w:color w:val="auto"/>
          <w:sz w:val="24"/>
          <w:szCs w:val="24"/>
          <w:highlight w:val="none"/>
          <w:lang w:eastAsia="zh-CN"/>
        </w:rPr>
        <w:t>供应商须</w:t>
      </w:r>
      <w:r>
        <w:rPr>
          <w:rFonts w:hint="eastAsia" w:ascii="微软雅黑" w:hAnsi="微软雅黑" w:eastAsia="微软雅黑" w:cs="微软雅黑"/>
          <w:b w:val="0"/>
          <w:bCs w:val="0"/>
          <w:color w:val="auto"/>
          <w:sz w:val="24"/>
          <w:szCs w:val="24"/>
          <w:highlight w:val="none"/>
        </w:rPr>
        <w:t>在</w:t>
      </w:r>
      <w:r>
        <w:rPr>
          <w:rFonts w:hint="eastAsia" w:ascii="微软雅黑" w:hAnsi="微软雅黑" w:eastAsia="微软雅黑" w:cs="微软雅黑"/>
          <w:b w:val="0"/>
          <w:bCs w:val="0"/>
          <w:color w:val="auto"/>
          <w:sz w:val="24"/>
          <w:szCs w:val="24"/>
          <w:highlight w:val="none"/>
          <w:lang w:eastAsia="zh-CN"/>
        </w:rPr>
        <w:t>1</w:t>
      </w:r>
      <w:r>
        <w:rPr>
          <w:rFonts w:hint="eastAsia" w:ascii="微软雅黑" w:hAnsi="微软雅黑" w:eastAsia="微软雅黑" w:cs="微软雅黑"/>
          <w:b w:val="0"/>
          <w:bCs w:val="0"/>
          <w:color w:val="auto"/>
          <w:sz w:val="24"/>
          <w:szCs w:val="24"/>
          <w:highlight w:val="none"/>
        </w:rPr>
        <w:t>2小时内</w:t>
      </w:r>
      <w:r>
        <w:rPr>
          <w:rFonts w:hint="eastAsia" w:ascii="微软雅黑" w:hAnsi="微软雅黑" w:eastAsia="微软雅黑" w:cs="微软雅黑"/>
          <w:b w:val="0"/>
          <w:bCs w:val="0"/>
          <w:color w:val="auto"/>
          <w:sz w:val="24"/>
          <w:szCs w:val="24"/>
          <w:highlight w:val="none"/>
          <w:lang w:eastAsia="zh-CN"/>
        </w:rPr>
        <w:t>以书面形式</w:t>
      </w:r>
      <w:r>
        <w:rPr>
          <w:rFonts w:hint="eastAsia" w:ascii="微软雅黑" w:hAnsi="微软雅黑" w:eastAsia="微软雅黑" w:cs="微软雅黑"/>
          <w:b w:val="0"/>
          <w:bCs w:val="0"/>
          <w:color w:val="auto"/>
          <w:sz w:val="24"/>
          <w:szCs w:val="24"/>
          <w:highlight w:val="none"/>
        </w:rPr>
        <w:t>响应</w:t>
      </w:r>
      <w:r>
        <w:rPr>
          <w:rFonts w:hint="eastAsia" w:ascii="微软雅黑" w:hAnsi="微软雅黑" w:eastAsia="微软雅黑" w:cs="微软雅黑"/>
          <w:b w:val="0"/>
          <w:bCs w:val="0"/>
          <w:color w:val="auto"/>
          <w:sz w:val="24"/>
          <w:szCs w:val="24"/>
          <w:highlight w:val="none"/>
          <w:lang w:eastAsia="zh-CN"/>
        </w:rPr>
        <w:t>并提交整改方案</w:t>
      </w:r>
      <w:r>
        <w:rPr>
          <w:rFonts w:hint="eastAsia" w:ascii="微软雅黑" w:hAnsi="微软雅黑" w:eastAsia="微软雅黑" w:cs="微软雅黑"/>
          <w:b w:val="0"/>
          <w:bCs w:val="0"/>
          <w:color w:val="auto"/>
          <w:sz w:val="24"/>
          <w:szCs w:val="24"/>
          <w:highlight w:val="none"/>
        </w:rPr>
        <w:t>，查明原因，</w:t>
      </w:r>
      <w:r>
        <w:rPr>
          <w:rFonts w:hint="eastAsia" w:ascii="微软雅黑" w:hAnsi="微软雅黑" w:eastAsia="微软雅黑" w:cs="微软雅黑"/>
          <w:b w:val="0"/>
          <w:bCs w:val="0"/>
          <w:color w:val="auto"/>
          <w:sz w:val="24"/>
          <w:szCs w:val="24"/>
          <w:highlight w:val="none"/>
          <w:lang w:eastAsia="zh-CN"/>
        </w:rPr>
        <w:t>及时落实</w:t>
      </w:r>
      <w:r>
        <w:rPr>
          <w:rFonts w:hint="eastAsia" w:ascii="微软雅黑" w:hAnsi="微软雅黑" w:eastAsia="微软雅黑" w:cs="微软雅黑"/>
          <w:b w:val="0"/>
          <w:bCs w:val="0"/>
          <w:color w:val="auto"/>
          <w:sz w:val="24"/>
          <w:szCs w:val="24"/>
          <w:highlight w:val="none"/>
        </w:rPr>
        <w:t>整改措施并反馈处理结果。</w:t>
      </w:r>
      <w:r>
        <w:rPr>
          <w:rFonts w:hint="eastAsia" w:ascii="微软雅黑" w:hAnsi="微软雅黑" w:eastAsia="微软雅黑" w:cs="微软雅黑"/>
          <w:b w:val="0"/>
          <w:bCs w:val="0"/>
          <w:color w:val="auto"/>
          <w:sz w:val="24"/>
          <w:szCs w:val="24"/>
          <w:highlight w:val="none"/>
          <w:lang w:eastAsia="zh-CN"/>
        </w:rPr>
        <w:t>采购方每月有权对供应商服务质量进行评分，连续两个月评分低于80分，或单月评分低于60分的，采购方有权扣除当月服务费10%-30%作为违约金，具体比例由采购方依据评分等级决定。未及时或整改不到位的，采购方有权扣减当月服务费用，或直接更换不合格人员直至单方解除合同并追究违约责任。</w:t>
      </w:r>
      <w:bookmarkEnd w:id="8"/>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定期（如每季度）进行服务评估，主动提出改进建议。</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4.</w:t>
      </w:r>
      <w:r>
        <w:rPr>
          <w:rFonts w:hint="eastAsia" w:ascii="微软雅黑" w:hAnsi="微软雅黑" w:eastAsia="微软雅黑" w:cs="微软雅黑"/>
          <w:b w:val="0"/>
          <w:bCs w:val="0"/>
          <w:color w:val="auto"/>
          <w:sz w:val="24"/>
          <w:szCs w:val="24"/>
          <w:highlight w:val="none"/>
          <w:lang w:val="en-US" w:eastAsia="zh-CN"/>
        </w:rPr>
        <w:t>供应商应急预案要求</w:t>
      </w:r>
      <w:r>
        <w:rPr>
          <w:rFonts w:hint="eastAsia" w:ascii="微软雅黑" w:hAnsi="微软雅黑" w:eastAsia="微软雅黑" w:cs="微软雅黑"/>
          <w:b w:val="0"/>
          <w:bCs w:val="0"/>
          <w:color w:val="auto"/>
          <w:sz w:val="24"/>
          <w:szCs w:val="24"/>
          <w:highlight w:val="none"/>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 xml:space="preserve"> 建立健全的安全生产责任制和应急预案，加强人员安全教育培训（特别是职业防护、搬运技巧、防跌倒、消防等）。</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bookmarkStart w:id="9" w:name="auto_fouce_31"/>
      <w:r>
        <w:rPr>
          <w:rFonts w:hint="eastAsia" w:ascii="微软雅黑" w:hAnsi="微软雅黑" w:eastAsia="微软雅黑" w:cs="微软雅黑"/>
          <w:b w:val="0"/>
          <w:bCs w:val="0"/>
          <w:color w:val="auto"/>
          <w:sz w:val="24"/>
          <w:szCs w:val="24"/>
          <w:highlight w:val="none"/>
        </w:rPr>
        <w:t>发生工伤、服务纠纷、安全事件、传染病暴露等突发事件时，供应商须立即启动预案，妥善处理，并及时报告医院。</w:t>
      </w:r>
      <w:r>
        <w:rPr>
          <w:rFonts w:hint="eastAsia" w:ascii="微软雅黑" w:hAnsi="微软雅黑" w:eastAsia="微软雅黑" w:cs="微软雅黑"/>
          <w:b w:val="0"/>
          <w:bCs w:val="0"/>
          <w:color w:val="auto"/>
          <w:sz w:val="24"/>
          <w:szCs w:val="24"/>
          <w:highlight w:val="none"/>
          <w:lang w:eastAsia="zh-CN"/>
        </w:rPr>
        <w:t>供应商应在接到突发事件通知后30分钟内到达现场处置，每延迟30分钟扣除当月服务费1%作为违约金。相关事故原因、责任、处理结果等事项的最终解释权归采购方所有，供应商须积极配合采购方处理全部调查、善后及应对，不得以信息保密、知情权等理由拖延或拒绝配合。</w:t>
      </w:r>
      <w:bookmarkEnd w:id="9"/>
      <w:bookmarkStart w:id="10" w:name="auto_fouce_32"/>
    </w:p>
    <w:bookmarkEnd w:id="10"/>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rPr>
      </w:pPr>
      <w:r>
        <w:rPr>
          <w:rFonts w:hint="eastAsia" w:ascii="微软雅黑" w:hAnsi="微软雅黑" w:eastAsia="微软雅黑" w:cs="微软雅黑"/>
          <w:b w:val="0"/>
          <w:bCs w:val="0"/>
          <w:color w:val="auto"/>
          <w:sz w:val="24"/>
          <w:szCs w:val="24"/>
          <w:highlight w:val="none"/>
        </w:rPr>
        <w:t>5.信息保密</w:t>
      </w:r>
      <w:r>
        <w:rPr>
          <w:rFonts w:hint="eastAsia" w:ascii="微软雅黑" w:hAnsi="微软雅黑" w:eastAsia="微软雅黑" w:cs="微软雅黑"/>
          <w:b w:val="0"/>
          <w:bCs w:val="0"/>
          <w:color w:val="auto"/>
          <w:sz w:val="24"/>
          <w:szCs w:val="24"/>
          <w:highlight w:val="none"/>
          <w:lang w:val="en-US" w:eastAsia="zh-CN"/>
        </w:rPr>
        <w:t>要求</w:t>
      </w:r>
      <w:r>
        <w:rPr>
          <w:rFonts w:hint="eastAsia" w:ascii="微软雅黑" w:hAnsi="微软雅黑" w:eastAsia="微软雅黑" w:cs="微软雅黑"/>
          <w:b w:val="0"/>
          <w:bCs w:val="0"/>
          <w:color w:val="auto"/>
          <w:sz w:val="24"/>
          <w:szCs w:val="24"/>
          <w:highlight w:val="none"/>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r>
        <w:rPr>
          <w:rFonts w:hint="eastAsia" w:ascii="微软雅黑" w:hAnsi="微软雅黑" w:eastAsia="微软雅黑" w:cs="微软雅黑"/>
          <w:b w:val="0"/>
          <w:bCs w:val="0"/>
          <w:color w:val="auto"/>
          <w:sz w:val="24"/>
          <w:szCs w:val="24"/>
          <w:highlight w:val="none"/>
        </w:rPr>
        <w:t xml:space="preserve"> </w:t>
      </w:r>
      <w:bookmarkStart w:id="11" w:name="auto_fouce_35"/>
      <w:r>
        <w:rPr>
          <w:rFonts w:hint="eastAsia" w:ascii="微软雅黑" w:hAnsi="微软雅黑" w:eastAsia="微软雅黑" w:cs="微软雅黑"/>
          <w:b w:val="0"/>
          <w:bCs w:val="0"/>
          <w:color w:val="auto"/>
          <w:sz w:val="24"/>
          <w:szCs w:val="24"/>
          <w:highlight w:val="none"/>
        </w:rPr>
        <w:t>供应商及其员工必须严格遵守国家及医院关于患者隐私保护、医疗信息保密的法律法规和规章制度</w:t>
      </w:r>
      <w:r>
        <w:rPr>
          <w:rFonts w:hint="eastAsia" w:ascii="微软雅黑" w:hAnsi="微软雅黑" w:eastAsia="微软雅黑" w:cs="微软雅黑"/>
          <w:b w:val="0"/>
          <w:bCs w:val="0"/>
          <w:color w:val="auto"/>
          <w:sz w:val="24"/>
          <w:szCs w:val="24"/>
          <w:highlight w:val="none"/>
        </w:rPr>
        <w:t>。</w:t>
      </w:r>
      <w:r>
        <w:rPr>
          <w:rFonts w:hint="eastAsia" w:ascii="微软雅黑" w:hAnsi="微软雅黑" w:eastAsia="微软雅黑" w:cs="微软雅黑"/>
          <w:b w:val="0"/>
          <w:bCs w:val="0"/>
          <w:color w:val="auto"/>
          <w:sz w:val="24"/>
          <w:szCs w:val="24"/>
          <w:highlight w:val="none"/>
          <w:lang w:eastAsia="zh-CN"/>
        </w:rPr>
        <w:t>供应商须与所有人员</w:t>
      </w:r>
      <w:r>
        <w:rPr>
          <w:rFonts w:hint="eastAsia" w:ascii="微软雅黑" w:hAnsi="微软雅黑" w:eastAsia="微软雅黑" w:cs="微软雅黑"/>
          <w:b w:val="0"/>
          <w:bCs w:val="0"/>
          <w:color w:val="auto"/>
          <w:sz w:val="24"/>
          <w:szCs w:val="24"/>
          <w:highlight w:val="none"/>
        </w:rPr>
        <w:t>签订</w:t>
      </w:r>
      <w:r>
        <w:rPr>
          <w:rFonts w:hint="eastAsia" w:ascii="微软雅黑" w:hAnsi="微软雅黑" w:eastAsia="微软雅黑" w:cs="微软雅黑"/>
          <w:b w:val="0"/>
          <w:bCs w:val="0"/>
          <w:color w:val="auto"/>
          <w:sz w:val="24"/>
          <w:szCs w:val="24"/>
          <w:highlight w:val="none"/>
          <w:lang w:eastAsia="zh-CN"/>
        </w:rPr>
        <w:t>专门</w:t>
      </w:r>
      <w:r>
        <w:rPr>
          <w:rFonts w:hint="eastAsia" w:ascii="微软雅黑" w:hAnsi="微软雅黑" w:eastAsia="微软雅黑" w:cs="微软雅黑"/>
          <w:b w:val="0"/>
          <w:bCs w:val="0"/>
          <w:color w:val="auto"/>
          <w:sz w:val="24"/>
          <w:szCs w:val="24"/>
          <w:highlight w:val="none"/>
        </w:rPr>
        <w:t>保密协议</w:t>
      </w:r>
      <w:r>
        <w:rPr>
          <w:rFonts w:hint="eastAsia" w:ascii="微软雅黑" w:hAnsi="微软雅黑" w:eastAsia="微软雅黑" w:cs="微软雅黑"/>
          <w:b w:val="0"/>
          <w:bCs w:val="0"/>
          <w:color w:val="auto"/>
          <w:sz w:val="24"/>
          <w:szCs w:val="24"/>
          <w:highlight w:val="none"/>
          <w:lang w:eastAsia="zh-CN"/>
        </w:rPr>
        <w:t>，并每月开展保密制度执行情况检查，向采购方提交检查报告</w:t>
      </w:r>
      <w:r>
        <w:rPr>
          <w:rFonts w:hint="eastAsia" w:ascii="微软雅黑" w:hAnsi="微软雅黑" w:eastAsia="微软雅黑" w:cs="微软雅黑"/>
          <w:b w:val="0"/>
          <w:bCs w:val="0"/>
          <w:color w:val="auto"/>
          <w:sz w:val="24"/>
          <w:szCs w:val="24"/>
          <w:highlight w:val="none"/>
        </w:rPr>
        <w:t>。</w:t>
      </w:r>
      <w:r>
        <w:rPr>
          <w:rFonts w:hint="eastAsia" w:ascii="微软雅黑" w:hAnsi="微软雅黑" w:eastAsia="微软雅黑" w:cs="微软雅黑"/>
          <w:b w:val="0"/>
          <w:bCs w:val="0"/>
          <w:color w:val="auto"/>
          <w:sz w:val="24"/>
          <w:szCs w:val="24"/>
          <w:highlight w:val="none"/>
          <w:lang w:eastAsia="zh-CN"/>
        </w:rPr>
        <w:t>供应商员工如违反保密义务的，每次须向采购方支付违约金人民币10万元，并承担全部赔偿责任，包括直接经济损失、行政处罚、声誉损失、第三方索赔等。发现泄密行为应在24小时内书面报告采购方并承担由此产生的全部法律责任。如造成重大信息安全事故，采购方有权解除合同。</w:t>
      </w:r>
      <w:bookmarkEnd w:id="11"/>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color w:val="auto"/>
          <w:sz w:val="24"/>
          <w:szCs w:val="24"/>
          <w:highlight w:val="none"/>
          <w:lang w:eastAsia="zh-CN"/>
        </w:rPr>
      </w:pPr>
      <w:bookmarkStart w:id="12" w:name="auto_fouce_36"/>
      <w:r>
        <w:rPr>
          <w:rFonts w:hint="eastAsia" w:ascii="微软雅黑" w:hAnsi="微软雅黑" w:eastAsia="微软雅黑" w:cs="微软雅黑"/>
          <w:color w:val="auto"/>
          <w:sz w:val="24"/>
          <w:szCs w:val="24"/>
          <w:highlight w:val="none"/>
        </w:rPr>
        <w:t>不得泄露任何在工作中获取的患者信息、医院内部信息及商业秘密</w:t>
      </w:r>
      <w:r>
        <w:rPr>
          <w:rFonts w:hint="eastAsia" w:ascii="微软雅黑" w:hAnsi="微软雅黑" w:eastAsia="微软雅黑" w:cs="微软雅黑"/>
          <w:color w:val="auto"/>
          <w:sz w:val="24"/>
          <w:szCs w:val="24"/>
          <w:highlight w:val="none"/>
        </w:rPr>
        <w:t>。</w:t>
      </w:r>
      <w:bookmarkStart w:id="13" w:name="auto_fouce_37"/>
      <w:r>
        <w:rPr>
          <w:rFonts w:hint="eastAsia" w:ascii="微软雅黑" w:hAnsi="微软雅黑" w:eastAsia="微软雅黑" w:cs="微软雅黑"/>
          <w:color w:val="auto"/>
          <w:sz w:val="24"/>
          <w:szCs w:val="24"/>
          <w:highlight w:val="none"/>
          <w:lang w:eastAsia="zh-CN"/>
        </w:rPr>
        <w:t>如供应商或其人员泄露患者隐私信息或医院运营数据的，每发生一次，供应商须向采购方支付合同总价20%的违约金，并承担因此引起的全部法律责任与经济损失。该违约金不影响采购方追究损失赔偿等其他权利。</w:t>
      </w:r>
      <w:bookmarkEnd w:id="13"/>
      <w:r>
        <w:rPr>
          <w:rFonts w:hint="eastAsia" w:ascii="微软雅黑" w:hAnsi="微软雅黑" w:eastAsia="微软雅黑" w:cs="微软雅黑"/>
          <w:color w:val="auto"/>
          <w:sz w:val="24"/>
          <w:szCs w:val="24"/>
          <w:highlight w:val="none"/>
          <w:lang w:eastAsia="zh-CN"/>
        </w:rPr>
        <w:t xml:space="preserve"> 供应商及其员工如有任何形式的留存、转让、泄露，采购方可主张每人次信息泄露支付50万元违约金，并不因实际损失金额受限，不足部分采购方可另行索赔。</w:t>
      </w:r>
      <w:bookmarkEnd w:id="12"/>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rPr>
        <w:t>6.</w:t>
      </w:r>
      <w:r>
        <w:rPr>
          <w:rFonts w:hint="eastAsia" w:ascii="微软雅黑" w:hAnsi="微软雅黑" w:eastAsia="微软雅黑" w:cs="微软雅黑"/>
          <w:color w:val="auto"/>
          <w:sz w:val="24"/>
          <w:szCs w:val="24"/>
          <w:highlight w:val="none"/>
          <w:lang w:val="en-US" w:eastAsia="zh-CN"/>
        </w:rPr>
        <w:t>服务要求：</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供应商</w:t>
      </w:r>
      <w:r>
        <w:rPr>
          <w:rFonts w:hint="eastAsia" w:ascii="微软雅黑" w:hAnsi="微软雅黑" w:eastAsia="微软雅黑" w:cs="微软雅黑"/>
          <w:color w:val="auto"/>
          <w:sz w:val="24"/>
          <w:szCs w:val="24"/>
          <w:highlight w:val="none"/>
        </w:rPr>
        <w:t>因服务质量被陪护家属投诉、</w:t>
      </w:r>
      <w:r>
        <w:rPr>
          <w:rFonts w:hint="eastAsia" w:ascii="微软雅黑" w:hAnsi="微软雅黑" w:eastAsia="微软雅黑" w:cs="微软雅黑"/>
          <w:color w:val="auto"/>
          <w:sz w:val="24"/>
          <w:szCs w:val="24"/>
          <w:highlight w:val="none"/>
          <w:lang w:eastAsia="zh-CN"/>
        </w:rPr>
        <w:t>采购方</w:t>
      </w:r>
      <w:r>
        <w:rPr>
          <w:rFonts w:hint="eastAsia" w:ascii="微软雅黑" w:hAnsi="微软雅黑" w:eastAsia="微软雅黑" w:cs="微软雅黑"/>
          <w:color w:val="auto"/>
          <w:sz w:val="24"/>
          <w:szCs w:val="24"/>
          <w:highlight w:val="none"/>
        </w:rPr>
        <w:t>有权责令整改，</w:t>
      </w:r>
      <w:bookmarkStart w:id="14" w:name="auto_fouce_38"/>
      <w:r>
        <w:rPr>
          <w:rFonts w:hint="eastAsia" w:ascii="微软雅黑" w:hAnsi="微软雅黑" w:eastAsia="微软雅黑" w:cs="微软雅黑"/>
          <w:color w:val="auto"/>
          <w:sz w:val="24"/>
          <w:szCs w:val="24"/>
          <w:highlight w:val="none"/>
        </w:rPr>
        <w:t>如整改不到位，</w:t>
      </w:r>
      <w:r>
        <w:rPr>
          <w:rFonts w:hint="eastAsia" w:ascii="微软雅黑" w:hAnsi="微软雅黑" w:eastAsia="微软雅黑" w:cs="微软雅黑"/>
          <w:color w:val="auto"/>
          <w:sz w:val="24"/>
          <w:szCs w:val="24"/>
          <w:highlight w:val="none"/>
          <w:lang w:eastAsia="zh-CN"/>
        </w:rPr>
        <w:t>采购方</w:t>
      </w:r>
      <w:r>
        <w:rPr>
          <w:rFonts w:hint="eastAsia" w:ascii="微软雅黑" w:hAnsi="微软雅黑" w:eastAsia="微软雅黑" w:cs="微软雅黑"/>
          <w:color w:val="auto"/>
          <w:sz w:val="24"/>
          <w:szCs w:val="24"/>
          <w:highlight w:val="none"/>
        </w:rPr>
        <w:t>有权</w:t>
      </w:r>
      <w:r>
        <w:rPr>
          <w:rFonts w:hint="eastAsia" w:ascii="微软雅黑" w:hAnsi="微软雅黑" w:eastAsia="微软雅黑" w:cs="微软雅黑"/>
          <w:color w:val="auto"/>
          <w:sz w:val="24"/>
          <w:szCs w:val="24"/>
          <w:highlight w:val="none"/>
          <w:lang w:eastAsia="zh-CN"/>
        </w:rPr>
        <w:t>单方提前书面通知解除</w:t>
      </w:r>
      <w:r>
        <w:rPr>
          <w:rFonts w:hint="eastAsia" w:ascii="微软雅黑" w:hAnsi="微软雅黑" w:eastAsia="微软雅黑" w:cs="微软雅黑"/>
          <w:color w:val="auto"/>
          <w:sz w:val="24"/>
          <w:szCs w:val="24"/>
          <w:highlight w:val="none"/>
        </w:rPr>
        <w:t>服务合同。</w:t>
      </w:r>
      <w:r>
        <w:rPr>
          <w:rFonts w:hint="eastAsia" w:ascii="微软雅黑" w:hAnsi="微软雅黑" w:eastAsia="微软雅黑" w:cs="微软雅黑"/>
          <w:color w:val="auto"/>
          <w:sz w:val="24"/>
          <w:szCs w:val="24"/>
          <w:highlight w:val="none"/>
          <w:lang w:eastAsia="zh-CN"/>
        </w:rPr>
        <w:t>对于严重服务事故、供应商失信、项目负责人关键变动或外包政策重大调整，采购方拥有无条件单方解除权，并有权要求供应商赔偿因此造成的全部直接和间接损失。此外，如对同一问题采购方发出书面警告2次后，供应商仍未按要求整改到位，采购方有权单方终止合同并没收供应商保证金，且不影响追究其他责任。</w:t>
      </w:r>
      <w:bookmarkEnd w:id="14"/>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r>
        <w:rPr>
          <w:rFonts w:hint="eastAsia" w:ascii="微软雅黑" w:hAnsi="微软雅黑" w:eastAsia="微软雅黑" w:cs="微软雅黑"/>
          <w:b w:val="0"/>
          <w:bCs w:val="0"/>
          <w:color w:val="auto"/>
          <w:sz w:val="24"/>
          <w:szCs w:val="24"/>
          <w:highlight w:val="none"/>
        </w:rPr>
        <w:t>供应商承担其员工在提供服务过程中因过失或违规造成的相关责任。</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r>
        <w:rPr>
          <w:rFonts w:hint="eastAsia" w:ascii="微软雅黑" w:hAnsi="微软雅黑" w:eastAsia="微软雅黑" w:cs="微软雅黑"/>
          <w:b w:val="0"/>
          <w:bCs w:val="0"/>
          <w:color w:val="auto"/>
          <w:sz w:val="24"/>
          <w:szCs w:val="24"/>
          <w:highlight w:val="none"/>
          <w:lang w:eastAsia="zh-CN"/>
        </w:rPr>
        <w:t xml:space="preserve">包括但不限于服务质量不合格、配备人数不足、人员流失率超标、应急响应不及时、信息泄露等情形的，采购方有权要求供应商限期整改，并有权单方扣减服务费、要求支付相应违约金及赔偿全部损失。具体违约金金额、扣款标准，由采购方按所造成后果的严重程度确定，但不低于每次人民币1万元。若供应商在通知后五日内未整改到位，采购方有权解除合同并追究供应商违约责任。 </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b w:val="0"/>
          <w:bCs w:val="0"/>
          <w:color w:val="auto"/>
          <w:sz w:val="24"/>
          <w:szCs w:val="24"/>
          <w:highlight w:val="none"/>
          <w:lang w:eastAsia="zh-CN"/>
        </w:rPr>
      </w:pPr>
      <w:r>
        <w:rPr>
          <w:rFonts w:hint="eastAsia" w:ascii="微软雅黑" w:hAnsi="微软雅黑" w:eastAsia="微软雅黑" w:cs="微软雅黑"/>
          <w:b w:val="0"/>
          <w:bCs w:val="0"/>
          <w:color w:val="auto"/>
          <w:sz w:val="24"/>
          <w:szCs w:val="24"/>
          <w:highlight w:val="none"/>
          <w:lang w:eastAsia="zh-CN"/>
        </w:rPr>
        <w:t>供应商人员发生职业暴露或操作失误导致医院损失的，供应商须在24小时内先行垫付全部赔偿费用。采购方保留进一步追偿权益，如未及时垫付采购方可直接从应付款项中扣除。 因供应商过错导致的医疗纠纷，供应商应进行赔付并负责处理相关法律程序。</w:t>
      </w:r>
    </w:p>
    <w:p>
      <w:pPr>
        <w:keepNext w:val="0"/>
        <w:keepLines w:val="0"/>
        <w:pageBreakBefore w:val="0"/>
        <w:widowControl/>
        <w:kinsoku/>
        <w:wordWrap/>
        <w:overflowPunct/>
        <w:topLinePunct w:val="0"/>
        <w:autoSpaceDE/>
        <w:autoSpaceDN/>
        <w:bidi w:val="0"/>
        <w:adjustRightInd/>
        <w:snapToGrid/>
        <w:spacing w:line="560" w:lineRule="exact"/>
        <w:ind w:left="0" w:leftChars="0" w:right="0" w:firstLine="480" w:firstLineChars="200"/>
        <w:jc w:val="left"/>
        <w:textAlignment w:val="auto"/>
        <w:rPr>
          <w:rFonts w:hint="eastAsia" w:ascii="微软雅黑" w:hAnsi="微软雅黑" w:eastAsia="微软雅黑" w:cs="微软雅黑"/>
          <w:color w:val="auto"/>
          <w:sz w:val="24"/>
          <w:szCs w:val="24"/>
          <w:highlight w:val="none"/>
          <w:lang w:val="en-US" w:eastAsia="zh-CN"/>
        </w:rPr>
      </w:pPr>
    </w:p>
    <w:p>
      <w:pPr>
        <w:pStyle w:val="4"/>
        <w:pageBreakBefore w:val="0"/>
        <w:widowControl w:val="0"/>
        <w:kinsoku/>
        <w:wordWrap/>
        <w:overflowPunct/>
        <w:topLinePunct w:val="0"/>
        <w:autoSpaceDE/>
        <w:autoSpaceDN/>
        <w:bidi w:val="0"/>
        <w:snapToGrid/>
        <w:spacing w:before="0" w:after="0" w:line="560" w:lineRule="exact"/>
        <w:ind w:left="0" w:leftChars="0" w:right="0" w:firstLine="480" w:firstLineChars="200"/>
        <w:jc w:val="left"/>
        <w:rPr>
          <w:rFonts w:hint="eastAsia" w:ascii="微软雅黑" w:hAnsi="微软雅黑" w:eastAsia="微软雅黑" w:cs="微软雅黑"/>
          <w:color w:val="auto"/>
          <w:sz w:val="24"/>
          <w:szCs w:val="24"/>
          <w:highlight w:val="none"/>
          <w:u w:val="single"/>
        </w:rPr>
      </w:pPr>
    </w:p>
    <w:p>
      <w:pPr>
        <w:rPr>
          <w:rFonts w:hint="eastAsia"/>
          <w:color w:val="auto"/>
          <w:highlight w:val="none"/>
        </w:rPr>
      </w:pPr>
    </w:p>
    <w:p>
      <w:pPr>
        <w:jc w:val="right"/>
        <w:rPr>
          <w:rFonts w:hint="eastAsia" w:ascii="微软雅黑" w:hAnsi="微软雅黑" w:eastAsia="微软雅黑" w:cs="微软雅黑"/>
          <w:b w:val="0"/>
          <w:bCs w:val="0"/>
          <w:snapToGrid w:val="0"/>
          <w:color w:val="auto"/>
          <w:kern w:val="0"/>
          <w:sz w:val="24"/>
          <w:szCs w:val="24"/>
          <w:highlight w:val="none"/>
          <w:u w:val="none"/>
          <w:lang w:val="en-US" w:eastAsia="zh-CN" w:bidi="ar-SA"/>
        </w:rPr>
      </w:pPr>
      <w:r>
        <w:rPr>
          <w:rFonts w:hint="eastAsia" w:ascii="微软雅黑" w:hAnsi="微软雅黑" w:eastAsia="微软雅黑" w:cs="微软雅黑"/>
          <w:b w:val="0"/>
          <w:bCs w:val="0"/>
          <w:color w:val="auto"/>
          <w:sz w:val="24"/>
          <w:szCs w:val="24"/>
          <w:highlight w:val="none"/>
          <w:u w:val="none"/>
        </w:rPr>
        <w:t>北京市延庆区</w:t>
      </w:r>
      <w:r>
        <w:rPr>
          <w:rFonts w:hint="eastAsia" w:ascii="微软雅黑" w:hAnsi="微软雅黑" w:eastAsia="微软雅黑" w:cs="微软雅黑"/>
          <w:b w:val="0"/>
          <w:bCs w:val="0"/>
          <w:color w:val="auto"/>
          <w:sz w:val="24"/>
          <w:szCs w:val="24"/>
          <w:highlight w:val="none"/>
          <w:u w:val="none"/>
          <w:lang w:val="en-US" w:eastAsia="zh-CN"/>
        </w:rPr>
        <w:t>精神病医院</w:t>
      </w:r>
      <w:r>
        <w:rPr>
          <w:rFonts w:hint="eastAsia" w:ascii="微软雅黑" w:hAnsi="微软雅黑" w:eastAsia="微软雅黑" w:cs="微软雅黑"/>
          <w:b w:val="0"/>
          <w:bCs w:val="0"/>
          <w:snapToGrid w:val="0"/>
          <w:color w:val="auto"/>
          <w:kern w:val="0"/>
          <w:sz w:val="24"/>
          <w:szCs w:val="24"/>
          <w:highlight w:val="none"/>
          <w:u w:val="none"/>
          <w:lang w:val="en-US" w:eastAsia="zh-CN" w:bidi="ar-SA"/>
        </w:rPr>
        <w:t xml:space="preserve">                          </w:t>
      </w:r>
    </w:p>
    <w:p>
      <w:pPr>
        <w:jc w:val="right"/>
        <w:rPr>
          <w:rFonts w:hint="eastAsia" w:ascii="微软雅黑" w:hAnsi="微软雅黑" w:eastAsia="微软雅黑" w:cs="微软雅黑"/>
          <w:b w:val="0"/>
          <w:bCs w:val="0"/>
          <w:snapToGrid w:val="0"/>
          <w:color w:val="auto"/>
          <w:kern w:val="0"/>
          <w:sz w:val="24"/>
          <w:szCs w:val="24"/>
          <w:highlight w:val="none"/>
          <w:u w:val="none"/>
          <w:lang w:val="en-US" w:eastAsia="zh-CN" w:bidi="ar-SA"/>
        </w:rPr>
      </w:pPr>
    </w:p>
    <w:p>
      <w:pPr>
        <w:jc w:val="right"/>
        <w:rPr>
          <w:rFonts w:hint="default" w:ascii="微软雅黑" w:hAnsi="微软雅黑" w:eastAsia="微软雅黑" w:cs="微软雅黑"/>
          <w:b w:val="0"/>
          <w:bCs w:val="0"/>
          <w:snapToGrid w:val="0"/>
          <w:color w:val="auto"/>
          <w:kern w:val="0"/>
          <w:sz w:val="24"/>
          <w:szCs w:val="24"/>
          <w:highlight w:val="none"/>
          <w:u w:val="none"/>
          <w:lang w:val="en-US" w:eastAsia="zh-CN" w:bidi="ar-SA"/>
        </w:rPr>
      </w:pPr>
      <w:r>
        <w:rPr>
          <w:rFonts w:hint="eastAsia" w:ascii="微软雅黑" w:hAnsi="微软雅黑" w:eastAsia="微软雅黑" w:cs="微软雅黑"/>
          <w:b w:val="0"/>
          <w:bCs w:val="0"/>
          <w:snapToGrid w:val="0"/>
          <w:color w:val="auto"/>
          <w:kern w:val="0"/>
          <w:sz w:val="24"/>
          <w:szCs w:val="24"/>
          <w:highlight w:val="none"/>
          <w:u w:val="none"/>
          <w:lang w:val="en-US" w:eastAsia="zh-CN" w:bidi="ar-SA"/>
        </w:rPr>
        <w:t xml:space="preserve"> 2026年4  月13 日</w:t>
      </w:r>
    </w:p>
    <w:p>
      <w:pPr>
        <w:pStyle w:val="4"/>
        <w:pageBreakBefore w:val="0"/>
        <w:widowControl w:val="0"/>
        <w:kinsoku/>
        <w:wordWrap/>
        <w:overflowPunct/>
        <w:topLinePunct w:val="0"/>
        <w:autoSpaceDE/>
        <w:autoSpaceDN/>
        <w:bidi w:val="0"/>
        <w:snapToGrid/>
        <w:spacing w:before="0" w:after="0" w:line="560" w:lineRule="exact"/>
        <w:ind w:left="0" w:leftChars="0" w:right="0" w:firstLine="480" w:firstLineChars="200"/>
        <w:jc w:val="left"/>
        <w:rPr>
          <w:rFonts w:hint="eastAsia" w:ascii="微软雅黑" w:hAnsi="微软雅黑" w:eastAsia="微软雅黑" w:cs="微软雅黑"/>
          <w:color w:val="auto"/>
          <w:sz w:val="24"/>
          <w:szCs w:val="24"/>
          <w:highlight w:val="none"/>
          <w:u w:val="single"/>
        </w:rPr>
      </w:pPr>
    </w:p>
    <w:p>
      <w:pPr>
        <w:pStyle w:val="4"/>
        <w:pageBreakBefore w:val="0"/>
        <w:widowControl w:val="0"/>
        <w:kinsoku/>
        <w:wordWrap/>
        <w:overflowPunct/>
        <w:topLinePunct w:val="0"/>
        <w:autoSpaceDE/>
        <w:autoSpaceDN/>
        <w:bidi w:val="0"/>
        <w:snapToGrid/>
        <w:spacing w:before="0" w:after="0" w:line="560" w:lineRule="exact"/>
        <w:ind w:right="0"/>
        <w:jc w:val="right"/>
        <w:rPr>
          <w:rFonts w:hint="eastAsia" w:ascii="微软雅黑" w:hAnsi="微软雅黑" w:eastAsia="微软雅黑" w:cs="微软雅黑"/>
          <w:b w:val="0"/>
          <w:snapToGrid w:val="0"/>
          <w:color w:val="auto"/>
          <w:kern w:val="0"/>
          <w:sz w:val="24"/>
          <w:szCs w:val="24"/>
          <w:highlight w:val="none"/>
          <w:lang w:val="en-US" w:eastAsia="zh-CN" w:bidi="ar-SA"/>
        </w:rPr>
      </w:pPr>
      <w:r>
        <w:rPr>
          <w:rFonts w:hint="eastAsia" w:ascii="微软雅黑" w:hAnsi="微软雅黑" w:eastAsia="微软雅黑" w:cs="微软雅黑"/>
          <w:b w:val="0"/>
          <w:snapToGrid w:val="0"/>
          <w:color w:val="auto"/>
          <w:kern w:val="0"/>
          <w:sz w:val="24"/>
          <w:szCs w:val="24"/>
          <w:highlight w:val="none"/>
          <w:lang w:val="en-US" w:eastAsia="zh-CN" w:bidi="ar-SA"/>
        </w:rPr>
        <w:t xml:space="preserve"> </w:t>
      </w:r>
    </w:p>
    <w:p>
      <w:pPr>
        <w:pageBreakBefore w:val="0"/>
        <w:wordWrap/>
        <w:overflowPunct/>
        <w:topLinePunct w:val="0"/>
        <w:bidi w:val="0"/>
        <w:spacing w:line="560" w:lineRule="exact"/>
        <w:ind w:left="0" w:leftChars="0" w:right="0" w:firstLine="480" w:firstLineChars="200"/>
        <w:jc w:val="left"/>
        <w:rPr>
          <w:rFonts w:hint="eastAsia" w:ascii="微软雅黑" w:hAnsi="微软雅黑" w:eastAsia="微软雅黑" w:cs="微软雅黑"/>
          <w:b w:val="0"/>
          <w:snapToGrid w:val="0"/>
          <w:color w:val="auto"/>
          <w:kern w:val="0"/>
          <w:sz w:val="24"/>
          <w:szCs w:val="24"/>
          <w:highlight w:val="none"/>
          <w:lang w:val="en-US" w:eastAsia="zh-CN" w:bidi="ar-SA"/>
        </w:rPr>
      </w:pPr>
    </w:p>
    <w:p>
      <w:pPr>
        <w:pageBreakBefore w:val="0"/>
        <w:wordWrap/>
        <w:overflowPunct/>
        <w:topLinePunct w:val="0"/>
        <w:bidi w:val="0"/>
        <w:spacing w:line="560" w:lineRule="exact"/>
        <w:ind w:left="0" w:leftChars="0" w:right="0" w:firstLine="480" w:firstLineChars="200"/>
        <w:jc w:val="right"/>
        <w:rPr>
          <w:rFonts w:hint="eastAsia" w:ascii="微软雅黑" w:hAnsi="微软雅黑" w:eastAsia="微软雅黑" w:cs="微软雅黑"/>
          <w:color w:val="auto"/>
          <w:sz w:val="24"/>
          <w:szCs w:val="24"/>
          <w:highlight w:val="none"/>
          <w:u w:val="single"/>
          <w:lang w:val="en-US" w:eastAsia="zh-CN"/>
        </w:rPr>
      </w:pPr>
      <w:r>
        <w:rPr>
          <w:rFonts w:hint="eastAsia" w:ascii="微软雅黑" w:hAnsi="微软雅黑" w:eastAsia="微软雅黑" w:cs="微软雅黑"/>
          <w:b w:val="0"/>
          <w:snapToGrid w:val="0"/>
          <w:color w:val="auto"/>
          <w:kern w:val="0"/>
          <w:sz w:val="24"/>
          <w:szCs w:val="24"/>
          <w:highlight w:val="none"/>
          <w:lang w:val="en-US" w:eastAsia="zh-CN" w:bidi="ar-SA"/>
        </w:rPr>
        <w:t xml:space="preserve">                              </w:t>
      </w:r>
    </w:p>
    <w:p>
      <w:pPr>
        <w:rPr>
          <w:rFonts w:hint="eastAsia" w:ascii="宋体" w:hAnsi="宋体" w:eastAsia="宋体" w:cs="宋体"/>
          <w:snapToGrid w:val="0"/>
          <w:color w:val="auto"/>
          <w:kern w:val="0"/>
          <w:sz w:val="24"/>
          <w:szCs w:val="24"/>
          <w:highlight w:val="none"/>
          <w:lang w:val="en-US" w:eastAsia="zh-CN" w:bidi="ar-SA"/>
        </w:rPr>
      </w:pPr>
    </w:p>
    <w:p>
      <w:pPr>
        <w:pStyle w:val="6"/>
        <w:rPr>
          <w:rFonts w:hint="eastAsia" w:ascii="宋体" w:hAnsi="宋体" w:eastAsia="宋体" w:cs="宋体"/>
          <w:snapToGrid w:val="0"/>
          <w:color w:val="auto"/>
          <w:kern w:val="0"/>
          <w:sz w:val="24"/>
          <w:szCs w:val="24"/>
          <w:highlight w:val="none"/>
          <w:lang w:val="en-US" w:eastAsia="zh-CN" w:bidi="ar-SA"/>
        </w:rPr>
      </w:pPr>
    </w:p>
    <w:p>
      <w:pPr>
        <w:rPr>
          <w:rFonts w:hint="eastAsia" w:ascii="宋体" w:hAnsi="宋体" w:eastAsia="宋体" w:cs="宋体"/>
          <w:snapToGrid w:val="0"/>
          <w:color w:val="auto"/>
          <w:kern w:val="0"/>
          <w:sz w:val="24"/>
          <w:szCs w:val="24"/>
          <w:highlight w:val="none"/>
          <w:lang w:val="en-US" w:eastAsia="zh-CN" w:bidi="ar-SA"/>
        </w:rPr>
      </w:pPr>
    </w:p>
    <w:p>
      <w:pPr>
        <w:rPr>
          <w:b/>
          <w:bCs/>
          <w:color w:val="auto"/>
          <w:spacing w:val="8"/>
          <w:sz w:val="35"/>
          <w:szCs w:val="35"/>
          <w:highlight w:val="none"/>
        </w:rPr>
      </w:pPr>
    </w:p>
    <w:sectPr>
      <w:headerReference r:id="rId5" w:type="default"/>
      <w:footerReference r:id="rId6" w:type="default"/>
      <w:pgSz w:w="11907" w:h="16840"/>
      <w:pgMar w:top="1149" w:right="1021" w:bottom="1060" w:left="1588" w:header="875"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48"/>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115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DDEA10"/>
    <w:multiLevelType w:val="singleLevel"/>
    <w:tmpl w:val="C3DDEA10"/>
    <w:lvl w:ilvl="0" w:tentative="0">
      <w:start w:val="2"/>
      <w:numFmt w:val="decimal"/>
      <w:suff w:val="space"/>
      <w:lvlText w:val="%1."/>
      <w:lvlJc w:val="left"/>
    </w:lvl>
  </w:abstractNum>
  <w:abstractNum w:abstractNumId="1">
    <w:nsid w:val="5F4B48EC"/>
    <w:multiLevelType w:val="singleLevel"/>
    <w:tmpl w:val="5F4B48EC"/>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3F6E6C"/>
    <w:rsid w:val="004E616D"/>
    <w:rsid w:val="00522102"/>
    <w:rsid w:val="00773916"/>
    <w:rsid w:val="008E2A0E"/>
    <w:rsid w:val="00E6284A"/>
    <w:rsid w:val="00FF56BA"/>
    <w:rsid w:val="010A478A"/>
    <w:rsid w:val="011B0745"/>
    <w:rsid w:val="01355FF5"/>
    <w:rsid w:val="015123B9"/>
    <w:rsid w:val="01646C5E"/>
    <w:rsid w:val="017D4F5C"/>
    <w:rsid w:val="01B14C06"/>
    <w:rsid w:val="021515F6"/>
    <w:rsid w:val="021B6523"/>
    <w:rsid w:val="022669C1"/>
    <w:rsid w:val="0273010D"/>
    <w:rsid w:val="02C866AB"/>
    <w:rsid w:val="02CB6409"/>
    <w:rsid w:val="02D06AD1"/>
    <w:rsid w:val="02F76F90"/>
    <w:rsid w:val="03140D06"/>
    <w:rsid w:val="03463A74"/>
    <w:rsid w:val="035306AB"/>
    <w:rsid w:val="03800A30"/>
    <w:rsid w:val="03C926DB"/>
    <w:rsid w:val="04335DA6"/>
    <w:rsid w:val="04544994"/>
    <w:rsid w:val="04730898"/>
    <w:rsid w:val="04A3117E"/>
    <w:rsid w:val="04A40A52"/>
    <w:rsid w:val="04DF7CDC"/>
    <w:rsid w:val="04F5184E"/>
    <w:rsid w:val="051931EE"/>
    <w:rsid w:val="056B77C2"/>
    <w:rsid w:val="05B42F17"/>
    <w:rsid w:val="05CA7B12"/>
    <w:rsid w:val="05CD7F13"/>
    <w:rsid w:val="05E337FC"/>
    <w:rsid w:val="05F11A75"/>
    <w:rsid w:val="064F2C3F"/>
    <w:rsid w:val="066F6E3E"/>
    <w:rsid w:val="06AE3E0A"/>
    <w:rsid w:val="06BA27AF"/>
    <w:rsid w:val="06D00A25"/>
    <w:rsid w:val="06D27AF8"/>
    <w:rsid w:val="07AA45D1"/>
    <w:rsid w:val="07CF228A"/>
    <w:rsid w:val="07D23B28"/>
    <w:rsid w:val="07D37F63"/>
    <w:rsid w:val="08191757"/>
    <w:rsid w:val="083A658E"/>
    <w:rsid w:val="0869623A"/>
    <w:rsid w:val="0898267C"/>
    <w:rsid w:val="08BA4CE8"/>
    <w:rsid w:val="08CE2541"/>
    <w:rsid w:val="0950709A"/>
    <w:rsid w:val="096A4AEE"/>
    <w:rsid w:val="098470A4"/>
    <w:rsid w:val="0989160B"/>
    <w:rsid w:val="099C7BB2"/>
    <w:rsid w:val="0A0979C8"/>
    <w:rsid w:val="0A2368BD"/>
    <w:rsid w:val="0A284B99"/>
    <w:rsid w:val="0A3B7763"/>
    <w:rsid w:val="0A5371A2"/>
    <w:rsid w:val="0A5847B8"/>
    <w:rsid w:val="0A9B25ED"/>
    <w:rsid w:val="0AA572D2"/>
    <w:rsid w:val="0AC91212"/>
    <w:rsid w:val="0B156206"/>
    <w:rsid w:val="0B21104E"/>
    <w:rsid w:val="0B415B12"/>
    <w:rsid w:val="0B470389"/>
    <w:rsid w:val="0B696551"/>
    <w:rsid w:val="0B9164B8"/>
    <w:rsid w:val="0B971310"/>
    <w:rsid w:val="0BA2486A"/>
    <w:rsid w:val="0BC371A6"/>
    <w:rsid w:val="0C0149DC"/>
    <w:rsid w:val="0C2A4A77"/>
    <w:rsid w:val="0C945850"/>
    <w:rsid w:val="0C9E047D"/>
    <w:rsid w:val="0CA041F5"/>
    <w:rsid w:val="0CAA5073"/>
    <w:rsid w:val="0CCA74C4"/>
    <w:rsid w:val="0CE57E5A"/>
    <w:rsid w:val="0CFA3905"/>
    <w:rsid w:val="0D181FDD"/>
    <w:rsid w:val="0D285E68"/>
    <w:rsid w:val="0D5D5C42"/>
    <w:rsid w:val="0D9A6FA7"/>
    <w:rsid w:val="0DDC300B"/>
    <w:rsid w:val="0E1529C0"/>
    <w:rsid w:val="0E3C7F7D"/>
    <w:rsid w:val="0E7537E1"/>
    <w:rsid w:val="0E887ED8"/>
    <w:rsid w:val="0E927B6D"/>
    <w:rsid w:val="0EB775D4"/>
    <w:rsid w:val="0EC00B7E"/>
    <w:rsid w:val="0ECC5A5C"/>
    <w:rsid w:val="0ED4462A"/>
    <w:rsid w:val="0EDD528C"/>
    <w:rsid w:val="0F16079E"/>
    <w:rsid w:val="0FFD54BA"/>
    <w:rsid w:val="10174821"/>
    <w:rsid w:val="102D2243"/>
    <w:rsid w:val="10303AE2"/>
    <w:rsid w:val="10376C1E"/>
    <w:rsid w:val="104A6951"/>
    <w:rsid w:val="108654B0"/>
    <w:rsid w:val="108A47A4"/>
    <w:rsid w:val="108D4A90"/>
    <w:rsid w:val="10914580"/>
    <w:rsid w:val="10AF2C58"/>
    <w:rsid w:val="10C85AC8"/>
    <w:rsid w:val="10CF32FA"/>
    <w:rsid w:val="10E5667A"/>
    <w:rsid w:val="10FE773C"/>
    <w:rsid w:val="111D5E14"/>
    <w:rsid w:val="112076B2"/>
    <w:rsid w:val="11643B14"/>
    <w:rsid w:val="119D0D03"/>
    <w:rsid w:val="11A227BD"/>
    <w:rsid w:val="122B630F"/>
    <w:rsid w:val="12380A2C"/>
    <w:rsid w:val="12437AFC"/>
    <w:rsid w:val="12543AB7"/>
    <w:rsid w:val="12641821"/>
    <w:rsid w:val="127759F8"/>
    <w:rsid w:val="12802AFE"/>
    <w:rsid w:val="12A52565"/>
    <w:rsid w:val="12AA7B7B"/>
    <w:rsid w:val="12D76496"/>
    <w:rsid w:val="12D90460"/>
    <w:rsid w:val="12F5426A"/>
    <w:rsid w:val="12F9465F"/>
    <w:rsid w:val="133D09EF"/>
    <w:rsid w:val="1340572C"/>
    <w:rsid w:val="13541895"/>
    <w:rsid w:val="1367594E"/>
    <w:rsid w:val="137F4B64"/>
    <w:rsid w:val="139E41CE"/>
    <w:rsid w:val="13F015BE"/>
    <w:rsid w:val="13F80772"/>
    <w:rsid w:val="14131750"/>
    <w:rsid w:val="14171240"/>
    <w:rsid w:val="14245267"/>
    <w:rsid w:val="143531C4"/>
    <w:rsid w:val="143D5402"/>
    <w:rsid w:val="143D67CD"/>
    <w:rsid w:val="148B7538"/>
    <w:rsid w:val="1497412F"/>
    <w:rsid w:val="14BB75A9"/>
    <w:rsid w:val="14E31122"/>
    <w:rsid w:val="153E0A4F"/>
    <w:rsid w:val="154A5D95"/>
    <w:rsid w:val="15B14D7D"/>
    <w:rsid w:val="15B50D11"/>
    <w:rsid w:val="15B7178D"/>
    <w:rsid w:val="15DC6246"/>
    <w:rsid w:val="16526560"/>
    <w:rsid w:val="166A0183"/>
    <w:rsid w:val="16921052"/>
    <w:rsid w:val="169A1CB5"/>
    <w:rsid w:val="16B31FFB"/>
    <w:rsid w:val="16B96603"/>
    <w:rsid w:val="16F32E26"/>
    <w:rsid w:val="17147CB9"/>
    <w:rsid w:val="17377504"/>
    <w:rsid w:val="17485BB5"/>
    <w:rsid w:val="1756267C"/>
    <w:rsid w:val="17602EFE"/>
    <w:rsid w:val="17720D82"/>
    <w:rsid w:val="17C561CD"/>
    <w:rsid w:val="17E4768B"/>
    <w:rsid w:val="17F453F5"/>
    <w:rsid w:val="18176FAB"/>
    <w:rsid w:val="1853036D"/>
    <w:rsid w:val="18693217"/>
    <w:rsid w:val="18814EDA"/>
    <w:rsid w:val="189E3CDE"/>
    <w:rsid w:val="18A603A0"/>
    <w:rsid w:val="18DD40DB"/>
    <w:rsid w:val="18E65685"/>
    <w:rsid w:val="19061883"/>
    <w:rsid w:val="19162632"/>
    <w:rsid w:val="192A37C4"/>
    <w:rsid w:val="19A52E4A"/>
    <w:rsid w:val="19B7492C"/>
    <w:rsid w:val="19DF45AE"/>
    <w:rsid w:val="19E716B5"/>
    <w:rsid w:val="19E971DB"/>
    <w:rsid w:val="19FB0CBC"/>
    <w:rsid w:val="1A057D8D"/>
    <w:rsid w:val="1A2226ED"/>
    <w:rsid w:val="1A257974"/>
    <w:rsid w:val="1A3366A8"/>
    <w:rsid w:val="1A486E61"/>
    <w:rsid w:val="1AB175CD"/>
    <w:rsid w:val="1AB70828"/>
    <w:rsid w:val="1AD11A1D"/>
    <w:rsid w:val="1AD339E7"/>
    <w:rsid w:val="1AF71484"/>
    <w:rsid w:val="1B2B3823"/>
    <w:rsid w:val="1B574618"/>
    <w:rsid w:val="1B6F41F2"/>
    <w:rsid w:val="1BA53932"/>
    <w:rsid w:val="1C020757"/>
    <w:rsid w:val="1CEE68B6"/>
    <w:rsid w:val="1D091942"/>
    <w:rsid w:val="1D344C11"/>
    <w:rsid w:val="1D5728A5"/>
    <w:rsid w:val="1D5C1A72"/>
    <w:rsid w:val="1D5F5A06"/>
    <w:rsid w:val="1D856F7B"/>
    <w:rsid w:val="1D8F7691"/>
    <w:rsid w:val="1DD45AAC"/>
    <w:rsid w:val="1E537319"/>
    <w:rsid w:val="1E764DB5"/>
    <w:rsid w:val="1E8C45D9"/>
    <w:rsid w:val="1EA07439"/>
    <w:rsid w:val="1F007936"/>
    <w:rsid w:val="1F152820"/>
    <w:rsid w:val="1F1D18F8"/>
    <w:rsid w:val="1F2D1FCC"/>
    <w:rsid w:val="1F737547"/>
    <w:rsid w:val="1F7E6617"/>
    <w:rsid w:val="1FA0747E"/>
    <w:rsid w:val="1FA85B88"/>
    <w:rsid w:val="1FB262C1"/>
    <w:rsid w:val="1FDC50EC"/>
    <w:rsid w:val="202D76F6"/>
    <w:rsid w:val="204809D3"/>
    <w:rsid w:val="20CF61F9"/>
    <w:rsid w:val="20FF5536"/>
    <w:rsid w:val="215D3A7F"/>
    <w:rsid w:val="21863561"/>
    <w:rsid w:val="219A0DBB"/>
    <w:rsid w:val="21CD73E2"/>
    <w:rsid w:val="21D20555"/>
    <w:rsid w:val="227B4DE9"/>
    <w:rsid w:val="22BD1205"/>
    <w:rsid w:val="22C75BE0"/>
    <w:rsid w:val="23045086"/>
    <w:rsid w:val="2338088B"/>
    <w:rsid w:val="23454CB8"/>
    <w:rsid w:val="239B0E1A"/>
    <w:rsid w:val="23A14683"/>
    <w:rsid w:val="23B94306"/>
    <w:rsid w:val="23E707EE"/>
    <w:rsid w:val="24247062"/>
    <w:rsid w:val="24311EAA"/>
    <w:rsid w:val="24314DDA"/>
    <w:rsid w:val="2466360C"/>
    <w:rsid w:val="24B67467"/>
    <w:rsid w:val="24CD76F9"/>
    <w:rsid w:val="24E0622E"/>
    <w:rsid w:val="2560231B"/>
    <w:rsid w:val="256718FC"/>
    <w:rsid w:val="259049AF"/>
    <w:rsid w:val="25B83F05"/>
    <w:rsid w:val="2604714B"/>
    <w:rsid w:val="262D044F"/>
    <w:rsid w:val="263E08AF"/>
    <w:rsid w:val="26A46A3B"/>
    <w:rsid w:val="26AB0425"/>
    <w:rsid w:val="26CF7759"/>
    <w:rsid w:val="26D00FBC"/>
    <w:rsid w:val="27207FB4"/>
    <w:rsid w:val="274912B9"/>
    <w:rsid w:val="274A2BE2"/>
    <w:rsid w:val="276205CD"/>
    <w:rsid w:val="27680D98"/>
    <w:rsid w:val="27750300"/>
    <w:rsid w:val="27BD1CA7"/>
    <w:rsid w:val="27F05BD9"/>
    <w:rsid w:val="27F213E6"/>
    <w:rsid w:val="28164F13"/>
    <w:rsid w:val="281C4C20"/>
    <w:rsid w:val="281F64BE"/>
    <w:rsid w:val="282D69F7"/>
    <w:rsid w:val="28377363"/>
    <w:rsid w:val="28846321"/>
    <w:rsid w:val="288A2525"/>
    <w:rsid w:val="28B978CF"/>
    <w:rsid w:val="28D92B11"/>
    <w:rsid w:val="290C07F0"/>
    <w:rsid w:val="29563B5C"/>
    <w:rsid w:val="295B1778"/>
    <w:rsid w:val="298E38FB"/>
    <w:rsid w:val="298E7457"/>
    <w:rsid w:val="29B175E9"/>
    <w:rsid w:val="29FA4AED"/>
    <w:rsid w:val="2A4144C9"/>
    <w:rsid w:val="2A622692"/>
    <w:rsid w:val="2AD74E2E"/>
    <w:rsid w:val="2B2355B1"/>
    <w:rsid w:val="2B287437"/>
    <w:rsid w:val="2B2C240A"/>
    <w:rsid w:val="2B2E5DE1"/>
    <w:rsid w:val="2B365FF8"/>
    <w:rsid w:val="2B764647"/>
    <w:rsid w:val="2BAD5B8F"/>
    <w:rsid w:val="2BC74EA2"/>
    <w:rsid w:val="2BCA4992"/>
    <w:rsid w:val="2BCC0459"/>
    <w:rsid w:val="2BE23A8A"/>
    <w:rsid w:val="2BE27F2E"/>
    <w:rsid w:val="2BF612E4"/>
    <w:rsid w:val="2C251BC9"/>
    <w:rsid w:val="2C5C383D"/>
    <w:rsid w:val="2C9C1E8B"/>
    <w:rsid w:val="2CAD03B9"/>
    <w:rsid w:val="2CAE1BBE"/>
    <w:rsid w:val="2CC800AE"/>
    <w:rsid w:val="2CDC2BCF"/>
    <w:rsid w:val="2CF63C91"/>
    <w:rsid w:val="2D0D0FDB"/>
    <w:rsid w:val="2D1E16D2"/>
    <w:rsid w:val="2D517119"/>
    <w:rsid w:val="2D6706EB"/>
    <w:rsid w:val="2D7832F7"/>
    <w:rsid w:val="2D956949"/>
    <w:rsid w:val="2D9C5EBB"/>
    <w:rsid w:val="2DBB7FF1"/>
    <w:rsid w:val="2DD12EFA"/>
    <w:rsid w:val="2DF950BB"/>
    <w:rsid w:val="2E4E18AB"/>
    <w:rsid w:val="2E6A7D67"/>
    <w:rsid w:val="2E70537D"/>
    <w:rsid w:val="2E856A96"/>
    <w:rsid w:val="2EA8579F"/>
    <w:rsid w:val="2ED877D4"/>
    <w:rsid w:val="2EEB70FA"/>
    <w:rsid w:val="2EFA48E6"/>
    <w:rsid w:val="2EFB04BA"/>
    <w:rsid w:val="2EFF4953"/>
    <w:rsid w:val="2F1948EC"/>
    <w:rsid w:val="2F212B1B"/>
    <w:rsid w:val="2F464330"/>
    <w:rsid w:val="2F4D3910"/>
    <w:rsid w:val="2F6173BC"/>
    <w:rsid w:val="2F642A08"/>
    <w:rsid w:val="2F656EAC"/>
    <w:rsid w:val="2F662C24"/>
    <w:rsid w:val="2F88273D"/>
    <w:rsid w:val="2F967065"/>
    <w:rsid w:val="2FBC45F2"/>
    <w:rsid w:val="304765B2"/>
    <w:rsid w:val="30515682"/>
    <w:rsid w:val="30586A11"/>
    <w:rsid w:val="306C426A"/>
    <w:rsid w:val="30896BCA"/>
    <w:rsid w:val="30951DED"/>
    <w:rsid w:val="30974600"/>
    <w:rsid w:val="30A7699D"/>
    <w:rsid w:val="30DF2C8E"/>
    <w:rsid w:val="30FA1876"/>
    <w:rsid w:val="313C1E8F"/>
    <w:rsid w:val="317509A3"/>
    <w:rsid w:val="31921AAF"/>
    <w:rsid w:val="319E0453"/>
    <w:rsid w:val="31DB314B"/>
    <w:rsid w:val="31E730CD"/>
    <w:rsid w:val="32116E77"/>
    <w:rsid w:val="32476D3D"/>
    <w:rsid w:val="324F174E"/>
    <w:rsid w:val="326A47D9"/>
    <w:rsid w:val="327B0795"/>
    <w:rsid w:val="32930BA3"/>
    <w:rsid w:val="32B048E2"/>
    <w:rsid w:val="3304078A"/>
    <w:rsid w:val="33680D19"/>
    <w:rsid w:val="33791178"/>
    <w:rsid w:val="338B0EAB"/>
    <w:rsid w:val="33C04ABE"/>
    <w:rsid w:val="33D44600"/>
    <w:rsid w:val="33DF0695"/>
    <w:rsid w:val="34107B4C"/>
    <w:rsid w:val="344D6161"/>
    <w:rsid w:val="346529B9"/>
    <w:rsid w:val="34722342"/>
    <w:rsid w:val="34767F60"/>
    <w:rsid w:val="347B4A7C"/>
    <w:rsid w:val="34BD5094"/>
    <w:rsid w:val="34C957E7"/>
    <w:rsid w:val="34E24AFB"/>
    <w:rsid w:val="34E71C5B"/>
    <w:rsid w:val="34EE16F2"/>
    <w:rsid w:val="3520305B"/>
    <w:rsid w:val="352660F7"/>
    <w:rsid w:val="352670DE"/>
    <w:rsid w:val="35380BBF"/>
    <w:rsid w:val="353D4926"/>
    <w:rsid w:val="35492DCC"/>
    <w:rsid w:val="35661288"/>
    <w:rsid w:val="35780FBB"/>
    <w:rsid w:val="357A11D7"/>
    <w:rsid w:val="358362DE"/>
    <w:rsid w:val="359A53D6"/>
    <w:rsid w:val="36090B44"/>
    <w:rsid w:val="3616268C"/>
    <w:rsid w:val="36211653"/>
    <w:rsid w:val="36266C69"/>
    <w:rsid w:val="3654712D"/>
    <w:rsid w:val="365764AC"/>
    <w:rsid w:val="3663062D"/>
    <w:rsid w:val="367A6F5D"/>
    <w:rsid w:val="367D10F2"/>
    <w:rsid w:val="369462C9"/>
    <w:rsid w:val="36D466C5"/>
    <w:rsid w:val="374675C3"/>
    <w:rsid w:val="377C1237"/>
    <w:rsid w:val="37D72E50"/>
    <w:rsid w:val="38044D88"/>
    <w:rsid w:val="38054BB8"/>
    <w:rsid w:val="380D00E1"/>
    <w:rsid w:val="38445F77"/>
    <w:rsid w:val="384C6E5B"/>
    <w:rsid w:val="386D4AC9"/>
    <w:rsid w:val="389D298A"/>
    <w:rsid w:val="391B682D"/>
    <w:rsid w:val="39513FFD"/>
    <w:rsid w:val="39930ABA"/>
    <w:rsid w:val="399C592F"/>
    <w:rsid w:val="399E4005"/>
    <w:rsid w:val="39B32F0A"/>
    <w:rsid w:val="3A1A40A4"/>
    <w:rsid w:val="3A251DFB"/>
    <w:rsid w:val="3A577D39"/>
    <w:rsid w:val="3A667F7C"/>
    <w:rsid w:val="3A8A5A19"/>
    <w:rsid w:val="3AC727C9"/>
    <w:rsid w:val="3ACF5B21"/>
    <w:rsid w:val="3AD05D7C"/>
    <w:rsid w:val="3BAB20EB"/>
    <w:rsid w:val="3BB43911"/>
    <w:rsid w:val="3BDA6648"/>
    <w:rsid w:val="3BDD7DCA"/>
    <w:rsid w:val="3BE70C49"/>
    <w:rsid w:val="3BED2703"/>
    <w:rsid w:val="3C190EF6"/>
    <w:rsid w:val="3C241E9D"/>
    <w:rsid w:val="3C2B322B"/>
    <w:rsid w:val="3C3E2F5F"/>
    <w:rsid w:val="3CB0308D"/>
    <w:rsid w:val="3CBE05CE"/>
    <w:rsid w:val="3D05428E"/>
    <w:rsid w:val="3D2251EF"/>
    <w:rsid w:val="3D274C86"/>
    <w:rsid w:val="3D2F28A7"/>
    <w:rsid w:val="3D483969"/>
    <w:rsid w:val="3D9D5A63"/>
    <w:rsid w:val="3DB01C3A"/>
    <w:rsid w:val="3DB64D77"/>
    <w:rsid w:val="3DDD67A7"/>
    <w:rsid w:val="3DEF4BD5"/>
    <w:rsid w:val="3E23240C"/>
    <w:rsid w:val="3E2B306F"/>
    <w:rsid w:val="3E4B3711"/>
    <w:rsid w:val="3E506F79"/>
    <w:rsid w:val="3E6E32C6"/>
    <w:rsid w:val="3E887EE8"/>
    <w:rsid w:val="3E907376"/>
    <w:rsid w:val="3E9A582A"/>
    <w:rsid w:val="3EAF5A30"/>
    <w:rsid w:val="3EEC4EF4"/>
    <w:rsid w:val="3F12422F"/>
    <w:rsid w:val="3F156E63"/>
    <w:rsid w:val="3F3F029D"/>
    <w:rsid w:val="3F4C5993"/>
    <w:rsid w:val="3F4F5483"/>
    <w:rsid w:val="3F5B3E28"/>
    <w:rsid w:val="3F6251B6"/>
    <w:rsid w:val="3F6525B0"/>
    <w:rsid w:val="3F854A01"/>
    <w:rsid w:val="3FF80758"/>
    <w:rsid w:val="401A15ED"/>
    <w:rsid w:val="401D732F"/>
    <w:rsid w:val="40392EF7"/>
    <w:rsid w:val="4070745F"/>
    <w:rsid w:val="408B6047"/>
    <w:rsid w:val="40A77094"/>
    <w:rsid w:val="40CF0629"/>
    <w:rsid w:val="40F94489"/>
    <w:rsid w:val="411918A4"/>
    <w:rsid w:val="412A3AB2"/>
    <w:rsid w:val="417C039A"/>
    <w:rsid w:val="41856F3A"/>
    <w:rsid w:val="41AA78AF"/>
    <w:rsid w:val="41BE1905"/>
    <w:rsid w:val="41D37CA5"/>
    <w:rsid w:val="42383FAC"/>
    <w:rsid w:val="4252356B"/>
    <w:rsid w:val="42764AD5"/>
    <w:rsid w:val="42813BA5"/>
    <w:rsid w:val="42980EEF"/>
    <w:rsid w:val="42AE426E"/>
    <w:rsid w:val="42C32557"/>
    <w:rsid w:val="430F2F5F"/>
    <w:rsid w:val="43906309"/>
    <w:rsid w:val="439C056B"/>
    <w:rsid w:val="43A318F9"/>
    <w:rsid w:val="43B65AD0"/>
    <w:rsid w:val="43C55D14"/>
    <w:rsid w:val="43D001D9"/>
    <w:rsid w:val="43D1290A"/>
    <w:rsid w:val="43D441A9"/>
    <w:rsid w:val="43D9356D"/>
    <w:rsid w:val="43F565F9"/>
    <w:rsid w:val="44063E32"/>
    <w:rsid w:val="4407632C"/>
    <w:rsid w:val="442A5853"/>
    <w:rsid w:val="44557CFB"/>
    <w:rsid w:val="44867F3F"/>
    <w:rsid w:val="449556E6"/>
    <w:rsid w:val="44A26055"/>
    <w:rsid w:val="44D206E8"/>
    <w:rsid w:val="451E56DB"/>
    <w:rsid w:val="45246A6A"/>
    <w:rsid w:val="4568104C"/>
    <w:rsid w:val="456D6663"/>
    <w:rsid w:val="457949DB"/>
    <w:rsid w:val="458D0AB3"/>
    <w:rsid w:val="45905EAD"/>
    <w:rsid w:val="45B20519"/>
    <w:rsid w:val="45C2075D"/>
    <w:rsid w:val="45C83899"/>
    <w:rsid w:val="45F91CA4"/>
    <w:rsid w:val="46B06807"/>
    <w:rsid w:val="46C91677"/>
    <w:rsid w:val="46CA53D9"/>
    <w:rsid w:val="46DA3884"/>
    <w:rsid w:val="46F506BE"/>
    <w:rsid w:val="47213261"/>
    <w:rsid w:val="47283843"/>
    <w:rsid w:val="473E02B7"/>
    <w:rsid w:val="477912EF"/>
    <w:rsid w:val="47811F51"/>
    <w:rsid w:val="478657BA"/>
    <w:rsid w:val="47EA5D49"/>
    <w:rsid w:val="47ED3A8B"/>
    <w:rsid w:val="47FF3478"/>
    <w:rsid w:val="48111527"/>
    <w:rsid w:val="482C6361"/>
    <w:rsid w:val="48403BBB"/>
    <w:rsid w:val="486E697A"/>
    <w:rsid w:val="489108BA"/>
    <w:rsid w:val="489F76EC"/>
    <w:rsid w:val="48EC7B2F"/>
    <w:rsid w:val="49057D1C"/>
    <w:rsid w:val="494E08CE"/>
    <w:rsid w:val="49555444"/>
    <w:rsid w:val="497F7EB1"/>
    <w:rsid w:val="4981448B"/>
    <w:rsid w:val="49900B72"/>
    <w:rsid w:val="49942410"/>
    <w:rsid w:val="49D547D7"/>
    <w:rsid w:val="49E91BCD"/>
    <w:rsid w:val="49EC22F3"/>
    <w:rsid w:val="49F11610"/>
    <w:rsid w:val="49F25388"/>
    <w:rsid w:val="4A2F389D"/>
    <w:rsid w:val="4A300C9F"/>
    <w:rsid w:val="4A7B00CA"/>
    <w:rsid w:val="4A840963"/>
    <w:rsid w:val="4A8E3337"/>
    <w:rsid w:val="4A9D3546"/>
    <w:rsid w:val="4AA448D5"/>
    <w:rsid w:val="4ACC5BD9"/>
    <w:rsid w:val="4AF55130"/>
    <w:rsid w:val="4B474272"/>
    <w:rsid w:val="4B64132B"/>
    <w:rsid w:val="4B962C79"/>
    <w:rsid w:val="4BB23021"/>
    <w:rsid w:val="4BE40D01"/>
    <w:rsid w:val="4BF631E1"/>
    <w:rsid w:val="4C066EC9"/>
    <w:rsid w:val="4C0849EF"/>
    <w:rsid w:val="4C121D12"/>
    <w:rsid w:val="4C1635B0"/>
    <w:rsid w:val="4C5B7215"/>
    <w:rsid w:val="4CBB5F06"/>
    <w:rsid w:val="4CC56D84"/>
    <w:rsid w:val="4CE511D4"/>
    <w:rsid w:val="4D302450"/>
    <w:rsid w:val="4D52686A"/>
    <w:rsid w:val="4D534390"/>
    <w:rsid w:val="4D7D140D"/>
    <w:rsid w:val="4DB0533F"/>
    <w:rsid w:val="4DCE3A17"/>
    <w:rsid w:val="4DDE05EC"/>
    <w:rsid w:val="4DDF3E76"/>
    <w:rsid w:val="4DE82D2A"/>
    <w:rsid w:val="4DF90583"/>
    <w:rsid w:val="4DF93756"/>
    <w:rsid w:val="4E21448E"/>
    <w:rsid w:val="4E257ADB"/>
    <w:rsid w:val="4E3046D1"/>
    <w:rsid w:val="4E7B76FB"/>
    <w:rsid w:val="4E7F7A2B"/>
    <w:rsid w:val="4E8F31A6"/>
    <w:rsid w:val="4E962786"/>
    <w:rsid w:val="4EF851EF"/>
    <w:rsid w:val="4F0E4A13"/>
    <w:rsid w:val="4F2E4127"/>
    <w:rsid w:val="4F3B1580"/>
    <w:rsid w:val="4F3F2E1E"/>
    <w:rsid w:val="4F76505F"/>
    <w:rsid w:val="4F806F93"/>
    <w:rsid w:val="4FAF27EE"/>
    <w:rsid w:val="4FB07878"/>
    <w:rsid w:val="4FFA45B8"/>
    <w:rsid w:val="500217A0"/>
    <w:rsid w:val="5012408F"/>
    <w:rsid w:val="505C03E7"/>
    <w:rsid w:val="50966A6E"/>
    <w:rsid w:val="509E3B74"/>
    <w:rsid w:val="50A76ECD"/>
    <w:rsid w:val="50C17863"/>
    <w:rsid w:val="51051E45"/>
    <w:rsid w:val="513F76A4"/>
    <w:rsid w:val="5156444F"/>
    <w:rsid w:val="51566F35"/>
    <w:rsid w:val="515801C7"/>
    <w:rsid w:val="516E1798"/>
    <w:rsid w:val="517007B1"/>
    <w:rsid w:val="517C0CBD"/>
    <w:rsid w:val="517F39A6"/>
    <w:rsid w:val="51BF3DA2"/>
    <w:rsid w:val="51CC4711"/>
    <w:rsid w:val="51CD02EF"/>
    <w:rsid w:val="51EE74E3"/>
    <w:rsid w:val="520617F5"/>
    <w:rsid w:val="521045FE"/>
    <w:rsid w:val="52213996"/>
    <w:rsid w:val="5221680B"/>
    <w:rsid w:val="52326C6A"/>
    <w:rsid w:val="52A852B3"/>
    <w:rsid w:val="52AC6B08"/>
    <w:rsid w:val="52C92BF3"/>
    <w:rsid w:val="52F65EE9"/>
    <w:rsid w:val="52F7756C"/>
    <w:rsid w:val="53530033"/>
    <w:rsid w:val="537C6C9A"/>
    <w:rsid w:val="53CA4C80"/>
    <w:rsid w:val="5429409D"/>
    <w:rsid w:val="546050F7"/>
    <w:rsid w:val="54752E3E"/>
    <w:rsid w:val="54DD0B81"/>
    <w:rsid w:val="54DE4E87"/>
    <w:rsid w:val="54EA08F0"/>
    <w:rsid w:val="551E5284"/>
    <w:rsid w:val="553E76D4"/>
    <w:rsid w:val="5560066F"/>
    <w:rsid w:val="559519EA"/>
    <w:rsid w:val="55D52965"/>
    <w:rsid w:val="55EE10FA"/>
    <w:rsid w:val="55F34962"/>
    <w:rsid w:val="568F468B"/>
    <w:rsid w:val="56D24578"/>
    <w:rsid w:val="57266671"/>
    <w:rsid w:val="57672F12"/>
    <w:rsid w:val="578A6C00"/>
    <w:rsid w:val="5798087C"/>
    <w:rsid w:val="57F329F7"/>
    <w:rsid w:val="57F66044"/>
    <w:rsid w:val="58020E8D"/>
    <w:rsid w:val="580E15DF"/>
    <w:rsid w:val="5818420C"/>
    <w:rsid w:val="58337298"/>
    <w:rsid w:val="585B711D"/>
    <w:rsid w:val="586438F5"/>
    <w:rsid w:val="586B4C84"/>
    <w:rsid w:val="587830F6"/>
    <w:rsid w:val="58C919AA"/>
    <w:rsid w:val="592461E7"/>
    <w:rsid w:val="593A3906"/>
    <w:rsid w:val="594159E5"/>
    <w:rsid w:val="597A115C"/>
    <w:rsid w:val="59A044B9"/>
    <w:rsid w:val="59B85996"/>
    <w:rsid w:val="59C347F7"/>
    <w:rsid w:val="59E03FFA"/>
    <w:rsid w:val="5A032C9A"/>
    <w:rsid w:val="5A8B5169"/>
    <w:rsid w:val="5A93401E"/>
    <w:rsid w:val="5AAC78A4"/>
    <w:rsid w:val="5ADA39FB"/>
    <w:rsid w:val="5B1A029B"/>
    <w:rsid w:val="5B3439F9"/>
    <w:rsid w:val="5B345801"/>
    <w:rsid w:val="5B3517B3"/>
    <w:rsid w:val="5B5B0EE5"/>
    <w:rsid w:val="5B5E287E"/>
    <w:rsid w:val="5B8816A9"/>
    <w:rsid w:val="5B8B1199"/>
    <w:rsid w:val="5B991686"/>
    <w:rsid w:val="5BCE66EA"/>
    <w:rsid w:val="5BD40D92"/>
    <w:rsid w:val="5BEC7E8A"/>
    <w:rsid w:val="5BF972BE"/>
    <w:rsid w:val="5C1D44E7"/>
    <w:rsid w:val="5C49708A"/>
    <w:rsid w:val="5C597265"/>
    <w:rsid w:val="5C62014C"/>
    <w:rsid w:val="5C7560D1"/>
    <w:rsid w:val="5C871960"/>
    <w:rsid w:val="5D303DA6"/>
    <w:rsid w:val="5D4E3137"/>
    <w:rsid w:val="5D5E6B65"/>
    <w:rsid w:val="5D7719D5"/>
    <w:rsid w:val="5D980AC8"/>
    <w:rsid w:val="5D9B1B67"/>
    <w:rsid w:val="5DA566C8"/>
    <w:rsid w:val="5DB26EB1"/>
    <w:rsid w:val="5DD961EC"/>
    <w:rsid w:val="5DDB6408"/>
    <w:rsid w:val="5E061FE8"/>
    <w:rsid w:val="5E2A4C99"/>
    <w:rsid w:val="5E371164"/>
    <w:rsid w:val="5E432F68"/>
    <w:rsid w:val="5E6C7060"/>
    <w:rsid w:val="5E7B3747"/>
    <w:rsid w:val="5EC0115A"/>
    <w:rsid w:val="5EC20863"/>
    <w:rsid w:val="5EC439C8"/>
    <w:rsid w:val="5ECB022A"/>
    <w:rsid w:val="5ECF3A0D"/>
    <w:rsid w:val="5EEB267A"/>
    <w:rsid w:val="5EF62DCD"/>
    <w:rsid w:val="5F1871E8"/>
    <w:rsid w:val="5F427DC1"/>
    <w:rsid w:val="5F443B39"/>
    <w:rsid w:val="5F48187B"/>
    <w:rsid w:val="5F8959EF"/>
    <w:rsid w:val="5FA32B27"/>
    <w:rsid w:val="5FD27396"/>
    <w:rsid w:val="5FD56E87"/>
    <w:rsid w:val="5FFB4B3F"/>
    <w:rsid w:val="601C4AB5"/>
    <w:rsid w:val="603A20E8"/>
    <w:rsid w:val="60964636"/>
    <w:rsid w:val="610E08A2"/>
    <w:rsid w:val="61154C74"/>
    <w:rsid w:val="615C33BC"/>
    <w:rsid w:val="61616C24"/>
    <w:rsid w:val="61E17D65"/>
    <w:rsid w:val="61E67129"/>
    <w:rsid w:val="623E236D"/>
    <w:rsid w:val="623E6F65"/>
    <w:rsid w:val="62683FE2"/>
    <w:rsid w:val="626A5FAC"/>
    <w:rsid w:val="6292105F"/>
    <w:rsid w:val="62B05A46"/>
    <w:rsid w:val="62B40FD5"/>
    <w:rsid w:val="62BE3C02"/>
    <w:rsid w:val="62C531E2"/>
    <w:rsid w:val="62E0626E"/>
    <w:rsid w:val="62EF2AE6"/>
    <w:rsid w:val="62F615EE"/>
    <w:rsid w:val="633A597E"/>
    <w:rsid w:val="633B34A5"/>
    <w:rsid w:val="63500CFE"/>
    <w:rsid w:val="63576530"/>
    <w:rsid w:val="63A61C0D"/>
    <w:rsid w:val="63B82D47"/>
    <w:rsid w:val="63C74D38"/>
    <w:rsid w:val="63D74F7B"/>
    <w:rsid w:val="640D3093"/>
    <w:rsid w:val="64177A6E"/>
    <w:rsid w:val="643C2058"/>
    <w:rsid w:val="644A1BF1"/>
    <w:rsid w:val="644C7018"/>
    <w:rsid w:val="645B3DFE"/>
    <w:rsid w:val="64807F75"/>
    <w:rsid w:val="648E6061"/>
    <w:rsid w:val="64AB3694"/>
    <w:rsid w:val="64CA0F84"/>
    <w:rsid w:val="64EA6F30"/>
    <w:rsid w:val="65143FAD"/>
    <w:rsid w:val="651D10B4"/>
    <w:rsid w:val="65363F24"/>
    <w:rsid w:val="653B1C59"/>
    <w:rsid w:val="65426D6C"/>
    <w:rsid w:val="65442AE4"/>
    <w:rsid w:val="65501489"/>
    <w:rsid w:val="65764C68"/>
    <w:rsid w:val="65905D2A"/>
    <w:rsid w:val="65A74E21"/>
    <w:rsid w:val="65B732B6"/>
    <w:rsid w:val="65BD2897"/>
    <w:rsid w:val="65DD0843"/>
    <w:rsid w:val="65EB3BCA"/>
    <w:rsid w:val="663761A5"/>
    <w:rsid w:val="665A3616"/>
    <w:rsid w:val="668E07D5"/>
    <w:rsid w:val="669A48EB"/>
    <w:rsid w:val="66A304B9"/>
    <w:rsid w:val="671309C0"/>
    <w:rsid w:val="672A4CEC"/>
    <w:rsid w:val="67346046"/>
    <w:rsid w:val="675B4115"/>
    <w:rsid w:val="67A55390"/>
    <w:rsid w:val="67BC1058"/>
    <w:rsid w:val="67C27CF0"/>
    <w:rsid w:val="67C6348B"/>
    <w:rsid w:val="67D87514"/>
    <w:rsid w:val="67E67E83"/>
    <w:rsid w:val="67E934CF"/>
    <w:rsid w:val="68336E40"/>
    <w:rsid w:val="68466B73"/>
    <w:rsid w:val="68637725"/>
    <w:rsid w:val="68A747B2"/>
    <w:rsid w:val="68AB69D7"/>
    <w:rsid w:val="68E24AEE"/>
    <w:rsid w:val="69232A11"/>
    <w:rsid w:val="6942558D"/>
    <w:rsid w:val="69644211"/>
    <w:rsid w:val="69E91EAC"/>
    <w:rsid w:val="69F56662"/>
    <w:rsid w:val="6A0171F6"/>
    <w:rsid w:val="6A1A0BF5"/>
    <w:rsid w:val="6A6B0B13"/>
    <w:rsid w:val="6A7556DE"/>
    <w:rsid w:val="6AA02E7D"/>
    <w:rsid w:val="6AC16985"/>
    <w:rsid w:val="6B0A3E88"/>
    <w:rsid w:val="6B1E16E2"/>
    <w:rsid w:val="6B436729"/>
    <w:rsid w:val="6B474ADD"/>
    <w:rsid w:val="6B96396E"/>
    <w:rsid w:val="6C111246"/>
    <w:rsid w:val="6C152AE5"/>
    <w:rsid w:val="6C1D54D4"/>
    <w:rsid w:val="6C2C7E2E"/>
    <w:rsid w:val="6CD00CED"/>
    <w:rsid w:val="6D107750"/>
    <w:rsid w:val="6D372F2F"/>
    <w:rsid w:val="6D3C6797"/>
    <w:rsid w:val="6D7E23C9"/>
    <w:rsid w:val="6D910891"/>
    <w:rsid w:val="6D9E4D5C"/>
    <w:rsid w:val="6DA32372"/>
    <w:rsid w:val="6DA71E62"/>
    <w:rsid w:val="6E096679"/>
    <w:rsid w:val="6E0F0D2E"/>
    <w:rsid w:val="6E201C15"/>
    <w:rsid w:val="6E423939"/>
    <w:rsid w:val="6E5F273D"/>
    <w:rsid w:val="6E6209EE"/>
    <w:rsid w:val="6E755ABD"/>
    <w:rsid w:val="6E900B48"/>
    <w:rsid w:val="6E966012"/>
    <w:rsid w:val="6E9D5013"/>
    <w:rsid w:val="6EA25D30"/>
    <w:rsid w:val="6EAB14DE"/>
    <w:rsid w:val="6EAC78E3"/>
    <w:rsid w:val="6EBE7E92"/>
    <w:rsid w:val="6ED924EF"/>
    <w:rsid w:val="6EDC3D8E"/>
    <w:rsid w:val="6EF2535F"/>
    <w:rsid w:val="6EF74724"/>
    <w:rsid w:val="6F1E43A6"/>
    <w:rsid w:val="6F321C00"/>
    <w:rsid w:val="6F401B5A"/>
    <w:rsid w:val="6F655B31"/>
    <w:rsid w:val="6F7C731F"/>
    <w:rsid w:val="6FD66A2F"/>
    <w:rsid w:val="701D01BA"/>
    <w:rsid w:val="702A6D7B"/>
    <w:rsid w:val="70495453"/>
    <w:rsid w:val="7050767C"/>
    <w:rsid w:val="70657DB3"/>
    <w:rsid w:val="707065AF"/>
    <w:rsid w:val="708741CD"/>
    <w:rsid w:val="709A1D29"/>
    <w:rsid w:val="70B008E6"/>
    <w:rsid w:val="70CD2C1E"/>
    <w:rsid w:val="70CF1A8E"/>
    <w:rsid w:val="70FF1FB5"/>
    <w:rsid w:val="719A3A8C"/>
    <w:rsid w:val="71BE59CD"/>
    <w:rsid w:val="71D32EF1"/>
    <w:rsid w:val="71D64AC4"/>
    <w:rsid w:val="71D84CE0"/>
    <w:rsid w:val="722A3062"/>
    <w:rsid w:val="72482AB8"/>
    <w:rsid w:val="72587BCF"/>
    <w:rsid w:val="72B017B9"/>
    <w:rsid w:val="72C9170C"/>
    <w:rsid w:val="72F378F8"/>
    <w:rsid w:val="733F48EB"/>
    <w:rsid w:val="734463A5"/>
    <w:rsid w:val="7358775B"/>
    <w:rsid w:val="736857C6"/>
    <w:rsid w:val="7379604F"/>
    <w:rsid w:val="73920EBF"/>
    <w:rsid w:val="73C372CA"/>
    <w:rsid w:val="73CF7975"/>
    <w:rsid w:val="73D74B24"/>
    <w:rsid w:val="74032737"/>
    <w:rsid w:val="740C6EC3"/>
    <w:rsid w:val="74130252"/>
    <w:rsid w:val="7428537F"/>
    <w:rsid w:val="742C0087"/>
    <w:rsid w:val="74485A21"/>
    <w:rsid w:val="744B2DDA"/>
    <w:rsid w:val="7476433D"/>
    <w:rsid w:val="74E67714"/>
    <w:rsid w:val="74EB4D2A"/>
    <w:rsid w:val="74FB2A94"/>
    <w:rsid w:val="7533222E"/>
    <w:rsid w:val="753A332C"/>
    <w:rsid w:val="754937FF"/>
    <w:rsid w:val="756D1BE3"/>
    <w:rsid w:val="7576416A"/>
    <w:rsid w:val="75926786"/>
    <w:rsid w:val="75986535"/>
    <w:rsid w:val="75BE5F9B"/>
    <w:rsid w:val="75EA3234"/>
    <w:rsid w:val="760B6D06"/>
    <w:rsid w:val="761B6CAF"/>
    <w:rsid w:val="764F3097"/>
    <w:rsid w:val="766905FD"/>
    <w:rsid w:val="76DC12E7"/>
    <w:rsid w:val="76E01F41"/>
    <w:rsid w:val="76EF03D6"/>
    <w:rsid w:val="76F123A0"/>
    <w:rsid w:val="773F310C"/>
    <w:rsid w:val="775070C7"/>
    <w:rsid w:val="7764600A"/>
    <w:rsid w:val="776B5CAF"/>
    <w:rsid w:val="77905715"/>
    <w:rsid w:val="780F6F82"/>
    <w:rsid w:val="781F4CEB"/>
    <w:rsid w:val="78306EF8"/>
    <w:rsid w:val="786C6182"/>
    <w:rsid w:val="78715547"/>
    <w:rsid w:val="789E3E62"/>
    <w:rsid w:val="78AD22F7"/>
    <w:rsid w:val="78B95140"/>
    <w:rsid w:val="78B977BA"/>
    <w:rsid w:val="78BA0FFF"/>
    <w:rsid w:val="78FF6FF6"/>
    <w:rsid w:val="795766F4"/>
    <w:rsid w:val="79600BDE"/>
    <w:rsid w:val="79D02741"/>
    <w:rsid w:val="79F55899"/>
    <w:rsid w:val="7A2F5A49"/>
    <w:rsid w:val="7A456C8B"/>
    <w:rsid w:val="7A5C5D83"/>
    <w:rsid w:val="7AE00762"/>
    <w:rsid w:val="7AEC5358"/>
    <w:rsid w:val="7AF366E7"/>
    <w:rsid w:val="7B607AF4"/>
    <w:rsid w:val="7BBA0FB3"/>
    <w:rsid w:val="7BC736D0"/>
    <w:rsid w:val="7BD302C6"/>
    <w:rsid w:val="7C0E57A2"/>
    <w:rsid w:val="7C4371FA"/>
    <w:rsid w:val="7C855A65"/>
    <w:rsid w:val="7C9370AE"/>
    <w:rsid w:val="7CA0464C"/>
    <w:rsid w:val="7CC652AA"/>
    <w:rsid w:val="7CF130FA"/>
    <w:rsid w:val="7CF8122F"/>
    <w:rsid w:val="7D2254F2"/>
    <w:rsid w:val="7D3E79C1"/>
    <w:rsid w:val="7D690EE2"/>
    <w:rsid w:val="7D7B0C16"/>
    <w:rsid w:val="7DA95783"/>
    <w:rsid w:val="7DDD367E"/>
    <w:rsid w:val="7DE13010"/>
    <w:rsid w:val="7DF05160"/>
    <w:rsid w:val="7E0E059C"/>
    <w:rsid w:val="7E0E1A8A"/>
    <w:rsid w:val="7EC32874"/>
    <w:rsid w:val="7EF26CB5"/>
    <w:rsid w:val="7F2C21C7"/>
    <w:rsid w:val="7F385010"/>
    <w:rsid w:val="7F475253"/>
    <w:rsid w:val="7F5D4A77"/>
    <w:rsid w:val="7FD50AB1"/>
    <w:rsid w:val="7FE17456"/>
    <w:rsid w:val="7FF76C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spacing w:before="7"/>
      <w:outlineLvl w:val="0"/>
    </w:pPr>
    <w:rPr>
      <w:rFonts w:ascii="宋体" w:hAnsi="宋体" w:eastAsia="宋体"/>
      <w:sz w:val="84"/>
      <w:szCs w:val="84"/>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4"/>
    <w:basedOn w:val="1"/>
    <w:next w:val="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5">
    <w:name w:val="heading 5"/>
    <w:basedOn w:val="1"/>
    <w:next w:val="1"/>
    <w:unhideWhenUsed/>
    <w:qFormat/>
    <w:uiPriority w:val="9"/>
    <w:pPr>
      <w:outlineLvl w:val="4"/>
    </w:pPr>
    <w:rPr>
      <w:rFonts w:ascii="宋体" w:hAnsi="宋体" w:eastAsia="宋体"/>
      <w:sz w:val="28"/>
      <w:szCs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toa heading"/>
    <w:basedOn w:val="1"/>
    <w:next w:val="1"/>
    <w:qFormat/>
    <w:uiPriority w:val="0"/>
    <w:pPr>
      <w:spacing w:before="120"/>
    </w:pPr>
    <w:rPr>
      <w:rFonts w:ascii="Arial" w:hAnsi="Arial"/>
      <w:sz w:val="24"/>
    </w:rPr>
  </w:style>
  <w:style w:type="paragraph" w:styleId="7">
    <w:name w:val="Body Text"/>
    <w:basedOn w:val="1"/>
    <w:semiHidden/>
    <w:qFormat/>
    <w:uiPriority w:val="0"/>
    <w:rPr>
      <w:rFonts w:ascii="微软雅黑" w:hAnsi="微软雅黑" w:eastAsia="微软雅黑" w:cs="微软雅黑"/>
      <w:sz w:val="31"/>
      <w:szCs w:val="31"/>
      <w:lang w:val="en-US" w:eastAsia="en-US" w:bidi="ar-SA"/>
    </w:rPr>
  </w:style>
  <w:style w:type="paragraph" w:styleId="8">
    <w:name w:val="Body Text Indent"/>
    <w:basedOn w:val="1"/>
    <w:qFormat/>
    <w:uiPriority w:val="0"/>
    <w:pPr>
      <w:spacing w:after="120"/>
      <w:ind w:left="420" w:leftChars="200"/>
    </w:pPr>
  </w:style>
  <w:style w:type="paragraph" w:styleId="9">
    <w:name w:val="Plain Text"/>
    <w:basedOn w:val="1"/>
    <w:qFormat/>
    <w:uiPriority w:val="0"/>
    <w:rPr>
      <w:rFonts w:ascii="宋体" w:hAnsi="Courier New" w:cs="Courier New"/>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Body Text First Indent"/>
    <w:basedOn w:val="7"/>
    <w:qFormat/>
    <w:uiPriority w:val="0"/>
    <w:pPr>
      <w:tabs>
        <w:tab w:val="left" w:pos="567"/>
      </w:tabs>
      <w:spacing w:before="0" w:after="120" w:line="240" w:lineRule="auto"/>
      <w:ind w:firstLine="100" w:firstLineChars="100"/>
    </w:pPr>
    <w:rPr>
      <w:color w:val="000000"/>
      <w:sz w:val="21"/>
    </w:rPr>
  </w:style>
  <w:style w:type="character" w:styleId="15">
    <w:name w:val="Strong"/>
    <w:basedOn w:val="14"/>
    <w:qFormat/>
    <w:uiPriority w:val="0"/>
    <w:rPr>
      <w:b/>
    </w:rPr>
  </w:style>
  <w:style w:type="character" w:styleId="16">
    <w:name w:val="Emphasis"/>
    <w:qFormat/>
    <w:uiPriority w:val="0"/>
    <w:rPr>
      <w:color w:val="CC0033"/>
    </w:rPr>
  </w:style>
  <w:style w:type="character" w:styleId="17">
    <w:name w:val="Hyperlink"/>
    <w:basedOn w:val="14"/>
    <w:qFormat/>
    <w:uiPriority w:val="0"/>
    <w:rPr>
      <w:color w:val="0000FF"/>
      <w:u w:val="single"/>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Arial" w:hAnsi="Arial" w:eastAsia="Arial" w:cs="Arial"/>
      <w:sz w:val="21"/>
      <w:szCs w:val="21"/>
      <w:lang w:val="en-US" w:eastAsia="en-US" w:bidi="ar-SA"/>
    </w:rPr>
  </w:style>
  <w:style w:type="paragraph" w:customStyle="1" w:styleId="20">
    <w:name w:val="图例"/>
    <w:basedOn w:val="1"/>
    <w:qFormat/>
    <w:uiPriority w:val="0"/>
    <w:pPr>
      <w:spacing w:before="120" w:after="120" w:line="360" w:lineRule="auto"/>
      <w:jc w:val="center"/>
    </w:pPr>
    <w:rPr>
      <w:rFonts w:eastAsia="仿宋_GB2312"/>
      <w:b/>
      <w:sz w:val="24"/>
      <w:szCs w:val="20"/>
    </w:rPr>
  </w:style>
  <w:style w:type="paragraph" w:customStyle="1" w:styleId="21">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2">
    <w:name w:val="Table Normal_0"/>
    <w:semiHidden/>
    <w:unhideWhenUsed/>
    <w:qFormat/>
    <w:uiPriority w:val="0"/>
    <w:tblPr>
      <w:tblCellMar>
        <w:top w:w="0" w:type="dxa"/>
        <w:left w:w="0" w:type="dxa"/>
        <w:bottom w:w="0" w:type="dxa"/>
        <w:right w:w="0" w:type="dxa"/>
      </w:tblCellMar>
    </w:tblPr>
  </w:style>
  <w:style w:type="paragraph" w:customStyle="1" w:styleId="23">
    <w:name w:val="列出段落5"/>
    <w:basedOn w:val="1"/>
    <w:qFormat/>
    <w:uiPriority w:val="99"/>
    <w:pPr>
      <w:ind w:firstLine="420" w:firstLineChars="200"/>
    </w:pPr>
    <w:rPr>
      <w:rFonts w:cs="Calibri"/>
      <w:szCs w:val="21"/>
    </w:rPr>
  </w:style>
  <w:style w:type="paragraph" w:customStyle="1" w:styleId="24">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5">
    <w:name w:val="列出段落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6696</Words>
  <Characters>6891</Characters>
  <TotalTime>4</TotalTime>
  <ScaleCrop>false</ScaleCrop>
  <LinksUpToDate>false</LinksUpToDate>
  <CharactersWithSpaces>7005</CharactersWithSpaces>
  <Application>WPS Office_11.8.2.10972_F1E327BC-269C-435d-A152-05C5408002CA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2024-11-28T11:25:00Z</dcterms:created>
  <dc:creator>Yin Hao</dc:creator>
  <cp:lastModifiedBy>Administrator</cp:lastModifiedBy>
  <cp:lastPrinted>2025-12-04T03:05:00Z</cp:lastPrinted>
  <dcterms:modified xsi:type="dcterms:W3CDTF">2026-07-31T08:07:39Z</dcterms:modified>
  <dc:title>政府采购示范文本（2023）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2024-12-04T16:37:07Z</vt:filetime>
  </property>
  <property fmtid="{D5CDD505-2E9C-101B-9397-08002B2CF9AE}" pid="4" name="KSOProductBuildVer">
    <vt:lpwstr>2052-11.8.2.10972</vt:lpwstr>
  </property>
  <property fmtid="{D5CDD505-2E9C-101B-9397-08002B2CF9AE}" pid="5" name="ICV">
    <vt:lpwstr>7A99DC5C51F64398B7C0678CFD7C8950_13</vt:lpwstr>
  </property>
  <property fmtid="{D5CDD505-2E9C-101B-9397-08002B2CF9AE}" pid="6" name="KSOTemplateDocerSaveRecord">
    <vt:lpwstr>eyJoZGlkIjoiMTkzMjJiNzE4MGY4NjYwMDJlMzQ0MmYwOWVhNjYwMGEiLCJ1c2VySWQiOiIxNjIxNDA4OTk5In0=</vt:lpwstr>
  </property>
</Properties>
</file>