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8A8C54">
      <w:pPr>
        <w:widowControl w:val="0"/>
        <w:tabs>
          <w:tab w:val="left" w:pos="567"/>
        </w:tabs>
        <w:spacing w:before="120" w:after="160" w:line="600" w:lineRule="exact"/>
        <w:jc w:val="both"/>
        <w:rPr>
          <w:rFonts w:hint="eastAsia" w:ascii="宋体" w:hAnsi="宋体" w:eastAsia="宋体" w:cs="宋体"/>
          <w:kern w:val="2"/>
          <w:sz w:val="24"/>
          <w:lang w:val="en-US" w:eastAsia="zh-CN" w:bidi="ar-SA"/>
        </w:rPr>
      </w:pPr>
      <w:bookmarkStart w:id="0" w:name="_Toc4887"/>
    </w:p>
    <w:p w14:paraId="37047FFA">
      <w:pPr>
        <w:widowControl w:val="0"/>
        <w:tabs>
          <w:tab w:val="left" w:pos="567"/>
        </w:tabs>
        <w:spacing w:before="120" w:after="160" w:line="600" w:lineRule="exact"/>
        <w:jc w:val="both"/>
        <w:rPr>
          <w:rFonts w:hint="eastAsia" w:ascii="宋体" w:hAnsi="宋体" w:eastAsia="宋体" w:cs="宋体"/>
          <w:kern w:val="2"/>
          <w:sz w:val="24"/>
          <w:lang w:val="en-US" w:eastAsia="zh-CN" w:bidi="ar-SA"/>
        </w:rPr>
      </w:pPr>
    </w:p>
    <w:p w14:paraId="5F54098B">
      <w:pPr>
        <w:widowControl w:val="0"/>
        <w:tabs>
          <w:tab w:val="left" w:pos="567"/>
        </w:tabs>
        <w:spacing w:before="120" w:after="160" w:line="600" w:lineRule="exact"/>
        <w:jc w:val="both"/>
        <w:rPr>
          <w:rFonts w:hint="eastAsia" w:ascii="宋体" w:hAnsi="宋体" w:eastAsia="宋体" w:cs="宋体"/>
          <w:kern w:val="2"/>
          <w:sz w:val="24"/>
          <w:lang w:val="en-US" w:eastAsia="zh-CN" w:bidi="ar-SA"/>
        </w:rPr>
      </w:pPr>
    </w:p>
    <w:p w14:paraId="0CB62310">
      <w:pPr>
        <w:wordWrap w:val="0"/>
        <w:spacing w:after="160" w:line="278" w:lineRule="auto"/>
        <w:jc w:val="both"/>
        <w:rPr>
          <w:rFonts w:hint="eastAsia" w:ascii="宋体" w:hAnsi="宋体" w:eastAsia="宋体" w:cs="宋体"/>
          <w:sz w:val="21"/>
          <w:szCs w:val="22"/>
          <w:lang w:val="en-US" w:eastAsia="zh-CN" w:bidi="ar-SA"/>
        </w:rPr>
      </w:pPr>
    </w:p>
    <w:p w14:paraId="30E760D6">
      <w:pPr>
        <w:widowControl w:val="0"/>
        <w:kinsoku/>
        <w:autoSpaceDE/>
        <w:autoSpaceDN/>
        <w:adjustRightInd/>
        <w:snapToGrid/>
        <w:spacing w:after="160" w:line="278" w:lineRule="auto"/>
        <w:jc w:val="both"/>
        <w:textAlignment w:val="auto"/>
        <w:rPr>
          <w:rFonts w:hint="eastAsia" w:ascii="宋体" w:hAnsi="宋体" w:eastAsia="宋体" w:cs="宋体"/>
          <w:snapToGrid/>
          <w:kern w:val="2"/>
          <w:szCs w:val="20"/>
          <w:lang w:eastAsia="zh-CN"/>
        </w:rPr>
      </w:pPr>
    </w:p>
    <w:p w14:paraId="3BF93635">
      <w:pPr>
        <w:widowControl w:val="0"/>
        <w:kinsoku/>
        <w:autoSpaceDE/>
        <w:autoSpaceDN/>
        <w:adjustRightInd/>
        <w:snapToGrid/>
        <w:spacing w:after="160" w:line="1000" w:lineRule="exact"/>
        <w:jc w:val="center"/>
        <w:textAlignment w:val="auto"/>
        <w:outlineLvl w:val="9"/>
        <w:rPr>
          <w:rFonts w:hint="eastAsia" w:ascii="宋体" w:hAnsi="宋体" w:eastAsia="宋体" w:cs="宋体"/>
          <w:snapToGrid/>
          <w:kern w:val="2"/>
          <w:sz w:val="84"/>
          <w:szCs w:val="84"/>
          <w:lang w:eastAsia="zh-CN"/>
        </w:rPr>
      </w:pPr>
      <w:bookmarkStart w:id="1" w:name="_Toc189651376"/>
      <w:r>
        <w:rPr>
          <w:rFonts w:hint="eastAsia" w:ascii="宋体" w:hAnsi="宋体" w:eastAsia="宋体" w:cs="宋体"/>
          <w:b/>
          <w:bCs/>
          <w:snapToGrid/>
          <w:kern w:val="2"/>
          <w:sz w:val="84"/>
          <w:szCs w:val="84"/>
          <w:lang w:eastAsia="zh-CN"/>
        </w:rPr>
        <w:t>建设工程施工合同</w:t>
      </w:r>
      <w:bookmarkEnd w:id="1"/>
    </w:p>
    <w:p w14:paraId="78EF55A5">
      <w:pPr>
        <w:widowControl w:val="0"/>
        <w:tabs>
          <w:tab w:val="left" w:pos="567"/>
        </w:tabs>
        <w:spacing w:before="120" w:after="160" w:line="600" w:lineRule="exact"/>
        <w:jc w:val="both"/>
        <w:rPr>
          <w:rFonts w:hint="eastAsia" w:ascii="宋体" w:hAnsi="宋体" w:eastAsia="宋体" w:cs="宋体"/>
          <w:kern w:val="2"/>
          <w:sz w:val="24"/>
          <w:lang w:val="en-US" w:eastAsia="zh-CN" w:bidi="ar-SA"/>
        </w:rPr>
      </w:pPr>
    </w:p>
    <w:p w14:paraId="1316C69B">
      <w:pPr>
        <w:widowControl w:val="0"/>
        <w:tabs>
          <w:tab w:val="left" w:pos="567"/>
        </w:tabs>
        <w:spacing w:before="120" w:after="160" w:line="600" w:lineRule="exact"/>
        <w:jc w:val="both"/>
        <w:rPr>
          <w:rFonts w:hint="eastAsia" w:ascii="宋体" w:hAnsi="宋体" w:eastAsia="宋体" w:cs="宋体"/>
          <w:kern w:val="2"/>
          <w:sz w:val="24"/>
          <w:lang w:val="en-US" w:eastAsia="zh-CN" w:bidi="ar-SA"/>
        </w:rPr>
      </w:pPr>
    </w:p>
    <w:p w14:paraId="21814207">
      <w:pPr>
        <w:widowControl w:val="0"/>
        <w:tabs>
          <w:tab w:val="left" w:pos="567"/>
        </w:tabs>
        <w:spacing w:before="120" w:after="160" w:line="600" w:lineRule="exact"/>
        <w:jc w:val="both"/>
        <w:rPr>
          <w:rFonts w:hint="eastAsia" w:ascii="宋体" w:hAnsi="宋体" w:eastAsia="宋体" w:cs="宋体"/>
          <w:kern w:val="2"/>
          <w:sz w:val="24"/>
          <w:lang w:val="en-US" w:eastAsia="zh-CN" w:bidi="ar-SA"/>
        </w:rPr>
      </w:pPr>
    </w:p>
    <w:p w14:paraId="4E618948">
      <w:pPr>
        <w:widowControl w:val="0"/>
        <w:tabs>
          <w:tab w:val="left" w:pos="567"/>
        </w:tabs>
        <w:spacing w:before="120" w:after="160" w:line="600" w:lineRule="exact"/>
        <w:jc w:val="both"/>
        <w:rPr>
          <w:rFonts w:hint="eastAsia" w:ascii="宋体" w:hAnsi="宋体" w:eastAsia="宋体" w:cs="宋体"/>
          <w:kern w:val="2"/>
          <w:sz w:val="24"/>
          <w:lang w:val="en-US" w:eastAsia="zh-CN" w:bidi="ar-SA"/>
        </w:rPr>
      </w:pPr>
    </w:p>
    <w:p w14:paraId="102B91F5">
      <w:pPr>
        <w:widowControl w:val="0"/>
        <w:kinsoku/>
        <w:autoSpaceDE/>
        <w:autoSpaceDN/>
        <w:adjustRightInd/>
        <w:snapToGrid/>
        <w:spacing w:after="160" w:line="600" w:lineRule="exact"/>
        <w:ind w:firstLine="1867" w:firstLineChars="600"/>
        <w:jc w:val="both"/>
        <w:textAlignment w:val="auto"/>
        <w:rPr>
          <w:rFonts w:hint="eastAsia" w:ascii="宋体" w:hAnsi="宋体" w:eastAsia="宋体" w:cs="宋体"/>
          <w:b/>
          <w:bCs/>
          <w:snapToGrid/>
          <w:kern w:val="2"/>
          <w:sz w:val="31"/>
          <w:szCs w:val="31"/>
          <w:lang w:eastAsia="zh-CN"/>
        </w:rPr>
      </w:pPr>
    </w:p>
    <w:p w14:paraId="58EDAA87">
      <w:pPr>
        <w:widowControl w:val="0"/>
        <w:kinsoku/>
        <w:autoSpaceDE/>
        <w:autoSpaceDN/>
        <w:adjustRightInd/>
        <w:snapToGrid/>
        <w:spacing w:after="160" w:line="600" w:lineRule="exact"/>
        <w:ind w:firstLine="1050" w:firstLineChars="500"/>
        <w:jc w:val="both"/>
        <w:textAlignment w:val="auto"/>
        <w:rPr>
          <w:rFonts w:hint="eastAsia" w:ascii="宋体" w:hAnsi="宋体" w:eastAsia="宋体" w:cs="宋体"/>
          <w:snapToGrid/>
          <w:kern w:val="2"/>
          <w:sz w:val="31"/>
          <w:szCs w:val="31"/>
          <w:lang w:eastAsia="zh-CN"/>
        </w:rPr>
      </w:pPr>
      <w:r>
        <w:rPr>
          <w:rFonts w:hint="eastAsia" w:ascii="宋体" w:hAnsi="宋体" w:eastAsia="宋体" w:cs="宋体"/>
          <w:snapToGrid/>
          <w:kern w:val="2"/>
          <w:szCs w:val="20"/>
          <w:lang w:eastAsia="zh-CN"/>
        </w:rPr>
        <mc:AlternateContent>
          <mc:Choice Requires="wps">
            <w:drawing>
              <wp:anchor distT="0" distB="0" distL="114300" distR="114300" simplePos="0" relativeHeight="251660288" behindDoc="0" locked="0" layoutInCell="1" allowOverlap="1">
                <wp:simplePos x="0" y="0"/>
                <wp:positionH relativeFrom="column">
                  <wp:posOffset>3830320</wp:posOffset>
                </wp:positionH>
                <wp:positionV relativeFrom="paragraph">
                  <wp:posOffset>179705</wp:posOffset>
                </wp:positionV>
                <wp:extent cx="758825" cy="492760"/>
                <wp:effectExtent l="0" t="0" r="0" b="0"/>
                <wp:wrapNone/>
                <wp:docPr id="302914976" name="文本框 1"/>
                <wp:cNvGraphicFramePr/>
                <a:graphic xmlns:a="http://schemas.openxmlformats.org/drawingml/2006/main">
                  <a:graphicData uri="http://schemas.microsoft.com/office/word/2010/wordprocessingShape">
                    <wps:wsp>
                      <wps:cNvSpPr txBox="1"/>
                      <wps:spPr>
                        <a:xfrm>
                          <a:off x="0" y="0"/>
                          <a:ext cx="758825" cy="492760"/>
                        </a:xfrm>
                        <a:prstGeom prst="rect">
                          <a:avLst/>
                        </a:prstGeom>
                        <a:noFill/>
                        <a:ln>
                          <a:noFill/>
                        </a:ln>
                      </wps:spPr>
                      <wps:txbx>
                        <w:txbxContent>
                          <w:p w14:paraId="2B303D82">
                            <w:pPr>
                              <w:widowControl w:val="0"/>
                              <w:kinsoku/>
                              <w:autoSpaceDE/>
                              <w:autoSpaceDN/>
                              <w:adjustRightInd/>
                              <w:snapToGrid/>
                              <w:spacing w:after="160" w:line="20" w:lineRule="exact"/>
                              <w:jc w:val="both"/>
                              <w:textAlignment w:val="auto"/>
                              <w:rPr>
                                <w:rFonts w:ascii="Calibri" w:hAnsi="Calibri" w:eastAsia="宋体" w:cs="Times New Roman"/>
                                <w:snapToGrid/>
                                <w:kern w:val="2"/>
                                <w:szCs w:val="20"/>
                                <w:lang w:eastAsia="zh-CN"/>
                              </w:rPr>
                            </w:pPr>
                          </w:p>
                          <w:tbl>
                            <w:tblPr>
                              <w:tblStyle w:val="20"/>
                              <w:tblW w:w="1140" w:type="dxa"/>
                              <w:tblInd w:w="27" w:type="dxa"/>
                              <w:tblBorders>
                                <w:top w:val="single" w:color="FFFFFF" w:sz="6" w:space="0"/>
                                <w:left w:val="single" w:color="FFFFFF" w:sz="6" w:space="0"/>
                                <w:bottom w:val="single" w:color="FFFFFF" w:sz="6" w:space="0"/>
                                <w:right w:val="single" w:color="FFFFFF" w:sz="6" w:space="0"/>
                                <w:insideH w:val="none" w:color="auto" w:sz="0" w:space="0"/>
                                <w:insideV w:val="none" w:color="auto" w:sz="0" w:space="0"/>
                              </w:tblBorders>
                              <w:tblLayout w:type="fixed"/>
                              <w:tblCellMar>
                                <w:top w:w="0" w:type="dxa"/>
                                <w:left w:w="0" w:type="dxa"/>
                                <w:bottom w:w="0" w:type="dxa"/>
                                <w:right w:w="0" w:type="dxa"/>
                              </w:tblCellMar>
                            </w:tblPr>
                            <w:tblGrid>
                              <w:gridCol w:w="1140"/>
                            </w:tblGrid>
                            <w:tr w14:paraId="1958CB48">
                              <w:tblPrEx>
                                <w:tblBorders>
                                  <w:top w:val="single" w:color="FFFFFF" w:sz="6" w:space="0"/>
                                  <w:left w:val="single" w:color="FFFFFF" w:sz="6" w:space="0"/>
                                  <w:bottom w:val="single" w:color="FFFFFF" w:sz="6" w:space="0"/>
                                  <w:right w:val="single" w:color="FFFFFF" w:sz="6" w:space="0"/>
                                  <w:insideH w:val="none" w:color="auto" w:sz="0" w:space="0"/>
                                  <w:insideV w:val="none" w:color="auto" w:sz="0" w:space="0"/>
                                </w:tblBorders>
                                <w:tblCellMar>
                                  <w:top w:w="0" w:type="dxa"/>
                                  <w:left w:w="0" w:type="dxa"/>
                                  <w:bottom w:w="0" w:type="dxa"/>
                                  <w:right w:w="0" w:type="dxa"/>
                                </w:tblCellMar>
                              </w:tblPrEx>
                              <w:trPr>
                                <w:trHeight w:val="705" w:hRule="atLeast"/>
                              </w:trPr>
                              <w:tc>
                                <w:tcPr>
                                  <w:tcW w:w="1140" w:type="dxa"/>
                                </w:tcPr>
                                <w:p w14:paraId="4917CACB">
                                  <w:pPr>
                                    <w:widowControl w:val="0"/>
                                    <w:kinsoku/>
                                    <w:autoSpaceDE/>
                                    <w:autoSpaceDN/>
                                    <w:adjustRightInd/>
                                    <w:snapToGrid/>
                                    <w:spacing w:before="122" w:after="160" w:line="226" w:lineRule="auto"/>
                                    <w:ind w:left="161"/>
                                    <w:jc w:val="both"/>
                                    <w:textAlignment w:val="auto"/>
                                    <w:rPr>
                                      <w:rFonts w:ascii="Calibri" w:hAnsi="Calibri" w:eastAsia="宋体" w:cs="宋体"/>
                                      <w:snapToGrid/>
                                      <w:kern w:val="2"/>
                                      <w:sz w:val="31"/>
                                      <w:szCs w:val="31"/>
                                      <w:lang w:eastAsia="zh-CN"/>
                                    </w:rPr>
                                  </w:pPr>
                                  <w:r>
                                    <w:rPr>
                                      <w:rFonts w:ascii="Calibri" w:hAnsi="Calibri" w:eastAsia="宋体" w:cs="宋体"/>
                                      <w:b/>
                                      <w:bCs/>
                                      <w:snapToGrid/>
                                      <w:kern w:val="2"/>
                                      <w:sz w:val="31"/>
                                      <w:szCs w:val="31"/>
                                      <w:lang w:eastAsia="zh-CN"/>
                                    </w:rPr>
                                    <w:t>制定</w:t>
                                  </w:r>
                                </w:p>
                              </w:tc>
                            </w:tr>
                          </w:tbl>
                          <w:p w14:paraId="0750C438">
                            <w:pPr>
                              <w:widowControl w:val="0"/>
                              <w:tabs>
                                <w:tab w:val="left" w:pos="567"/>
                              </w:tabs>
                              <w:spacing w:before="120" w:after="160" w:line="22" w:lineRule="atLeast"/>
                              <w:jc w:val="both"/>
                              <w:rPr>
                                <w:rFonts w:hint="eastAsia" w:ascii="宋体" w:hAnsi="宋体" w:eastAsia="宋体" w:cs="Times New Roman"/>
                                <w:kern w:val="2"/>
                                <w:sz w:val="24"/>
                                <w:lang w:val="en-US" w:eastAsia="zh-CN" w:bidi="ar-SA"/>
                              </w:rPr>
                            </w:pPr>
                          </w:p>
                        </w:txbxContent>
                      </wps:txbx>
                      <wps:bodyPr lIns="0" tIns="0" rIns="0" bIns="0" upright="1"/>
                    </wps:wsp>
                  </a:graphicData>
                </a:graphic>
              </wp:anchor>
            </w:drawing>
          </mc:Choice>
          <mc:Fallback>
            <w:pict>
              <v:shape id="文本框 1" o:spid="_x0000_s1026" o:spt="202" type="#_x0000_t202" style="position:absolute;left:0pt;margin-left:301.6pt;margin-top:14.15pt;height:38.8pt;width:59.75pt;z-index:251660288;mso-width-relative:page;mso-height-relative:page;" filled="f" stroked="f" coordsize="21600,21600" o:gfxdata="UEsDBAoAAAAAAIdO4kAAAAAAAAAAAAAAAAAEAAAAZHJzL1BLAwQUAAAACACHTuJAmfX4RNkAAAAK&#10;AQAADwAAAGRycy9kb3ducmV2LnhtbE2Py07DMBBF90j8gzVI7KhdV6RtiFMhBCukijQsWDqxm1iN&#10;xyF2H/x9hxUsR/fo3jPF5uIHdrJTdAEVzGcCmMU2GIedgs/67WEFLCaNRg8BrYIfG2FT3t4UOjfh&#10;jJU97VLHqARjrhX0KY0557HtrddxFkaLlO3D5HWic+q4mfSZyv3ApRAZ99ohLfR6tC+9bQ+7o1fw&#10;/IXVq/veNh/VvnJ1vRb4nh2Uur+biydgyV7SHwy/+qQOJTk14YgmskFBJhaSUAVytQBGwFLKJbCG&#10;SPG4Bl4W/P8L5RVQSwMEFAAAAAgAh07iQBeZctvDAQAAeQMAAA4AAABkcnMvZTJvRG9jLnhtbK1T&#10;zY7TMBC+I/EOlu/UadjtT9R0JVQtQkKAtPAAruM0lmyPZbtN+gLwBpy4cOe5+hyM3aYLy2UPXJzJ&#10;zOSb7/vGWd0NRpOD9EGBrel0UlAirYBG2V1Nv3y+f7WgJERuG67BypoeZaB365cvVr2rZAkd6EZ6&#10;giA2VL2raRejqxgLopOGhwk4abHYgjc84qvfscbzHtGNZmVRzFgPvnEehAwBs5tzkV4Q/XMAoW2V&#10;kBsQeyNtPKN6qXlESaFTLtB1Ztu2UsSPbRtkJLqmqDTmE4dgvE0nW694tfPcdUpcKPDnUHiiyXBl&#10;cegVasMjJ3uv/oEySngI0MaJAMPOQrIjqGJaPPHmoeNOZi1odXBX08P/gxUfDp88UU1NXxflcnqz&#10;nM8osdzg4k/fv51+/Dr9/EqmyabehQq7Hxz2x+ENDHh5xnzAZFI/tN6kJ+oiWEeTj1eT5RCJwOT8&#10;drEobykRWLpZlvNZXgJ7/Nj5EN9KMCQFNfW4w2wtP7wPEYlg69iSZlm4V1rnPWr7VwIbU4Yl5meG&#10;KYrDdrjI2UJzRDX6nUVH0+0YAz8G2zHYO692HdLJmjMkbiSTudyetPI/3/Pgxz9m/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Z9fhE2QAAAAoBAAAPAAAAAAAAAAEAIAAAACIAAABkcnMvZG93bnJl&#10;di54bWxQSwECFAAUAAAACACHTuJAF5ly28MBAAB5AwAADgAAAAAAAAABACAAAAAoAQAAZHJzL2Uy&#10;b0RvYy54bWxQSwUGAAAAAAYABgBZAQAAXQUAAAAA&#10;">
                <v:fill on="f" focussize="0,0"/>
                <v:stroke on="f"/>
                <v:imagedata o:title=""/>
                <o:lock v:ext="edit" aspectratio="f"/>
                <v:textbox inset="0mm,0mm,0mm,0mm">
                  <w:txbxContent>
                    <w:p w14:paraId="2B303D82">
                      <w:pPr>
                        <w:widowControl w:val="0"/>
                        <w:kinsoku/>
                        <w:autoSpaceDE/>
                        <w:autoSpaceDN/>
                        <w:adjustRightInd/>
                        <w:snapToGrid/>
                        <w:spacing w:after="160" w:line="20" w:lineRule="exact"/>
                        <w:jc w:val="both"/>
                        <w:textAlignment w:val="auto"/>
                        <w:rPr>
                          <w:rFonts w:ascii="Calibri" w:hAnsi="Calibri" w:eastAsia="宋体" w:cs="Times New Roman"/>
                          <w:snapToGrid/>
                          <w:kern w:val="2"/>
                          <w:szCs w:val="20"/>
                          <w:lang w:eastAsia="zh-CN"/>
                        </w:rPr>
                      </w:pPr>
                    </w:p>
                    <w:tbl>
                      <w:tblPr>
                        <w:tblStyle w:val="20"/>
                        <w:tblW w:w="1140" w:type="dxa"/>
                        <w:tblInd w:w="27" w:type="dxa"/>
                        <w:tblBorders>
                          <w:top w:val="single" w:color="FFFFFF" w:sz="6" w:space="0"/>
                          <w:left w:val="single" w:color="FFFFFF" w:sz="6" w:space="0"/>
                          <w:bottom w:val="single" w:color="FFFFFF" w:sz="6" w:space="0"/>
                          <w:right w:val="single" w:color="FFFFFF" w:sz="6" w:space="0"/>
                          <w:insideH w:val="none" w:color="auto" w:sz="0" w:space="0"/>
                          <w:insideV w:val="none" w:color="auto" w:sz="0" w:space="0"/>
                        </w:tblBorders>
                        <w:tblLayout w:type="fixed"/>
                        <w:tblCellMar>
                          <w:top w:w="0" w:type="dxa"/>
                          <w:left w:w="0" w:type="dxa"/>
                          <w:bottom w:w="0" w:type="dxa"/>
                          <w:right w:w="0" w:type="dxa"/>
                        </w:tblCellMar>
                      </w:tblPr>
                      <w:tblGrid>
                        <w:gridCol w:w="1140"/>
                      </w:tblGrid>
                      <w:tr w14:paraId="1958CB48">
                        <w:tblPrEx>
                          <w:tblBorders>
                            <w:top w:val="single" w:color="FFFFFF" w:sz="6" w:space="0"/>
                            <w:left w:val="single" w:color="FFFFFF" w:sz="6" w:space="0"/>
                            <w:bottom w:val="single" w:color="FFFFFF" w:sz="6" w:space="0"/>
                            <w:right w:val="single" w:color="FFFFFF" w:sz="6" w:space="0"/>
                            <w:insideH w:val="none" w:color="auto" w:sz="0" w:space="0"/>
                            <w:insideV w:val="none" w:color="auto" w:sz="0" w:space="0"/>
                          </w:tblBorders>
                          <w:tblCellMar>
                            <w:top w:w="0" w:type="dxa"/>
                            <w:left w:w="0" w:type="dxa"/>
                            <w:bottom w:w="0" w:type="dxa"/>
                            <w:right w:w="0" w:type="dxa"/>
                          </w:tblCellMar>
                        </w:tblPrEx>
                        <w:trPr>
                          <w:trHeight w:val="705" w:hRule="atLeast"/>
                        </w:trPr>
                        <w:tc>
                          <w:tcPr>
                            <w:tcW w:w="1140" w:type="dxa"/>
                          </w:tcPr>
                          <w:p w14:paraId="4917CACB">
                            <w:pPr>
                              <w:widowControl w:val="0"/>
                              <w:kinsoku/>
                              <w:autoSpaceDE/>
                              <w:autoSpaceDN/>
                              <w:adjustRightInd/>
                              <w:snapToGrid/>
                              <w:spacing w:before="122" w:after="160" w:line="226" w:lineRule="auto"/>
                              <w:ind w:left="161"/>
                              <w:jc w:val="both"/>
                              <w:textAlignment w:val="auto"/>
                              <w:rPr>
                                <w:rFonts w:ascii="Calibri" w:hAnsi="Calibri" w:eastAsia="宋体" w:cs="宋体"/>
                                <w:snapToGrid/>
                                <w:kern w:val="2"/>
                                <w:sz w:val="31"/>
                                <w:szCs w:val="31"/>
                                <w:lang w:eastAsia="zh-CN"/>
                              </w:rPr>
                            </w:pPr>
                            <w:r>
                              <w:rPr>
                                <w:rFonts w:ascii="Calibri" w:hAnsi="Calibri" w:eastAsia="宋体" w:cs="宋体"/>
                                <w:b/>
                                <w:bCs/>
                                <w:snapToGrid/>
                                <w:kern w:val="2"/>
                                <w:sz w:val="31"/>
                                <w:szCs w:val="31"/>
                                <w:lang w:eastAsia="zh-CN"/>
                              </w:rPr>
                              <w:t>制定</w:t>
                            </w:r>
                          </w:p>
                        </w:tc>
                      </w:tr>
                    </w:tbl>
                    <w:p w14:paraId="0750C438">
                      <w:pPr>
                        <w:widowControl w:val="0"/>
                        <w:tabs>
                          <w:tab w:val="left" w:pos="567"/>
                        </w:tabs>
                        <w:spacing w:before="120" w:after="160" w:line="22" w:lineRule="atLeast"/>
                        <w:jc w:val="both"/>
                        <w:rPr>
                          <w:rFonts w:hint="eastAsia" w:ascii="宋体" w:hAnsi="宋体" w:eastAsia="宋体" w:cs="Times New Roman"/>
                          <w:kern w:val="2"/>
                          <w:sz w:val="24"/>
                          <w:lang w:val="en-US" w:eastAsia="zh-CN" w:bidi="ar-SA"/>
                        </w:rPr>
                      </w:pPr>
                    </w:p>
                  </w:txbxContent>
                </v:textbox>
              </v:shape>
            </w:pict>
          </mc:Fallback>
        </mc:AlternateContent>
      </w:r>
      <w:r>
        <w:rPr>
          <w:rFonts w:hint="eastAsia" w:ascii="宋体" w:hAnsi="宋体" w:eastAsia="宋体" w:cs="宋体"/>
          <w:b/>
          <w:bCs/>
          <w:snapToGrid/>
          <w:spacing w:val="131"/>
          <w:kern w:val="0"/>
          <w:sz w:val="31"/>
          <w:szCs w:val="31"/>
          <w:fitText w:val="4320" w:id="2001239971"/>
          <w:lang w:eastAsia="zh-CN"/>
        </w:rPr>
        <w:t>住房和城乡建设</w:t>
      </w:r>
      <w:r>
        <w:rPr>
          <w:rFonts w:hint="eastAsia" w:ascii="宋体" w:hAnsi="宋体" w:eastAsia="宋体" w:cs="宋体"/>
          <w:b/>
          <w:bCs/>
          <w:snapToGrid/>
          <w:spacing w:val="3"/>
          <w:kern w:val="0"/>
          <w:sz w:val="31"/>
          <w:szCs w:val="31"/>
          <w:fitText w:val="4320" w:id="2001239971"/>
          <w:lang w:eastAsia="zh-CN"/>
        </w:rPr>
        <w:t>部</w:t>
      </w:r>
      <w:r>
        <w:rPr>
          <w:rFonts w:hint="eastAsia" w:ascii="宋体" w:hAnsi="宋体" w:eastAsia="宋体" w:cs="宋体"/>
          <w:snapToGrid/>
          <w:kern w:val="2"/>
          <w:sz w:val="31"/>
          <w:szCs w:val="31"/>
          <w:lang w:eastAsia="zh-CN"/>
        </w:rPr>
        <w:t xml:space="preserve"> </w:t>
      </w:r>
    </w:p>
    <w:p w14:paraId="0E39A0E1">
      <w:pPr>
        <w:widowControl w:val="0"/>
        <w:kinsoku/>
        <w:autoSpaceDE/>
        <w:autoSpaceDN/>
        <w:adjustRightInd/>
        <w:snapToGrid/>
        <w:spacing w:after="160" w:line="600" w:lineRule="exact"/>
        <w:ind w:firstLine="1100" w:firstLineChars="247"/>
        <w:jc w:val="both"/>
        <w:textAlignment w:val="auto"/>
        <w:rPr>
          <w:rFonts w:hint="eastAsia" w:ascii="宋体" w:hAnsi="宋体" w:eastAsia="宋体" w:cs="宋体"/>
          <w:snapToGrid/>
          <w:kern w:val="2"/>
          <w:sz w:val="31"/>
          <w:szCs w:val="31"/>
          <w:lang w:eastAsia="zh-CN"/>
        </w:rPr>
      </w:pPr>
      <w:r>
        <w:rPr>
          <w:rFonts w:hint="eastAsia" w:ascii="宋体" w:hAnsi="宋体" w:eastAsia="宋体" w:cs="宋体"/>
          <w:b/>
          <w:bCs/>
          <w:snapToGrid/>
          <w:spacing w:val="67"/>
          <w:kern w:val="0"/>
          <w:sz w:val="31"/>
          <w:szCs w:val="31"/>
          <w:fitText w:val="4320" w:id="473768824"/>
          <w:lang w:eastAsia="zh-CN"/>
        </w:rPr>
        <w:t>国家市场监督管理总</w:t>
      </w:r>
      <w:r>
        <w:rPr>
          <w:rFonts w:hint="eastAsia" w:ascii="宋体" w:hAnsi="宋体" w:eastAsia="宋体" w:cs="宋体"/>
          <w:b/>
          <w:bCs/>
          <w:snapToGrid/>
          <w:spacing w:val="7"/>
          <w:kern w:val="0"/>
          <w:sz w:val="31"/>
          <w:szCs w:val="31"/>
          <w:fitText w:val="4320" w:id="473768824"/>
          <w:lang w:eastAsia="zh-CN"/>
        </w:rPr>
        <w:t>局</w:t>
      </w:r>
    </w:p>
    <w:p w14:paraId="5B6727B8">
      <w:pPr>
        <w:widowControl w:val="0"/>
        <w:kinsoku/>
        <w:autoSpaceDE/>
        <w:autoSpaceDN/>
        <w:adjustRightInd/>
        <w:snapToGrid/>
        <w:spacing w:after="160" w:line="600" w:lineRule="exact"/>
        <w:ind w:firstLine="562" w:firstLineChars="200"/>
        <w:jc w:val="both"/>
        <w:textAlignment w:val="auto"/>
        <w:rPr>
          <w:rFonts w:hint="eastAsia" w:ascii="宋体" w:hAnsi="宋体" w:eastAsia="宋体" w:cs="宋体"/>
          <w:b/>
          <w:snapToGrid/>
          <w:kern w:val="2"/>
          <w:sz w:val="28"/>
          <w:szCs w:val="28"/>
          <w:lang w:eastAsia="zh-CN"/>
        </w:rPr>
      </w:pPr>
    </w:p>
    <w:p w14:paraId="5D401E26">
      <w:pPr>
        <w:spacing w:line="440" w:lineRule="exact"/>
        <w:rPr>
          <w:rFonts w:hint="eastAsia" w:ascii="宋体" w:hAnsi="宋体" w:eastAsia="宋体" w:cs="宋体"/>
          <w:b/>
          <w:sz w:val="28"/>
          <w:szCs w:val="28"/>
        </w:rPr>
        <w:sectPr>
          <w:footerReference r:id="rId9" w:type="first"/>
          <w:headerReference r:id="rId5" w:type="default"/>
          <w:footerReference r:id="rId7" w:type="default"/>
          <w:headerReference r:id="rId6" w:type="even"/>
          <w:footerReference r:id="rId8" w:type="even"/>
          <w:pgSz w:w="11900" w:h="16840"/>
          <w:pgMar w:top="1417" w:right="1304" w:bottom="1417" w:left="1531" w:header="851" w:footer="851" w:gutter="0"/>
          <w:pgNumType w:start="1"/>
          <w:cols w:space="0" w:num="1"/>
          <w:titlePg/>
          <w:rtlGutter w:val="0"/>
          <w:docGrid w:linePitch="299" w:charSpace="0"/>
        </w:sectPr>
      </w:pPr>
    </w:p>
    <w:p w14:paraId="47EA1D36">
      <w:pPr>
        <w:spacing w:line="360" w:lineRule="auto"/>
        <w:jc w:val="center"/>
        <w:outlineLvl w:val="0"/>
        <w:rPr>
          <w:rFonts w:hint="eastAsia" w:ascii="宋体" w:hAnsi="宋体" w:eastAsia="宋体" w:cs="宋体"/>
          <w:b/>
          <w:bCs/>
          <w:color w:val="000000" w:themeColor="text1"/>
          <w:sz w:val="32"/>
          <w:szCs w:val="32"/>
          <w:lang w:eastAsia="zh-CN"/>
          <w14:textFill>
            <w14:solidFill>
              <w14:schemeClr w14:val="tx1"/>
            </w14:solidFill>
          </w14:textFill>
        </w:rPr>
      </w:pPr>
      <w:r>
        <w:rPr>
          <w:rFonts w:hint="eastAsia" w:ascii="宋体" w:hAnsi="宋体" w:eastAsia="宋体" w:cs="宋体"/>
          <w:b/>
          <w:bCs/>
          <w:color w:val="000000" w:themeColor="text1"/>
          <w:sz w:val="32"/>
          <w:szCs w:val="32"/>
          <w:lang w:eastAsia="zh-CN"/>
          <w14:textFill>
            <w14:solidFill>
              <w14:schemeClr w14:val="tx1"/>
            </w14:solidFill>
          </w14:textFill>
        </w:rPr>
        <w:t>合同协议书</w:t>
      </w:r>
    </w:p>
    <w:p w14:paraId="558B1B89">
      <w:pPr>
        <w:pStyle w:val="53"/>
        <w:spacing w:line="440" w:lineRule="exact"/>
        <w:ind w:firstLine="6720" w:firstLineChars="3200"/>
        <w:rPr>
          <w:rFonts w:hint="eastAsia" w:ascii="宋体" w:hAnsi="宋体" w:eastAsia="宋体" w:cs="宋体"/>
          <w:color w:val="231F20"/>
          <w:lang w:eastAsia="zh-CN"/>
        </w:rPr>
      </w:pPr>
      <w:r>
        <w:rPr>
          <w:rFonts w:hint="eastAsia" w:ascii="宋体" w:hAnsi="宋体" w:eastAsia="宋体" w:cs="宋体"/>
          <w:color w:val="000000" w:themeColor="text1"/>
          <w14:textFill>
            <w14:solidFill>
              <w14:schemeClr w14:val="tx1"/>
            </w14:solidFill>
          </w14:textFill>
        </w:rPr>
        <w:t>编号：</w:t>
      </w:r>
      <w:r>
        <w:rPr>
          <w:rFonts w:hint="eastAsia" w:ascii="宋体" w:hAnsi="宋体" w:eastAsia="宋体" w:cs="宋体"/>
          <w:color w:val="000000" w:themeColor="text1"/>
          <w:u w:val="single"/>
          <w14:textFill>
            <w14:solidFill>
              <w14:schemeClr w14:val="tx1"/>
            </w14:solidFill>
          </w14:textFill>
        </w:rPr>
        <w:t xml:space="preserve">                </w:t>
      </w:r>
    </w:p>
    <w:p w14:paraId="7B6F803A">
      <w:pPr>
        <w:pStyle w:val="3"/>
        <w:spacing w:before="14"/>
        <w:rPr>
          <w:rFonts w:hint="eastAsia" w:ascii="宋体" w:hAnsi="宋体" w:eastAsia="宋体" w:cs="宋体"/>
          <w:sz w:val="26"/>
          <w:lang w:eastAsia="zh-CN"/>
        </w:rPr>
      </w:pPr>
    </w:p>
    <w:p w14:paraId="7F971938">
      <w:pPr>
        <w:pStyle w:val="3"/>
        <w:tabs>
          <w:tab w:val="left" w:pos="2151"/>
          <w:tab w:val="left" w:pos="5157"/>
          <w:tab w:val="left" w:pos="6111"/>
          <w:tab w:val="left" w:pos="7871"/>
        </w:tabs>
        <w:spacing w:before="21" w:line="360" w:lineRule="auto"/>
        <w:ind w:right="992"/>
        <w:rPr>
          <w:rFonts w:hint="eastAsia" w:ascii="宋体" w:hAnsi="宋体" w:eastAsia="宋体" w:cs="宋体"/>
          <w:color w:val="231F20"/>
          <w:sz w:val="24"/>
          <w:szCs w:val="24"/>
          <w:lang w:eastAsia="zh-CN"/>
        </w:rPr>
      </w:pPr>
      <w:r>
        <w:rPr>
          <w:rFonts w:hint="eastAsia" w:ascii="宋体" w:hAnsi="宋体" w:eastAsia="宋体" w:cs="宋体"/>
          <w:color w:val="231F20"/>
          <w:sz w:val="24"/>
          <w:szCs w:val="24"/>
          <w:lang w:eastAsia="zh-CN"/>
        </w:rPr>
        <w:t>发包人（全称</w:t>
      </w:r>
      <w:r>
        <w:rPr>
          <w:rFonts w:hint="eastAsia" w:ascii="宋体" w:hAnsi="宋体" w:eastAsia="宋体" w:cs="宋体"/>
          <w:color w:val="231F20"/>
          <w:spacing w:val="-28"/>
          <w:sz w:val="24"/>
          <w:szCs w:val="24"/>
          <w:lang w:eastAsia="zh-CN"/>
        </w:rPr>
        <w:t>）：</w:t>
      </w:r>
      <w:r>
        <w:rPr>
          <w:rFonts w:hint="eastAsia" w:ascii="宋体" w:hAnsi="宋体" w:eastAsia="宋体" w:cs="宋体"/>
          <w:snapToGrid w:val="0"/>
          <w:color w:val="000000"/>
          <w:kern w:val="0"/>
          <w:sz w:val="24"/>
          <w:szCs w:val="24"/>
          <w:u w:val="single"/>
          <w:lang w:val="en-US" w:eastAsia="zh-CN" w:bidi="ar-SA"/>
        </w:rPr>
        <w:t>北京市东城区人民政府崇文门外街道办事处</w:t>
      </w:r>
    </w:p>
    <w:p w14:paraId="62AF65C3">
      <w:pPr>
        <w:pStyle w:val="3"/>
        <w:tabs>
          <w:tab w:val="left" w:pos="2151"/>
          <w:tab w:val="left" w:pos="5157"/>
          <w:tab w:val="left" w:pos="6111"/>
          <w:tab w:val="left" w:pos="7871"/>
        </w:tabs>
        <w:spacing w:before="21" w:line="360" w:lineRule="auto"/>
        <w:ind w:right="992"/>
        <w:rPr>
          <w:rFonts w:hint="eastAsia" w:ascii="宋体" w:hAnsi="宋体" w:eastAsia="宋体" w:cs="宋体"/>
          <w:color w:val="231F20"/>
          <w:sz w:val="24"/>
          <w:szCs w:val="24"/>
          <w:lang w:eastAsia="zh-CN"/>
        </w:rPr>
      </w:pPr>
      <w:r>
        <w:rPr>
          <w:rFonts w:hint="eastAsia" w:ascii="宋体" w:hAnsi="宋体" w:eastAsia="宋体" w:cs="宋体"/>
          <w:color w:val="231F20"/>
          <w:sz w:val="24"/>
          <w:szCs w:val="24"/>
          <w:lang w:eastAsia="zh-CN"/>
        </w:rPr>
        <w:t>承包人（全称</w:t>
      </w:r>
      <w:r>
        <w:rPr>
          <w:rFonts w:hint="eastAsia" w:ascii="宋体" w:hAnsi="宋体" w:eastAsia="宋体" w:cs="宋体"/>
          <w:color w:val="231F20"/>
          <w:spacing w:val="-28"/>
          <w:sz w:val="24"/>
          <w:szCs w:val="24"/>
          <w:lang w:eastAsia="zh-CN"/>
        </w:rPr>
        <w:t>）：</w:t>
      </w:r>
      <w:r>
        <w:rPr>
          <w:rFonts w:hint="eastAsia" w:ascii="宋体" w:hAnsi="宋体" w:eastAsia="宋体" w:cs="宋体"/>
          <w:snapToGrid w:val="0"/>
          <w:color w:val="000000"/>
          <w:kern w:val="0"/>
          <w:sz w:val="24"/>
          <w:szCs w:val="24"/>
          <w:u w:val="single"/>
          <w:lang w:val="en-US" w:eastAsia="zh-CN" w:bidi="ar-SA"/>
        </w:rPr>
        <w:t>北京市佳恒致远建筑工程有限公司</w:t>
      </w:r>
    </w:p>
    <w:p w14:paraId="7DDFE3B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发包人为建设</w:t>
      </w:r>
      <w:r>
        <w:rPr>
          <w:rFonts w:hint="eastAsia" w:ascii="宋体" w:hAnsi="宋体" w:eastAsia="宋体" w:cs="宋体"/>
          <w:sz w:val="24"/>
          <w:szCs w:val="24"/>
          <w:u w:val="single"/>
          <w:lang w:val="en-US" w:eastAsia="zh-CN"/>
        </w:rPr>
        <w:t xml:space="preserve"> 两广路（东城段）区域环境整治提升项目-崇文门外街道建筑风貌提升工程 </w:t>
      </w:r>
      <w:r>
        <w:rPr>
          <w:rFonts w:hint="eastAsia" w:ascii="宋体" w:hAnsi="宋体" w:eastAsia="宋体" w:cs="宋体"/>
          <w:sz w:val="24"/>
          <w:szCs w:val="24"/>
          <w:lang w:eastAsia="zh-CN"/>
        </w:rPr>
        <w:t>（以下简称“本工程”），已接受承包人提出的承担本工程的施工、竣工、交付并维修其任何缺陷的参选依照《中华人民共和国民法典》、《中华人民共和国建筑法》及其他有关法律、行政法规，遵循平等、自愿、公平和诚实信用的原则，双方共同达成并订立如下协议。</w:t>
      </w:r>
    </w:p>
    <w:p w14:paraId="1131048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一、工程概况</w:t>
      </w:r>
    </w:p>
    <w:p w14:paraId="5CD7CE6C">
      <w:pPr>
        <w:spacing w:line="440" w:lineRule="exact"/>
        <w:ind w:firstLine="480" w:firstLineChars="200"/>
        <w:rPr>
          <w:rFonts w:hint="eastAsia" w:ascii="宋体" w:hAnsi="宋体" w:eastAsia="宋体" w:cs="宋体"/>
          <w:sz w:val="24"/>
          <w:szCs w:val="24"/>
          <w:u w:val="single"/>
          <w:lang w:val="en-US" w:eastAsia="zh-CN"/>
        </w:rPr>
      </w:pPr>
      <w:r>
        <w:rPr>
          <w:rFonts w:hint="eastAsia" w:ascii="宋体" w:hAnsi="宋体" w:eastAsia="宋体" w:cs="宋体"/>
          <w:sz w:val="24"/>
          <w:szCs w:val="24"/>
          <w:lang w:eastAsia="zh-CN"/>
        </w:rPr>
        <w:t>工程名称：</w:t>
      </w:r>
      <w:r>
        <w:rPr>
          <w:rFonts w:hint="eastAsia" w:ascii="宋体" w:hAnsi="宋体" w:eastAsia="宋体" w:cs="宋体"/>
          <w:snapToGrid w:val="0"/>
          <w:color w:val="000000"/>
          <w:kern w:val="0"/>
          <w:sz w:val="24"/>
          <w:szCs w:val="24"/>
          <w:u w:val="single"/>
          <w:lang w:val="en-US" w:eastAsia="zh-CN" w:bidi="ar-SA"/>
        </w:rPr>
        <w:t>两广路（东城段）区域环境整治提升项目-崇文门外街道建筑风貌提升工程。</w:t>
      </w:r>
    </w:p>
    <w:p w14:paraId="1071D487">
      <w:pPr>
        <w:spacing w:line="440" w:lineRule="exact"/>
        <w:ind w:firstLine="480" w:firstLineChars="200"/>
        <w:rPr>
          <w:rFonts w:hint="eastAsia" w:ascii="宋体" w:hAnsi="宋体" w:eastAsia="宋体" w:cs="宋体"/>
          <w:sz w:val="24"/>
          <w:szCs w:val="24"/>
          <w:u w:val="single"/>
          <w:lang w:val="en-US" w:eastAsia="zh-CN"/>
        </w:rPr>
      </w:pPr>
      <w:r>
        <w:rPr>
          <w:rFonts w:hint="eastAsia" w:ascii="宋体" w:hAnsi="宋体" w:eastAsia="宋体" w:cs="宋体"/>
          <w:sz w:val="24"/>
          <w:szCs w:val="24"/>
          <w:lang w:eastAsia="zh-CN"/>
        </w:rPr>
        <w:t>工程地点：</w:t>
      </w:r>
      <w:r>
        <w:rPr>
          <w:rFonts w:hint="eastAsia" w:ascii="宋体" w:hAnsi="宋体" w:eastAsia="宋体" w:cs="宋体"/>
          <w:sz w:val="24"/>
          <w:szCs w:val="24"/>
          <w:u w:val="single"/>
          <w:lang w:val="en-US" w:eastAsia="zh-CN"/>
        </w:rPr>
        <w:t>北京市东城区两广路（东城段）区域</w:t>
      </w:r>
    </w:p>
    <w:p w14:paraId="7894746C">
      <w:pPr>
        <w:spacing w:line="440" w:lineRule="exact"/>
        <w:ind w:firstLine="480" w:firstLineChars="200"/>
        <w:rPr>
          <w:rFonts w:hint="eastAsia" w:ascii="宋体" w:hAnsi="宋体" w:eastAsia="宋体" w:cs="宋体"/>
          <w:sz w:val="24"/>
          <w:szCs w:val="24"/>
          <w:u w:val="single"/>
          <w:lang w:val="en-US" w:eastAsia="zh-CN"/>
        </w:rPr>
      </w:pPr>
      <w:r>
        <w:rPr>
          <w:rFonts w:hint="eastAsia" w:ascii="宋体" w:hAnsi="宋体" w:eastAsia="宋体" w:cs="宋体"/>
          <w:sz w:val="24"/>
          <w:szCs w:val="24"/>
          <w:lang w:eastAsia="zh-CN"/>
        </w:rPr>
        <w:t>工程内容：</w:t>
      </w:r>
      <w:r>
        <w:rPr>
          <w:rFonts w:hint="eastAsia" w:ascii="宋体" w:hAnsi="宋体" w:eastAsia="宋体" w:cs="宋体"/>
          <w:sz w:val="24"/>
          <w:szCs w:val="24"/>
          <w:u w:val="single"/>
          <w:lang w:val="en-US" w:eastAsia="zh-CN"/>
        </w:rPr>
        <w:t>图纸范围内包括北京市东城区西花市南里西区9号楼-新景家园9号楼拆除工程、改造工程；北京市东城区西花市南里西区15号楼-新景家园15号楼拆除工程、改造工程；北京市东城区西花市南里西区16号楼-新景家园16号楼拆除工程、改造工程；崇文门外大街地铁口改造工程；崇外街道拆除工程、改造工程，具体详见工程量清单。</w:t>
      </w:r>
    </w:p>
    <w:p w14:paraId="790C6173">
      <w:pPr>
        <w:spacing w:line="440" w:lineRule="exact"/>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工程立项批准文号：</w:t>
      </w:r>
      <w:r>
        <w:rPr>
          <w:rFonts w:hint="eastAsia" w:ascii="宋体" w:hAnsi="宋体" w:eastAsia="宋体" w:cs="宋体"/>
          <w:sz w:val="24"/>
          <w:szCs w:val="24"/>
          <w:highlight w:val="yellow"/>
          <w:u w:val="single"/>
          <w:lang w:eastAsia="zh-CN"/>
        </w:rPr>
        <w:t xml:space="preserve">        </w:t>
      </w:r>
      <w:r>
        <w:rPr>
          <w:rFonts w:hint="eastAsia" w:ascii="宋体" w:hAnsi="宋体" w:eastAsia="宋体" w:cs="宋体"/>
          <w:sz w:val="24"/>
          <w:szCs w:val="24"/>
          <w:highlight w:val="yellow"/>
          <w:u w:val="single"/>
          <w:lang w:val="en-US" w:eastAsia="zh-CN"/>
        </w:rPr>
        <w:t xml:space="preserve">   </w:t>
      </w:r>
      <w:r>
        <w:rPr>
          <w:rFonts w:hint="eastAsia" w:ascii="宋体" w:hAnsi="宋体" w:eastAsia="宋体" w:cs="宋体"/>
          <w:sz w:val="24"/>
          <w:szCs w:val="24"/>
          <w:highlight w:val="yellow"/>
          <w:u w:val="single"/>
          <w:lang w:eastAsia="zh-CN"/>
        </w:rPr>
        <w:t xml:space="preserve">       </w:t>
      </w:r>
    </w:p>
    <w:p w14:paraId="6B037515">
      <w:pPr>
        <w:spacing w:line="440" w:lineRule="exact"/>
        <w:ind w:firstLine="480" w:firstLineChars="200"/>
        <w:rPr>
          <w:rFonts w:hint="eastAsia" w:ascii="宋体" w:hAnsi="宋体" w:eastAsia="宋体" w:cs="宋体"/>
          <w:sz w:val="24"/>
          <w:szCs w:val="24"/>
          <w:highlight w:val="yellow"/>
          <w:u w:val="single"/>
          <w:lang w:eastAsia="zh-CN"/>
        </w:rPr>
      </w:pPr>
      <w:r>
        <w:rPr>
          <w:rFonts w:hint="eastAsia" w:ascii="宋体" w:hAnsi="宋体" w:eastAsia="宋体" w:cs="宋体"/>
          <w:sz w:val="24"/>
          <w:szCs w:val="24"/>
          <w:highlight w:val="yellow"/>
          <w:lang w:eastAsia="zh-CN"/>
        </w:rPr>
        <w:t>资金来源：</w:t>
      </w:r>
      <w:r>
        <w:rPr>
          <w:rFonts w:hint="eastAsia" w:ascii="宋体" w:hAnsi="宋体" w:eastAsia="宋体" w:cs="宋体"/>
          <w:sz w:val="24"/>
          <w:szCs w:val="24"/>
          <w:highlight w:val="yellow"/>
          <w:u w:val="single"/>
          <w:lang w:eastAsia="zh-CN"/>
        </w:rPr>
        <w:t>2025—2026年度首都核心区环境品质提升项目专项资金</w:t>
      </w:r>
      <w:bookmarkStart w:id="1073" w:name="_GoBack"/>
      <w:bookmarkEnd w:id="1073"/>
    </w:p>
    <w:p w14:paraId="7EAF8DA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二、工程承包范围</w:t>
      </w:r>
    </w:p>
    <w:p w14:paraId="1CC0E450">
      <w:pPr>
        <w:spacing w:line="440" w:lineRule="exact"/>
        <w:ind w:firstLine="480" w:firstLineChars="200"/>
        <w:rPr>
          <w:rFonts w:hint="eastAsia" w:ascii="宋体" w:hAnsi="宋体" w:eastAsia="宋体" w:cs="宋体"/>
          <w:sz w:val="24"/>
          <w:szCs w:val="24"/>
          <w:u w:val="single"/>
          <w:lang w:val="en-US" w:eastAsia="zh-CN"/>
        </w:rPr>
      </w:pPr>
      <w:r>
        <w:rPr>
          <w:rFonts w:hint="eastAsia" w:ascii="宋体" w:hAnsi="宋体" w:eastAsia="宋体" w:cs="宋体"/>
          <w:sz w:val="24"/>
          <w:szCs w:val="24"/>
          <w:lang w:eastAsia="zh-CN"/>
        </w:rPr>
        <w:t>承包范围：</w:t>
      </w:r>
      <w:r>
        <w:rPr>
          <w:rFonts w:hint="eastAsia" w:ascii="宋体" w:hAnsi="宋体" w:eastAsia="宋体" w:cs="宋体"/>
          <w:sz w:val="24"/>
          <w:szCs w:val="24"/>
          <w:u w:val="single"/>
          <w:lang w:val="en-US" w:eastAsia="zh-CN"/>
        </w:rPr>
        <w:t>图纸范围内包括北京市东城区西花市南里西区9号楼-新景家园9号楼拆除工程、改造工程；北京市东城区西花市南里西区15号楼-新景家园15号楼拆除工程、改造工程；北京市东城区西花市南里西区16号楼-新景家园16号楼拆除工程、改造工程；崇文门外大街地铁口改造工程；崇外街道拆除工程、改造工程，具体详见工程量清单。</w:t>
      </w:r>
    </w:p>
    <w:p w14:paraId="616CAFCB">
      <w:pPr>
        <w:spacing w:line="440" w:lineRule="exact"/>
        <w:ind w:firstLine="480" w:firstLineChars="200"/>
        <w:rPr>
          <w:rFonts w:hint="eastAsia" w:ascii="宋体" w:hAnsi="宋体" w:eastAsia="宋体" w:cs="宋体"/>
          <w:b/>
          <w:sz w:val="24"/>
          <w:szCs w:val="24"/>
          <w:u w:val="single"/>
          <w:lang w:eastAsia="zh-CN"/>
        </w:rPr>
      </w:pPr>
      <w:r>
        <w:rPr>
          <w:rFonts w:hint="eastAsia" w:ascii="宋体" w:hAnsi="宋体" w:eastAsia="宋体" w:cs="宋体"/>
          <w:sz w:val="24"/>
          <w:szCs w:val="24"/>
          <w:lang w:eastAsia="zh-CN"/>
        </w:rPr>
        <w:t>详细承包范围见附件六“技术标准和要求”。</w:t>
      </w:r>
    </w:p>
    <w:p w14:paraId="21A0EB6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三、合同工期</w:t>
      </w:r>
    </w:p>
    <w:p w14:paraId="357343B4">
      <w:pPr>
        <w:spacing w:line="440" w:lineRule="exact"/>
        <w:ind w:firstLine="480" w:firstLineChars="200"/>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lang w:eastAsia="zh-CN"/>
        </w:rPr>
        <w:t>计划开工日期：</w:t>
      </w:r>
      <w:r>
        <w:rPr>
          <w:rFonts w:hint="eastAsia" w:ascii="宋体" w:hAnsi="宋体" w:eastAsia="宋体" w:cs="宋体"/>
          <w:sz w:val="24"/>
          <w:szCs w:val="24"/>
          <w:highlight w:val="none"/>
          <w:u w:val="single"/>
          <w:lang w:eastAsia="zh-CN"/>
        </w:rPr>
        <w:t xml:space="preserve">  2026  </w:t>
      </w:r>
      <w:r>
        <w:rPr>
          <w:rFonts w:hint="eastAsia" w:ascii="宋体" w:hAnsi="宋体" w:eastAsia="宋体" w:cs="宋体"/>
          <w:sz w:val="24"/>
          <w:szCs w:val="24"/>
          <w:highlight w:val="none"/>
          <w:lang w:eastAsia="zh-CN"/>
        </w:rPr>
        <w:t>年</w:t>
      </w:r>
      <w:r>
        <w:rPr>
          <w:rFonts w:hint="eastAsia" w:ascii="宋体" w:hAnsi="宋体" w:eastAsia="宋体" w:cs="宋体"/>
          <w:sz w:val="24"/>
          <w:szCs w:val="24"/>
          <w:highlight w:val="none"/>
          <w:u w:val="single"/>
          <w:lang w:eastAsia="zh-CN"/>
        </w:rPr>
        <w:t xml:space="preserve">  08 </w:t>
      </w:r>
      <w:r>
        <w:rPr>
          <w:rFonts w:hint="eastAsia" w:ascii="宋体" w:hAnsi="宋体" w:eastAsia="宋体" w:cs="宋体"/>
          <w:sz w:val="24"/>
          <w:szCs w:val="24"/>
          <w:highlight w:val="none"/>
          <w:lang w:eastAsia="zh-CN"/>
        </w:rPr>
        <w:t>月</w:t>
      </w:r>
      <w:r>
        <w:rPr>
          <w:rFonts w:hint="eastAsia" w:ascii="宋体" w:hAnsi="宋体" w:eastAsia="宋体" w:cs="宋体"/>
          <w:sz w:val="24"/>
          <w:szCs w:val="24"/>
          <w:highlight w:val="none"/>
          <w:u w:val="single"/>
          <w:lang w:eastAsia="zh-CN"/>
        </w:rPr>
        <w:t xml:space="preserve">  03 </w:t>
      </w:r>
      <w:r>
        <w:rPr>
          <w:rFonts w:hint="eastAsia" w:ascii="宋体" w:hAnsi="宋体" w:eastAsia="宋体" w:cs="宋体"/>
          <w:sz w:val="24"/>
          <w:szCs w:val="24"/>
          <w:highlight w:val="none"/>
          <w:lang w:eastAsia="zh-CN"/>
        </w:rPr>
        <w:t>日</w:t>
      </w:r>
    </w:p>
    <w:p w14:paraId="21F92B35">
      <w:pPr>
        <w:spacing w:line="440" w:lineRule="exact"/>
        <w:ind w:firstLine="480" w:firstLineChars="200"/>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lang w:eastAsia="zh-CN"/>
        </w:rPr>
        <w:t>计划竣工日期：</w:t>
      </w:r>
      <w:r>
        <w:rPr>
          <w:rFonts w:hint="eastAsia" w:ascii="宋体" w:hAnsi="宋体" w:eastAsia="宋体" w:cs="宋体"/>
          <w:sz w:val="24"/>
          <w:szCs w:val="24"/>
          <w:highlight w:val="none"/>
          <w:u w:val="single"/>
          <w:lang w:eastAsia="zh-CN"/>
        </w:rPr>
        <w:t xml:space="preserve">  2027  </w:t>
      </w:r>
      <w:r>
        <w:rPr>
          <w:rFonts w:hint="eastAsia" w:ascii="宋体" w:hAnsi="宋体" w:eastAsia="宋体" w:cs="宋体"/>
          <w:sz w:val="24"/>
          <w:szCs w:val="24"/>
          <w:highlight w:val="none"/>
          <w:lang w:eastAsia="zh-CN"/>
        </w:rPr>
        <w:t>年</w:t>
      </w:r>
      <w:r>
        <w:rPr>
          <w:rFonts w:hint="eastAsia" w:ascii="宋体" w:hAnsi="宋体" w:eastAsia="宋体" w:cs="宋体"/>
          <w:sz w:val="24"/>
          <w:szCs w:val="24"/>
          <w:highlight w:val="none"/>
          <w:u w:val="single"/>
          <w:lang w:eastAsia="zh-CN"/>
        </w:rPr>
        <w:t xml:space="preserve">  08 </w:t>
      </w:r>
      <w:r>
        <w:rPr>
          <w:rFonts w:hint="eastAsia" w:ascii="宋体" w:hAnsi="宋体" w:eastAsia="宋体" w:cs="宋体"/>
          <w:sz w:val="24"/>
          <w:szCs w:val="24"/>
          <w:highlight w:val="none"/>
          <w:lang w:eastAsia="zh-CN"/>
        </w:rPr>
        <w:t>月</w:t>
      </w:r>
      <w:r>
        <w:rPr>
          <w:rFonts w:hint="eastAsia" w:ascii="宋体" w:hAnsi="宋体" w:eastAsia="宋体" w:cs="宋体"/>
          <w:sz w:val="24"/>
          <w:szCs w:val="24"/>
          <w:highlight w:val="none"/>
          <w:u w:val="single"/>
          <w:lang w:eastAsia="zh-CN"/>
        </w:rPr>
        <w:t xml:space="preserve">  02 </w:t>
      </w:r>
      <w:r>
        <w:rPr>
          <w:rFonts w:hint="eastAsia" w:ascii="宋体" w:hAnsi="宋体" w:eastAsia="宋体" w:cs="宋体"/>
          <w:sz w:val="24"/>
          <w:szCs w:val="24"/>
          <w:highlight w:val="none"/>
          <w:lang w:eastAsia="zh-CN"/>
        </w:rPr>
        <w:t>日</w:t>
      </w:r>
    </w:p>
    <w:p w14:paraId="22128856">
      <w:pPr>
        <w:spacing w:line="44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工期总日历天数</w:t>
      </w:r>
      <w:r>
        <w:rPr>
          <w:rFonts w:hint="eastAsia" w:ascii="宋体" w:hAnsi="宋体" w:eastAsia="宋体" w:cs="宋体"/>
          <w:sz w:val="24"/>
          <w:szCs w:val="24"/>
          <w:highlight w:val="none"/>
          <w:u w:val="single"/>
          <w:lang w:eastAsia="zh-CN"/>
        </w:rPr>
        <w:t xml:space="preserve">  365 </w:t>
      </w:r>
      <w:r>
        <w:rPr>
          <w:rFonts w:hint="eastAsia" w:ascii="宋体" w:hAnsi="宋体" w:eastAsia="宋体" w:cs="宋体"/>
          <w:sz w:val="24"/>
          <w:szCs w:val="24"/>
          <w:highlight w:val="none"/>
          <w:lang w:eastAsia="zh-CN"/>
        </w:rPr>
        <w:t>日历天，工期总日历天数与根据前述计划开竣工日期计算的工期天数不一致的，以工期总日历天数为准。</w:t>
      </w:r>
    </w:p>
    <w:p w14:paraId="393CA4C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四、质量标准</w:t>
      </w:r>
    </w:p>
    <w:p w14:paraId="668A398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工程质量标准：</w:t>
      </w:r>
      <w:r>
        <w:rPr>
          <w:rFonts w:hint="eastAsia" w:ascii="宋体" w:hAnsi="宋体" w:eastAsia="宋体" w:cs="宋体"/>
          <w:sz w:val="24"/>
          <w:szCs w:val="24"/>
          <w:u w:val="single"/>
          <w:lang w:eastAsia="zh-CN"/>
        </w:rPr>
        <w:t xml:space="preserve">   合格   </w:t>
      </w:r>
      <w:r>
        <w:rPr>
          <w:rFonts w:hint="eastAsia" w:ascii="宋体" w:hAnsi="宋体" w:eastAsia="宋体" w:cs="宋体"/>
          <w:sz w:val="24"/>
          <w:szCs w:val="24"/>
          <w:lang w:eastAsia="zh-CN"/>
        </w:rPr>
        <w:t xml:space="preserve">，符合现行国家有关工程施工验收规范和标准的要求 </w:t>
      </w:r>
    </w:p>
    <w:p w14:paraId="5FCE356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五、施工现场安全生产标准化管理目标等级要求</w:t>
      </w:r>
    </w:p>
    <w:p w14:paraId="04E39B32">
      <w:pPr>
        <w:spacing w:line="440" w:lineRule="exact"/>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施工现场安全生产标准化管理目标等级：</w:t>
      </w:r>
      <w:r>
        <w:rPr>
          <w:rFonts w:hint="eastAsia" w:ascii="宋体" w:hAnsi="宋体" w:eastAsia="宋体" w:cs="宋体"/>
          <w:sz w:val="24"/>
          <w:szCs w:val="24"/>
          <w:u w:val="single"/>
          <w:lang w:eastAsia="zh-CN"/>
        </w:rPr>
        <w:t xml:space="preserve">   达标   </w:t>
      </w:r>
    </w:p>
    <w:p w14:paraId="2AC57A6C">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六、合同形式</w:t>
      </w:r>
    </w:p>
    <w:p w14:paraId="74F64FFB">
      <w:pPr>
        <w:spacing w:line="440" w:lineRule="exact"/>
        <w:ind w:firstLine="480" w:firstLineChars="200"/>
        <w:rPr>
          <w:rFonts w:hint="eastAsia" w:ascii="宋体" w:hAnsi="宋体" w:eastAsia="宋体" w:cs="宋体"/>
          <w:b/>
          <w:sz w:val="24"/>
          <w:szCs w:val="24"/>
          <w:highlight w:val="yellow"/>
          <w:u w:val="single"/>
        </w:rPr>
      </w:pPr>
      <w:r>
        <w:rPr>
          <w:rFonts w:hint="eastAsia" w:ascii="宋体" w:hAnsi="宋体" w:eastAsia="宋体" w:cs="宋体"/>
          <w:sz w:val="24"/>
          <w:szCs w:val="24"/>
          <w:highlight w:val="yellow"/>
        </w:rPr>
        <w:t>本合同采用</w:t>
      </w:r>
      <w:r>
        <w:rPr>
          <w:rFonts w:hint="eastAsia" w:ascii="宋体" w:hAnsi="宋体" w:eastAsia="宋体" w:cs="宋体"/>
          <w:sz w:val="24"/>
          <w:szCs w:val="24"/>
          <w:highlight w:val="yellow"/>
          <w:u w:val="single"/>
        </w:rPr>
        <w:t xml:space="preserve"> </w:t>
      </w:r>
      <w:r>
        <w:rPr>
          <w:rFonts w:hint="eastAsia" w:ascii="宋体" w:hAnsi="宋体" w:eastAsia="宋体" w:cs="宋体"/>
          <w:sz w:val="24"/>
          <w:szCs w:val="24"/>
          <w:highlight w:val="yellow"/>
          <w:u w:val="single"/>
          <w:lang w:val="en-US" w:eastAsia="zh-CN"/>
        </w:rPr>
        <w:t>固定单价</w:t>
      </w:r>
      <w:r>
        <w:rPr>
          <w:rFonts w:hint="eastAsia" w:ascii="宋体" w:hAnsi="宋体" w:eastAsia="宋体" w:cs="宋体"/>
          <w:sz w:val="24"/>
          <w:szCs w:val="24"/>
          <w:highlight w:val="yellow"/>
          <w:u w:val="single"/>
        </w:rPr>
        <w:t xml:space="preserve"> </w:t>
      </w:r>
      <w:r>
        <w:rPr>
          <w:rFonts w:hint="eastAsia" w:ascii="宋体" w:hAnsi="宋体" w:eastAsia="宋体" w:cs="宋体"/>
          <w:sz w:val="24"/>
          <w:szCs w:val="24"/>
          <w:highlight w:val="yellow"/>
        </w:rPr>
        <w:t>合同形式。</w:t>
      </w:r>
    </w:p>
    <w:p w14:paraId="28674CB7">
      <w:pPr>
        <w:spacing w:line="440" w:lineRule="exact"/>
        <w:ind w:firstLine="480" w:firstLineChars="200"/>
        <w:rPr>
          <w:rFonts w:hint="eastAsia" w:ascii="宋体" w:hAnsi="宋体" w:eastAsia="宋体" w:cs="宋体"/>
          <w:bCs/>
          <w:sz w:val="24"/>
          <w:szCs w:val="24"/>
          <w:lang w:eastAsia="zh-CN"/>
        </w:rPr>
      </w:pPr>
      <w:r>
        <w:rPr>
          <w:rFonts w:hint="eastAsia" w:ascii="宋体" w:hAnsi="宋体" w:eastAsia="宋体" w:cs="宋体"/>
          <w:sz w:val="24"/>
          <w:szCs w:val="24"/>
          <w:lang w:eastAsia="zh-CN"/>
        </w:rPr>
        <w:t>七、签约合同价</w:t>
      </w:r>
    </w:p>
    <w:p w14:paraId="1DF6DE2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人民币</w:t>
      </w:r>
      <w:r>
        <w:rPr>
          <w:rFonts w:hint="eastAsia" w:ascii="宋体" w:hAnsi="宋体" w:eastAsia="宋体" w:cs="宋体"/>
          <w:color w:val="231F20"/>
          <w:sz w:val="24"/>
          <w:szCs w:val="24"/>
          <w:lang w:eastAsia="zh-CN"/>
        </w:rPr>
        <w:t>（大写</w:t>
      </w:r>
      <w:r>
        <w:rPr>
          <w:rFonts w:hint="eastAsia" w:ascii="宋体" w:hAnsi="宋体" w:eastAsia="宋体" w:cs="宋体"/>
          <w:color w:val="231F20"/>
          <w:sz w:val="24"/>
          <w:szCs w:val="24"/>
          <w:u w:val="single" w:color="231F20"/>
          <w:lang w:eastAsia="zh-CN"/>
        </w:rPr>
        <w:t>）伍佰捌拾玖万元整（</w:t>
      </w:r>
      <w:r>
        <w:rPr>
          <w:rFonts w:hint="eastAsia" w:ascii="宋体" w:hAnsi="宋体" w:eastAsia="宋体" w:cs="宋体"/>
          <w:color w:val="231F20"/>
          <w:sz w:val="24"/>
          <w:szCs w:val="24"/>
          <w:lang w:eastAsia="zh-CN"/>
        </w:rPr>
        <w:t>￥</w:t>
      </w:r>
      <w:r>
        <w:rPr>
          <w:rFonts w:hint="eastAsia" w:ascii="宋体" w:hAnsi="宋体" w:eastAsia="宋体" w:cs="宋体"/>
          <w:color w:val="231F20"/>
          <w:sz w:val="24"/>
          <w:szCs w:val="24"/>
          <w:u w:val="single" w:color="231F20"/>
          <w:lang w:eastAsia="zh-CN"/>
        </w:rPr>
        <w:t>5890000.00</w:t>
      </w:r>
      <w:r>
        <w:rPr>
          <w:rFonts w:hint="eastAsia" w:ascii="宋体" w:hAnsi="宋体" w:eastAsia="宋体" w:cs="宋体"/>
          <w:color w:val="231F20"/>
          <w:sz w:val="24"/>
          <w:szCs w:val="24"/>
          <w:lang w:eastAsia="zh-CN"/>
        </w:rPr>
        <w:t>元</w:t>
      </w:r>
      <w:r>
        <w:rPr>
          <w:rFonts w:hint="eastAsia" w:ascii="宋体" w:hAnsi="宋体" w:eastAsia="宋体" w:cs="宋体"/>
          <w:color w:val="231F20"/>
          <w:spacing w:val="-55"/>
          <w:sz w:val="24"/>
          <w:szCs w:val="24"/>
          <w:lang w:eastAsia="zh-CN"/>
        </w:rPr>
        <w:t>）；</w:t>
      </w:r>
      <w:r>
        <w:rPr>
          <w:rFonts w:hint="eastAsia" w:ascii="宋体" w:hAnsi="宋体" w:eastAsia="宋体" w:cs="宋体"/>
          <w:sz w:val="24"/>
          <w:szCs w:val="24"/>
          <w:lang w:eastAsia="zh-CN"/>
        </w:rPr>
        <w:t>双方确认，若本工程需经审计，最终结算金额以审计结算审定金额为准。</w:t>
      </w:r>
    </w:p>
    <w:p w14:paraId="22B43CB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其中</w:t>
      </w:r>
      <w:r>
        <w:rPr>
          <w:rFonts w:hint="eastAsia" w:ascii="宋体" w:hAnsi="宋体" w:eastAsia="宋体" w:cs="宋体"/>
          <w:color w:val="231F20"/>
          <w:sz w:val="24"/>
          <w:szCs w:val="24"/>
          <w:lang w:eastAsia="zh-CN"/>
        </w:rPr>
        <w:t>：</w:t>
      </w:r>
    </w:p>
    <w:p w14:paraId="77899F6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color w:val="231F20"/>
          <w:sz w:val="24"/>
          <w:szCs w:val="24"/>
          <w:lang w:eastAsia="zh-CN"/>
        </w:rPr>
        <w:t>（1）安全文明施工费：</w:t>
      </w:r>
    </w:p>
    <w:p w14:paraId="75B42BD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color w:val="231F20"/>
          <w:sz w:val="24"/>
          <w:szCs w:val="24"/>
          <w:lang w:eastAsia="zh-CN"/>
        </w:rPr>
        <w:t>人民币（大写）</w:t>
      </w:r>
      <w:r>
        <w:rPr>
          <w:rFonts w:hint="eastAsia" w:ascii="宋体" w:hAnsi="宋体" w:eastAsia="宋体" w:cs="宋体"/>
          <w:color w:val="231F20"/>
          <w:sz w:val="24"/>
          <w:szCs w:val="24"/>
          <w:u w:val="single" w:color="231F20"/>
          <w:lang w:eastAsia="zh-CN"/>
        </w:rPr>
        <w:t>壹拾叁万壹仟肆佰柒拾元捌角叁分（</w:t>
      </w:r>
      <w:r>
        <w:rPr>
          <w:rFonts w:hint="eastAsia" w:ascii="宋体" w:hAnsi="宋体" w:eastAsia="宋体" w:cs="宋体"/>
          <w:color w:val="231F20"/>
          <w:sz w:val="24"/>
          <w:szCs w:val="24"/>
          <w:lang w:eastAsia="zh-CN"/>
        </w:rPr>
        <w:t>￥</w:t>
      </w:r>
      <w:r>
        <w:rPr>
          <w:rFonts w:hint="eastAsia" w:ascii="宋体" w:hAnsi="宋体" w:eastAsia="宋体" w:cs="宋体"/>
          <w:color w:val="231F20"/>
          <w:sz w:val="24"/>
          <w:szCs w:val="24"/>
          <w:u w:val="single" w:color="231F20"/>
          <w:lang w:eastAsia="zh-CN"/>
        </w:rPr>
        <w:t>131470.83</w:t>
      </w:r>
      <w:r>
        <w:rPr>
          <w:rFonts w:hint="eastAsia" w:ascii="宋体" w:hAnsi="宋体" w:eastAsia="宋体" w:cs="宋体"/>
          <w:color w:val="231F20"/>
          <w:sz w:val="24"/>
          <w:szCs w:val="24"/>
          <w:lang w:eastAsia="zh-CN"/>
        </w:rPr>
        <w:t>元</w:t>
      </w:r>
      <w:r>
        <w:rPr>
          <w:rFonts w:hint="eastAsia" w:ascii="宋体" w:hAnsi="宋体" w:eastAsia="宋体" w:cs="宋体"/>
          <w:color w:val="231F20"/>
          <w:spacing w:val="-55"/>
          <w:sz w:val="24"/>
          <w:szCs w:val="24"/>
          <w:lang w:eastAsia="zh-CN"/>
        </w:rPr>
        <w:t>）；</w:t>
      </w:r>
    </w:p>
    <w:p w14:paraId="1C02F4F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color w:val="231F20"/>
          <w:sz w:val="24"/>
          <w:szCs w:val="24"/>
          <w:lang w:eastAsia="zh-CN"/>
        </w:rPr>
        <w:t>（2）材料和工程设备暂估价金额：</w:t>
      </w:r>
    </w:p>
    <w:p w14:paraId="387D103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color w:val="231F20"/>
          <w:sz w:val="24"/>
          <w:szCs w:val="24"/>
          <w:lang w:eastAsia="zh-CN"/>
        </w:rPr>
        <w:t>人民币（大写）</w:t>
      </w:r>
      <w:r>
        <w:rPr>
          <w:rFonts w:hint="eastAsia" w:ascii="宋体" w:hAnsi="宋体" w:eastAsia="宋体" w:cs="宋体"/>
          <w:color w:val="231F20"/>
          <w:sz w:val="24"/>
          <w:szCs w:val="24"/>
          <w:u w:val="single" w:color="231F20"/>
          <w:lang w:eastAsia="zh-CN"/>
        </w:rPr>
        <w:t xml:space="preserve"> </w:t>
      </w:r>
      <w:r>
        <w:rPr>
          <w:rFonts w:hint="eastAsia" w:ascii="宋体" w:hAnsi="宋体" w:eastAsia="宋体" w:cs="宋体"/>
          <w:color w:val="231F20"/>
          <w:sz w:val="24"/>
          <w:szCs w:val="24"/>
          <w:u w:val="single" w:color="231F20"/>
          <w:lang w:val="en-US" w:eastAsia="zh-CN"/>
        </w:rPr>
        <w:t>零</w:t>
      </w:r>
      <w:r>
        <w:rPr>
          <w:rFonts w:hint="eastAsia" w:ascii="宋体" w:hAnsi="宋体" w:eastAsia="宋体" w:cs="宋体"/>
          <w:color w:val="231F20"/>
          <w:sz w:val="24"/>
          <w:szCs w:val="24"/>
          <w:u w:val="single" w:color="231F20"/>
          <w:lang w:eastAsia="zh-CN"/>
        </w:rPr>
        <w:t xml:space="preserve"> （</w:t>
      </w:r>
      <w:r>
        <w:rPr>
          <w:rFonts w:hint="eastAsia" w:ascii="宋体" w:hAnsi="宋体" w:eastAsia="宋体" w:cs="宋体"/>
          <w:color w:val="231F20"/>
          <w:sz w:val="24"/>
          <w:szCs w:val="24"/>
          <w:lang w:eastAsia="zh-CN"/>
        </w:rPr>
        <w:t>￥</w:t>
      </w:r>
      <w:r>
        <w:rPr>
          <w:rFonts w:hint="eastAsia" w:ascii="宋体" w:hAnsi="宋体" w:eastAsia="宋体" w:cs="宋体"/>
          <w:color w:val="231F20"/>
          <w:sz w:val="24"/>
          <w:szCs w:val="24"/>
          <w:u w:val="single" w:color="231F20"/>
          <w:lang w:eastAsia="zh-CN"/>
        </w:rPr>
        <w:t xml:space="preserve"> </w:t>
      </w:r>
      <w:r>
        <w:rPr>
          <w:rFonts w:hint="eastAsia" w:ascii="宋体" w:hAnsi="宋体" w:eastAsia="宋体" w:cs="宋体"/>
          <w:color w:val="231F20"/>
          <w:sz w:val="24"/>
          <w:szCs w:val="24"/>
          <w:u w:val="single" w:color="231F20"/>
          <w:lang w:val="en-US" w:eastAsia="zh-CN"/>
        </w:rPr>
        <w:t>0</w:t>
      </w:r>
      <w:r>
        <w:rPr>
          <w:rFonts w:hint="eastAsia" w:ascii="宋体" w:hAnsi="宋体" w:eastAsia="宋体" w:cs="宋体"/>
          <w:color w:val="231F20"/>
          <w:sz w:val="24"/>
          <w:szCs w:val="24"/>
          <w:u w:val="single" w:color="231F20"/>
          <w:lang w:eastAsia="zh-CN"/>
        </w:rPr>
        <w:t xml:space="preserve"> </w:t>
      </w:r>
      <w:r>
        <w:rPr>
          <w:rFonts w:hint="eastAsia" w:ascii="宋体" w:hAnsi="宋体" w:eastAsia="宋体" w:cs="宋体"/>
          <w:color w:val="231F20"/>
          <w:sz w:val="24"/>
          <w:szCs w:val="24"/>
          <w:lang w:eastAsia="zh-CN"/>
        </w:rPr>
        <w:t>元</w:t>
      </w:r>
      <w:r>
        <w:rPr>
          <w:rFonts w:hint="eastAsia" w:ascii="宋体" w:hAnsi="宋体" w:eastAsia="宋体" w:cs="宋体"/>
          <w:color w:val="231F20"/>
          <w:spacing w:val="-55"/>
          <w:sz w:val="24"/>
          <w:szCs w:val="24"/>
          <w:lang w:eastAsia="zh-CN"/>
        </w:rPr>
        <w:t>）；</w:t>
      </w:r>
    </w:p>
    <w:p w14:paraId="30E4997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color w:val="231F20"/>
          <w:sz w:val="24"/>
          <w:szCs w:val="24"/>
          <w:lang w:eastAsia="zh-CN"/>
        </w:rPr>
        <w:t>（3）</w:t>
      </w:r>
      <w:r>
        <w:rPr>
          <w:rFonts w:hint="eastAsia" w:ascii="宋体" w:hAnsi="宋体" w:eastAsia="宋体" w:cs="宋体"/>
          <w:sz w:val="24"/>
          <w:szCs w:val="24"/>
          <w:lang w:eastAsia="zh-CN"/>
        </w:rPr>
        <w:t>专业</w:t>
      </w:r>
      <w:r>
        <w:rPr>
          <w:rFonts w:hint="eastAsia" w:ascii="宋体" w:hAnsi="宋体" w:eastAsia="宋体" w:cs="宋体"/>
          <w:color w:val="231F20"/>
          <w:sz w:val="24"/>
          <w:szCs w:val="24"/>
          <w:lang w:eastAsia="zh-CN"/>
        </w:rPr>
        <w:t>工程暂估价金额：</w:t>
      </w:r>
    </w:p>
    <w:p w14:paraId="4CE0A25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color w:val="231F20"/>
          <w:sz w:val="24"/>
          <w:szCs w:val="24"/>
          <w:lang w:eastAsia="zh-CN"/>
        </w:rPr>
        <w:t>人民币（大写）</w:t>
      </w:r>
      <w:r>
        <w:rPr>
          <w:rFonts w:hint="eastAsia" w:ascii="宋体" w:hAnsi="宋体" w:eastAsia="宋体" w:cs="宋体"/>
          <w:color w:val="231F20"/>
          <w:sz w:val="24"/>
          <w:szCs w:val="24"/>
          <w:u w:val="single" w:color="231F20"/>
          <w:lang w:eastAsia="zh-CN"/>
        </w:rPr>
        <w:t xml:space="preserve"> </w:t>
      </w:r>
      <w:r>
        <w:rPr>
          <w:rFonts w:hint="eastAsia" w:ascii="宋体" w:hAnsi="宋体" w:eastAsia="宋体" w:cs="宋体"/>
          <w:color w:val="231F20"/>
          <w:sz w:val="24"/>
          <w:szCs w:val="24"/>
          <w:u w:val="single" w:color="231F20"/>
          <w:lang w:val="en-US" w:eastAsia="zh-CN"/>
        </w:rPr>
        <w:t>零</w:t>
      </w:r>
      <w:r>
        <w:rPr>
          <w:rFonts w:hint="eastAsia" w:ascii="宋体" w:hAnsi="宋体" w:eastAsia="宋体" w:cs="宋体"/>
          <w:color w:val="231F20"/>
          <w:sz w:val="24"/>
          <w:szCs w:val="24"/>
          <w:u w:val="single" w:color="231F20"/>
          <w:lang w:eastAsia="zh-CN"/>
        </w:rPr>
        <w:t xml:space="preserve"> （</w:t>
      </w:r>
      <w:r>
        <w:rPr>
          <w:rFonts w:hint="eastAsia" w:ascii="宋体" w:hAnsi="宋体" w:eastAsia="宋体" w:cs="宋体"/>
          <w:color w:val="231F20"/>
          <w:sz w:val="24"/>
          <w:szCs w:val="24"/>
          <w:lang w:eastAsia="zh-CN"/>
        </w:rPr>
        <w:t>￥</w:t>
      </w:r>
      <w:r>
        <w:rPr>
          <w:rFonts w:hint="eastAsia" w:ascii="宋体" w:hAnsi="宋体" w:eastAsia="宋体" w:cs="宋体"/>
          <w:color w:val="231F20"/>
          <w:sz w:val="24"/>
          <w:szCs w:val="24"/>
          <w:u w:val="single" w:color="231F20"/>
          <w:lang w:eastAsia="zh-CN"/>
        </w:rPr>
        <w:t xml:space="preserve"> </w:t>
      </w:r>
      <w:r>
        <w:rPr>
          <w:rFonts w:hint="eastAsia" w:ascii="宋体" w:hAnsi="宋体" w:eastAsia="宋体" w:cs="宋体"/>
          <w:color w:val="231F20"/>
          <w:sz w:val="24"/>
          <w:szCs w:val="24"/>
          <w:u w:val="single" w:color="231F20"/>
          <w:lang w:val="en-US" w:eastAsia="zh-CN"/>
        </w:rPr>
        <w:t>0</w:t>
      </w:r>
      <w:r>
        <w:rPr>
          <w:rFonts w:hint="eastAsia" w:ascii="宋体" w:hAnsi="宋体" w:eastAsia="宋体" w:cs="宋体"/>
          <w:color w:val="231F20"/>
          <w:sz w:val="24"/>
          <w:szCs w:val="24"/>
          <w:u w:val="single" w:color="231F20"/>
          <w:lang w:eastAsia="zh-CN"/>
        </w:rPr>
        <w:t xml:space="preserve"> </w:t>
      </w:r>
      <w:r>
        <w:rPr>
          <w:rFonts w:hint="eastAsia" w:ascii="宋体" w:hAnsi="宋体" w:eastAsia="宋体" w:cs="宋体"/>
          <w:color w:val="231F20"/>
          <w:sz w:val="24"/>
          <w:szCs w:val="24"/>
          <w:lang w:eastAsia="zh-CN"/>
        </w:rPr>
        <w:t>元</w:t>
      </w:r>
      <w:r>
        <w:rPr>
          <w:rFonts w:hint="eastAsia" w:ascii="宋体" w:hAnsi="宋体" w:eastAsia="宋体" w:cs="宋体"/>
          <w:color w:val="231F20"/>
          <w:spacing w:val="-55"/>
          <w:sz w:val="24"/>
          <w:szCs w:val="24"/>
          <w:lang w:eastAsia="zh-CN"/>
        </w:rPr>
        <w:t>）；</w:t>
      </w:r>
    </w:p>
    <w:p w14:paraId="60C0558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color w:val="231F20"/>
          <w:sz w:val="24"/>
          <w:szCs w:val="24"/>
          <w:lang w:eastAsia="zh-CN"/>
        </w:rPr>
        <w:t>（4）暂列金额：</w:t>
      </w:r>
    </w:p>
    <w:p w14:paraId="4D9DA37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color w:val="231F20"/>
          <w:sz w:val="24"/>
          <w:szCs w:val="24"/>
          <w:lang w:eastAsia="zh-CN"/>
        </w:rPr>
        <w:t>人民币（大写）</w:t>
      </w:r>
      <w:r>
        <w:rPr>
          <w:rFonts w:hint="eastAsia" w:ascii="宋体" w:hAnsi="宋体" w:eastAsia="宋体" w:cs="宋体"/>
          <w:color w:val="231F20"/>
          <w:sz w:val="24"/>
          <w:szCs w:val="24"/>
          <w:u w:val="single" w:color="231F20"/>
          <w:lang w:eastAsia="zh-CN"/>
        </w:rPr>
        <w:t xml:space="preserve"> </w:t>
      </w:r>
      <w:r>
        <w:rPr>
          <w:rFonts w:hint="eastAsia" w:ascii="宋体" w:hAnsi="宋体" w:eastAsia="宋体" w:cs="宋体"/>
          <w:color w:val="231F20"/>
          <w:sz w:val="24"/>
          <w:szCs w:val="24"/>
          <w:u w:val="single" w:color="231F20"/>
          <w:lang w:val="en-US" w:eastAsia="zh-CN"/>
        </w:rPr>
        <w:t>零</w:t>
      </w:r>
      <w:r>
        <w:rPr>
          <w:rFonts w:hint="eastAsia" w:ascii="宋体" w:hAnsi="宋体" w:eastAsia="宋体" w:cs="宋体"/>
          <w:color w:val="231F20"/>
          <w:sz w:val="24"/>
          <w:szCs w:val="24"/>
          <w:u w:val="single" w:color="231F20"/>
          <w:lang w:eastAsia="zh-CN"/>
        </w:rPr>
        <w:t xml:space="preserve"> （</w:t>
      </w:r>
      <w:r>
        <w:rPr>
          <w:rFonts w:hint="eastAsia" w:ascii="宋体" w:hAnsi="宋体" w:eastAsia="宋体" w:cs="宋体"/>
          <w:color w:val="231F20"/>
          <w:sz w:val="24"/>
          <w:szCs w:val="24"/>
          <w:lang w:eastAsia="zh-CN"/>
        </w:rPr>
        <w:t>￥</w:t>
      </w:r>
      <w:r>
        <w:rPr>
          <w:rFonts w:hint="eastAsia" w:ascii="宋体" w:hAnsi="宋体" w:eastAsia="宋体" w:cs="宋体"/>
          <w:color w:val="231F20"/>
          <w:sz w:val="24"/>
          <w:szCs w:val="24"/>
          <w:u w:val="single" w:color="231F20"/>
          <w:lang w:eastAsia="zh-CN"/>
        </w:rPr>
        <w:t xml:space="preserve"> </w:t>
      </w:r>
      <w:r>
        <w:rPr>
          <w:rFonts w:hint="eastAsia" w:ascii="宋体" w:hAnsi="宋体" w:eastAsia="宋体" w:cs="宋体"/>
          <w:color w:val="231F20"/>
          <w:sz w:val="24"/>
          <w:szCs w:val="24"/>
          <w:u w:val="single" w:color="231F20"/>
          <w:lang w:val="en-US" w:eastAsia="zh-CN"/>
        </w:rPr>
        <w:t>0</w:t>
      </w:r>
      <w:r>
        <w:rPr>
          <w:rFonts w:hint="eastAsia" w:ascii="宋体" w:hAnsi="宋体" w:eastAsia="宋体" w:cs="宋体"/>
          <w:color w:val="231F20"/>
          <w:sz w:val="24"/>
          <w:szCs w:val="24"/>
          <w:u w:val="single" w:color="231F20"/>
          <w:lang w:eastAsia="zh-CN"/>
        </w:rPr>
        <w:t xml:space="preserve"> </w:t>
      </w:r>
      <w:r>
        <w:rPr>
          <w:rFonts w:hint="eastAsia" w:ascii="宋体" w:hAnsi="宋体" w:eastAsia="宋体" w:cs="宋体"/>
          <w:color w:val="231F20"/>
          <w:sz w:val="24"/>
          <w:szCs w:val="24"/>
          <w:lang w:eastAsia="zh-CN"/>
        </w:rPr>
        <w:t>元</w:t>
      </w:r>
      <w:r>
        <w:rPr>
          <w:rFonts w:hint="eastAsia" w:ascii="宋体" w:hAnsi="宋体" w:eastAsia="宋体" w:cs="宋体"/>
          <w:color w:val="231F20"/>
          <w:spacing w:val="-83"/>
          <w:sz w:val="24"/>
          <w:szCs w:val="24"/>
          <w:lang w:eastAsia="zh-CN"/>
        </w:rPr>
        <w:t>）。</w:t>
      </w:r>
    </w:p>
    <w:p w14:paraId="3394BF08">
      <w:pPr>
        <w:spacing w:line="440" w:lineRule="exact"/>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八、承包人项目经理：</w:t>
      </w:r>
    </w:p>
    <w:p w14:paraId="6C71759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姓名：</w:t>
      </w:r>
      <w:r>
        <w:rPr>
          <w:rFonts w:hint="eastAsia" w:ascii="宋体" w:hAnsi="宋体" w:eastAsia="宋体" w:cs="宋体"/>
          <w:sz w:val="24"/>
          <w:szCs w:val="24"/>
          <w:u w:val="single"/>
          <w:lang w:eastAsia="zh-CN"/>
        </w:rPr>
        <w:t>李明明</w:t>
      </w:r>
      <w:r>
        <w:rPr>
          <w:rFonts w:hint="eastAsia" w:ascii="宋体" w:hAnsi="宋体" w:eastAsia="宋体" w:cs="宋体"/>
          <w:sz w:val="24"/>
          <w:szCs w:val="24"/>
          <w:lang w:eastAsia="zh-CN"/>
        </w:rPr>
        <w:t>；      职称：</w:t>
      </w:r>
      <w:r>
        <w:rPr>
          <w:rFonts w:hint="eastAsia" w:ascii="宋体" w:hAnsi="宋体" w:eastAsia="宋体" w:cs="宋体"/>
          <w:sz w:val="24"/>
          <w:szCs w:val="24"/>
          <w:u w:val="single"/>
          <w:lang w:eastAsia="zh-CN"/>
        </w:rPr>
        <w:t>工程师</w:t>
      </w:r>
      <w:r>
        <w:rPr>
          <w:rFonts w:hint="eastAsia" w:ascii="宋体" w:hAnsi="宋体" w:eastAsia="宋体" w:cs="宋体"/>
          <w:sz w:val="24"/>
          <w:szCs w:val="24"/>
          <w:lang w:eastAsia="zh-CN"/>
        </w:rPr>
        <w:t>；</w:t>
      </w:r>
    </w:p>
    <w:p w14:paraId="57B8F9F8">
      <w:pPr>
        <w:spacing w:line="440" w:lineRule="exact"/>
        <w:ind w:right="-231" w:rightChars="-110"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身份证号：</w:t>
      </w:r>
      <w:r>
        <w:rPr>
          <w:rFonts w:hint="eastAsia" w:ascii="宋体" w:hAnsi="宋体" w:eastAsia="宋体" w:cs="宋体"/>
          <w:sz w:val="24"/>
          <w:szCs w:val="24"/>
          <w:u w:val="single"/>
          <w:lang w:eastAsia="zh-CN"/>
        </w:rPr>
        <w:t>130929198711138477</w:t>
      </w:r>
      <w:r>
        <w:rPr>
          <w:rFonts w:hint="eastAsia" w:ascii="宋体" w:hAnsi="宋体" w:eastAsia="宋体" w:cs="宋体"/>
          <w:sz w:val="24"/>
          <w:szCs w:val="24"/>
          <w:lang w:eastAsia="zh-CN"/>
        </w:rPr>
        <w:t>；</w:t>
      </w:r>
    </w:p>
    <w:p w14:paraId="6E5A904F">
      <w:pPr>
        <w:spacing w:line="440" w:lineRule="exact"/>
        <w:ind w:right="-231" w:rightChars="-110"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建造师执业资格证号：</w:t>
      </w:r>
      <w:r>
        <w:rPr>
          <w:rFonts w:hint="eastAsia" w:ascii="宋体" w:hAnsi="宋体" w:eastAsia="宋体" w:cs="宋体"/>
          <w:sz w:val="24"/>
          <w:szCs w:val="24"/>
          <w:u w:val="single"/>
          <w:lang w:eastAsia="zh-CN"/>
        </w:rPr>
        <w:t>BJ 0073580</w:t>
      </w:r>
      <w:r>
        <w:rPr>
          <w:rFonts w:hint="eastAsia" w:ascii="宋体" w:hAnsi="宋体" w:eastAsia="宋体" w:cs="宋体"/>
          <w:sz w:val="24"/>
          <w:szCs w:val="24"/>
          <w:u w:val="none"/>
          <w:lang w:eastAsia="zh-CN"/>
        </w:rPr>
        <w:t>；</w:t>
      </w:r>
    </w:p>
    <w:p w14:paraId="235F122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建造师注册证书号：</w:t>
      </w:r>
      <w:r>
        <w:rPr>
          <w:rFonts w:hint="eastAsia" w:ascii="宋体" w:hAnsi="宋体" w:eastAsia="宋体" w:cs="宋体"/>
          <w:sz w:val="24"/>
          <w:szCs w:val="24"/>
          <w:u w:val="single"/>
          <w:lang w:eastAsia="zh-CN"/>
        </w:rPr>
        <w:t>京2112015201653882</w:t>
      </w:r>
      <w:r>
        <w:rPr>
          <w:rFonts w:hint="eastAsia" w:ascii="宋体" w:hAnsi="宋体" w:eastAsia="宋体" w:cs="宋体"/>
          <w:sz w:val="24"/>
          <w:szCs w:val="24"/>
          <w:u w:val="none"/>
          <w:lang w:eastAsia="zh-CN"/>
        </w:rPr>
        <w:t>；</w:t>
      </w:r>
    </w:p>
    <w:p w14:paraId="1148019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建造师执业印章号：</w:t>
      </w:r>
      <w:r>
        <w:rPr>
          <w:rFonts w:hint="eastAsia" w:ascii="宋体" w:hAnsi="宋体" w:eastAsia="宋体" w:cs="宋体"/>
          <w:sz w:val="24"/>
          <w:szCs w:val="24"/>
          <w:u w:val="single"/>
          <w:lang w:eastAsia="zh-CN"/>
        </w:rPr>
        <w:t>京2112015201653882（00）</w:t>
      </w:r>
      <w:r>
        <w:rPr>
          <w:rFonts w:hint="eastAsia" w:ascii="宋体" w:hAnsi="宋体" w:eastAsia="宋体" w:cs="宋体"/>
          <w:sz w:val="24"/>
          <w:szCs w:val="24"/>
          <w:u w:val="none"/>
          <w:lang w:eastAsia="zh-CN"/>
        </w:rPr>
        <w:t>；</w:t>
      </w:r>
    </w:p>
    <w:p w14:paraId="1270CF4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安全生产考核合格证书号：</w:t>
      </w:r>
      <w:r>
        <w:rPr>
          <w:rFonts w:hint="eastAsia" w:ascii="宋体" w:hAnsi="宋体" w:eastAsia="宋体" w:cs="宋体"/>
          <w:sz w:val="24"/>
          <w:szCs w:val="24"/>
          <w:u w:val="single"/>
          <w:lang w:eastAsia="zh-CN"/>
        </w:rPr>
        <w:t>京建安B（2016）0123871</w:t>
      </w:r>
      <w:r>
        <w:rPr>
          <w:rFonts w:hint="eastAsia" w:ascii="宋体" w:hAnsi="宋体" w:eastAsia="宋体" w:cs="宋体"/>
          <w:sz w:val="24"/>
          <w:szCs w:val="24"/>
          <w:lang w:eastAsia="zh-CN"/>
        </w:rPr>
        <w:t>。</w:t>
      </w:r>
    </w:p>
    <w:p w14:paraId="0CCC81B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bCs/>
          <w:sz w:val="24"/>
          <w:szCs w:val="24"/>
          <w:lang w:eastAsia="zh-CN"/>
        </w:rPr>
        <w:t>九、合同文件的组成</w:t>
      </w:r>
    </w:p>
    <w:p w14:paraId="1C99997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下列文件共同构成合同文件：</w:t>
      </w:r>
    </w:p>
    <w:p w14:paraId="410649FA">
      <w:pPr>
        <w:pStyle w:val="5"/>
        <w:spacing w:line="400" w:lineRule="exact"/>
        <w:ind w:firstLine="136" w:firstLineChars="57"/>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1、本协议书；</w:t>
      </w:r>
    </w:p>
    <w:p w14:paraId="2950D19D">
      <w:pPr>
        <w:pStyle w:val="5"/>
        <w:spacing w:line="400" w:lineRule="exact"/>
        <w:ind w:firstLine="136" w:firstLineChars="57"/>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2、成交通知书；</w:t>
      </w:r>
    </w:p>
    <w:p w14:paraId="1C864D0D">
      <w:pPr>
        <w:pStyle w:val="5"/>
        <w:spacing w:line="400" w:lineRule="exact"/>
        <w:ind w:firstLine="136" w:firstLineChars="57"/>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3、最终报价文件；</w:t>
      </w:r>
    </w:p>
    <w:p w14:paraId="6746BD78">
      <w:pPr>
        <w:pStyle w:val="5"/>
        <w:spacing w:line="400" w:lineRule="exact"/>
        <w:ind w:firstLine="136" w:firstLineChars="57"/>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4、专用合同条款；</w:t>
      </w:r>
    </w:p>
    <w:p w14:paraId="1FDF84F4">
      <w:pPr>
        <w:pStyle w:val="5"/>
        <w:spacing w:line="400" w:lineRule="exact"/>
        <w:ind w:firstLine="136" w:firstLineChars="57"/>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5、通用合同条款；</w:t>
      </w:r>
    </w:p>
    <w:p w14:paraId="5CFC4EBE">
      <w:pPr>
        <w:pStyle w:val="5"/>
        <w:spacing w:line="400" w:lineRule="exact"/>
        <w:ind w:firstLine="136" w:firstLineChars="57"/>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6、技术标准和要求；</w:t>
      </w:r>
    </w:p>
    <w:p w14:paraId="5665C183">
      <w:pPr>
        <w:pStyle w:val="5"/>
        <w:spacing w:line="400" w:lineRule="exact"/>
        <w:ind w:firstLine="136" w:firstLineChars="57"/>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7、图纸；</w:t>
      </w:r>
    </w:p>
    <w:p w14:paraId="18BDAD69">
      <w:pPr>
        <w:pStyle w:val="5"/>
        <w:spacing w:line="400" w:lineRule="exact"/>
        <w:ind w:firstLine="136" w:firstLineChars="57"/>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8、已标价工程量清单；</w:t>
      </w:r>
    </w:p>
    <w:p w14:paraId="6040258D">
      <w:pPr>
        <w:pStyle w:val="5"/>
        <w:spacing w:line="400" w:lineRule="exact"/>
        <w:ind w:firstLine="136" w:firstLineChars="57"/>
        <w:rPr>
          <w:rFonts w:hint="eastAsia" w:ascii="宋体" w:hAnsi="宋体" w:eastAsia="宋体" w:cs="宋体"/>
          <w:b/>
          <w:bCs/>
          <w:sz w:val="24"/>
          <w:szCs w:val="24"/>
          <w:lang w:eastAsia="zh-CN"/>
        </w:rPr>
      </w:pPr>
      <w:r>
        <w:rPr>
          <w:rFonts w:hint="eastAsia" w:ascii="宋体" w:hAnsi="宋体" w:eastAsia="宋体" w:cs="宋体"/>
          <w:color w:val="000000" w:themeColor="text1"/>
          <w:lang w:eastAsia="zh-CN"/>
          <w14:textFill>
            <w14:solidFill>
              <w14:schemeClr w14:val="tx1"/>
            </w14:solidFill>
          </w14:textFill>
        </w:rPr>
        <w:t>9、其他合同文件。</w:t>
      </w:r>
    </w:p>
    <w:p w14:paraId="3AE1DD7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在合同订立及履行过程中形成的与合同有关的文件均构成合同文件组成部分。</w:t>
      </w:r>
    </w:p>
    <w:p w14:paraId="05F8E82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上述各项合同文件包括合同当事人就该项合同文件所作出的补充和修改，属于同一类内容的文件，应以最新签署的为准。专用合同条款及其附件须经合同当事人签字或盖章。</w:t>
      </w:r>
    </w:p>
    <w:p w14:paraId="38EF118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十、本协议书中有关词语定义与合同条款中的定义相同。</w:t>
      </w:r>
    </w:p>
    <w:p w14:paraId="468087C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十一、承包人承诺按照合同约定进行施工、竣工、交付并承担质量缺陷保修责任。</w:t>
      </w:r>
    </w:p>
    <w:p w14:paraId="4BE6341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十二、发包人承诺按照合同约定的条件、期限和方式向承包人支付合同价款。</w:t>
      </w:r>
    </w:p>
    <w:p w14:paraId="596A0D4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十三、本协议书连同其他合同文件正本一式</w:t>
      </w:r>
      <w:r>
        <w:rPr>
          <w:rFonts w:hint="eastAsia" w:ascii="宋体" w:hAnsi="宋体" w:eastAsia="宋体" w:cs="宋体"/>
          <w:sz w:val="24"/>
          <w:szCs w:val="24"/>
          <w:u w:val="single"/>
          <w:lang w:eastAsia="zh-CN"/>
        </w:rPr>
        <w:t xml:space="preserve"> 贰 </w:t>
      </w:r>
      <w:r>
        <w:rPr>
          <w:rFonts w:hint="eastAsia" w:ascii="宋体" w:hAnsi="宋体" w:eastAsia="宋体" w:cs="宋体"/>
          <w:sz w:val="24"/>
          <w:szCs w:val="24"/>
          <w:lang w:eastAsia="zh-CN"/>
        </w:rPr>
        <w:t>份，合同双方各执</w:t>
      </w:r>
      <w:r>
        <w:rPr>
          <w:rFonts w:hint="eastAsia" w:ascii="宋体" w:hAnsi="宋体" w:eastAsia="宋体" w:cs="宋体"/>
          <w:sz w:val="24"/>
          <w:szCs w:val="24"/>
          <w:u w:val="single"/>
          <w:lang w:eastAsia="zh-CN"/>
        </w:rPr>
        <w:t xml:space="preserve"> 壹 </w:t>
      </w:r>
      <w:r>
        <w:rPr>
          <w:rFonts w:hint="eastAsia" w:ascii="宋体" w:hAnsi="宋体" w:eastAsia="宋体" w:cs="宋体"/>
          <w:sz w:val="24"/>
          <w:szCs w:val="24"/>
          <w:lang w:eastAsia="zh-CN"/>
        </w:rPr>
        <w:t>份；副本一式</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陆</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份。</w:t>
      </w:r>
    </w:p>
    <w:p w14:paraId="548D623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十四、合同未尽事宜，双方另行签订补充协议，但不得背离本协议第九条所约定的合同文件的实质性内容。补充协议是合同文件的组成部分。</w:t>
      </w:r>
    </w:p>
    <w:p w14:paraId="2A729B22">
      <w:pPr>
        <w:spacing w:before="240" w:beforeLines="100" w:after="240" w:afterLines="100" w:line="240" w:lineRule="auto"/>
        <w:rPr>
          <w:rFonts w:hint="eastAsia" w:ascii="宋体" w:hAnsi="宋体" w:eastAsia="宋体" w:cs="宋体"/>
          <w:b/>
          <w:bCs/>
          <w:color w:val="000000" w:themeColor="text1"/>
          <w:sz w:val="24"/>
          <w:lang w:eastAsia="zh-CN"/>
          <w14:textFill>
            <w14:solidFill>
              <w14:schemeClr w14:val="tx1"/>
            </w14:solidFill>
          </w14:textFill>
        </w:rPr>
      </w:pPr>
    </w:p>
    <w:p w14:paraId="008D7D8C">
      <w:pPr>
        <w:pStyle w:val="2"/>
        <w:rPr>
          <w:rFonts w:hint="eastAsia"/>
          <w:lang w:eastAsia="zh-CN"/>
        </w:rPr>
      </w:pPr>
    </w:p>
    <w:p w14:paraId="0AD2426A">
      <w:pPr>
        <w:spacing w:before="240" w:beforeLines="100" w:after="240" w:afterLines="100" w:line="24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b/>
          <w:bCs/>
          <w:color w:val="000000" w:themeColor="text1"/>
          <w:sz w:val="24"/>
          <w:lang w:eastAsia="zh-CN"/>
          <w14:textFill>
            <w14:solidFill>
              <w14:schemeClr w14:val="tx1"/>
            </w14:solidFill>
          </w14:textFill>
        </w:rPr>
        <w:t>发包人：</w:t>
      </w:r>
      <w:r>
        <w:rPr>
          <w:rFonts w:hint="eastAsia" w:ascii="宋体" w:hAnsi="宋体" w:eastAsia="宋体" w:cs="宋体"/>
          <w:color w:val="000000" w:themeColor="text1"/>
          <w:sz w:val="24"/>
          <w:u w:val="single"/>
          <w:lang w:eastAsia="zh-CN"/>
          <w14:textFill>
            <w14:solidFill>
              <w14:schemeClr w14:val="tx1"/>
            </w14:solidFill>
          </w14:textFill>
        </w:rPr>
        <w:t>北京市东城区人民政府崇文门外</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b/>
          <w:bCs/>
          <w:color w:val="000000" w:themeColor="text1"/>
          <w:sz w:val="24"/>
          <w:lang w:eastAsia="zh-CN"/>
          <w14:textFill>
            <w14:solidFill>
              <w14:schemeClr w14:val="tx1"/>
            </w14:solidFill>
          </w14:textFill>
        </w:rPr>
        <w:t xml:space="preserve"> </w:t>
      </w:r>
      <w:r>
        <w:rPr>
          <w:rFonts w:hint="eastAsia" w:ascii="宋体" w:hAnsi="宋体" w:eastAsia="宋体" w:cs="宋体"/>
          <w:b/>
          <w:bCs/>
          <w:color w:val="000000" w:themeColor="text1"/>
          <w:sz w:val="24"/>
          <w:lang w:val="en-US" w:eastAsia="zh-CN"/>
          <w14:textFill>
            <w14:solidFill>
              <w14:schemeClr w14:val="tx1"/>
            </w14:solidFill>
          </w14:textFill>
        </w:rPr>
        <w:t xml:space="preserve"> </w:t>
      </w:r>
      <w:r>
        <w:rPr>
          <w:rFonts w:hint="eastAsia" w:ascii="宋体" w:hAnsi="宋体" w:eastAsia="宋体" w:cs="宋体"/>
          <w:b/>
          <w:bCs/>
          <w:color w:val="000000" w:themeColor="text1"/>
          <w:sz w:val="24"/>
          <w:lang w:eastAsia="zh-CN"/>
          <w14:textFill>
            <w14:solidFill>
              <w14:schemeClr w14:val="tx1"/>
            </w14:solidFill>
          </w14:textFill>
        </w:rPr>
        <w:t>承包人：</w:t>
      </w:r>
      <w:r>
        <w:rPr>
          <w:rFonts w:hint="eastAsia" w:ascii="宋体" w:hAnsi="宋体" w:eastAsia="宋体" w:cs="宋体"/>
          <w:color w:val="000000" w:themeColor="text1"/>
          <w:sz w:val="24"/>
          <w:u w:val="single"/>
          <w:lang w:eastAsia="zh-CN"/>
          <w14:textFill>
            <w14:solidFill>
              <w14:schemeClr w14:val="tx1"/>
            </w14:solidFill>
          </w14:textFill>
        </w:rPr>
        <w:t>北京市佳恒致远建筑工程有限</w:t>
      </w:r>
    </w:p>
    <w:p w14:paraId="403213F8">
      <w:pPr>
        <w:pStyle w:val="2"/>
        <w:spacing w:line="240" w:lineRule="auto"/>
        <w:ind w:left="0" w:leftChars="0" w:firstLine="960" w:firstLineChars="400"/>
        <w:rPr>
          <w:rFonts w:hint="eastAsia"/>
          <w:lang w:eastAsia="zh-CN"/>
        </w:rPr>
      </w:pPr>
      <w:r>
        <w:rPr>
          <w:rFonts w:hint="eastAsia" w:ascii="宋体" w:hAnsi="宋体" w:eastAsia="宋体" w:cs="宋体"/>
          <w:color w:val="000000" w:themeColor="text1"/>
          <w:sz w:val="24"/>
          <w:u w:val="single"/>
          <w:lang w:eastAsia="zh-CN"/>
          <w14:textFill>
            <w14:solidFill>
              <w14:schemeClr w14:val="tx1"/>
            </w14:solidFill>
          </w14:textFill>
        </w:rPr>
        <w:t>街道办事处</w:t>
      </w:r>
      <w:r>
        <w:rPr>
          <w:rFonts w:hint="eastAsia" w:ascii="宋体" w:hAnsi="宋体" w:eastAsia="宋体" w:cs="宋体"/>
          <w:color w:val="000000" w:themeColor="text1"/>
          <w:sz w:val="24"/>
          <w:lang w:eastAsia="zh-CN"/>
          <w14:textFill>
            <w14:solidFill>
              <w14:schemeClr w14:val="tx1"/>
            </w14:solidFill>
          </w14:textFill>
        </w:rPr>
        <w:t>（盖单位章）</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u w:val="single"/>
          <w:lang w:eastAsia="zh-CN"/>
          <w14:textFill>
            <w14:solidFill>
              <w14:schemeClr w14:val="tx1"/>
            </w14:solidFill>
          </w14:textFill>
        </w:rPr>
        <w:t>公司</w:t>
      </w:r>
      <w:r>
        <w:rPr>
          <w:rFonts w:hint="eastAsia" w:ascii="宋体" w:hAnsi="宋体" w:eastAsia="宋体" w:cs="宋体"/>
          <w:color w:val="000000" w:themeColor="text1"/>
          <w:sz w:val="24"/>
          <w:lang w:eastAsia="zh-CN"/>
          <w14:textFill>
            <w14:solidFill>
              <w14:schemeClr w14:val="tx1"/>
            </w14:solidFill>
          </w14:textFill>
        </w:rPr>
        <w:t>（盖单位章）</w:t>
      </w:r>
    </w:p>
    <w:p w14:paraId="3F4A9BF9">
      <w:pPr>
        <w:spacing w:before="240" w:beforeLines="100" w:after="240" w:afterLines="100" w:line="240" w:lineRule="auto"/>
        <w:rPr>
          <w:rFonts w:hint="eastAsia" w:ascii="宋体" w:hAnsi="宋体" w:eastAsia="宋体" w:cs="宋体"/>
          <w:color w:val="000000" w:themeColor="text1"/>
          <w:sz w:val="24"/>
          <w:lang w:eastAsia="zh-CN"/>
          <w14:textFill>
            <w14:solidFill>
              <w14:schemeClr w14:val="tx1"/>
            </w14:solidFill>
          </w14:textFill>
        </w:rPr>
      </w:pPr>
    </w:p>
    <w:p w14:paraId="2C4E7387">
      <w:pPr>
        <w:spacing w:line="276"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法定代表人或其</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b/>
          <w:bCs/>
          <w:color w:val="000000" w:themeColor="text1"/>
          <w:sz w:val="24"/>
          <w14:textFill>
            <w14:solidFill>
              <w14:schemeClr w14:val="tx1"/>
            </w14:solidFill>
          </w14:textFill>
        </w:rPr>
        <w:t>法定代表人或其</w:t>
      </w:r>
    </w:p>
    <w:p w14:paraId="58B2D43D">
      <w:pPr>
        <w:spacing w:line="276"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b/>
          <w:bCs/>
          <w:color w:val="000000" w:themeColor="text1"/>
          <w:sz w:val="24"/>
          <w:lang w:eastAsia="zh-CN"/>
          <w14:textFill>
            <w14:solidFill>
              <w14:schemeClr w14:val="tx1"/>
            </w14:solidFill>
          </w14:textFill>
        </w:rPr>
        <w:t>委托代理人：</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 xml:space="preserve">（签字） </w:t>
      </w:r>
      <w:r>
        <w:rPr>
          <w:rFonts w:hint="eastAsia" w:ascii="宋体" w:hAnsi="宋体" w:eastAsia="宋体" w:cs="宋体"/>
          <w:b/>
          <w:bCs/>
          <w:color w:val="000000" w:themeColor="text1"/>
          <w:sz w:val="24"/>
          <w:lang w:eastAsia="zh-CN"/>
          <w14:textFill>
            <w14:solidFill>
              <w14:schemeClr w14:val="tx1"/>
            </w14:solidFill>
          </w14:textFill>
        </w:rPr>
        <w:t xml:space="preserve">      委托代理人：</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（签字）</w:t>
      </w:r>
    </w:p>
    <w:p w14:paraId="5F850BF7">
      <w:pPr>
        <w:spacing w:before="240" w:beforeLines="100" w:after="240" w:afterLines="100" w:line="240" w:lineRule="auto"/>
        <w:rPr>
          <w:rFonts w:hint="eastAsia" w:ascii="宋体" w:hAnsi="宋体" w:eastAsia="宋体" w:cs="宋体"/>
          <w:color w:val="000000" w:themeColor="text1"/>
          <w:sz w:val="24"/>
          <w:u w:val="single"/>
          <w:lang w:eastAsia="zh-CN"/>
          <w14:textFill>
            <w14:solidFill>
              <w14:schemeClr w14:val="tx1"/>
            </w14:solidFill>
          </w14:textFill>
        </w:rPr>
      </w:pPr>
    </w:p>
    <w:p w14:paraId="0E28DA7A">
      <w:pPr>
        <w:spacing w:before="240" w:beforeLines="100" w:after="240" w:afterLines="100" w:line="400" w:lineRule="exact"/>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年</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 xml:space="preserve">月 </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 xml:space="preserve"> 日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 xml:space="preserve">  </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年</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 xml:space="preserve">月 </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日</w:t>
      </w:r>
    </w:p>
    <w:p w14:paraId="50522255">
      <w:pPr>
        <w:spacing w:before="240" w:beforeLines="100" w:after="240" w:afterLines="100" w:line="240" w:lineRule="auto"/>
        <w:rPr>
          <w:rFonts w:hint="eastAsia" w:ascii="宋体" w:hAnsi="宋体" w:eastAsia="宋体" w:cs="宋体"/>
          <w:color w:val="000000" w:themeColor="text1"/>
          <w:sz w:val="24"/>
          <w:lang w:eastAsia="zh-CN"/>
          <w14:textFill>
            <w14:solidFill>
              <w14:schemeClr w14:val="tx1"/>
            </w14:solidFill>
          </w14:textFill>
        </w:rPr>
      </w:pPr>
    </w:p>
    <w:p w14:paraId="79FBF091">
      <w:pPr>
        <w:spacing w:before="240" w:beforeLines="100" w:after="240" w:afterLines="100" w:line="400" w:lineRule="exact"/>
        <w:rPr>
          <w:rFonts w:hint="eastAsia" w:ascii="宋体" w:hAnsi="宋体" w:eastAsia="宋体" w:cs="宋体"/>
          <w:b/>
          <w:color w:val="000000" w:themeColor="text1"/>
          <w:sz w:val="24"/>
          <w:lang w:eastAsia="zh-CN"/>
          <w14:textFill>
            <w14:solidFill>
              <w14:schemeClr w14:val="tx1"/>
            </w14:solidFill>
          </w14:textFill>
        </w:rPr>
      </w:pPr>
      <w:r>
        <w:rPr>
          <w:rFonts w:hint="eastAsia" w:ascii="宋体" w:hAnsi="宋体" w:eastAsia="宋体" w:cs="宋体"/>
          <w:b/>
          <w:color w:val="000000" w:themeColor="text1"/>
          <w:sz w:val="24"/>
          <w:lang w:eastAsia="zh-CN"/>
          <w14:textFill>
            <w14:solidFill>
              <w14:schemeClr w14:val="tx1"/>
            </w14:solidFill>
          </w14:textFill>
        </w:rPr>
        <w:t>签约地点：</w:t>
      </w:r>
      <w:r>
        <w:rPr>
          <w:rFonts w:hint="eastAsia" w:ascii="宋体" w:hAnsi="宋体" w:eastAsia="宋体" w:cs="宋体"/>
          <w:color w:val="000000" w:themeColor="text1"/>
          <w:sz w:val="24"/>
          <w:u w:val="single"/>
          <w:lang w:eastAsia="zh-CN"/>
          <w14:textFill>
            <w14:solidFill>
              <w14:schemeClr w14:val="tx1"/>
            </w14:solidFill>
          </w14:textFill>
        </w:rPr>
        <w:t xml:space="preserve">                  </w:t>
      </w:r>
    </w:p>
    <w:p w14:paraId="05752FA2">
      <w:pPr>
        <w:pStyle w:val="3"/>
        <w:spacing w:line="360" w:lineRule="auto"/>
        <w:rPr>
          <w:rFonts w:hint="eastAsia" w:ascii="宋体" w:hAnsi="宋体" w:eastAsia="宋体" w:cs="宋体"/>
          <w:color w:val="231F20"/>
          <w:u w:val="single" w:color="231F20"/>
          <w:lang w:eastAsia="zh-CN"/>
        </w:rPr>
      </w:pPr>
      <w:r>
        <w:rPr>
          <w:rFonts w:hint="eastAsia" w:ascii="宋体" w:hAnsi="宋体" w:eastAsia="宋体" w:cs="宋体"/>
          <w:color w:val="000000" w:themeColor="text1"/>
          <w:lang w:eastAsia="zh-CN"/>
          <w14:textFill>
            <w14:solidFill>
              <w14:schemeClr w14:val="tx1"/>
            </w14:solidFill>
          </w14:textFill>
        </w:rPr>
        <w:br w:type="page"/>
      </w:r>
    </w:p>
    <w:p w14:paraId="752A72FB">
      <w:pPr>
        <w:spacing w:line="360" w:lineRule="auto"/>
        <w:jc w:val="center"/>
        <w:outlineLvl w:val="0"/>
        <w:rPr>
          <w:rFonts w:hint="eastAsia" w:ascii="宋体" w:hAnsi="宋体" w:eastAsia="宋体" w:cs="宋体"/>
          <w:b/>
          <w:bCs/>
          <w:color w:val="000000" w:themeColor="text1"/>
          <w:sz w:val="32"/>
          <w:szCs w:val="32"/>
          <w:lang w:eastAsia="zh-CN"/>
          <w14:textFill>
            <w14:solidFill>
              <w14:schemeClr w14:val="tx1"/>
            </w14:solidFill>
          </w14:textFill>
        </w:rPr>
      </w:pPr>
      <w:bookmarkStart w:id="2" w:name="_Toc342296261"/>
      <w:bookmarkStart w:id="3" w:name="_Toc407609714"/>
      <w:r>
        <w:rPr>
          <w:rFonts w:hint="eastAsia" w:ascii="宋体" w:hAnsi="宋体" w:eastAsia="宋体" w:cs="宋体"/>
          <w:b/>
          <w:bCs/>
          <w:color w:val="000000" w:themeColor="text1"/>
          <w:sz w:val="32"/>
          <w:szCs w:val="32"/>
          <w:lang w:eastAsia="zh-CN"/>
          <w14:textFill>
            <w14:solidFill>
              <w14:schemeClr w14:val="tx1"/>
            </w14:solidFill>
          </w14:textFill>
        </w:rPr>
        <w:t>第一节 通用合同条款</w:t>
      </w:r>
      <w:bookmarkEnd w:id="2"/>
      <w:bookmarkEnd w:id="3"/>
      <w:bookmarkStart w:id="4" w:name="_Toc342296417"/>
      <w:bookmarkStart w:id="5" w:name="_Toc241459658"/>
      <w:bookmarkStart w:id="6" w:name="_Toc241459659"/>
      <w:bookmarkStart w:id="7" w:name="_Toc342296418"/>
    </w:p>
    <w:p w14:paraId="61EB570D">
      <w:pPr>
        <w:keepNext/>
        <w:keepLines/>
        <w:spacing w:line="440" w:lineRule="exact"/>
        <w:ind w:firstLine="482" w:firstLineChars="200"/>
        <w:outlineLvl w:val="1"/>
        <w:rPr>
          <w:rFonts w:hint="eastAsia" w:ascii="宋体" w:hAnsi="宋体" w:eastAsia="宋体" w:cs="宋体"/>
          <w:b/>
          <w:bCs/>
          <w:sz w:val="24"/>
          <w:szCs w:val="24"/>
          <w:lang w:eastAsia="zh-CN"/>
        </w:rPr>
      </w:pPr>
      <w:bookmarkStart w:id="8" w:name="_Toc489279853"/>
      <w:bookmarkStart w:id="9" w:name="_Toc117597468"/>
      <w:bookmarkStart w:id="10" w:name="_Toc490222487"/>
      <w:bookmarkStart w:id="11" w:name="_Toc497213718"/>
      <w:bookmarkStart w:id="12" w:name="_Toc486580042"/>
      <w:bookmarkStart w:id="13" w:name="_Toc189651377"/>
      <w:r>
        <w:rPr>
          <w:rFonts w:hint="eastAsia" w:ascii="宋体" w:hAnsi="宋体" w:eastAsia="宋体" w:cs="宋体"/>
          <w:b/>
          <w:bCs/>
          <w:sz w:val="24"/>
          <w:szCs w:val="24"/>
          <w:lang w:eastAsia="zh-CN"/>
        </w:rPr>
        <w:t>1.一般约定</w:t>
      </w:r>
      <w:bookmarkEnd w:id="8"/>
      <w:bookmarkEnd w:id="9"/>
      <w:bookmarkEnd w:id="10"/>
      <w:bookmarkEnd w:id="11"/>
      <w:bookmarkEnd w:id="12"/>
      <w:bookmarkEnd w:id="13"/>
    </w:p>
    <w:p w14:paraId="1C778A08">
      <w:pPr>
        <w:keepNext/>
        <w:keepLines/>
        <w:spacing w:line="440" w:lineRule="exact"/>
        <w:ind w:firstLine="482" w:firstLineChars="200"/>
        <w:outlineLvl w:val="2"/>
        <w:rPr>
          <w:rFonts w:hint="eastAsia" w:ascii="宋体" w:hAnsi="宋体" w:eastAsia="宋体" w:cs="宋体"/>
          <w:b/>
          <w:bCs/>
          <w:sz w:val="24"/>
          <w:szCs w:val="24"/>
          <w:lang w:eastAsia="zh-CN"/>
        </w:rPr>
      </w:pPr>
      <w:bookmarkStart w:id="14" w:name="_Toc497213719"/>
      <w:bookmarkStart w:id="15" w:name="_Toc189651378"/>
      <w:bookmarkStart w:id="16" w:name="_Toc490222488"/>
      <w:bookmarkStart w:id="17" w:name="_Toc489279854"/>
      <w:bookmarkStart w:id="18" w:name="_Toc117597469"/>
      <w:bookmarkStart w:id="19" w:name="_Toc486580043"/>
      <w:r>
        <w:rPr>
          <w:rFonts w:hint="eastAsia" w:ascii="宋体" w:hAnsi="宋体" w:eastAsia="宋体" w:cs="宋体"/>
          <w:b/>
          <w:bCs/>
          <w:sz w:val="24"/>
          <w:szCs w:val="24"/>
          <w:lang w:eastAsia="zh-CN"/>
        </w:rPr>
        <w:t>1.1  词语定义</w:t>
      </w:r>
      <w:bookmarkEnd w:id="14"/>
      <w:bookmarkEnd w:id="15"/>
      <w:bookmarkEnd w:id="16"/>
      <w:bookmarkEnd w:id="17"/>
      <w:bookmarkEnd w:id="18"/>
      <w:bookmarkEnd w:id="19"/>
    </w:p>
    <w:p w14:paraId="30F7157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合同条款通用部分、合同条款专用部分中的下列词语应具有本款所赋予的含义。</w:t>
      </w:r>
    </w:p>
    <w:p w14:paraId="120072A5">
      <w:pPr>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1.1.1  合同</w:t>
      </w:r>
    </w:p>
    <w:p w14:paraId="363ADEB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1.1.1.1  合同文件（或称合同）：指合同协议书、中选通知书、参选函及参选函附录、合同条款专用部分、合同条款通用部分、技术标准和要求、图纸、已标价工程量清单，以及其他合同文件。</w:t>
      </w:r>
    </w:p>
    <w:p w14:paraId="0B7DC90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1.1.1.2  合同协议书：指第1.5款所指的合同协议书。</w:t>
      </w:r>
    </w:p>
    <w:p w14:paraId="7394CE4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1.1.1.3  中选通知书：指发包人通知承包人中选的函件。</w:t>
      </w:r>
    </w:p>
    <w:p w14:paraId="2EBA6C5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1.1.1.4  参选函：指构成合同文件组成部分的由承包人填写并签署的参选函。</w:t>
      </w:r>
    </w:p>
    <w:p w14:paraId="40DBD4E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1.1.1.5  参选函附录：指附在参选函后构成合同文件的参选函附录。</w:t>
      </w:r>
    </w:p>
    <w:p w14:paraId="4C8430D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1.1.1.6  合同条款：指构成合同文件组成部分的合同条款通用部分和（或）合同条款专用部分。</w:t>
      </w:r>
    </w:p>
    <w:p w14:paraId="06533A9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1.1.1.7  技术标准和要求：指构成合同文件组成部分的名为技术标准和要求的文件，包括合同双方当事人约定对其所作的修改或补充。</w:t>
      </w:r>
    </w:p>
    <w:p w14:paraId="41FAB3E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1.1.1.8  图纸：指包含在合同中的工程图纸，以及由发包人按合同约定提供的任何补充和修改的图纸，包括配套的说明。</w:t>
      </w:r>
    </w:p>
    <w:p w14:paraId="49D5707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1.1.1.9  已标价工程量清单：指构成合同文件组成部分的由承包人按照规定的格式和要求填写并标明价格的工程量清单。</w:t>
      </w:r>
    </w:p>
    <w:p w14:paraId="1C48C8F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1.1.1.10  其他合同文件：指经合同双方当事人确认构成合同文件的其他文件。</w:t>
      </w:r>
    </w:p>
    <w:p w14:paraId="2F51B07A">
      <w:pPr>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1.1.2  合同当事人和人员</w:t>
      </w:r>
    </w:p>
    <w:p w14:paraId="6BEBF38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1.1.2.1  合同当事人：指发包人和（或）承包人。</w:t>
      </w:r>
    </w:p>
    <w:p w14:paraId="55E9D57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1.1.2.2  发包人：指合同协议书中约定，具有工程发包主体资格和承诺按照合同约定的条件、期限和方式向承包人支付工程价款的当事人，以及取得该当事人资格的合法继承人。发包人名称见合同条款专用部分。</w:t>
      </w:r>
    </w:p>
    <w:p w14:paraId="06AEE6D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1.1.2.3  承包人：指合同协议书中约定，具有合同工程承包主体资格，并承诺按照合同约定进行施工、竣工、交付并承担质量缺陷保修责任的当事人，以及取得该当事人资格的合法继承人。承包人名称见合同条款专用部分。</w:t>
      </w:r>
    </w:p>
    <w:p w14:paraId="7EDB5B5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1.1.2.4  承包人项目经理：指承包人派驻施工场地的全权负责人。</w:t>
      </w:r>
    </w:p>
    <w:p w14:paraId="404BF52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1.1.2.5  分包人：指从承包人处分包合同中某一部分工程，并与其签订分包合同的分包人。</w:t>
      </w:r>
    </w:p>
    <w:p w14:paraId="3D084C8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1.1.2.6  监理人：指发包人委托的对合同履行实施管理的法人或其他组织。监理人名称见合同条款专用部分。</w:t>
      </w:r>
    </w:p>
    <w:p w14:paraId="026BD65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1.1.2.7  总监理工程师（总监）：指由监理人委派常驻施工场地对合同履行实施管理的全权负责人。</w:t>
      </w:r>
    </w:p>
    <w:p w14:paraId="7E09B90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1.1.2.8  发包人代表：指由发包人指定的派驻施工场地（现场）的全权代表。发包人代表相关信息见合同条款专用部分。</w:t>
      </w:r>
    </w:p>
    <w:p w14:paraId="560BB54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1.1.2.9  专业分包人：指根据合同条款第15.8.1项的约定，由发包人和承包人以招标方式选择的分包人。</w:t>
      </w:r>
    </w:p>
    <w:p w14:paraId="1A3577A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1.1.2.10  专项供应商：指根据合同条款第15.8.1项的约定，由发包人和承包人以招标方式选择的供应商。</w:t>
      </w:r>
    </w:p>
    <w:p w14:paraId="103AF60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1.1.2.11  独立承包人：指与发包人直接订立工程承包合同，负责实施与工程有关的其他工作的当事人。</w:t>
      </w:r>
    </w:p>
    <w:p w14:paraId="40FCB678">
      <w:pPr>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1.1.3  工程和设备</w:t>
      </w:r>
    </w:p>
    <w:p w14:paraId="39F0EA3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1.1.3.1  工程：指永久工程和（或）临时工程。</w:t>
      </w:r>
    </w:p>
    <w:p w14:paraId="6A562AE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1.1.3.2  永久工程：指按照合同约定所需建造、完成并移交给发包人的工程，包括工程设备。永久工程的约定见合同条款专用部分。</w:t>
      </w:r>
    </w:p>
    <w:p w14:paraId="06B8C17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1.1.3.3  临时工程：指为完成合同约定的永久工程所修建的各类临时性工程，不包括施工设备。临时工程的约定见合同条款专用部分。</w:t>
      </w:r>
    </w:p>
    <w:p w14:paraId="78E32BD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1.1.3.4  单位工程：指具有相对独立的设计文件，能够独立组织施工并能形成独立使用功能的永久工程的组成部分。</w:t>
      </w:r>
    </w:p>
    <w:p w14:paraId="3E153AE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1.1.3.5  工程设备：指构成或计划构成永久工程一部分的机电设备、金属结构设备、仪器装置及其他类似的设备和装置。</w:t>
      </w:r>
    </w:p>
    <w:p w14:paraId="4F82B14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1.1.3.6  施工设备：指为完成合同约定的各项工作所需的设备、器具和其他物品，不包括临时工程和材料。</w:t>
      </w:r>
    </w:p>
    <w:p w14:paraId="63D7AB1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1.1.3.7  临时设施：指为完成合同约定的各项工作所服务的临时性生产和生活设施。</w:t>
      </w:r>
    </w:p>
    <w:p w14:paraId="63CB50F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1.1.3.8  承包人设备：指承包人自带的施工设备。</w:t>
      </w:r>
    </w:p>
    <w:p w14:paraId="09EE1C1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1.1.3.9  施工场地（或称工地、现场）：指用于合同工程施工的场所，以及在合同中指定作为施工场地组成部分的其他场所，包括永久占地和临时占地。</w:t>
      </w:r>
    </w:p>
    <w:p w14:paraId="0EB8DB6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1.1.3.10  永久占地：指为实施合同工程需永久占用的土地。永久占地的约定见合同条款专用部分。</w:t>
      </w:r>
    </w:p>
    <w:p w14:paraId="64C5BC9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1.1.3.11  临时占地：指为实施合同工程需临时占用的土地。临时占地的约定见合同条款专用部分。</w:t>
      </w:r>
    </w:p>
    <w:p w14:paraId="10E17D5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1.1.3.12  材料：指构成或将构成永久工程组成部分的各类物品(工程设备除外)，包括合同中可能约定的承包人仅负责供应的材料。</w:t>
      </w:r>
    </w:p>
    <w:p w14:paraId="3593710A">
      <w:pPr>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1.1.4  日期</w:t>
      </w:r>
    </w:p>
    <w:p w14:paraId="74646A1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1.1.4.1  开工通知：指监理人按第11.1款通知承包人开工的函件。</w:t>
      </w:r>
    </w:p>
    <w:p w14:paraId="4B45FB6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1.1.4.2  开工日期：指监理人按第11.1款发出的开工通知中写明的开工日期。</w:t>
      </w:r>
    </w:p>
    <w:p w14:paraId="56CB31C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1.1.4.3  工期：指承包人在参选函中承诺的完成合同工程所需的期限，包括按第11.3款、第11.4款和第11.6款约定所作的变更。</w:t>
      </w:r>
    </w:p>
    <w:p w14:paraId="4C418D7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1.1.4.4  竣工日期：指第1.1.4.3目约定工期届满时的日期。实际竣工日期以工程接收证书中写明的日期为准。</w:t>
      </w:r>
    </w:p>
    <w:p w14:paraId="09DBDBF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1.1.4.5  缺陷责任期：指履行第19.2款约定的缺陷责任的期限，包括根据第19.3款约定所作的延长。缺陷责任期的具体期限见合同条款专用部分。</w:t>
      </w:r>
    </w:p>
    <w:p w14:paraId="5292DAF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1.1.4.6  基准日期：指参选截止时间前28天的日期。</w:t>
      </w:r>
    </w:p>
    <w:p w14:paraId="66E6103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1.1.4.7  天：除特别指明外，指日历天。合同中按天计算时间的，开始当天不计入，从次日开始计算。期限最后一天的截止时间为当天24:00。</w:t>
      </w:r>
    </w:p>
    <w:p w14:paraId="2308DE7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1.1.4.8  保修期：是根据现行有关法律规定，在合同条款第19.7款中约定的由承包人负责对合同约定的保修范围内发生的质量问题履行保修义务并对造成的损失承担赔偿责任的期限。</w:t>
      </w:r>
    </w:p>
    <w:p w14:paraId="264AE521">
      <w:pPr>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1.1.5  合同价格和费用</w:t>
      </w:r>
    </w:p>
    <w:p w14:paraId="2244E66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1.1.5.1  签约合同价：指签定合同时合同协议书中写明的，包括了暂列金额、暂估价的合同总金额。</w:t>
      </w:r>
    </w:p>
    <w:p w14:paraId="4848A95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1.1.5.2  合同价格：指承包人按合同约定完成了包括缺陷责任期内的全部承包工作后，发包人应付给承包人的金额，包括在履行合同过程中按合同约定进行的变更和调整。</w:t>
      </w:r>
    </w:p>
    <w:p w14:paraId="2695E60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1.1.5.3  费用：指为履行合同所发生的或将要发生的所有合理开支，包括管理费和应分摊的其他费用，但不包括利润。</w:t>
      </w:r>
    </w:p>
    <w:p w14:paraId="5FA61F1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1.1.5.4  暂列金额：指已标价工程量清单中所列的暂列金额，用于在签订协议书时尚未确定或不可预见变更的施工及其所需材料、工程设备、服务等的金额，包括以计日工方式支付的金额。</w:t>
      </w:r>
    </w:p>
    <w:p w14:paraId="0304787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1.1.5.5  暂估价：指发包人在工程量清单中给定的用于支付必然发生但暂时不能确定价格的材料、设备以及专业工程的金额。</w:t>
      </w:r>
    </w:p>
    <w:p w14:paraId="5D8D903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1.1.5.6  计日工：指对零星工作采取的一种计价方式，按合同中的计日工子目及其单价计价付款。</w:t>
      </w:r>
    </w:p>
    <w:p w14:paraId="1AE38AC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1.1.5.7  质量保证金（或称保留金）：指按第17.4.1项约定用于保证在缺陷责任期内履行缺陷修复义务的金额。</w:t>
      </w:r>
    </w:p>
    <w:p w14:paraId="264F75CB">
      <w:pPr>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1.1.6  书面形式</w:t>
      </w:r>
    </w:p>
    <w:p w14:paraId="5166B87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书面形式：指合同文件、信函、电报、传真等可以有形地表现所载内容的形式。</w:t>
      </w:r>
    </w:p>
    <w:p w14:paraId="6CC0D27A">
      <w:pPr>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1.1.7  争议评审组</w:t>
      </w:r>
    </w:p>
    <w:p w14:paraId="3C57733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争议评审组：是由发包人和承包人共同聘请的人员组成的独立、公正的第三方临时性组织，一般由一名或者三名合同管理和（或）工程管理专家组成。争议评审组负责对发包人和（或）承包人提请进行评审的本合同项下的争议进行评审并在规定的期限内给出评审意见，合同双方在规定的期限内均未对评审意见提出异议时，评审意见对合同双方有最终约束力。发包人和承包人应当分别与接受聘请的争议评审专家签订聘用协议，就评审的争议范围、评审意见效力等必要事项做出约定。</w:t>
      </w:r>
    </w:p>
    <w:p w14:paraId="01EB667D">
      <w:pPr>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1.1.8  其他需要补充的内容</w:t>
      </w:r>
    </w:p>
    <w:p w14:paraId="3EC77FA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其他需要补充的内容见合同条款专用部分。</w:t>
      </w:r>
    </w:p>
    <w:p w14:paraId="06793D5C">
      <w:pPr>
        <w:keepNext/>
        <w:keepLines/>
        <w:spacing w:line="440" w:lineRule="exact"/>
        <w:ind w:firstLine="482" w:firstLineChars="200"/>
        <w:outlineLvl w:val="2"/>
        <w:rPr>
          <w:rFonts w:hint="eastAsia" w:ascii="宋体" w:hAnsi="宋体" w:eastAsia="宋体" w:cs="宋体"/>
          <w:b/>
          <w:bCs/>
          <w:sz w:val="24"/>
          <w:szCs w:val="24"/>
          <w:lang w:eastAsia="zh-CN"/>
        </w:rPr>
      </w:pPr>
      <w:bookmarkStart w:id="20" w:name="_Toc489279855"/>
      <w:bookmarkStart w:id="21" w:name="_Toc486580044"/>
      <w:bookmarkStart w:id="22" w:name="_Toc117597470"/>
      <w:bookmarkStart w:id="23" w:name="_Toc497213720"/>
      <w:bookmarkStart w:id="24" w:name="_Toc490222489"/>
      <w:bookmarkStart w:id="25" w:name="_Toc189651379"/>
      <w:r>
        <w:rPr>
          <w:rFonts w:hint="eastAsia" w:ascii="宋体" w:hAnsi="宋体" w:eastAsia="宋体" w:cs="宋体"/>
          <w:b/>
          <w:bCs/>
          <w:sz w:val="24"/>
          <w:szCs w:val="24"/>
          <w:lang w:eastAsia="zh-CN"/>
        </w:rPr>
        <w:t>1.2  语言文字</w:t>
      </w:r>
      <w:bookmarkEnd w:id="20"/>
      <w:bookmarkEnd w:id="21"/>
      <w:bookmarkEnd w:id="22"/>
      <w:bookmarkEnd w:id="23"/>
      <w:bookmarkEnd w:id="24"/>
      <w:bookmarkEnd w:id="25"/>
    </w:p>
    <w:p w14:paraId="7433970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除专用术语外，合同使用的语言文字为中文。必要时专用术语应附有中文注释。</w:t>
      </w:r>
    </w:p>
    <w:p w14:paraId="7A3713D4">
      <w:pPr>
        <w:keepNext/>
        <w:keepLines/>
        <w:spacing w:line="440" w:lineRule="exact"/>
        <w:ind w:firstLine="482" w:firstLineChars="200"/>
        <w:outlineLvl w:val="2"/>
        <w:rPr>
          <w:rFonts w:hint="eastAsia" w:ascii="宋体" w:hAnsi="宋体" w:eastAsia="宋体" w:cs="宋体"/>
          <w:b/>
          <w:bCs/>
          <w:sz w:val="24"/>
          <w:szCs w:val="24"/>
          <w:lang w:eastAsia="zh-CN"/>
        </w:rPr>
      </w:pPr>
      <w:bookmarkStart w:id="26" w:name="_Toc117597471"/>
      <w:bookmarkStart w:id="27" w:name="_Toc189651380"/>
      <w:bookmarkStart w:id="28" w:name="_Toc486580045"/>
      <w:bookmarkStart w:id="29" w:name="_Toc489279856"/>
      <w:bookmarkStart w:id="30" w:name="_Toc490222490"/>
      <w:bookmarkStart w:id="31" w:name="_Toc497213721"/>
      <w:r>
        <w:rPr>
          <w:rFonts w:hint="eastAsia" w:ascii="宋体" w:hAnsi="宋体" w:eastAsia="宋体" w:cs="宋体"/>
          <w:b/>
          <w:bCs/>
          <w:sz w:val="24"/>
          <w:szCs w:val="24"/>
          <w:lang w:eastAsia="zh-CN"/>
        </w:rPr>
        <w:t>1.3  法律</w:t>
      </w:r>
      <w:bookmarkEnd w:id="26"/>
      <w:bookmarkEnd w:id="27"/>
      <w:bookmarkEnd w:id="28"/>
      <w:bookmarkEnd w:id="29"/>
      <w:bookmarkEnd w:id="30"/>
      <w:bookmarkEnd w:id="31"/>
    </w:p>
    <w:p w14:paraId="2E00B61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适用于合同的法律包括中华人民共和国法律、行政法规、部门规章，以及工程所在地的地方法规、自治条例、单行条例和地方政府规章。</w:t>
      </w:r>
    </w:p>
    <w:p w14:paraId="6C572104">
      <w:pPr>
        <w:keepNext/>
        <w:keepLines/>
        <w:spacing w:line="440" w:lineRule="exact"/>
        <w:ind w:firstLine="482" w:firstLineChars="200"/>
        <w:outlineLvl w:val="2"/>
        <w:rPr>
          <w:rFonts w:hint="eastAsia" w:ascii="宋体" w:hAnsi="宋体" w:eastAsia="宋体" w:cs="宋体"/>
          <w:b/>
          <w:bCs/>
          <w:sz w:val="24"/>
          <w:szCs w:val="24"/>
          <w:lang w:eastAsia="zh-CN"/>
        </w:rPr>
      </w:pPr>
      <w:bookmarkStart w:id="32" w:name="_Toc117597472"/>
      <w:bookmarkStart w:id="33" w:name="_Toc497213722"/>
      <w:bookmarkStart w:id="34" w:name="_Toc490222491"/>
      <w:bookmarkStart w:id="35" w:name="_Toc189651381"/>
      <w:bookmarkStart w:id="36" w:name="_Toc486580046"/>
      <w:bookmarkStart w:id="37" w:name="_Toc489279857"/>
      <w:r>
        <w:rPr>
          <w:rFonts w:hint="eastAsia" w:ascii="宋体" w:hAnsi="宋体" w:eastAsia="宋体" w:cs="宋体"/>
          <w:b/>
          <w:bCs/>
          <w:sz w:val="24"/>
          <w:szCs w:val="24"/>
          <w:lang w:eastAsia="zh-CN"/>
        </w:rPr>
        <w:t>1.4  合同文件的优先顺序</w:t>
      </w:r>
      <w:bookmarkEnd w:id="32"/>
      <w:bookmarkEnd w:id="33"/>
      <w:bookmarkEnd w:id="34"/>
      <w:bookmarkEnd w:id="35"/>
      <w:bookmarkEnd w:id="36"/>
      <w:bookmarkEnd w:id="37"/>
    </w:p>
    <w:p w14:paraId="659A964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组成合同的各项文件应互相解释，互为说明。除合同条款专用部分另有约定外，解释合同文件的优先顺序如下：</w:t>
      </w:r>
    </w:p>
    <w:p w14:paraId="76841D7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（1）合同协议书；</w:t>
      </w:r>
    </w:p>
    <w:p w14:paraId="456C8D1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（2）中选通知书；</w:t>
      </w:r>
    </w:p>
    <w:p w14:paraId="706CAFC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（3）参选函及参选函附录；</w:t>
      </w:r>
    </w:p>
    <w:p w14:paraId="14A1112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（4）合同条款专用部分；</w:t>
      </w:r>
    </w:p>
    <w:p w14:paraId="021C02A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（5）合同条款通用部分；</w:t>
      </w:r>
    </w:p>
    <w:p w14:paraId="079F63D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（6）技术标准和要求；</w:t>
      </w:r>
    </w:p>
    <w:p w14:paraId="08C6036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（7）图纸；</w:t>
      </w:r>
    </w:p>
    <w:p w14:paraId="2F7D5E2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（8）已标价工程量清单；</w:t>
      </w:r>
    </w:p>
    <w:p w14:paraId="7791BD4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（9）其他合同文件。</w:t>
      </w:r>
    </w:p>
    <w:p w14:paraId="2D17788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附注：构成合同文件的图纸与技术标准和要求之间有矛盾或者不一致的，应以其中要求较严格的标准为准。</w:t>
      </w:r>
    </w:p>
    <w:p w14:paraId="7877B92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合同双方在合同履行过程中签署的不背离合同实质性内容的补充协议，应当视为合同文件的有效组成部分，其解释顺序视其内容与其他合同文件的相互关系而定。</w:t>
      </w:r>
    </w:p>
    <w:p w14:paraId="24079691">
      <w:pPr>
        <w:keepNext/>
        <w:keepLines/>
        <w:spacing w:line="440" w:lineRule="exact"/>
        <w:ind w:firstLine="482" w:firstLineChars="200"/>
        <w:outlineLvl w:val="2"/>
        <w:rPr>
          <w:rFonts w:hint="eastAsia" w:ascii="宋体" w:hAnsi="宋体" w:eastAsia="宋体" w:cs="宋体"/>
          <w:b/>
          <w:bCs/>
          <w:sz w:val="24"/>
          <w:szCs w:val="24"/>
          <w:lang w:eastAsia="zh-CN"/>
        </w:rPr>
      </w:pPr>
      <w:bookmarkStart w:id="38" w:name="_Toc189651382"/>
      <w:bookmarkStart w:id="39" w:name="_Toc489279858"/>
      <w:bookmarkStart w:id="40" w:name="_Toc117597473"/>
      <w:bookmarkStart w:id="41" w:name="_Toc490222492"/>
      <w:bookmarkStart w:id="42" w:name="_Toc497213723"/>
      <w:bookmarkStart w:id="43" w:name="_Toc486580047"/>
      <w:r>
        <w:rPr>
          <w:rFonts w:hint="eastAsia" w:ascii="宋体" w:hAnsi="宋体" w:eastAsia="宋体" w:cs="宋体"/>
          <w:b/>
          <w:bCs/>
          <w:sz w:val="24"/>
          <w:szCs w:val="24"/>
          <w:lang w:eastAsia="zh-CN"/>
        </w:rPr>
        <w:t>1.5  合同协议书</w:t>
      </w:r>
      <w:bookmarkEnd w:id="38"/>
      <w:bookmarkEnd w:id="39"/>
      <w:bookmarkEnd w:id="40"/>
      <w:bookmarkEnd w:id="41"/>
      <w:bookmarkEnd w:id="42"/>
      <w:bookmarkEnd w:id="43"/>
    </w:p>
    <w:p w14:paraId="5227FA8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指由发包人与承包人共同签署的用于明确当事人合同关系的文件。承包人按照中选通知书规定的时间与发包人签订的合同协议书，除法律另有规定或合同条款专用部分另有约定外，发包人和承包人的法定代表人或其委托代理人在合同协议书上签字并盖单位章后，合同生效。合同生效的条件见合同条款专用部分。</w:t>
      </w:r>
    </w:p>
    <w:p w14:paraId="62C34D02">
      <w:pPr>
        <w:keepNext/>
        <w:keepLines/>
        <w:spacing w:line="440" w:lineRule="exact"/>
        <w:ind w:firstLine="482" w:firstLineChars="200"/>
        <w:outlineLvl w:val="2"/>
        <w:rPr>
          <w:rFonts w:hint="eastAsia" w:ascii="宋体" w:hAnsi="宋体" w:eastAsia="宋体" w:cs="宋体"/>
          <w:b/>
          <w:bCs/>
          <w:sz w:val="24"/>
          <w:szCs w:val="24"/>
          <w:lang w:eastAsia="zh-CN"/>
        </w:rPr>
      </w:pPr>
      <w:bookmarkStart w:id="44" w:name="_Toc489279859"/>
      <w:bookmarkStart w:id="45" w:name="_Toc490222493"/>
      <w:bookmarkStart w:id="46" w:name="_Toc497213724"/>
      <w:bookmarkStart w:id="47" w:name="_Toc189651383"/>
      <w:bookmarkStart w:id="48" w:name="_Toc486580048"/>
      <w:bookmarkStart w:id="49" w:name="_Toc117597474"/>
      <w:r>
        <w:rPr>
          <w:rFonts w:hint="eastAsia" w:ascii="宋体" w:hAnsi="宋体" w:eastAsia="宋体" w:cs="宋体"/>
          <w:b/>
          <w:bCs/>
          <w:sz w:val="24"/>
          <w:szCs w:val="24"/>
          <w:lang w:eastAsia="zh-CN"/>
        </w:rPr>
        <w:t>1.6  图纸和承包人文件</w:t>
      </w:r>
      <w:bookmarkEnd w:id="44"/>
      <w:bookmarkEnd w:id="45"/>
      <w:bookmarkEnd w:id="46"/>
      <w:bookmarkEnd w:id="47"/>
      <w:bookmarkEnd w:id="48"/>
      <w:bookmarkEnd w:id="49"/>
    </w:p>
    <w:p w14:paraId="796E2D80">
      <w:pPr>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1.6.1  图纸的提供</w:t>
      </w:r>
    </w:p>
    <w:p w14:paraId="12D4774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（1）发包人按照合同约定向承包人提供图纸。发包人未按时提供图纸造成工期延误的，按第11.3款的约定办理。承包人需要增加图纸套数的，发包人应代为复制，复制费用由承包人承担。</w:t>
      </w:r>
    </w:p>
    <w:p w14:paraId="7BF1526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依据合同条款专用部分第10.1款约定制定的合同进度计划，或依据合同条款专用部分第10.2款约定修订的合同进度计划，经监理人批准后7日内，承包人应当根据合同进度计划或合同进度计划修订和本项约定的图纸提供期限和数量，编制或者修改图纸供应计划并报送监理人，其中应当载明承包人对各最新版本图纸(包括第1.6.3项约定的图纸修改图)的最迟需求时间，监理人应当在收到图纸供应计划后7天内批复或提出修改意见，否则该图纸供应计划视为得到批准。</w:t>
      </w:r>
    </w:p>
    <w:p w14:paraId="73F2672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经监理人批准最新的图纸供应计划对合同双方有合同约束力，应当作为发包人或者监理人向承包人提供图纸的主要依据。发包人或者监理人不按照图纸供应计划提供图纸而导致承包人费用增加和（或）工期延误的，由发包人承担赔偿责任。</w:t>
      </w:r>
    </w:p>
    <w:p w14:paraId="356BE5D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（4）承包人未按照约定的时间向监理人提交图纸供应计划,致使发包人或者监理人未能在约定的时间内提供相应图纸或者承包人未按照图纸供应计划组织施工所造成的费用增加和（或）工期延误由承包人承担。</w:t>
      </w:r>
    </w:p>
    <w:p w14:paraId="075E06A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（5）发包人提供图纸的期限、数量和其他约定见合同条款专用部分。</w:t>
      </w:r>
    </w:p>
    <w:p w14:paraId="3D323DCA">
      <w:pPr>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1.6.2  承包人提供的文件</w:t>
      </w:r>
    </w:p>
    <w:p w14:paraId="4B79314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由承包人提供的文件包括部分工程的大样图、加工图等，承包人应当按照约定的范围、数量和期限报送监理人，监理人应当在约定的期限内批复。承包人提供文件的范围、数量、期限和监理人批复期限以及其他约定见合同条款专用部分。</w:t>
      </w:r>
    </w:p>
    <w:p w14:paraId="0364EBF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（2）除合同条款第4.1.10项约定的由承包人提供的设计文件外，本项约定的其他应由承包人提供的文件，包括必要的加工图和大样图，均不能作为合同计量与支付的依据文件。</w:t>
      </w:r>
    </w:p>
    <w:p w14:paraId="51BCC416">
      <w:pPr>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1.6.3  图纸的修改</w:t>
      </w:r>
    </w:p>
    <w:p w14:paraId="51BB4EA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图纸需要修改和补充的，监理人应当按照合同条款第1.6.1（2）目约定的有合同约束力的图纸供应计划，签发图纸修改图给承包人。承包人应按修改后的图纸施工。</w:t>
      </w:r>
    </w:p>
    <w:p w14:paraId="19C5C553">
      <w:pPr>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1.6.4  图纸的错误</w:t>
      </w:r>
    </w:p>
    <w:p w14:paraId="532FB46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承包人发现发包人提供的图纸存在明显错误或疏忽，应及时通知监理人。</w:t>
      </w:r>
    </w:p>
    <w:p w14:paraId="6828B68C">
      <w:pPr>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1.6.5  图纸和承包人文件的保管</w:t>
      </w:r>
    </w:p>
    <w:p w14:paraId="7CEFFE9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监理人和承包人均应在施工场地各保存一套完整的包含第1.6.1项、第1.6.2项、第1.6.3项约定内容的图纸和承包人文件。</w:t>
      </w:r>
    </w:p>
    <w:p w14:paraId="1E079A24">
      <w:pPr>
        <w:keepNext/>
        <w:keepLines/>
        <w:spacing w:line="440" w:lineRule="exact"/>
        <w:ind w:firstLine="482" w:firstLineChars="200"/>
        <w:outlineLvl w:val="2"/>
        <w:rPr>
          <w:rFonts w:hint="eastAsia" w:ascii="宋体" w:hAnsi="宋体" w:eastAsia="宋体" w:cs="宋体"/>
          <w:b/>
          <w:bCs/>
          <w:sz w:val="24"/>
          <w:szCs w:val="24"/>
          <w:lang w:eastAsia="zh-CN"/>
        </w:rPr>
      </w:pPr>
      <w:bookmarkStart w:id="50" w:name="_Toc486580049"/>
      <w:bookmarkStart w:id="51" w:name="_Toc117597475"/>
      <w:bookmarkStart w:id="52" w:name="_Toc497213725"/>
      <w:bookmarkStart w:id="53" w:name="_Toc189651384"/>
      <w:bookmarkStart w:id="54" w:name="_Toc489279860"/>
      <w:bookmarkStart w:id="55" w:name="_Toc490222494"/>
      <w:r>
        <w:rPr>
          <w:rFonts w:hint="eastAsia" w:ascii="宋体" w:hAnsi="宋体" w:eastAsia="宋体" w:cs="宋体"/>
          <w:b/>
          <w:bCs/>
          <w:sz w:val="24"/>
          <w:szCs w:val="24"/>
          <w:lang w:eastAsia="zh-CN"/>
        </w:rPr>
        <w:t>1.7  联络</w:t>
      </w:r>
      <w:bookmarkEnd w:id="50"/>
      <w:bookmarkEnd w:id="51"/>
      <w:bookmarkEnd w:id="52"/>
      <w:bookmarkEnd w:id="53"/>
      <w:bookmarkEnd w:id="54"/>
      <w:bookmarkEnd w:id="55"/>
    </w:p>
    <w:p w14:paraId="24B1071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1.7.1  与合同有关的通知、批准、证明、证书、指示、要求、请求、同意、意见、确定和决定等，均应采用书面形式。</w:t>
      </w:r>
    </w:p>
    <w:p w14:paraId="366A813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1.7.2  第1.7.1项中的通知、批准、证明、证书、指示、要求、请求、同意、意见、确定和决定等来往函件，均应在合同约定的期限内送达指定地点和接收人，并办理签收手续。</w:t>
      </w:r>
    </w:p>
    <w:p w14:paraId="2EEBA56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（1）联络来往信函的送达期限：合同约定了发出期限的，送达期限为合同约定的发出期限后的24小时内；合同约定了通知、提供或者报送期限的，通知、提供或者报送期限即为送达期限。</w:t>
      </w:r>
    </w:p>
    <w:p w14:paraId="2134F70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（2）发包人指定的接收人和接收地点见合同条款专用部分。</w:t>
      </w:r>
    </w:p>
    <w:p w14:paraId="07F65BA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（3）监理人指定的接收人和接收地点见合同条款专用部分。</w:t>
      </w:r>
    </w:p>
    <w:p w14:paraId="1126FCC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承包人指定的接收人为合同协议书中载明的承包人项目经理本人或者项目经理的授权代表。承包人应在收到开工通知后7天内，按照合同条款第4.5.4项的约定，将授权代表其接收来往信函的项目经理的授权代表姓名和授权范围通知监理人。除合同另有约定外，承包人施工场地管理机构的办公地点即为承包人指定的接收地点。</w:t>
      </w:r>
    </w:p>
    <w:p w14:paraId="1FBBE90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发包人（包括监理人）和承包人中任何一方指定的接收人或者接收地点发生变动，应当在实际变动前提前至少一个工作日以书面形式通知另一方。发包人（包括监理人）和承包人应当确保其各自指定的接收人在法定的和（或）符合合同约定的工作时间内始终工作在指定的接收地点，指定接收人离开工作岗位而无法及时签收来往信函视为拒不签收。</w:t>
      </w:r>
    </w:p>
    <w:p w14:paraId="06E6CA9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6）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14:paraId="5EF6ED07">
      <w:pPr>
        <w:keepNext/>
        <w:keepLines/>
        <w:spacing w:line="440" w:lineRule="exact"/>
        <w:ind w:firstLine="482" w:firstLineChars="200"/>
        <w:outlineLvl w:val="2"/>
        <w:rPr>
          <w:rFonts w:hint="eastAsia" w:ascii="宋体" w:hAnsi="宋体" w:eastAsia="宋体" w:cs="宋体"/>
          <w:b/>
          <w:bCs/>
          <w:sz w:val="24"/>
          <w:szCs w:val="24"/>
          <w:lang w:eastAsia="zh-CN"/>
        </w:rPr>
      </w:pPr>
      <w:bookmarkStart w:id="56" w:name="_Toc486580050"/>
      <w:bookmarkStart w:id="57" w:name="_Toc497213726"/>
      <w:bookmarkStart w:id="58" w:name="_Toc490222495"/>
      <w:bookmarkStart w:id="59" w:name="_Toc117597476"/>
      <w:bookmarkStart w:id="60" w:name="_Toc189651385"/>
      <w:bookmarkStart w:id="61" w:name="_Toc489279861"/>
      <w:r>
        <w:rPr>
          <w:rFonts w:hint="eastAsia" w:ascii="宋体" w:hAnsi="宋体" w:eastAsia="宋体" w:cs="宋体"/>
          <w:b/>
          <w:bCs/>
          <w:sz w:val="24"/>
          <w:szCs w:val="24"/>
          <w:lang w:eastAsia="zh-CN"/>
        </w:rPr>
        <w:t>1.8  转让</w:t>
      </w:r>
      <w:bookmarkEnd w:id="56"/>
      <w:bookmarkEnd w:id="57"/>
      <w:bookmarkEnd w:id="58"/>
      <w:bookmarkEnd w:id="59"/>
      <w:bookmarkEnd w:id="60"/>
      <w:bookmarkEnd w:id="61"/>
    </w:p>
    <w:p w14:paraId="41F00E2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除合同另有约定外，未经对方当事人同意，一方当事人不得将合同权利全部或部分转让给第三人，也不得全部或部分转移合同义务。</w:t>
      </w:r>
    </w:p>
    <w:p w14:paraId="315B6ACC">
      <w:pPr>
        <w:keepNext/>
        <w:keepLines/>
        <w:spacing w:line="440" w:lineRule="exact"/>
        <w:ind w:firstLine="482" w:firstLineChars="200"/>
        <w:outlineLvl w:val="2"/>
        <w:rPr>
          <w:rFonts w:hint="eastAsia" w:ascii="宋体" w:hAnsi="宋体" w:eastAsia="宋体" w:cs="宋体"/>
          <w:b/>
          <w:bCs/>
          <w:sz w:val="24"/>
          <w:szCs w:val="24"/>
          <w:lang w:eastAsia="zh-CN"/>
        </w:rPr>
      </w:pPr>
      <w:bookmarkStart w:id="62" w:name="_Toc490222496"/>
      <w:bookmarkStart w:id="63" w:name="_Toc489279862"/>
      <w:bookmarkStart w:id="64" w:name="_Toc117597477"/>
      <w:bookmarkStart w:id="65" w:name="_Toc497213727"/>
      <w:bookmarkStart w:id="66" w:name="_Toc486580051"/>
      <w:bookmarkStart w:id="67" w:name="_Toc189651386"/>
      <w:r>
        <w:rPr>
          <w:rFonts w:hint="eastAsia" w:ascii="宋体" w:hAnsi="宋体" w:eastAsia="宋体" w:cs="宋体"/>
          <w:b/>
          <w:bCs/>
          <w:sz w:val="24"/>
          <w:szCs w:val="24"/>
          <w:lang w:eastAsia="zh-CN"/>
        </w:rPr>
        <w:t>1.9  严禁贿赂</w:t>
      </w:r>
      <w:bookmarkEnd w:id="62"/>
      <w:bookmarkEnd w:id="63"/>
      <w:bookmarkEnd w:id="64"/>
      <w:bookmarkEnd w:id="65"/>
      <w:bookmarkEnd w:id="66"/>
      <w:bookmarkEnd w:id="67"/>
    </w:p>
    <w:p w14:paraId="1B1CE74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合同双方当事人不得以贿赂或变相贿赂的方式，谋取不当利益或损害对方权益。因贿赂造成对方损失的，行为人应赔偿损失，并承担相应的法律责任。</w:t>
      </w:r>
    </w:p>
    <w:p w14:paraId="3EE18076">
      <w:pPr>
        <w:keepNext/>
        <w:keepLines/>
        <w:spacing w:line="440" w:lineRule="exact"/>
        <w:ind w:firstLine="482" w:firstLineChars="200"/>
        <w:outlineLvl w:val="2"/>
        <w:rPr>
          <w:rFonts w:hint="eastAsia" w:ascii="宋体" w:hAnsi="宋体" w:eastAsia="宋体" w:cs="宋体"/>
          <w:b/>
          <w:bCs/>
          <w:sz w:val="24"/>
          <w:szCs w:val="24"/>
          <w:lang w:eastAsia="zh-CN"/>
        </w:rPr>
      </w:pPr>
      <w:bookmarkStart w:id="68" w:name="_Toc486580052"/>
      <w:bookmarkStart w:id="69" w:name="_Toc489279863"/>
      <w:bookmarkStart w:id="70" w:name="_Toc189651387"/>
      <w:bookmarkStart w:id="71" w:name="_Toc490222497"/>
      <w:bookmarkStart w:id="72" w:name="_Toc497213728"/>
      <w:bookmarkStart w:id="73" w:name="_Toc117597478"/>
      <w:r>
        <w:rPr>
          <w:rFonts w:hint="eastAsia" w:ascii="宋体" w:hAnsi="宋体" w:eastAsia="宋体" w:cs="宋体"/>
          <w:b/>
          <w:bCs/>
          <w:sz w:val="24"/>
          <w:szCs w:val="24"/>
          <w:lang w:eastAsia="zh-CN"/>
        </w:rPr>
        <w:t>1.10  化石、文物</w:t>
      </w:r>
      <w:bookmarkEnd w:id="68"/>
      <w:bookmarkEnd w:id="69"/>
      <w:bookmarkEnd w:id="70"/>
      <w:bookmarkEnd w:id="71"/>
      <w:bookmarkEnd w:id="72"/>
      <w:bookmarkEnd w:id="73"/>
    </w:p>
    <w:p w14:paraId="6C09F76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5564D74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1.10.2  承包人发现文物后不及时报告或隐瞒不报，致使文物丢失或损坏的，应赔偿损失，并承担相应的法律责任。</w:t>
      </w:r>
    </w:p>
    <w:p w14:paraId="18A47752">
      <w:pPr>
        <w:keepNext/>
        <w:keepLines/>
        <w:spacing w:line="440" w:lineRule="exact"/>
        <w:ind w:firstLine="482" w:firstLineChars="200"/>
        <w:outlineLvl w:val="2"/>
        <w:rPr>
          <w:rFonts w:hint="eastAsia" w:ascii="宋体" w:hAnsi="宋体" w:eastAsia="宋体" w:cs="宋体"/>
          <w:b/>
          <w:bCs/>
          <w:sz w:val="24"/>
          <w:szCs w:val="24"/>
          <w:lang w:eastAsia="zh-CN"/>
        </w:rPr>
      </w:pPr>
      <w:bookmarkStart w:id="74" w:name="_Toc117597479"/>
      <w:bookmarkStart w:id="75" w:name="_Toc490222498"/>
      <w:bookmarkStart w:id="76" w:name="_Toc189651388"/>
      <w:bookmarkStart w:id="77" w:name="_Toc489279864"/>
      <w:bookmarkStart w:id="78" w:name="_Toc486580053"/>
      <w:bookmarkStart w:id="79" w:name="_Toc497213729"/>
      <w:r>
        <w:rPr>
          <w:rFonts w:hint="eastAsia" w:ascii="宋体" w:hAnsi="宋体" w:eastAsia="宋体" w:cs="宋体"/>
          <w:b/>
          <w:bCs/>
          <w:sz w:val="24"/>
          <w:szCs w:val="24"/>
          <w:lang w:eastAsia="zh-CN"/>
        </w:rPr>
        <w:t>1.11  专利技术</w:t>
      </w:r>
      <w:bookmarkEnd w:id="74"/>
      <w:bookmarkEnd w:id="75"/>
      <w:bookmarkEnd w:id="76"/>
      <w:bookmarkEnd w:id="77"/>
      <w:bookmarkEnd w:id="78"/>
      <w:bookmarkEnd w:id="79"/>
    </w:p>
    <w:p w14:paraId="7882502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1.11.1  承包人在使用任何材料、承包人设备、工程设备或采用施工工艺时，因侵犯专利权或其他知识产权所引起的责任，由承包人承担，但由于遵照发包人提供的设计或技术标准和要求引起的除外。</w:t>
      </w:r>
    </w:p>
    <w:p w14:paraId="3A4A511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1.11.2  承包人在参选文件中采用专利技术的，专利技术的使用费包含在参选报价内。</w:t>
      </w:r>
    </w:p>
    <w:p w14:paraId="5016E17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1.11.3  承包人的技术秘密和声明需要保密的资料和信息，发包人和监理人不得为合同以外的目的泄露给他人。</w:t>
      </w:r>
    </w:p>
    <w:p w14:paraId="18D4457C">
      <w:pPr>
        <w:keepNext/>
        <w:keepLines/>
        <w:spacing w:line="440" w:lineRule="exact"/>
        <w:ind w:firstLine="482" w:firstLineChars="200"/>
        <w:outlineLvl w:val="2"/>
        <w:rPr>
          <w:rFonts w:hint="eastAsia" w:ascii="宋体" w:hAnsi="宋体" w:eastAsia="宋体" w:cs="宋体"/>
          <w:b/>
          <w:bCs/>
          <w:sz w:val="24"/>
          <w:szCs w:val="24"/>
          <w:lang w:eastAsia="zh-CN"/>
        </w:rPr>
      </w:pPr>
      <w:bookmarkStart w:id="80" w:name="_Toc189651389"/>
      <w:bookmarkStart w:id="81" w:name="_Toc490222499"/>
      <w:bookmarkStart w:id="82" w:name="_Toc497213730"/>
      <w:bookmarkStart w:id="83" w:name="_Toc486580054"/>
      <w:bookmarkStart w:id="84" w:name="_Toc489279865"/>
      <w:bookmarkStart w:id="85" w:name="_Toc117597480"/>
      <w:r>
        <w:rPr>
          <w:rFonts w:hint="eastAsia" w:ascii="宋体" w:hAnsi="宋体" w:eastAsia="宋体" w:cs="宋体"/>
          <w:b/>
          <w:bCs/>
          <w:sz w:val="24"/>
          <w:szCs w:val="24"/>
          <w:lang w:eastAsia="zh-CN"/>
        </w:rPr>
        <w:t>1.12  图纸和文件的保密</w:t>
      </w:r>
      <w:bookmarkEnd w:id="80"/>
      <w:bookmarkEnd w:id="81"/>
      <w:bookmarkEnd w:id="82"/>
      <w:bookmarkEnd w:id="83"/>
      <w:bookmarkEnd w:id="84"/>
      <w:bookmarkEnd w:id="85"/>
    </w:p>
    <w:p w14:paraId="227A62D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1.12.1  发包人提供的图纸和文件，未经发包人同意，承包人不得为合同以外的目的泄露给他人或公开发表与引用。</w:t>
      </w:r>
    </w:p>
    <w:p w14:paraId="4C2DAB5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1.12.2  承包人提供的文件，未经承包人同意，发包人和监理人不得为合同以外的目的泄露给他人或公开发表与引用。</w:t>
      </w:r>
    </w:p>
    <w:p w14:paraId="0F120F88">
      <w:pPr>
        <w:keepNext/>
        <w:keepLines/>
        <w:spacing w:line="440" w:lineRule="exact"/>
        <w:ind w:firstLine="482" w:firstLineChars="200"/>
        <w:outlineLvl w:val="1"/>
        <w:rPr>
          <w:rFonts w:hint="eastAsia" w:ascii="宋体" w:hAnsi="宋体" w:eastAsia="宋体" w:cs="宋体"/>
          <w:b/>
          <w:bCs/>
          <w:sz w:val="24"/>
          <w:szCs w:val="24"/>
          <w:lang w:eastAsia="zh-CN"/>
        </w:rPr>
      </w:pPr>
      <w:bookmarkStart w:id="86" w:name="_Toc497213731"/>
      <w:bookmarkStart w:id="87" w:name="_Toc490222500"/>
      <w:bookmarkStart w:id="88" w:name="_Toc117597481"/>
      <w:bookmarkStart w:id="89" w:name="_Toc486580055"/>
      <w:bookmarkStart w:id="90" w:name="_Toc489279866"/>
      <w:bookmarkStart w:id="91" w:name="_Toc189651390"/>
      <w:r>
        <w:rPr>
          <w:rFonts w:hint="eastAsia" w:ascii="宋体" w:hAnsi="宋体" w:eastAsia="宋体" w:cs="宋体"/>
          <w:b/>
          <w:bCs/>
          <w:sz w:val="24"/>
          <w:szCs w:val="24"/>
          <w:lang w:eastAsia="zh-CN"/>
        </w:rPr>
        <w:t>2.发包人义务</w:t>
      </w:r>
      <w:bookmarkEnd w:id="86"/>
      <w:bookmarkEnd w:id="87"/>
      <w:bookmarkEnd w:id="88"/>
      <w:bookmarkEnd w:id="89"/>
      <w:bookmarkEnd w:id="90"/>
      <w:bookmarkEnd w:id="91"/>
    </w:p>
    <w:p w14:paraId="42EA845C">
      <w:pPr>
        <w:keepNext/>
        <w:keepLines/>
        <w:spacing w:line="440" w:lineRule="exact"/>
        <w:ind w:firstLine="482" w:firstLineChars="200"/>
        <w:outlineLvl w:val="2"/>
        <w:rPr>
          <w:rFonts w:hint="eastAsia" w:ascii="宋体" w:hAnsi="宋体" w:eastAsia="宋体" w:cs="宋体"/>
          <w:b/>
          <w:bCs/>
          <w:sz w:val="24"/>
          <w:szCs w:val="24"/>
          <w:lang w:eastAsia="zh-CN"/>
        </w:rPr>
      </w:pPr>
      <w:bookmarkStart w:id="92" w:name="_Toc486580056"/>
      <w:bookmarkStart w:id="93" w:name="_Toc117597482"/>
      <w:bookmarkStart w:id="94" w:name="_Toc189651391"/>
      <w:bookmarkStart w:id="95" w:name="_Toc497213732"/>
      <w:bookmarkStart w:id="96" w:name="_Toc489279867"/>
      <w:bookmarkStart w:id="97" w:name="_Toc490222501"/>
      <w:r>
        <w:rPr>
          <w:rFonts w:hint="eastAsia" w:ascii="宋体" w:hAnsi="宋体" w:eastAsia="宋体" w:cs="宋体"/>
          <w:b/>
          <w:bCs/>
          <w:sz w:val="24"/>
          <w:szCs w:val="24"/>
          <w:lang w:eastAsia="zh-CN"/>
        </w:rPr>
        <w:t>2.1  遵守法律</w:t>
      </w:r>
      <w:bookmarkEnd w:id="92"/>
      <w:bookmarkEnd w:id="93"/>
      <w:bookmarkEnd w:id="94"/>
      <w:bookmarkEnd w:id="95"/>
      <w:bookmarkEnd w:id="96"/>
      <w:bookmarkEnd w:id="97"/>
    </w:p>
    <w:p w14:paraId="39E4A0D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发包人在履行合同过程中应遵守法律，并保证承包人免于承担因发包人违反法律而引起的任何责任。</w:t>
      </w:r>
    </w:p>
    <w:p w14:paraId="12FBA676">
      <w:pPr>
        <w:keepNext/>
        <w:keepLines/>
        <w:spacing w:line="440" w:lineRule="exact"/>
        <w:ind w:firstLine="482" w:firstLineChars="200"/>
        <w:outlineLvl w:val="2"/>
        <w:rPr>
          <w:rFonts w:hint="eastAsia" w:ascii="宋体" w:hAnsi="宋体" w:eastAsia="宋体" w:cs="宋体"/>
          <w:b/>
          <w:bCs/>
          <w:sz w:val="24"/>
          <w:szCs w:val="24"/>
          <w:lang w:eastAsia="zh-CN"/>
        </w:rPr>
      </w:pPr>
      <w:bookmarkStart w:id="98" w:name="_Toc189651392"/>
      <w:bookmarkStart w:id="99" w:name="_Toc490222502"/>
      <w:bookmarkStart w:id="100" w:name="_Toc486580057"/>
      <w:bookmarkStart w:id="101" w:name="_Toc117597483"/>
      <w:bookmarkStart w:id="102" w:name="_Toc489279868"/>
      <w:bookmarkStart w:id="103" w:name="_Toc497213733"/>
      <w:r>
        <w:rPr>
          <w:rFonts w:hint="eastAsia" w:ascii="宋体" w:hAnsi="宋体" w:eastAsia="宋体" w:cs="宋体"/>
          <w:b/>
          <w:bCs/>
          <w:sz w:val="24"/>
          <w:szCs w:val="24"/>
          <w:lang w:eastAsia="zh-CN"/>
        </w:rPr>
        <w:t>2.2  发出开工通知</w:t>
      </w:r>
      <w:bookmarkEnd w:id="98"/>
      <w:bookmarkEnd w:id="99"/>
      <w:bookmarkEnd w:id="100"/>
      <w:bookmarkEnd w:id="101"/>
      <w:bookmarkEnd w:id="102"/>
      <w:bookmarkEnd w:id="103"/>
    </w:p>
    <w:p w14:paraId="5B2DB97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发包人应委托监理人按第11.1款的约定向承包人发出开工通知。</w:t>
      </w:r>
    </w:p>
    <w:p w14:paraId="0431A1DE">
      <w:pPr>
        <w:keepNext/>
        <w:keepLines/>
        <w:spacing w:line="440" w:lineRule="exact"/>
        <w:ind w:firstLine="482" w:firstLineChars="200"/>
        <w:outlineLvl w:val="2"/>
        <w:rPr>
          <w:rFonts w:hint="eastAsia" w:ascii="宋体" w:hAnsi="宋体" w:eastAsia="宋体" w:cs="宋体"/>
          <w:b/>
          <w:bCs/>
          <w:sz w:val="24"/>
          <w:szCs w:val="24"/>
          <w:lang w:eastAsia="zh-CN"/>
        </w:rPr>
      </w:pPr>
      <w:bookmarkStart w:id="104" w:name="_Toc497213734"/>
      <w:bookmarkStart w:id="105" w:name="_Toc489279869"/>
      <w:bookmarkStart w:id="106" w:name="_Toc189651393"/>
      <w:bookmarkStart w:id="107" w:name="_Toc486580058"/>
      <w:bookmarkStart w:id="108" w:name="_Toc490222503"/>
      <w:bookmarkStart w:id="109" w:name="_Toc117597484"/>
      <w:r>
        <w:rPr>
          <w:rFonts w:hint="eastAsia" w:ascii="宋体" w:hAnsi="宋体" w:eastAsia="宋体" w:cs="宋体"/>
          <w:b/>
          <w:bCs/>
          <w:sz w:val="24"/>
          <w:szCs w:val="24"/>
          <w:lang w:eastAsia="zh-CN"/>
        </w:rPr>
        <w:t>2.3  提供施工场地</w:t>
      </w:r>
      <w:bookmarkEnd w:id="104"/>
      <w:bookmarkEnd w:id="105"/>
      <w:bookmarkEnd w:id="106"/>
      <w:bookmarkEnd w:id="107"/>
      <w:bookmarkEnd w:id="108"/>
      <w:bookmarkEnd w:id="109"/>
    </w:p>
    <w:p w14:paraId="7F1B70A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发包人应在约定期限前确保施工场地具备施工条件并移交给承包人，具体施工条件在 “技术标准和要求”第一节“一般要求”中约定。发包人最迟应当在移交施工场地的同时向承包人提供施工场地内地下管线和地下设施等有关资料，并保证资料的真实、准确和完整。发包人移交施工场地的期限见合同条款专用部分。</w:t>
      </w:r>
    </w:p>
    <w:p w14:paraId="5ABCA60E">
      <w:pPr>
        <w:keepNext/>
        <w:keepLines/>
        <w:spacing w:line="440" w:lineRule="exact"/>
        <w:ind w:firstLine="482" w:firstLineChars="200"/>
        <w:outlineLvl w:val="2"/>
        <w:rPr>
          <w:rFonts w:hint="eastAsia" w:ascii="宋体" w:hAnsi="宋体" w:eastAsia="宋体" w:cs="宋体"/>
          <w:b/>
          <w:bCs/>
          <w:sz w:val="24"/>
          <w:szCs w:val="24"/>
          <w:lang w:eastAsia="zh-CN"/>
        </w:rPr>
      </w:pPr>
      <w:bookmarkStart w:id="110" w:name="_Toc490222504"/>
      <w:bookmarkStart w:id="111" w:name="_Toc117597485"/>
      <w:bookmarkStart w:id="112" w:name="_Toc189651394"/>
      <w:bookmarkStart w:id="113" w:name="_Toc497213735"/>
      <w:bookmarkStart w:id="114" w:name="_Toc486580059"/>
      <w:bookmarkStart w:id="115" w:name="_Toc489279870"/>
      <w:r>
        <w:rPr>
          <w:rFonts w:hint="eastAsia" w:ascii="宋体" w:hAnsi="宋体" w:eastAsia="宋体" w:cs="宋体"/>
          <w:b/>
          <w:bCs/>
          <w:sz w:val="24"/>
          <w:szCs w:val="24"/>
          <w:lang w:eastAsia="zh-CN"/>
        </w:rPr>
        <w:t>2.4  协助承包人办理证件和批件</w:t>
      </w:r>
      <w:bookmarkEnd w:id="110"/>
      <w:bookmarkEnd w:id="111"/>
      <w:bookmarkEnd w:id="112"/>
      <w:bookmarkEnd w:id="113"/>
      <w:bookmarkEnd w:id="114"/>
      <w:bookmarkEnd w:id="115"/>
    </w:p>
    <w:p w14:paraId="123B51B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发包人应协助承包人办理法律规定的有关施工证件和批件。</w:t>
      </w:r>
    </w:p>
    <w:p w14:paraId="08BA78CE">
      <w:pPr>
        <w:keepNext/>
        <w:keepLines/>
        <w:spacing w:line="440" w:lineRule="exact"/>
        <w:ind w:firstLine="482" w:firstLineChars="200"/>
        <w:outlineLvl w:val="2"/>
        <w:rPr>
          <w:rFonts w:hint="eastAsia" w:ascii="宋体" w:hAnsi="宋体" w:eastAsia="宋体" w:cs="宋体"/>
          <w:b/>
          <w:bCs/>
          <w:sz w:val="24"/>
          <w:szCs w:val="24"/>
          <w:lang w:eastAsia="zh-CN"/>
        </w:rPr>
      </w:pPr>
      <w:bookmarkStart w:id="116" w:name="_Toc490222505"/>
      <w:bookmarkStart w:id="117" w:name="_Toc189651395"/>
      <w:bookmarkStart w:id="118" w:name="_Toc486580060"/>
      <w:bookmarkStart w:id="119" w:name="_Toc117597486"/>
      <w:bookmarkStart w:id="120" w:name="_Toc489279871"/>
      <w:bookmarkStart w:id="121" w:name="_Toc497213736"/>
      <w:r>
        <w:rPr>
          <w:rFonts w:hint="eastAsia" w:ascii="宋体" w:hAnsi="宋体" w:eastAsia="宋体" w:cs="宋体"/>
          <w:b/>
          <w:bCs/>
          <w:sz w:val="24"/>
          <w:szCs w:val="24"/>
          <w:lang w:eastAsia="zh-CN"/>
        </w:rPr>
        <w:t>2.5  组织设计交底</w:t>
      </w:r>
      <w:bookmarkEnd w:id="116"/>
      <w:bookmarkEnd w:id="117"/>
      <w:bookmarkEnd w:id="118"/>
      <w:bookmarkEnd w:id="119"/>
      <w:bookmarkEnd w:id="120"/>
      <w:bookmarkEnd w:id="121"/>
    </w:p>
    <w:p w14:paraId="74B9277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发包人应根据批准的合同进度计划，组织设计单位向承包人进行设计交底。</w:t>
      </w:r>
    </w:p>
    <w:p w14:paraId="7E2BD5A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应在第11.1.1项约定的开工日期前，组织设计人向承包人进行合同工程总体设计交底（包括图纸会审）。发包人还应按照合同进度计划中载明的阶段性设计交底时间，组织和安排阶段工程设计交底（包括图纸会审）。承包人应当以书面方式通过监理人向发包人申请增加设计交底，发包人在认为确有必要且条件许可时，应当尽快组织这类设计交底。</w:t>
      </w:r>
    </w:p>
    <w:p w14:paraId="72B01DD7">
      <w:pPr>
        <w:keepNext/>
        <w:keepLines/>
        <w:spacing w:line="440" w:lineRule="exact"/>
        <w:ind w:firstLine="482" w:firstLineChars="200"/>
        <w:outlineLvl w:val="2"/>
        <w:rPr>
          <w:rFonts w:hint="eastAsia" w:ascii="宋体" w:hAnsi="宋体" w:eastAsia="宋体" w:cs="宋体"/>
          <w:b/>
          <w:bCs/>
          <w:sz w:val="24"/>
          <w:szCs w:val="24"/>
          <w:lang w:eastAsia="zh-CN"/>
        </w:rPr>
      </w:pPr>
      <w:bookmarkStart w:id="122" w:name="_Toc489279872"/>
      <w:bookmarkStart w:id="123" w:name="_Toc189651396"/>
      <w:bookmarkStart w:id="124" w:name="_Toc117597487"/>
      <w:bookmarkStart w:id="125" w:name="_Toc490222506"/>
      <w:bookmarkStart w:id="126" w:name="_Toc486580061"/>
      <w:bookmarkStart w:id="127" w:name="_Toc497213737"/>
      <w:r>
        <w:rPr>
          <w:rFonts w:hint="eastAsia" w:ascii="宋体" w:hAnsi="宋体" w:eastAsia="宋体" w:cs="宋体"/>
          <w:b/>
          <w:bCs/>
          <w:sz w:val="24"/>
          <w:szCs w:val="24"/>
          <w:lang w:eastAsia="zh-CN"/>
        </w:rPr>
        <w:t>2.6  支付合同价款</w:t>
      </w:r>
      <w:bookmarkEnd w:id="122"/>
      <w:bookmarkEnd w:id="123"/>
      <w:bookmarkEnd w:id="124"/>
      <w:bookmarkEnd w:id="125"/>
      <w:bookmarkEnd w:id="126"/>
      <w:bookmarkEnd w:id="127"/>
    </w:p>
    <w:p w14:paraId="6975A78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发包人应按合同约定向承包人及时支付合同价款。</w:t>
      </w:r>
    </w:p>
    <w:p w14:paraId="61A8F1E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发包人应当严格落实人工费用与其他工程款分账管理制度，分解工程价款中的人工费用，及时足额将人工费用拨付到承包人的工资专用账户。</w:t>
      </w:r>
    </w:p>
    <w:p w14:paraId="29563C63">
      <w:pPr>
        <w:keepNext/>
        <w:keepLines/>
        <w:spacing w:line="440" w:lineRule="exact"/>
        <w:ind w:firstLine="482" w:firstLineChars="200"/>
        <w:outlineLvl w:val="2"/>
        <w:rPr>
          <w:rFonts w:hint="eastAsia" w:ascii="宋体" w:hAnsi="宋体" w:eastAsia="宋体" w:cs="宋体"/>
          <w:b/>
          <w:bCs/>
          <w:sz w:val="24"/>
          <w:szCs w:val="24"/>
          <w:lang w:eastAsia="zh-CN"/>
        </w:rPr>
      </w:pPr>
      <w:bookmarkStart w:id="128" w:name="_Toc117597488"/>
      <w:bookmarkStart w:id="129" w:name="_Toc497213738"/>
      <w:bookmarkStart w:id="130" w:name="_Toc490222507"/>
      <w:bookmarkStart w:id="131" w:name="_Toc489279873"/>
      <w:bookmarkStart w:id="132" w:name="_Toc189651397"/>
      <w:bookmarkStart w:id="133" w:name="_Toc486580062"/>
      <w:r>
        <w:rPr>
          <w:rFonts w:hint="eastAsia" w:ascii="宋体" w:hAnsi="宋体" w:eastAsia="宋体" w:cs="宋体"/>
          <w:b/>
          <w:bCs/>
          <w:sz w:val="24"/>
          <w:szCs w:val="24"/>
          <w:lang w:eastAsia="zh-CN"/>
        </w:rPr>
        <w:t>2.7  组织竣工验收</w:t>
      </w:r>
      <w:bookmarkEnd w:id="128"/>
      <w:bookmarkEnd w:id="129"/>
      <w:bookmarkEnd w:id="130"/>
      <w:bookmarkEnd w:id="131"/>
      <w:bookmarkEnd w:id="132"/>
      <w:bookmarkEnd w:id="133"/>
    </w:p>
    <w:p w14:paraId="6C575E4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发包人应按合同约定及时组织竣工验收。发包人在组织竣工验收时，应对工程是否符合消防要求进行查验。经查验不符合规定的，发包人不得编制工程竣工验收报告。</w:t>
      </w:r>
    </w:p>
    <w:p w14:paraId="6EC8D276">
      <w:pPr>
        <w:keepNext/>
        <w:keepLines/>
        <w:spacing w:line="440" w:lineRule="exact"/>
        <w:ind w:firstLine="482" w:firstLineChars="200"/>
        <w:outlineLvl w:val="2"/>
        <w:rPr>
          <w:rFonts w:hint="eastAsia" w:ascii="宋体" w:hAnsi="宋体" w:eastAsia="宋体" w:cs="宋体"/>
          <w:b/>
          <w:bCs/>
          <w:sz w:val="24"/>
          <w:szCs w:val="24"/>
          <w:lang w:eastAsia="zh-CN"/>
        </w:rPr>
      </w:pPr>
      <w:bookmarkStart w:id="134" w:name="_Toc117597489"/>
      <w:bookmarkStart w:id="135" w:name="_Toc497213739"/>
      <w:bookmarkStart w:id="136" w:name="_Toc489279874"/>
      <w:bookmarkStart w:id="137" w:name="_Toc490222508"/>
      <w:bookmarkStart w:id="138" w:name="_Toc189651398"/>
      <w:bookmarkStart w:id="139" w:name="_Toc486580063"/>
      <w:r>
        <w:rPr>
          <w:rFonts w:hint="eastAsia" w:ascii="宋体" w:hAnsi="宋体" w:eastAsia="宋体" w:cs="宋体"/>
          <w:b/>
          <w:bCs/>
          <w:sz w:val="24"/>
          <w:szCs w:val="24"/>
          <w:lang w:eastAsia="zh-CN"/>
        </w:rPr>
        <w:t>2.8  向承包人提交支付担保</w:t>
      </w:r>
      <w:bookmarkEnd w:id="134"/>
      <w:bookmarkEnd w:id="135"/>
      <w:bookmarkEnd w:id="136"/>
      <w:bookmarkEnd w:id="137"/>
      <w:bookmarkEnd w:id="138"/>
      <w:bookmarkEnd w:id="139"/>
    </w:p>
    <w:p w14:paraId="293EDEB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发包人要求承包人提交履约担保的，除合同条款专用部分另有约定的，在承包人按合同条款第4.2款向发包人递交符合合同约定的履约担保的同时，发包人应当按照金额和条件对等的原则和合同文件中规定的格式或者其他经过承包人事先认可的格式向承包人递交一份支付担保。发包人提供支付担保格式见合同条款专用部分。</w:t>
      </w:r>
    </w:p>
    <w:p w14:paraId="6BF226C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（2）支付担保的有效期应当自本合同生效之日起至发包人实际支付竣工付款之日止。</w:t>
      </w:r>
    </w:p>
    <w:p w14:paraId="43C7AC5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（3）发包人无法获得一份不带具体截止日期的履约担保，支付担保中应当约定有“变更工程竣工付款支付日期的，保证期间按照变更后的竣工付款支付日期做相应调整”或类似约定的条款。</w:t>
      </w:r>
    </w:p>
    <w:p w14:paraId="5E2C4B9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（4）支付担保应当在发包人付清竣工付款之日后28天内退还给发包人；承包人不承担发包人与支付担保有关的任何利息或其它类似的费用或者收益。</w:t>
      </w:r>
    </w:p>
    <w:p w14:paraId="645DD273">
      <w:pPr>
        <w:keepNext/>
        <w:keepLines/>
        <w:spacing w:line="440" w:lineRule="exact"/>
        <w:ind w:firstLine="482" w:firstLineChars="200"/>
        <w:outlineLvl w:val="2"/>
        <w:rPr>
          <w:rFonts w:hint="eastAsia" w:ascii="宋体" w:hAnsi="宋体" w:eastAsia="宋体" w:cs="宋体"/>
          <w:b/>
          <w:bCs/>
          <w:sz w:val="24"/>
          <w:szCs w:val="24"/>
          <w:lang w:eastAsia="zh-CN"/>
        </w:rPr>
      </w:pPr>
      <w:bookmarkStart w:id="140" w:name="_Toc489279875"/>
      <w:bookmarkStart w:id="141" w:name="_Toc497213740"/>
      <w:bookmarkStart w:id="142" w:name="_Toc189651399"/>
      <w:bookmarkStart w:id="143" w:name="_Toc117597490"/>
      <w:bookmarkStart w:id="144" w:name="_Toc490222509"/>
      <w:bookmarkStart w:id="145" w:name="_Toc486580064"/>
      <w:r>
        <w:rPr>
          <w:rFonts w:hint="eastAsia" w:ascii="宋体" w:hAnsi="宋体" w:eastAsia="宋体" w:cs="宋体"/>
          <w:b/>
          <w:bCs/>
          <w:sz w:val="24"/>
          <w:szCs w:val="24"/>
          <w:lang w:eastAsia="zh-CN"/>
        </w:rPr>
        <w:t>2.9  办理工程质量监督手续</w:t>
      </w:r>
      <w:bookmarkEnd w:id="140"/>
      <w:bookmarkEnd w:id="141"/>
      <w:bookmarkEnd w:id="142"/>
      <w:bookmarkEnd w:id="143"/>
      <w:bookmarkEnd w:id="144"/>
      <w:bookmarkEnd w:id="145"/>
    </w:p>
    <w:p w14:paraId="7E5F6EC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发包人应按有关规定及时办理工程质量监督手续。</w:t>
      </w:r>
    </w:p>
    <w:p w14:paraId="2E28A7F3">
      <w:pPr>
        <w:keepNext/>
        <w:keepLines/>
        <w:spacing w:line="440" w:lineRule="exact"/>
        <w:ind w:firstLine="482" w:firstLineChars="200"/>
        <w:outlineLvl w:val="2"/>
        <w:rPr>
          <w:rFonts w:hint="eastAsia" w:ascii="宋体" w:hAnsi="宋体" w:eastAsia="宋体" w:cs="宋体"/>
          <w:b/>
          <w:bCs/>
          <w:sz w:val="24"/>
          <w:szCs w:val="24"/>
          <w:lang w:eastAsia="zh-CN"/>
        </w:rPr>
      </w:pPr>
      <w:bookmarkStart w:id="146" w:name="_Toc497213741"/>
      <w:bookmarkStart w:id="147" w:name="_Toc189651400"/>
      <w:bookmarkStart w:id="148" w:name="_Toc486580065"/>
      <w:bookmarkStart w:id="149" w:name="_Toc489279876"/>
      <w:bookmarkStart w:id="150" w:name="_Toc117597491"/>
      <w:bookmarkStart w:id="151" w:name="_Toc490222510"/>
      <w:r>
        <w:rPr>
          <w:rFonts w:hint="eastAsia" w:ascii="宋体" w:hAnsi="宋体" w:eastAsia="宋体" w:cs="宋体"/>
          <w:b/>
          <w:bCs/>
          <w:sz w:val="24"/>
          <w:szCs w:val="24"/>
          <w:lang w:eastAsia="zh-CN"/>
        </w:rPr>
        <w:t>2.10  环境保护责任</w:t>
      </w:r>
      <w:bookmarkEnd w:id="146"/>
      <w:bookmarkEnd w:id="147"/>
      <w:bookmarkEnd w:id="148"/>
      <w:bookmarkEnd w:id="149"/>
      <w:bookmarkEnd w:id="150"/>
      <w:bookmarkEnd w:id="151"/>
    </w:p>
    <w:p w14:paraId="68BFD3D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发包人对建筑垃圾处理、施工扬尘治理以及疫情防控常态化管理负总责。</w:t>
      </w:r>
    </w:p>
    <w:p w14:paraId="222ED2A6">
      <w:pPr>
        <w:keepNext/>
        <w:keepLines/>
        <w:spacing w:line="440" w:lineRule="exact"/>
        <w:ind w:firstLine="482" w:firstLineChars="200"/>
        <w:outlineLvl w:val="2"/>
        <w:rPr>
          <w:rFonts w:hint="eastAsia" w:ascii="宋体" w:hAnsi="宋体" w:eastAsia="宋体" w:cs="宋体"/>
          <w:b/>
          <w:bCs/>
          <w:sz w:val="24"/>
          <w:szCs w:val="24"/>
          <w:lang w:eastAsia="zh-CN"/>
        </w:rPr>
      </w:pPr>
      <w:bookmarkStart w:id="152" w:name="_Toc490222511"/>
      <w:bookmarkStart w:id="153" w:name="_Toc497213742"/>
      <w:bookmarkStart w:id="154" w:name="_Toc489279877"/>
      <w:bookmarkStart w:id="155" w:name="_Toc486580066"/>
      <w:bookmarkStart w:id="156" w:name="_Toc117597492"/>
      <w:bookmarkStart w:id="157" w:name="_Toc189651401"/>
      <w:r>
        <w:rPr>
          <w:rFonts w:hint="eastAsia" w:ascii="宋体" w:hAnsi="宋体" w:eastAsia="宋体" w:cs="宋体"/>
          <w:b/>
          <w:bCs/>
          <w:sz w:val="24"/>
          <w:szCs w:val="24"/>
          <w:lang w:eastAsia="zh-CN"/>
        </w:rPr>
        <w:t>2.11  移交工程档案</w:t>
      </w:r>
      <w:bookmarkEnd w:id="152"/>
      <w:bookmarkEnd w:id="153"/>
      <w:bookmarkEnd w:id="154"/>
      <w:bookmarkEnd w:id="155"/>
      <w:bookmarkEnd w:id="156"/>
      <w:bookmarkEnd w:id="157"/>
    </w:p>
    <w:p w14:paraId="7953E13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发包人应根据建设行政主管部门和（或）城市建设档案管理机构的规定，收集、整理、立卷、归档工程资料，并按规定时间向建设行政主管部门或者城市建设档案管理机构移交规定的工程档案。</w:t>
      </w:r>
    </w:p>
    <w:p w14:paraId="21F44D62">
      <w:pPr>
        <w:keepNext/>
        <w:keepLines/>
        <w:spacing w:line="440" w:lineRule="exact"/>
        <w:ind w:firstLine="482" w:firstLineChars="200"/>
        <w:outlineLvl w:val="2"/>
        <w:rPr>
          <w:rFonts w:hint="eastAsia" w:ascii="宋体" w:hAnsi="宋体" w:eastAsia="宋体" w:cs="宋体"/>
          <w:b/>
          <w:bCs/>
          <w:sz w:val="24"/>
          <w:szCs w:val="24"/>
          <w:lang w:eastAsia="zh-CN"/>
        </w:rPr>
      </w:pPr>
      <w:bookmarkStart w:id="158" w:name="_Toc486580067"/>
      <w:bookmarkStart w:id="159" w:name="_Toc189651402"/>
      <w:bookmarkStart w:id="160" w:name="_Toc490222512"/>
      <w:bookmarkStart w:id="161" w:name="_Toc497213743"/>
      <w:bookmarkStart w:id="162" w:name="_Toc117597493"/>
      <w:bookmarkStart w:id="163" w:name="_Toc489279878"/>
      <w:r>
        <w:rPr>
          <w:rFonts w:hint="eastAsia" w:ascii="宋体" w:hAnsi="宋体" w:eastAsia="宋体" w:cs="宋体"/>
          <w:b/>
          <w:bCs/>
          <w:sz w:val="24"/>
          <w:szCs w:val="24"/>
          <w:lang w:eastAsia="zh-CN"/>
        </w:rPr>
        <w:t>2.12  批准和确认</w:t>
      </w:r>
      <w:bookmarkEnd w:id="158"/>
      <w:bookmarkEnd w:id="159"/>
      <w:bookmarkEnd w:id="160"/>
      <w:bookmarkEnd w:id="161"/>
      <w:bookmarkEnd w:id="162"/>
      <w:bookmarkEnd w:id="163"/>
    </w:p>
    <w:p w14:paraId="34495DE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按照合同约定应当由监理人或者发包人回复、批复、批准和确认，或承包人提出修改意见的要求、请求、申请和报批等，自监理人或者发包人指定的接收人收到承包人发出的相应要求、请求、申请和报批之日起，如果监理人或者发包人在合同约定的期限内未予回复、批复、批准、确认或提出修改意见的，视为监理人和发包人已经同意、确认或者批准。</w:t>
      </w:r>
    </w:p>
    <w:p w14:paraId="7DA339D5">
      <w:pPr>
        <w:keepNext/>
        <w:keepLines/>
        <w:spacing w:line="440" w:lineRule="exact"/>
        <w:ind w:firstLine="482" w:firstLineChars="200"/>
        <w:outlineLvl w:val="2"/>
        <w:rPr>
          <w:rFonts w:hint="eastAsia" w:ascii="宋体" w:hAnsi="宋体" w:eastAsia="宋体" w:cs="宋体"/>
          <w:b/>
          <w:bCs/>
          <w:sz w:val="24"/>
          <w:szCs w:val="24"/>
          <w:lang w:eastAsia="zh-CN"/>
        </w:rPr>
      </w:pPr>
      <w:bookmarkStart w:id="164" w:name="_Toc490222513"/>
      <w:bookmarkStart w:id="165" w:name="_Toc117597494"/>
      <w:bookmarkStart w:id="166" w:name="_Toc497213744"/>
      <w:bookmarkStart w:id="167" w:name="_Toc189651403"/>
      <w:bookmarkStart w:id="168" w:name="_Toc486580068"/>
      <w:bookmarkStart w:id="169" w:name="_Toc489279879"/>
      <w:r>
        <w:rPr>
          <w:rFonts w:hint="eastAsia" w:ascii="宋体" w:hAnsi="宋体" w:eastAsia="宋体" w:cs="宋体"/>
          <w:b/>
          <w:bCs/>
          <w:sz w:val="24"/>
          <w:szCs w:val="24"/>
          <w:lang w:eastAsia="zh-CN"/>
        </w:rPr>
        <w:t>2.13  其他义务</w:t>
      </w:r>
      <w:bookmarkEnd w:id="164"/>
      <w:bookmarkEnd w:id="165"/>
      <w:bookmarkEnd w:id="166"/>
      <w:bookmarkEnd w:id="167"/>
      <w:bookmarkEnd w:id="168"/>
      <w:bookmarkEnd w:id="169"/>
    </w:p>
    <w:p w14:paraId="79EE89F3">
      <w:pPr>
        <w:spacing w:line="440" w:lineRule="exact"/>
        <w:ind w:firstLine="480" w:firstLineChars="200"/>
        <w:rPr>
          <w:rFonts w:hint="eastAsia" w:ascii="宋体" w:hAnsi="宋体" w:eastAsia="宋体" w:cs="宋体"/>
          <w:b/>
          <w:sz w:val="24"/>
          <w:szCs w:val="24"/>
          <w:lang w:eastAsia="zh-CN"/>
        </w:rPr>
      </w:pPr>
      <w:r>
        <w:rPr>
          <w:rFonts w:hint="eastAsia" w:ascii="宋体" w:hAnsi="宋体" w:eastAsia="宋体" w:cs="宋体"/>
          <w:sz w:val="24"/>
          <w:szCs w:val="24"/>
          <w:lang w:eastAsia="zh-CN"/>
        </w:rPr>
        <w:t>发包人应履行的其他义务见合同条款专用部分。</w:t>
      </w:r>
    </w:p>
    <w:p w14:paraId="4F2F2CEE">
      <w:pPr>
        <w:keepNext/>
        <w:keepLines/>
        <w:spacing w:line="440" w:lineRule="exact"/>
        <w:ind w:firstLine="482" w:firstLineChars="200"/>
        <w:outlineLvl w:val="1"/>
        <w:rPr>
          <w:rFonts w:hint="eastAsia" w:ascii="宋体" w:hAnsi="宋体" w:eastAsia="宋体" w:cs="宋体"/>
          <w:b/>
          <w:bCs/>
          <w:sz w:val="24"/>
          <w:szCs w:val="24"/>
          <w:lang w:eastAsia="zh-CN"/>
        </w:rPr>
      </w:pPr>
      <w:bookmarkStart w:id="170" w:name="_Toc486580069"/>
      <w:bookmarkStart w:id="171" w:name="_Toc497213745"/>
      <w:bookmarkStart w:id="172" w:name="_Toc189651404"/>
      <w:bookmarkStart w:id="173" w:name="_Toc117597495"/>
      <w:bookmarkStart w:id="174" w:name="_Toc489279880"/>
      <w:bookmarkStart w:id="175" w:name="_Toc490222514"/>
      <w:r>
        <w:rPr>
          <w:rFonts w:hint="eastAsia" w:ascii="宋体" w:hAnsi="宋体" w:eastAsia="宋体" w:cs="宋体"/>
          <w:b/>
          <w:bCs/>
          <w:sz w:val="24"/>
          <w:szCs w:val="24"/>
          <w:lang w:eastAsia="zh-CN"/>
        </w:rPr>
        <w:t>3.监理人</w:t>
      </w:r>
      <w:bookmarkEnd w:id="170"/>
      <w:bookmarkEnd w:id="171"/>
      <w:bookmarkEnd w:id="172"/>
      <w:bookmarkEnd w:id="173"/>
      <w:bookmarkEnd w:id="174"/>
      <w:bookmarkEnd w:id="175"/>
    </w:p>
    <w:p w14:paraId="5FDB97D3">
      <w:pPr>
        <w:keepNext/>
        <w:keepLines/>
        <w:spacing w:line="440" w:lineRule="exact"/>
        <w:ind w:firstLine="482" w:firstLineChars="200"/>
        <w:outlineLvl w:val="2"/>
        <w:rPr>
          <w:rFonts w:hint="eastAsia" w:ascii="宋体" w:hAnsi="宋体" w:eastAsia="宋体" w:cs="宋体"/>
          <w:b/>
          <w:bCs/>
          <w:sz w:val="24"/>
          <w:szCs w:val="24"/>
          <w:lang w:eastAsia="zh-CN"/>
        </w:rPr>
      </w:pPr>
      <w:bookmarkStart w:id="176" w:name="_Toc189651405"/>
      <w:bookmarkStart w:id="177" w:name="_Toc497213746"/>
      <w:bookmarkStart w:id="178" w:name="_Toc489279881"/>
      <w:bookmarkStart w:id="179" w:name="_Toc490222515"/>
      <w:bookmarkStart w:id="180" w:name="_Toc117597496"/>
      <w:bookmarkStart w:id="181" w:name="_Toc486580070"/>
      <w:r>
        <w:rPr>
          <w:rFonts w:hint="eastAsia" w:ascii="宋体" w:hAnsi="宋体" w:eastAsia="宋体" w:cs="宋体"/>
          <w:b/>
          <w:bCs/>
          <w:sz w:val="24"/>
          <w:szCs w:val="24"/>
          <w:lang w:eastAsia="zh-CN"/>
        </w:rPr>
        <w:t>3.1  监理人的职责和权力</w:t>
      </w:r>
      <w:bookmarkEnd w:id="176"/>
      <w:bookmarkEnd w:id="177"/>
      <w:bookmarkEnd w:id="178"/>
      <w:bookmarkEnd w:id="179"/>
      <w:bookmarkEnd w:id="180"/>
      <w:bookmarkEnd w:id="181"/>
    </w:p>
    <w:p w14:paraId="065C730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3.1.1  监理人受发包人委托，享有合同约定的权力。监理人在行使某项权力前需要经发包人事先批准，合同条款通用部分没有指明的，应在合同中指明。监理人履行须经发包人批准行使的权力时，应当向承包人出示其行使该权力已经取得发包人批准的文件或者其他合法有效的证明。发包人需批准明确行使的权力见合同条款专用部分。</w:t>
      </w:r>
    </w:p>
    <w:p w14:paraId="23B6040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3.1.2  监理人发出的任何指示应视为已得到发包人的批准，但监理人无权免除或变更合同约定的发包人和承包人的权利、义务和责任。</w:t>
      </w:r>
    </w:p>
    <w:p w14:paraId="18C444C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3.1.3  合同约定应由承包人承担的义务和责任，不因监理人对承包人提交文件的审查或批准，对工程、材料和设备的检查和检验，以及为实施监理作出的指示等职务行为而减轻或解除。</w:t>
      </w:r>
    </w:p>
    <w:p w14:paraId="3C8F326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3.1.4  监理人负责审查施工现场疫情常态化防控工作方案，检查落实情况并提出合理化建议。</w:t>
      </w:r>
    </w:p>
    <w:p w14:paraId="5C8E58E9">
      <w:pPr>
        <w:keepNext/>
        <w:keepLines/>
        <w:spacing w:line="440" w:lineRule="exact"/>
        <w:ind w:firstLine="482" w:firstLineChars="200"/>
        <w:outlineLvl w:val="2"/>
        <w:rPr>
          <w:rFonts w:hint="eastAsia" w:ascii="宋体" w:hAnsi="宋体" w:eastAsia="宋体" w:cs="宋体"/>
          <w:b/>
          <w:bCs/>
          <w:sz w:val="24"/>
          <w:szCs w:val="24"/>
          <w:lang w:eastAsia="zh-CN"/>
        </w:rPr>
      </w:pPr>
      <w:bookmarkStart w:id="182" w:name="_Toc490222516"/>
      <w:bookmarkStart w:id="183" w:name="_Toc117597497"/>
      <w:bookmarkStart w:id="184" w:name="_Toc189651406"/>
      <w:bookmarkStart w:id="185" w:name="_Toc497213747"/>
      <w:bookmarkStart w:id="186" w:name="_Toc489279882"/>
      <w:bookmarkStart w:id="187" w:name="_Toc486580071"/>
      <w:r>
        <w:rPr>
          <w:rFonts w:hint="eastAsia" w:ascii="宋体" w:hAnsi="宋体" w:eastAsia="宋体" w:cs="宋体"/>
          <w:b/>
          <w:bCs/>
          <w:sz w:val="24"/>
          <w:szCs w:val="24"/>
          <w:lang w:eastAsia="zh-CN"/>
        </w:rPr>
        <w:t>3.2  总监理工程师</w:t>
      </w:r>
      <w:bookmarkEnd w:id="182"/>
      <w:bookmarkEnd w:id="183"/>
      <w:bookmarkEnd w:id="184"/>
      <w:bookmarkEnd w:id="185"/>
      <w:bookmarkEnd w:id="186"/>
      <w:bookmarkEnd w:id="187"/>
    </w:p>
    <w:p w14:paraId="5BF5D04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发包人应在发出开工通知前将总监理工程师的任命通知承包人。总监理工程师更换时，应在调离14天前通知承包人。总监理工程师短期离开施工场地的，应委派代表代行其职责，并通知承包人。</w:t>
      </w:r>
    </w:p>
    <w:p w14:paraId="00439095">
      <w:pPr>
        <w:keepNext/>
        <w:keepLines/>
        <w:spacing w:line="440" w:lineRule="exact"/>
        <w:ind w:firstLine="482" w:firstLineChars="200"/>
        <w:outlineLvl w:val="2"/>
        <w:rPr>
          <w:rFonts w:hint="eastAsia" w:ascii="宋体" w:hAnsi="宋体" w:eastAsia="宋体" w:cs="宋体"/>
          <w:b/>
          <w:bCs/>
          <w:sz w:val="24"/>
          <w:szCs w:val="24"/>
          <w:lang w:eastAsia="zh-CN"/>
        </w:rPr>
      </w:pPr>
      <w:bookmarkStart w:id="188" w:name="_Toc497213748"/>
      <w:bookmarkStart w:id="189" w:name="_Toc489279883"/>
      <w:bookmarkStart w:id="190" w:name="_Toc117597498"/>
      <w:bookmarkStart w:id="191" w:name="_Toc189651407"/>
      <w:bookmarkStart w:id="192" w:name="_Toc490222517"/>
      <w:bookmarkStart w:id="193" w:name="_Toc486580072"/>
      <w:r>
        <w:rPr>
          <w:rFonts w:hint="eastAsia" w:ascii="宋体" w:hAnsi="宋体" w:eastAsia="宋体" w:cs="宋体"/>
          <w:b/>
          <w:bCs/>
          <w:sz w:val="24"/>
          <w:szCs w:val="24"/>
          <w:lang w:eastAsia="zh-CN"/>
        </w:rPr>
        <w:t>3.3  监理人员</w:t>
      </w:r>
      <w:bookmarkEnd w:id="188"/>
      <w:bookmarkEnd w:id="189"/>
      <w:bookmarkEnd w:id="190"/>
      <w:bookmarkEnd w:id="191"/>
      <w:bookmarkEnd w:id="192"/>
      <w:bookmarkEnd w:id="193"/>
    </w:p>
    <w:p w14:paraId="3B0E495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2E217F8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3.3.2  监理人员对承包人的任何工作、工程或其采用的材料和工程设备未在约定的或合理的期限内提出否定意见的，视为已获批准，但不影响监理人在以后拒绝该项工作、工程、材料或工程设备的权利。</w:t>
      </w:r>
    </w:p>
    <w:p w14:paraId="56273BB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3.3.3  承包人对总监理工程师授权的监理人员发出的指示有疑问的，可向总监理工程师提出书面异议，总监理工程师应在48小时内对该指示予以确认、更改或撤销。</w:t>
      </w:r>
    </w:p>
    <w:p w14:paraId="3A2B6A4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3.3.4  总监理工程师不应将合同条款通用部分第3.5款约定应由总监理工程师作出确定的权力授权或者委托给其他监理人员。</w:t>
      </w:r>
    </w:p>
    <w:p w14:paraId="2E98C424">
      <w:pPr>
        <w:keepNext/>
        <w:keepLines/>
        <w:spacing w:line="440" w:lineRule="exact"/>
        <w:ind w:firstLine="482" w:firstLineChars="200"/>
        <w:outlineLvl w:val="2"/>
        <w:rPr>
          <w:rFonts w:hint="eastAsia" w:ascii="宋体" w:hAnsi="宋体" w:eastAsia="宋体" w:cs="宋体"/>
          <w:b/>
          <w:bCs/>
          <w:sz w:val="24"/>
          <w:szCs w:val="24"/>
          <w:lang w:eastAsia="zh-CN"/>
        </w:rPr>
      </w:pPr>
      <w:bookmarkStart w:id="194" w:name="_Toc189651408"/>
      <w:bookmarkStart w:id="195" w:name="_Toc486580073"/>
      <w:bookmarkStart w:id="196" w:name="_Toc490222518"/>
      <w:bookmarkStart w:id="197" w:name="_Toc489279884"/>
      <w:bookmarkStart w:id="198" w:name="_Toc117597499"/>
      <w:bookmarkStart w:id="199" w:name="_Toc497213749"/>
      <w:r>
        <w:rPr>
          <w:rFonts w:hint="eastAsia" w:ascii="宋体" w:hAnsi="宋体" w:eastAsia="宋体" w:cs="宋体"/>
          <w:b/>
          <w:bCs/>
          <w:sz w:val="24"/>
          <w:szCs w:val="24"/>
          <w:lang w:eastAsia="zh-CN"/>
        </w:rPr>
        <w:t>3.4  监理人的指示</w:t>
      </w:r>
      <w:bookmarkEnd w:id="194"/>
      <w:bookmarkEnd w:id="195"/>
      <w:bookmarkEnd w:id="196"/>
      <w:bookmarkEnd w:id="197"/>
      <w:bookmarkEnd w:id="198"/>
      <w:bookmarkEnd w:id="199"/>
    </w:p>
    <w:p w14:paraId="35A9623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3.4.1  监理人应按第3.1款的约定向承包人发出指示，监理人的指示应加盖监理人授权的施工场地机构章，并由总监理工程师或总监理工程师按第3.3.1项约定授权的监理人员签字。</w:t>
      </w:r>
    </w:p>
    <w:p w14:paraId="3E296FE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3.4.2  承包人收到监理人按第3.4.1项作出的指示后，应遵照执行。指示构成变更的，应按第15条处理。</w:t>
      </w:r>
    </w:p>
    <w:p w14:paraId="56B608C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207B34F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3.4.4  除合同另有约定外，承包人只从总监理工程师或按第3.3.1项被授权的监理人员处取得指示。</w:t>
      </w:r>
    </w:p>
    <w:p w14:paraId="31AC124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3.4.5  由于监理人未能按合同约定发出指示、指示延误或指示错误而导致承包人费用增加和（或）工期延误的，由发包人承担赔偿责任。 </w:t>
      </w:r>
    </w:p>
    <w:p w14:paraId="3145A46E">
      <w:pPr>
        <w:keepNext/>
        <w:keepLines/>
        <w:spacing w:line="440" w:lineRule="exact"/>
        <w:ind w:firstLine="482" w:firstLineChars="200"/>
        <w:outlineLvl w:val="2"/>
        <w:rPr>
          <w:rFonts w:hint="eastAsia" w:ascii="宋体" w:hAnsi="宋体" w:eastAsia="宋体" w:cs="宋体"/>
          <w:b/>
          <w:bCs/>
          <w:sz w:val="24"/>
          <w:szCs w:val="24"/>
          <w:lang w:eastAsia="zh-CN"/>
        </w:rPr>
      </w:pPr>
      <w:bookmarkStart w:id="200" w:name="_Toc489279885"/>
      <w:bookmarkStart w:id="201" w:name="_Toc117597500"/>
      <w:bookmarkStart w:id="202" w:name="_Toc497213750"/>
      <w:bookmarkStart w:id="203" w:name="_Toc189651409"/>
      <w:bookmarkStart w:id="204" w:name="_Toc490222519"/>
      <w:bookmarkStart w:id="205" w:name="_Toc486580074"/>
      <w:r>
        <w:rPr>
          <w:rFonts w:hint="eastAsia" w:ascii="宋体" w:hAnsi="宋体" w:eastAsia="宋体" w:cs="宋体"/>
          <w:b/>
          <w:bCs/>
          <w:sz w:val="24"/>
          <w:szCs w:val="24"/>
          <w:lang w:eastAsia="zh-CN"/>
        </w:rPr>
        <w:t>3.5  商定或确定</w:t>
      </w:r>
      <w:bookmarkEnd w:id="200"/>
      <w:bookmarkEnd w:id="201"/>
      <w:bookmarkEnd w:id="202"/>
      <w:bookmarkEnd w:id="203"/>
      <w:bookmarkEnd w:id="204"/>
      <w:bookmarkEnd w:id="205"/>
    </w:p>
    <w:p w14:paraId="57C1CEC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3.5.1  总监理工程师应按照本款对任何事项进行商定或确定时，总监理工程师应与合同当事人协商，尽量达成一致。不能达成一致的，总监理工程师应认真研究后审慎确定。</w:t>
      </w:r>
    </w:p>
    <w:p w14:paraId="41257DD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3.5.2  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需要作出修改的，按修改后的结果执行。</w:t>
      </w:r>
    </w:p>
    <w:p w14:paraId="5659254D">
      <w:pPr>
        <w:keepNext/>
        <w:keepLines/>
        <w:spacing w:line="440" w:lineRule="exact"/>
        <w:ind w:firstLine="482" w:firstLineChars="200"/>
        <w:outlineLvl w:val="2"/>
        <w:rPr>
          <w:rFonts w:hint="eastAsia" w:ascii="宋体" w:hAnsi="宋体" w:eastAsia="宋体" w:cs="宋体"/>
          <w:b/>
          <w:bCs/>
          <w:sz w:val="24"/>
          <w:szCs w:val="24"/>
          <w:lang w:eastAsia="zh-CN"/>
        </w:rPr>
      </w:pPr>
      <w:bookmarkStart w:id="206" w:name="_Toc489279886"/>
      <w:bookmarkStart w:id="207" w:name="_Toc117597501"/>
      <w:bookmarkStart w:id="208" w:name="_Toc189651410"/>
      <w:bookmarkStart w:id="209" w:name="_Toc486580075"/>
      <w:bookmarkStart w:id="210" w:name="_Toc497213751"/>
      <w:bookmarkStart w:id="211" w:name="_Toc490222520"/>
      <w:r>
        <w:rPr>
          <w:rFonts w:hint="eastAsia" w:ascii="宋体" w:hAnsi="宋体" w:eastAsia="宋体" w:cs="宋体"/>
          <w:b/>
          <w:bCs/>
          <w:sz w:val="24"/>
          <w:szCs w:val="24"/>
          <w:lang w:eastAsia="zh-CN"/>
        </w:rPr>
        <w:t>3.6  监理人的宽恕</w:t>
      </w:r>
      <w:bookmarkEnd w:id="206"/>
      <w:bookmarkEnd w:id="207"/>
      <w:bookmarkEnd w:id="208"/>
      <w:bookmarkEnd w:id="209"/>
      <w:bookmarkEnd w:id="210"/>
      <w:bookmarkEnd w:id="211"/>
    </w:p>
    <w:p w14:paraId="34F8DB6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14:paraId="4A05F5DA">
      <w:pPr>
        <w:keepNext/>
        <w:keepLines/>
        <w:spacing w:line="440" w:lineRule="exact"/>
        <w:ind w:firstLine="482" w:firstLineChars="200"/>
        <w:outlineLvl w:val="1"/>
        <w:rPr>
          <w:rFonts w:hint="eastAsia" w:ascii="宋体" w:hAnsi="宋体" w:eastAsia="宋体" w:cs="宋体"/>
          <w:b/>
          <w:bCs/>
          <w:sz w:val="24"/>
          <w:szCs w:val="24"/>
          <w:lang w:eastAsia="zh-CN"/>
        </w:rPr>
      </w:pPr>
      <w:bookmarkStart w:id="212" w:name="_Toc497213752"/>
      <w:bookmarkStart w:id="213" w:name="_Toc189651411"/>
      <w:bookmarkStart w:id="214" w:name="_Toc486580076"/>
      <w:bookmarkStart w:id="215" w:name="_Toc490222521"/>
      <w:bookmarkStart w:id="216" w:name="_Toc489279887"/>
      <w:bookmarkStart w:id="217" w:name="_Toc117597502"/>
      <w:r>
        <w:rPr>
          <w:rFonts w:hint="eastAsia" w:ascii="宋体" w:hAnsi="宋体" w:eastAsia="宋体" w:cs="宋体"/>
          <w:b/>
          <w:bCs/>
          <w:sz w:val="24"/>
          <w:szCs w:val="24"/>
          <w:lang w:eastAsia="zh-CN"/>
        </w:rPr>
        <w:t>4.承包人</w:t>
      </w:r>
      <w:bookmarkEnd w:id="212"/>
      <w:bookmarkEnd w:id="213"/>
      <w:bookmarkEnd w:id="214"/>
      <w:bookmarkEnd w:id="215"/>
      <w:bookmarkEnd w:id="216"/>
      <w:bookmarkEnd w:id="217"/>
    </w:p>
    <w:p w14:paraId="61B59A90">
      <w:pPr>
        <w:keepNext/>
        <w:keepLines/>
        <w:spacing w:line="440" w:lineRule="exact"/>
        <w:ind w:firstLine="482" w:firstLineChars="200"/>
        <w:outlineLvl w:val="2"/>
        <w:rPr>
          <w:rFonts w:hint="eastAsia" w:ascii="宋体" w:hAnsi="宋体" w:eastAsia="宋体" w:cs="宋体"/>
          <w:b/>
          <w:bCs/>
          <w:sz w:val="24"/>
          <w:szCs w:val="24"/>
          <w:lang w:eastAsia="zh-CN"/>
        </w:rPr>
      </w:pPr>
      <w:bookmarkStart w:id="218" w:name="_Toc497213753"/>
      <w:bookmarkStart w:id="219" w:name="_Toc117597503"/>
      <w:bookmarkStart w:id="220" w:name="_Toc490222522"/>
      <w:bookmarkStart w:id="221" w:name="_Toc486580077"/>
      <w:bookmarkStart w:id="222" w:name="_Toc489279888"/>
      <w:bookmarkStart w:id="223" w:name="_Toc189651412"/>
      <w:r>
        <w:rPr>
          <w:rFonts w:hint="eastAsia" w:ascii="宋体" w:hAnsi="宋体" w:eastAsia="宋体" w:cs="宋体"/>
          <w:b/>
          <w:bCs/>
          <w:sz w:val="24"/>
          <w:szCs w:val="24"/>
          <w:lang w:eastAsia="zh-CN"/>
        </w:rPr>
        <w:t>4.1  承包人的一般义务</w:t>
      </w:r>
      <w:bookmarkEnd w:id="218"/>
      <w:bookmarkEnd w:id="219"/>
      <w:bookmarkEnd w:id="220"/>
      <w:bookmarkEnd w:id="221"/>
      <w:bookmarkEnd w:id="222"/>
      <w:bookmarkEnd w:id="223"/>
    </w:p>
    <w:p w14:paraId="0EF7758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4.1.1  遵守法律</w:t>
      </w:r>
    </w:p>
    <w:p w14:paraId="4663C4F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承包人在履行合同过程中应遵守法律，并保证发包人免于承担因承包人违反法律而引起的任何责任。</w:t>
      </w:r>
    </w:p>
    <w:p w14:paraId="7C88B95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4.1.2  依法纳税</w:t>
      </w:r>
    </w:p>
    <w:p w14:paraId="243ADE2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承包人应按有关法律规定纳税，应缴纳的税金包括在合同价格内。</w:t>
      </w:r>
    </w:p>
    <w:p w14:paraId="016943C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4.1.3  完成各项承包工作</w:t>
      </w:r>
    </w:p>
    <w:p w14:paraId="3E59F95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承包人应按合同约定以及监理人根据第3.4款作出的指示，实施、完成全部工程，并修补工程中的任何缺陷。除第5.2款约定由发包人提供的材料和工程设备和第6.2款约定由发包人提供的施工设备和临时设施外，承包人应负责提供为完成合同工作所需的劳务、材料、施工设备、工程设备和其他物品，并按照合同约定负责临时设施的设计、建造、运行、维护、管理和拆除工作。</w:t>
      </w:r>
    </w:p>
    <w:p w14:paraId="1CBE71F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承包人还应当依法合规建立施工扬尘综合治理、建筑垃圾、土方和砂石清运与消纳、保证使用已在本市进行信息编码登记符合排放标准的非道路移动机械和严禁使用高排放非道路移动机械以及行业挥发性有机物治理（如建筑外墙涂装、钢结构等鼓励使用水性漆替代油性漆）等责任制，制定具体的管控机制和实施方案，严格落实。</w:t>
      </w:r>
    </w:p>
    <w:p w14:paraId="5126F85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承包人应按法律法规、经消防设计审查合格或者满足工程需要的消防设计文件等规定组织施工，编制消防专项施工方案；按消防设计要求、施工技术标准和合同约定检验消防产品和具有防火性能要求的建筑材料、建筑构配件和设备的质量，保证消防施工质量；配合发包人组织的竣工验收消防查验，对建设工程消防施工质量签章确认。</w:t>
      </w:r>
    </w:p>
    <w:p w14:paraId="5F129CE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4.1.4  对施工作业和施工方法的完备性负责</w:t>
      </w:r>
    </w:p>
    <w:p w14:paraId="681A9F6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承包人应按合同约定的工作内容和施工进度要求，编制施工组织设计和施工措施计划，并对所有施工作业和施工方法的完备性和安全可靠性负责。</w:t>
      </w:r>
    </w:p>
    <w:p w14:paraId="606185C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4.1.5  保证工程施工和人员的安全</w:t>
      </w:r>
    </w:p>
    <w:p w14:paraId="185559C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承包人应按照第9.2款约定采取施工安全措施，确保工程及其人员、材料、设备和设施的安全，防止因工程施工造成的人身伤害和财产损失。</w:t>
      </w:r>
    </w:p>
    <w:p w14:paraId="1D626CF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4.1.6  负责施工场地、周边环境和生态保护以及疫情防控常态化工作</w:t>
      </w:r>
    </w:p>
    <w:p w14:paraId="63FAACE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应按照第9.4款约定负责施工场地及其周边环境与生态的保护工作。同时负责施工现场及周边疫情常态化防控各项工作具体组织实施。即做好施工现场（含生活区）封闭式管理；做好施工现场实名制管理；做好对重点人群的管理；做好生活区隔离管理；做好智能体温计佩戴管理工作；做好环境卫生整治和消毒工作；做好施工现场从业人员健康素养宣传教育等工作。</w:t>
      </w:r>
    </w:p>
    <w:p w14:paraId="22C8C33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4.1.7  避免施工对公众与他人的利益造成损害</w:t>
      </w:r>
    </w:p>
    <w:p w14:paraId="0AF6A50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3326857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4.1.8  为他人提供方便</w:t>
      </w:r>
    </w:p>
    <w:p w14:paraId="67DA0FD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承包人应当对在施工场地或者附近实施与合同工程有关的其他工作的独立承包人履行管理、协调、配合、照管和服务义务，由此发生的费用被认为已经包括在承包人的签约合同价（参选总报价）中，具体工作内容和要求见合同条款专用部分。</w:t>
      </w:r>
    </w:p>
    <w:p w14:paraId="339EE2D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（2）承包人还应按照监理人指示为独立承包人以外的他人在施工场地或者附近实施与合同工程有关的其他工作提供可能的条件，可能发生费用由监理人按合同条款通用部分第3.5款商定或者确定。</w:t>
      </w:r>
    </w:p>
    <w:p w14:paraId="7170C78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4.1.9  工程的维护和照管</w:t>
      </w:r>
    </w:p>
    <w:p w14:paraId="0EA3E1E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工程接收证书颁发前，承包人应负责照管和维护工程。工程接收证书颁发时尚有部分未竣工工程的，承包人还应负责该未竣工工程的照管和维护工作，直至竣工后移交给发包人为止。</w:t>
      </w:r>
    </w:p>
    <w:p w14:paraId="401D728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4.1.10  承包人的设计工作 </w:t>
      </w:r>
    </w:p>
    <w:p w14:paraId="44C0175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根据发包人委托，在其设计资质等级和业务允许的范围内，完成约定的施工图设计或与工程配套的设计工作，经监理人确认后使用，发包人承担由此发生的费用和合理利润。由承包人负责完成的设计文件属于合同条款第1.6.2项约定的承包人提供的文件，承包人应按照合同条款专用部分第1.6.2项约定的期限和数量提交，由此发生的费用被认为已经包括在承包人的签约合同价（参选总报价）中。承包人承担的施工图设计或与工程配套的设计工作内容见合同条款专用部分。</w:t>
      </w:r>
    </w:p>
    <w:p w14:paraId="184D0E9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4.1.11  农民工工资保证金</w:t>
      </w:r>
    </w:p>
    <w:p w14:paraId="5F35C5D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承包人应在银行设立工资保证金专用账户，专项用于发生欠薪时支付农民工工资的应急保障。账户内资金启用应当经建设主管部门和劳动保障行政部门批准。</w:t>
      </w:r>
    </w:p>
    <w:p w14:paraId="2CF2D2A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4.1.12  其他义务</w:t>
      </w:r>
    </w:p>
    <w:p w14:paraId="7A87D71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承包人应履行的其他义务见合同条款专用部分。</w:t>
      </w:r>
    </w:p>
    <w:p w14:paraId="48543ED7">
      <w:pPr>
        <w:keepNext/>
        <w:keepLines/>
        <w:spacing w:line="440" w:lineRule="exact"/>
        <w:ind w:firstLine="482" w:firstLineChars="200"/>
        <w:outlineLvl w:val="2"/>
        <w:rPr>
          <w:rFonts w:hint="eastAsia" w:ascii="宋体" w:hAnsi="宋体" w:eastAsia="宋体" w:cs="宋体"/>
          <w:b/>
          <w:bCs/>
          <w:sz w:val="24"/>
          <w:szCs w:val="24"/>
          <w:lang w:eastAsia="zh-CN"/>
        </w:rPr>
      </w:pPr>
      <w:bookmarkStart w:id="224" w:name="_Toc490222523"/>
      <w:bookmarkStart w:id="225" w:name="_Toc189651413"/>
      <w:bookmarkStart w:id="226" w:name="_Toc486580078"/>
      <w:bookmarkStart w:id="227" w:name="_Toc489279889"/>
      <w:bookmarkStart w:id="228" w:name="_Toc117597504"/>
      <w:bookmarkStart w:id="229" w:name="_Toc497213754"/>
      <w:r>
        <w:rPr>
          <w:rFonts w:hint="eastAsia" w:ascii="宋体" w:hAnsi="宋体" w:eastAsia="宋体" w:cs="宋体"/>
          <w:b/>
          <w:bCs/>
          <w:sz w:val="24"/>
          <w:szCs w:val="24"/>
          <w:lang w:eastAsia="zh-CN"/>
        </w:rPr>
        <w:t>4.2  履约担保</w:t>
      </w:r>
      <w:bookmarkEnd w:id="224"/>
      <w:bookmarkEnd w:id="225"/>
      <w:bookmarkEnd w:id="226"/>
      <w:bookmarkEnd w:id="227"/>
      <w:bookmarkEnd w:id="228"/>
      <w:bookmarkEnd w:id="229"/>
    </w:p>
    <w:p w14:paraId="62FB86B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4.2.1  履约担保的格式和金额</w:t>
      </w:r>
    </w:p>
    <w:p w14:paraId="666BCE5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合同约定承包人提交履约担保的，承包人应在签订合同前，按照发包人约定的格式或者其他经过发包人认可的格式向发包人递交一份履约担保。经过发包人事先书面认可的其他格式的履约担保，其担保条款的实质性内容应当与发包人合同文件约定的格式内容保持一致。承包人是否提交履约担保及需要提交履约担保的金额见合同条款专用部分。</w:t>
      </w:r>
    </w:p>
    <w:p w14:paraId="50D7610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4.2.2  履约担保的有效期</w:t>
      </w:r>
    </w:p>
    <w:p w14:paraId="71B234B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履约担保的有效期应当自本合同生效之日起至发包人签认并由监理人向承包人出具工程接收证书之日止。如果承包人无法获得一份不带具体截止日期的担保，履约担保中就应当约定有“变更工程竣工日期的，保证期间按照变更后的竣工日期做相应调整”或类似约定的条款。</w:t>
      </w:r>
    </w:p>
    <w:p w14:paraId="5C9C3A6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4.2.3  履约担保的退还</w:t>
      </w:r>
    </w:p>
    <w:p w14:paraId="70793BA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履约担保应在监理人向承包人颁发（出具）工程接收证书之日后28天内退还给承包人。发包人不承担承包人与履约担保有关的任何利息或其它类似的费用或者收益。</w:t>
      </w:r>
    </w:p>
    <w:p w14:paraId="75F1BB3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4.2.4  通知义务</w:t>
      </w:r>
    </w:p>
    <w:p w14:paraId="55A85FD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不管履约担保条款中如何约定，发包人根据担保条款提出索赔或兑现要求28天前，应通知承包人并说明导致此类索赔或兑现的违约性质或原因。相应地，不管第2.8款约定的支付担保条款中如何约定，承包人根据担保条款提出索赔或兑现要求28天前，也应通知发包人并说明导致此类索赔或兑现的违约性质或原因。但是，本项约定的通知不应理解为是在任何意义上寻求承包人或者发包人的同意。</w:t>
      </w:r>
    </w:p>
    <w:p w14:paraId="37715E66">
      <w:pPr>
        <w:keepNext/>
        <w:keepLines/>
        <w:spacing w:line="440" w:lineRule="exact"/>
        <w:ind w:firstLine="482" w:firstLineChars="200"/>
        <w:outlineLvl w:val="2"/>
        <w:rPr>
          <w:rFonts w:hint="eastAsia" w:ascii="宋体" w:hAnsi="宋体" w:eastAsia="宋体" w:cs="宋体"/>
          <w:b/>
          <w:bCs/>
          <w:sz w:val="24"/>
          <w:szCs w:val="24"/>
          <w:lang w:eastAsia="zh-CN"/>
        </w:rPr>
      </w:pPr>
      <w:bookmarkStart w:id="230" w:name="_Toc497213755"/>
      <w:bookmarkStart w:id="231" w:name="_Toc490222524"/>
      <w:bookmarkStart w:id="232" w:name="_Toc117597505"/>
      <w:bookmarkStart w:id="233" w:name="_Toc189651414"/>
      <w:bookmarkStart w:id="234" w:name="_Toc489279890"/>
      <w:bookmarkStart w:id="235" w:name="_Toc486580079"/>
      <w:r>
        <w:rPr>
          <w:rFonts w:hint="eastAsia" w:ascii="宋体" w:hAnsi="宋体" w:eastAsia="宋体" w:cs="宋体"/>
          <w:b/>
          <w:bCs/>
          <w:sz w:val="24"/>
          <w:szCs w:val="24"/>
          <w:lang w:eastAsia="zh-CN"/>
        </w:rPr>
        <w:t>4.3  分包</w:t>
      </w:r>
      <w:bookmarkEnd w:id="230"/>
      <w:bookmarkEnd w:id="231"/>
      <w:bookmarkEnd w:id="232"/>
      <w:bookmarkEnd w:id="233"/>
      <w:bookmarkEnd w:id="234"/>
      <w:bookmarkEnd w:id="235"/>
    </w:p>
    <w:p w14:paraId="133F37B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4.3.1  承包人不得将其承包的全部工程转包给第三人，或将其承包的全部工程肢解后以分包的名义转包给第三人。</w:t>
      </w:r>
    </w:p>
    <w:p w14:paraId="7B4A087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4.3.2  承包人不得将工程主体、关键性工作分包给第三人。</w:t>
      </w:r>
    </w:p>
    <w:p w14:paraId="623420B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4.3.3  未经发包人同意，承包人不得将其自行施工范围工程的其他部分或工作分包给第三人。发包人同意承包人分包的非主体、非关键性工作包括：</w:t>
      </w:r>
    </w:p>
    <w:p w14:paraId="04D7D1A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（1）参选函附录约定的分包工程；</w:t>
      </w:r>
    </w:p>
    <w:p w14:paraId="66924D2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（2）除参选函附录中约定的分包内容外，经过发包人和监理人同意的其他非主体、非关键性工作，但分包人应当经过发包人和监理人审批。发包人和监理人有权拒绝承包人的分包请求和承包人选择的分包人。</w:t>
      </w:r>
    </w:p>
    <w:p w14:paraId="15A6C37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4.3.4  发包人在工程量清单中给定暂估价的专业工程，包括从暂列金额开支的专业工程，达到依法应当招标的规模标准的，以及虽未达到规定的规模标准但合同中约定采用招标方式实施的，应当按第15.8.1项的约定，由发包人和承包人以招标方式确定专业分包人。除项目审批部门有特别核准外，暂估价的专业工程的招标应当采用与施工总承包同样的招标方式。</w:t>
      </w:r>
    </w:p>
    <w:p w14:paraId="39A4533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4.3.5  在相关分包合同签订并报送有关建设行政主管部门后7天内，承包人应当将一份副本提交给监理人，承包人应保障分包工作不得再次分包。</w:t>
      </w:r>
    </w:p>
    <w:p w14:paraId="701A23C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4.3.6  分包工程价款由承包人与分包人（包括专业分包人）结算。未经承包人同意，发包人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35DC44B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4.3.7  未经发包人和监理人审批同意的分包工程和分包人，发包人有权拒绝验收分包工程和支付相应款项，由此引起的承包人费用增加和（或）延误的工期由承包人承担。</w:t>
      </w:r>
    </w:p>
    <w:p w14:paraId="5E45FBC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4.3.8  分包人的资格能力应与其分包工程的标准和规模相适应。</w:t>
      </w:r>
    </w:p>
    <w:p w14:paraId="3DD8B11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4.3.9  发包人同意的分包工程，承包人应向发包人和监理人提供合同副本。</w:t>
      </w:r>
    </w:p>
    <w:p w14:paraId="3D0EE19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4.3.10  承包人应与分包人就分包工程向发包人承担连带责任。</w:t>
      </w:r>
    </w:p>
    <w:p w14:paraId="7EF0A7E7">
      <w:pPr>
        <w:keepNext/>
        <w:keepLines/>
        <w:spacing w:line="440" w:lineRule="exact"/>
        <w:ind w:firstLine="482" w:firstLineChars="200"/>
        <w:outlineLvl w:val="2"/>
        <w:rPr>
          <w:rFonts w:hint="eastAsia" w:ascii="宋体" w:hAnsi="宋体" w:eastAsia="宋体" w:cs="宋体"/>
          <w:b/>
          <w:bCs/>
          <w:sz w:val="24"/>
          <w:szCs w:val="24"/>
          <w:lang w:eastAsia="zh-CN"/>
        </w:rPr>
      </w:pPr>
      <w:bookmarkStart w:id="236" w:name="_Toc189651415"/>
      <w:bookmarkStart w:id="237" w:name="_Toc117597506"/>
      <w:bookmarkStart w:id="238" w:name="_Toc489279891"/>
      <w:bookmarkStart w:id="239" w:name="_Toc490222525"/>
      <w:bookmarkStart w:id="240" w:name="_Toc497213756"/>
      <w:bookmarkStart w:id="241" w:name="_Toc486580080"/>
      <w:r>
        <w:rPr>
          <w:rFonts w:hint="eastAsia" w:ascii="宋体" w:hAnsi="宋体" w:eastAsia="宋体" w:cs="宋体"/>
          <w:b/>
          <w:bCs/>
          <w:sz w:val="24"/>
          <w:szCs w:val="24"/>
          <w:lang w:eastAsia="zh-CN"/>
        </w:rPr>
        <w:t>4.4  联合体</w:t>
      </w:r>
      <w:bookmarkEnd w:id="236"/>
      <w:bookmarkEnd w:id="237"/>
      <w:bookmarkEnd w:id="238"/>
      <w:bookmarkEnd w:id="239"/>
      <w:bookmarkEnd w:id="240"/>
      <w:bookmarkEnd w:id="241"/>
    </w:p>
    <w:p w14:paraId="7166518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4.4.1  联合体各方应共同与发包人签订合同协议书。联合体各方应为履行合同承担连带责任。</w:t>
      </w:r>
    </w:p>
    <w:p w14:paraId="7D51ED8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4.4.2  联合体协议经发包人确认后作为合同附件。在履行合同过程中，未经发包人同意，不得修改联合体协议。</w:t>
      </w:r>
    </w:p>
    <w:p w14:paraId="4B120CE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4.4.3  联合体牵头人负责与发包人和监理人联系，并接受指示，负责组织联合体各成员全面履行合同。</w:t>
      </w:r>
    </w:p>
    <w:p w14:paraId="0E8641C1">
      <w:pPr>
        <w:keepNext/>
        <w:keepLines/>
        <w:spacing w:line="440" w:lineRule="exact"/>
        <w:ind w:firstLine="482" w:firstLineChars="200"/>
        <w:outlineLvl w:val="2"/>
        <w:rPr>
          <w:rFonts w:hint="eastAsia" w:ascii="宋体" w:hAnsi="宋体" w:eastAsia="宋体" w:cs="宋体"/>
          <w:b/>
          <w:bCs/>
          <w:sz w:val="24"/>
          <w:szCs w:val="24"/>
          <w:lang w:eastAsia="zh-CN"/>
        </w:rPr>
      </w:pPr>
      <w:bookmarkStart w:id="242" w:name="_Toc497213757"/>
      <w:bookmarkStart w:id="243" w:name="_Toc489279892"/>
      <w:bookmarkStart w:id="244" w:name="_Toc189651416"/>
      <w:bookmarkStart w:id="245" w:name="_Toc117597507"/>
      <w:bookmarkStart w:id="246" w:name="_Toc486580081"/>
      <w:bookmarkStart w:id="247" w:name="_Toc490222526"/>
      <w:r>
        <w:rPr>
          <w:rFonts w:hint="eastAsia" w:ascii="宋体" w:hAnsi="宋体" w:eastAsia="宋体" w:cs="宋体"/>
          <w:b/>
          <w:bCs/>
          <w:sz w:val="24"/>
          <w:szCs w:val="24"/>
          <w:lang w:eastAsia="zh-CN"/>
        </w:rPr>
        <w:t>4.5  承包人项目经理</w:t>
      </w:r>
      <w:bookmarkEnd w:id="242"/>
      <w:bookmarkEnd w:id="243"/>
      <w:bookmarkEnd w:id="244"/>
      <w:bookmarkEnd w:id="245"/>
      <w:bookmarkEnd w:id="246"/>
      <w:bookmarkEnd w:id="247"/>
    </w:p>
    <w:p w14:paraId="4F954D4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4.5.1  承包人项目经理必须与承包人参选时所承诺的人员一致，并在根据第11.1.1项确定的开工日期前到任。在监理人向承包人颁发（出具）工程接收证书前，项目经理不得同时兼任其他任何项目的项目经理。未经发包人书面许可，承包人不得更换项目经理。承包人项目经理的姓名、职称、身份证号、执业资格证书号、注册证书号、执业印章号、安全生产考核合格证书号等细节资料应当在合同协议书中载明。承包人更换项目经理应事先征得发包人同意，并应在更换14天前通知发包人和监理人。承包人项目经理短期离开施工场地，应事先征得监理人同意，并委派代表代行其职责。</w:t>
      </w:r>
    </w:p>
    <w:p w14:paraId="2DC341B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36BBD80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4.5.3  承包人为履行合同发出的一切函件均应盖有承包人授权的施工场地管理机构章，并由承包人项目经理或其授权代表签字。</w:t>
      </w:r>
    </w:p>
    <w:p w14:paraId="5F5C3FC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4.5.4  承包人项目经理可以授权其下属人员履行其某项职责，但事先应将这些人员的姓名和授权范围通知监理人。</w:t>
      </w:r>
    </w:p>
    <w:p w14:paraId="71072242">
      <w:pPr>
        <w:keepNext/>
        <w:keepLines/>
        <w:spacing w:line="440" w:lineRule="exact"/>
        <w:ind w:firstLine="482" w:firstLineChars="200"/>
        <w:outlineLvl w:val="2"/>
        <w:rPr>
          <w:rFonts w:hint="eastAsia" w:ascii="宋体" w:hAnsi="宋体" w:eastAsia="宋体" w:cs="宋体"/>
          <w:b/>
          <w:bCs/>
          <w:sz w:val="24"/>
          <w:szCs w:val="24"/>
          <w:lang w:eastAsia="zh-CN"/>
        </w:rPr>
      </w:pPr>
      <w:bookmarkStart w:id="248" w:name="_Toc489279893"/>
      <w:bookmarkStart w:id="249" w:name="_Toc497213758"/>
      <w:bookmarkStart w:id="250" w:name="_Toc117597508"/>
      <w:bookmarkStart w:id="251" w:name="_Toc490222527"/>
      <w:bookmarkStart w:id="252" w:name="_Toc189651417"/>
      <w:bookmarkStart w:id="253" w:name="_Toc486580082"/>
      <w:r>
        <w:rPr>
          <w:rFonts w:hint="eastAsia" w:ascii="宋体" w:hAnsi="宋体" w:eastAsia="宋体" w:cs="宋体"/>
          <w:b/>
          <w:bCs/>
          <w:sz w:val="24"/>
          <w:szCs w:val="24"/>
          <w:lang w:eastAsia="zh-CN"/>
        </w:rPr>
        <w:t>4.6  承包人人员的管理</w:t>
      </w:r>
      <w:bookmarkEnd w:id="248"/>
      <w:bookmarkEnd w:id="249"/>
      <w:bookmarkEnd w:id="250"/>
      <w:bookmarkEnd w:id="251"/>
      <w:bookmarkEnd w:id="252"/>
      <w:bookmarkEnd w:id="253"/>
    </w:p>
    <w:p w14:paraId="39BA38E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3827058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4.6.2  为完成合同约定的各项工作，承包人应向施工场地派遣或雇佣足够数量的下列人员：</w:t>
      </w:r>
    </w:p>
    <w:p w14:paraId="4C0B408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（1）具有相应资格的专业技工和合格的普工；</w:t>
      </w:r>
    </w:p>
    <w:p w14:paraId="66B6DE3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（2）具有相应施工经验的技术人员；</w:t>
      </w:r>
    </w:p>
    <w:p w14:paraId="107700A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（3）具有相应岗位资格的各级管理人员（包含符合工程项目规模和技术难度的涉及消防各专业齐全、具备相应能力的质量管理人员）。</w:t>
      </w:r>
    </w:p>
    <w:p w14:paraId="405FD98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4.6.3  承包人安排在施工场地的主要管理人员和技术骨干应相对稳定。承包人更换主要管理人员和技术骨干时，应取得监理人的同意。</w:t>
      </w:r>
    </w:p>
    <w:p w14:paraId="382832D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4.6.4  特殊岗位的工作人员均应持有相应的资格证明，监理人有权随时检查。监理人认为有必要时，可进行现场考核。</w:t>
      </w:r>
    </w:p>
    <w:p w14:paraId="7932F0B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4.6.5  严格落实疫情防控常态化有关要求，核实项目人员身份及做好人员健康信息档案，不使用零散工和无健康信息的劳务人员， 不得使用按照有关规定需要隔离观察的劳务人员；现场进口设立体温监测点，对所有进入施工现场人员进行体温检测和“健康码”查验，核对人员身份和健康状况，凡有发热、干咳等症状的，禁止其进入，并及时报告和妥善处置；在人员密集的封闭场所与他人小于1米距离接触时要佩戴口罩。同时加强公共卫生教育培训，引导施工现场人员养成勤洗手、常通风、科学佩戴口罩、使用公勺公筷等良好卫生习惯，确保疫情防控管理常态化。</w:t>
      </w:r>
    </w:p>
    <w:p w14:paraId="3249866E">
      <w:pPr>
        <w:keepNext/>
        <w:keepLines/>
        <w:spacing w:line="440" w:lineRule="exact"/>
        <w:ind w:firstLine="482" w:firstLineChars="200"/>
        <w:outlineLvl w:val="2"/>
        <w:rPr>
          <w:rFonts w:hint="eastAsia" w:ascii="宋体" w:hAnsi="宋体" w:eastAsia="宋体" w:cs="宋体"/>
          <w:b/>
          <w:bCs/>
          <w:sz w:val="24"/>
          <w:szCs w:val="24"/>
          <w:lang w:eastAsia="zh-CN"/>
        </w:rPr>
      </w:pPr>
      <w:bookmarkStart w:id="254" w:name="_Toc117597509"/>
      <w:bookmarkStart w:id="255" w:name="_Toc489279894"/>
      <w:bookmarkStart w:id="256" w:name="_Toc497213759"/>
      <w:bookmarkStart w:id="257" w:name="_Toc189651418"/>
      <w:bookmarkStart w:id="258" w:name="_Toc490222528"/>
      <w:bookmarkStart w:id="259" w:name="_Toc486580083"/>
      <w:r>
        <w:rPr>
          <w:rFonts w:hint="eastAsia" w:ascii="宋体" w:hAnsi="宋体" w:eastAsia="宋体" w:cs="宋体"/>
          <w:b/>
          <w:bCs/>
          <w:sz w:val="24"/>
          <w:szCs w:val="24"/>
          <w:lang w:eastAsia="zh-CN"/>
        </w:rPr>
        <w:t>4.7  撤换承包人项目经理和其他人员</w:t>
      </w:r>
      <w:bookmarkEnd w:id="254"/>
      <w:bookmarkEnd w:id="255"/>
      <w:bookmarkEnd w:id="256"/>
      <w:bookmarkEnd w:id="257"/>
      <w:bookmarkEnd w:id="258"/>
      <w:bookmarkEnd w:id="259"/>
    </w:p>
    <w:p w14:paraId="49B6FDC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承包人应对其项目经理和其他人员进行有效管理。监理人要求撤换不能胜任本职工作、行为不端或玩忽职守的承包人项目经理和其他人员的，承包人应予以撤换。</w:t>
      </w:r>
    </w:p>
    <w:p w14:paraId="0C33AB7E">
      <w:pPr>
        <w:keepNext/>
        <w:keepLines/>
        <w:spacing w:line="440" w:lineRule="exact"/>
        <w:ind w:firstLine="482" w:firstLineChars="200"/>
        <w:outlineLvl w:val="2"/>
        <w:rPr>
          <w:rFonts w:hint="eastAsia" w:ascii="宋体" w:hAnsi="宋体" w:eastAsia="宋体" w:cs="宋体"/>
          <w:b/>
          <w:bCs/>
          <w:sz w:val="24"/>
          <w:szCs w:val="24"/>
          <w:lang w:eastAsia="zh-CN"/>
        </w:rPr>
      </w:pPr>
      <w:bookmarkStart w:id="260" w:name="_Toc486580084"/>
      <w:bookmarkStart w:id="261" w:name="_Toc497213760"/>
      <w:bookmarkStart w:id="262" w:name="_Toc489279895"/>
      <w:bookmarkStart w:id="263" w:name="_Toc189651419"/>
      <w:bookmarkStart w:id="264" w:name="_Toc117597510"/>
      <w:bookmarkStart w:id="265" w:name="_Toc490222529"/>
      <w:r>
        <w:rPr>
          <w:rFonts w:hint="eastAsia" w:ascii="宋体" w:hAnsi="宋体" w:eastAsia="宋体" w:cs="宋体"/>
          <w:b/>
          <w:bCs/>
          <w:sz w:val="24"/>
          <w:szCs w:val="24"/>
          <w:lang w:eastAsia="zh-CN"/>
        </w:rPr>
        <w:t>4.8  保障承包人人员的合法权益</w:t>
      </w:r>
      <w:bookmarkEnd w:id="260"/>
      <w:bookmarkEnd w:id="261"/>
      <w:bookmarkEnd w:id="262"/>
      <w:bookmarkEnd w:id="263"/>
      <w:bookmarkEnd w:id="264"/>
      <w:bookmarkEnd w:id="265"/>
    </w:p>
    <w:p w14:paraId="3546CA9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4.8.1  承包人应与其雇佣的人员签订劳动合同，并按时发放工资。</w:t>
      </w:r>
    </w:p>
    <w:p w14:paraId="77D6666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4.8.2  承包人应按劳动法的规定安排工作时间，保证其雇佣人员享有休息和休假的权利。因工程施工的特殊需要占用休假日或延长工作时间的，应不超过法律规定的限度，并按法律规定给予补休或付酬。</w:t>
      </w:r>
    </w:p>
    <w:p w14:paraId="7722968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4.8.3  承包人应为其雇佣人员提供必要的食宿条件，以及符合环境保护和卫生要求的生活环境，在远离城镇的施工场地，还应配备必要的伤病防治和急救的医务人员与医疗设施。</w:t>
      </w:r>
    </w:p>
    <w:p w14:paraId="04F61D5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70D0CAD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4.8.5  承包人应按有关法律规定和合同约定，为其雇佣人员办理保险。</w:t>
      </w:r>
    </w:p>
    <w:p w14:paraId="1503002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4.8.6  承包人应负责处理其雇佣人员因工伤亡事故的善后事宜。</w:t>
      </w:r>
    </w:p>
    <w:p w14:paraId="2F290AC5">
      <w:pPr>
        <w:keepNext/>
        <w:keepLines/>
        <w:spacing w:line="440" w:lineRule="exact"/>
        <w:ind w:firstLine="482" w:firstLineChars="200"/>
        <w:outlineLvl w:val="2"/>
        <w:rPr>
          <w:rFonts w:hint="eastAsia" w:ascii="宋体" w:hAnsi="宋体" w:eastAsia="宋体" w:cs="宋体"/>
          <w:b/>
          <w:bCs/>
          <w:sz w:val="24"/>
          <w:szCs w:val="24"/>
          <w:lang w:eastAsia="zh-CN"/>
        </w:rPr>
      </w:pPr>
      <w:bookmarkStart w:id="266" w:name="_Toc497213761"/>
      <w:bookmarkStart w:id="267" w:name="_Toc486580085"/>
      <w:bookmarkStart w:id="268" w:name="_Toc489279896"/>
      <w:bookmarkStart w:id="269" w:name="_Toc117597511"/>
      <w:bookmarkStart w:id="270" w:name="_Toc189651420"/>
      <w:bookmarkStart w:id="271" w:name="_Toc490222530"/>
      <w:r>
        <w:rPr>
          <w:rFonts w:hint="eastAsia" w:ascii="宋体" w:hAnsi="宋体" w:eastAsia="宋体" w:cs="宋体"/>
          <w:b/>
          <w:bCs/>
          <w:sz w:val="24"/>
          <w:szCs w:val="24"/>
          <w:lang w:eastAsia="zh-CN"/>
        </w:rPr>
        <w:t>4.9  工程价款应专款专用</w:t>
      </w:r>
      <w:bookmarkEnd w:id="266"/>
      <w:bookmarkEnd w:id="267"/>
      <w:bookmarkEnd w:id="268"/>
      <w:bookmarkEnd w:id="269"/>
      <w:bookmarkEnd w:id="270"/>
      <w:bookmarkEnd w:id="271"/>
    </w:p>
    <w:p w14:paraId="548EE90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发包人按合同约定支付给承包人的各项价款应专用于合同工程。</w:t>
      </w:r>
    </w:p>
    <w:p w14:paraId="098F8E7D">
      <w:pPr>
        <w:keepNext/>
        <w:keepLines/>
        <w:spacing w:line="440" w:lineRule="exact"/>
        <w:ind w:firstLine="482" w:firstLineChars="200"/>
        <w:outlineLvl w:val="2"/>
        <w:rPr>
          <w:rFonts w:hint="eastAsia" w:ascii="宋体" w:hAnsi="宋体" w:eastAsia="宋体" w:cs="宋体"/>
          <w:b/>
          <w:bCs/>
          <w:sz w:val="24"/>
          <w:szCs w:val="24"/>
          <w:lang w:eastAsia="zh-CN"/>
        </w:rPr>
      </w:pPr>
      <w:bookmarkStart w:id="272" w:name="_Toc489279897"/>
      <w:bookmarkStart w:id="273" w:name="_Toc117597512"/>
      <w:bookmarkStart w:id="274" w:name="_Toc497213762"/>
      <w:bookmarkStart w:id="275" w:name="_Toc486580086"/>
      <w:bookmarkStart w:id="276" w:name="_Toc490222531"/>
      <w:bookmarkStart w:id="277" w:name="_Toc189651421"/>
      <w:r>
        <w:rPr>
          <w:rFonts w:hint="eastAsia" w:ascii="宋体" w:hAnsi="宋体" w:eastAsia="宋体" w:cs="宋体"/>
          <w:b/>
          <w:bCs/>
          <w:sz w:val="24"/>
          <w:szCs w:val="24"/>
          <w:lang w:eastAsia="zh-CN"/>
        </w:rPr>
        <w:t>4.10  承包人现场查勘</w:t>
      </w:r>
      <w:bookmarkEnd w:id="272"/>
      <w:bookmarkEnd w:id="273"/>
      <w:bookmarkEnd w:id="274"/>
      <w:bookmarkEnd w:id="275"/>
      <w:bookmarkEnd w:id="276"/>
      <w:bookmarkEnd w:id="277"/>
    </w:p>
    <w:p w14:paraId="635A011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4.10.1  发包人应将其持有的现场地质勘探资料、水文气象资料提供给承包人，并对其准确性负责。但承包人应对其阅读上述有关资料后所作出的解释和推断负责。</w:t>
      </w:r>
    </w:p>
    <w:p w14:paraId="0EE7B0B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14:paraId="6973E1AE">
      <w:pPr>
        <w:keepNext/>
        <w:keepLines/>
        <w:spacing w:line="440" w:lineRule="exact"/>
        <w:ind w:firstLine="482" w:firstLineChars="200"/>
        <w:outlineLvl w:val="2"/>
        <w:rPr>
          <w:rFonts w:hint="eastAsia" w:ascii="宋体" w:hAnsi="宋体" w:eastAsia="宋体" w:cs="宋体"/>
          <w:b/>
          <w:bCs/>
          <w:sz w:val="24"/>
          <w:szCs w:val="24"/>
          <w:lang w:eastAsia="zh-CN"/>
        </w:rPr>
      </w:pPr>
      <w:bookmarkStart w:id="278" w:name="_Toc189651422"/>
      <w:bookmarkStart w:id="279" w:name="_Toc497213763"/>
      <w:bookmarkStart w:id="280" w:name="_Toc486580087"/>
      <w:bookmarkStart w:id="281" w:name="_Toc117597513"/>
      <w:bookmarkStart w:id="282" w:name="_Toc489279898"/>
      <w:bookmarkStart w:id="283" w:name="_Toc490222532"/>
      <w:r>
        <w:rPr>
          <w:rFonts w:hint="eastAsia" w:ascii="宋体" w:hAnsi="宋体" w:eastAsia="宋体" w:cs="宋体"/>
          <w:b/>
          <w:bCs/>
          <w:sz w:val="24"/>
          <w:szCs w:val="24"/>
          <w:lang w:eastAsia="zh-CN"/>
        </w:rPr>
        <w:t>4.11  不利物质条件</w:t>
      </w:r>
      <w:bookmarkEnd w:id="278"/>
      <w:bookmarkEnd w:id="279"/>
      <w:bookmarkEnd w:id="280"/>
      <w:bookmarkEnd w:id="281"/>
      <w:bookmarkEnd w:id="282"/>
      <w:bookmarkEnd w:id="283"/>
    </w:p>
    <w:p w14:paraId="1DA5B1B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4.11.1  不利物质条件一般是指承包人在施工场地遇到的不可预见的自然物质条件、非自然的物质障碍和污染物，包括地下和水文条件，但不包括气候条件。不利物质条件的具体范围见合同条款专用部分。</w:t>
      </w:r>
    </w:p>
    <w:p w14:paraId="789EB93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4.11.2  承包人遇到不利物质条件时，应采取适应不利物质条件的合理措施继续施工，并及时通知监理人。监理人应当及时发出指示，指示构成变更的，按第15条约定办理。监理人没有发出指示的，承包人因采取合理措施增加的费用和（或）工期延误，由发包人承担。</w:t>
      </w:r>
    </w:p>
    <w:p w14:paraId="7C33DAED">
      <w:pPr>
        <w:keepNext/>
        <w:keepLines/>
        <w:spacing w:line="440" w:lineRule="exact"/>
        <w:ind w:firstLine="482" w:firstLineChars="200"/>
        <w:outlineLvl w:val="1"/>
        <w:rPr>
          <w:rFonts w:hint="eastAsia" w:ascii="宋体" w:hAnsi="宋体" w:eastAsia="宋体" w:cs="宋体"/>
          <w:b/>
          <w:bCs/>
          <w:sz w:val="24"/>
          <w:szCs w:val="24"/>
          <w:lang w:eastAsia="zh-CN"/>
        </w:rPr>
      </w:pPr>
      <w:bookmarkStart w:id="284" w:name="_Toc189651423"/>
      <w:bookmarkStart w:id="285" w:name="_Toc497213764"/>
      <w:bookmarkStart w:id="286" w:name="_Toc117597514"/>
      <w:bookmarkStart w:id="287" w:name="_Toc489279899"/>
      <w:bookmarkStart w:id="288" w:name="_Toc486580088"/>
      <w:bookmarkStart w:id="289" w:name="_Toc490222533"/>
      <w:r>
        <w:rPr>
          <w:rFonts w:hint="eastAsia" w:ascii="宋体" w:hAnsi="宋体" w:eastAsia="宋体" w:cs="宋体"/>
          <w:b/>
          <w:bCs/>
          <w:sz w:val="24"/>
          <w:szCs w:val="24"/>
          <w:lang w:eastAsia="zh-CN"/>
        </w:rPr>
        <w:t>5.材料和工程设备</w:t>
      </w:r>
      <w:bookmarkEnd w:id="284"/>
      <w:bookmarkEnd w:id="285"/>
      <w:bookmarkEnd w:id="286"/>
      <w:bookmarkEnd w:id="287"/>
      <w:bookmarkEnd w:id="288"/>
      <w:bookmarkEnd w:id="289"/>
    </w:p>
    <w:p w14:paraId="6C62AA9C">
      <w:pPr>
        <w:keepNext/>
        <w:keepLines/>
        <w:spacing w:line="440" w:lineRule="exact"/>
        <w:ind w:firstLine="482" w:firstLineChars="200"/>
        <w:outlineLvl w:val="2"/>
        <w:rPr>
          <w:rFonts w:hint="eastAsia" w:ascii="宋体" w:hAnsi="宋体" w:eastAsia="宋体" w:cs="宋体"/>
          <w:b/>
          <w:bCs/>
          <w:sz w:val="24"/>
          <w:szCs w:val="24"/>
          <w:lang w:eastAsia="zh-CN"/>
        </w:rPr>
      </w:pPr>
      <w:bookmarkStart w:id="290" w:name="_Toc117597515"/>
      <w:bookmarkStart w:id="291" w:name="_Toc490222534"/>
      <w:bookmarkStart w:id="292" w:name="_Toc489279900"/>
      <w:bookmarkStart w:id="293" w:name="_Toc189651424"/>
      <w:bookmarkStart w:id="294" w:name="_Toc497213765"/>
      <w:bookmarkStart w:id="295" w:name="_Toc486580089"/>
      <w:r>
        <w:rPr>
          <w:rFonts w:hint="eastAsia" w:ascii="宋体" w:hAnsi="宋体" w:eastAsia="宋体" w:cs="宋体"/>
          <w:b/>
          <w:bCs/>
          <w:sz w:val="24"/>
          <w:szCs w:val="24"/>
          <w:lang w:eastAsia="zh-CN"/>
        </w:rPr>
        <w:t>5.1  承包人提供的材料和工程设备</w:t>
      </w:r>
      <w:bookmarkEnd w:id="290"/>
      <w:bookmarkEnd w:id="291"/>
      <w:bookmarkEnd w:id="292"/>
      <w:bookmarkEnd w:id="293"/>
      <w:bookmarkEnd w:id="294"/>
      <w:bookmarkEnd w:id="295"/>
    </w:p>
    <w:p w14:paraId="20380DE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5.1.1  除第5.2款约定由发包人提供的材料和工程设备外，由承包人提供的材料和工程设备均由承包人负责采购、运输和保管。但是，发包人在工程量清单中给定暂估价的材料和工程设备，包括从暂列金额开支的材料和工程设备，其中属于依法必须招标的范围并达到规定的规模标准的，以及虽不属于依法必须招标的范围但合同中约定采用招标方式采购的，应当按第15.8.1项的约定，由发包人和承包人以招标方式确定专项供应商。承包人负责提供的主要材料和工程设备清单见合同条款专用部分“附件三：承包人提供的材料和工程设备一览表”。</w:t>
      </w:r>
    </w:p>
    <w:p w14:paraId="2179E15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5.1.2  承包人应在合同约定的期限内，将各项材料和工程设备的供货人和品种、规格、数量及供货时间等报送监理人审批。承包人应向监理人提交其负责提供的材料和工程设备的质量证明文件，并满足合同约定的质量标准。承包人将其提供的各项材料和工程设备的供货人和品种、规格、数量及供货时间等报送监理人审批的期限见合同条款专用部分。</w:t>
      </w:r>
    </w:p>
    <w:p w14:paraId="5BC65D3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5.1.3  对承包人提供的材料和工程设备，承包人应会同监理人进行检验和交货验收，查验材料合格证明和产品合格证书，并按照合同约定和监理人指示，进行材料的抽样检验和工程设备的检验测试，检验和测试结果应提交监理人，所需费用由承包人承担。</w:t>
      </w:r>
    </w:p>
    <w:p w14:paraId="63F39B17">
      <w:pPr>
        <w:keepNext/>
        <w:keepLines/>
        <w:spacing w:line="440" w:lineRule="exact"/>
        <w:ind w:firstLine="482" w:firstLineChars="200"/>
        <w:outlineLvl w:val="2"/>
        <w:rPr>
          <w:rFonts w:hint="eastAsia" w:ascii="宋体" w:hAnsi="宋体" w:eastAsia="宋体" w:cs="宋体"/>
          <w:b/>
          <w:bCs/>
          <w:sz w:val="24"/>
          <w:szCs w:val="24"/>
          <w:lang w:eastAsia="zh-CN"/>
        </w:rPr>
      </w:pPr>
      <w:bookmarkStart w:id="296" w:name="_Toc117597516"/>
      <w:bookmarkStart w:id="297" w:name="_Toc189651425"/>
      <w:bookmarkStart w:id="298" w:name="_Toc489279901"/>
      <w:bookmarkStart w:id="299" w:name="_Toc490222535"/>
      <w:bookmarkStart w:id="300" w:name="_Toc486580090"/>
      <w:bookmarkStart w:id="301" w:name="_Toc497213766"/>
      <w:r>
        <w:rPr>
          <w:rFonts w:hint="eastAsia" w:ascii="宋体" w:hAnsi="宋体" w:eastAsia="宋体" w:cs="宋体"/>
          <w:b/>
          <w:bCs/>
          <w:sz w:val="24"/>
          <w:szCs w:val="24"/>
          <w:lang w:eastAsia="zh-CN"/>
        </w:rPr>
        <w:t>5.2  发包人提供的材料和工程设备</w:t>
      </w:r>
      <w:bookmarkEnd w:id="296"/>
      <w:bookmarkEnd w:id="297"/>
      <w:bookmarkEnd w:id="298"/>
      <w:bookmarkEnd w:id="299"/>
      <w:bookmarkEnd w:id="300"/>
      <w:bookmarkEnd w:id="301"/>
    </w:p>
    <w:p w14:paraId="1391A87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5.2.1  发包人负责提供的材料和工程设备的名称、规格、数量、价格、交货方式、交货地点和计划交货日期等见合同条款专用部分“附件三：发包人提供的材料和工程设备一览表”。</w:t>
      </w:r>
    </w:p>
    <w:p w14:paraId="55F867F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5.2.2  承包人应根据合同进度计划的安排，向监理人报送要求发包人交货的日期计划。发包人应按照监理人与合同双方当事人商定的交货日期，向承包人提交材料和工程设备。</w:t>
      </w:r>
    </w:p>
    <w:p w14:paraId="35B887C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5.2.3  发包人应在材料和工程设备到货7天前通知承包人，承包人应会同监理人在约定的时间内，赴交货地点共同进行验收。由发包人提供的材料和工程设备验收后，由承包人负责接收、运输和保管。</w:t>
      </w:r>
    </w:p>
    <w:p w14:paraId="033DC77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5.2.4  发包人要求向承包人提前交货的，承包人不得拒绝，但发包人应承担承包人由此增加的费用。 </w:t>
      </w:r>
    </w:p>
    <w:p w14:paraId="741A08D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5.2.5  承包人要求更改交货日期或地点的，应事先报请监理人批准。由于承包人要求更改交货时间或地点所增加的费用和（或）工期延误由承包人承担。 </w:t>
      </w:r>
    </w:p>
    <w:p w14:paraId="25D19CB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14:paraId="7576C278">
      <w:pPr>
        <w:keepNext/>
        <w:keepLines/>
        <w:spacing w:line="440" w:lineRule="exact"/>
        <w:ind w:firstLine="482" w:firstLineChars="200"/>
        <w:outlineLvl w:val="2"/>
        <w:rPr>
          <w:rFonts w:hint="eastAsia" w:ascii="宋体" w:hAnsi="宋体" w:eastAsia="宋体" w:cs="宋体"/>
          <w:b/>
          <w:bCs/>
          <w:sz w:val="24"/>
          <w:szCs w:val="24"/>
          <w:lang w:eastAsia="zh-CN"/>
        </w:rPr>
      </w:pPr>
      <w:bookmarkStart w:id="302" w:name="_Toc117597517"/>
      <w:bookmarkStart w:id="303" w:name="_Toc189651426"/>
      <w:bookmarkStart w:id="304" w:name="_Toc490222536"/>
      <w:bookmarkStart w:id="305" w:name="_Toc497213767"/>
      <w:bookmarkStart w:id="306" w:name="_Toc489279902"/>
      <w:bookmarkStart w:id="307" w:name="_Toc486580091"/>
      <w:r>
        <w:rPr>
          <w:rFonts w:hint="eastAsia" w:ascii="宋体" w:hAnsi="宋体" w:eastAsia="宋体" w:cs="宋体"/>
          <w:b/>
          <w:bCs/>
          <w:sz w:val="24"/>
          <w:szCs w:val="24"/>
          <w:lang w:eastAsia="zh-CN"/>
        </w:rPr>
        <w:t>5.3  材料和工程设备专用于合同工程</w:t>
      </w:r>
      <w:bookmarkEnd w:id="302"/>
      <w:bookmarkEnd w:id="303"/>
      <w:bookmarkEnd w:id="304"/>
      <w:bookmarkEnd w:id="305"/>
      <w:bookmarkEnd w:id="306"/>
      <w:bookmarkEnd w:id="307"/>
    </w:p>
    <w:p w14:paraId="680F5E3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5.3.1  运入施工场地的材料、工程设备，包括备品备件、安装专用工器具与随机资料，必须专用于合同工程，未经监理人同意，承包人不得运出施工场地或挪作他用。</w:t>
      </w:r>
    </w:p>
    <w:p w14:paraId="309D6D8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227F5A7D">
      <w:pPr>
        <w:keepNext/>
        <w:keepLines/>
        <w:spacing w:line="440" w:lineRule="exact"/>
        <w:ind w:firstLine="482" w:firstLineChars="200"/>
        <w:outlineLvl w:val="2"/>
        <w:rPr>
          <w:rFonts w:hint="eastAsia" w:ascii="宋体" w:hAnsi="宋体" w:eastAsia="宋体" w:cs="宋体"/>
          <w:b/>
          <w:bCs/>
          <w:sz w:val="24"/>
          <w:szCs w:val="24"/>
          <w:lang w:eastAsia="zh-CN"/>
        </w:rPr>
      </w:pPr>
      <w:bookmarkStart w:id="308" w:name="_Toc189651427"/>
      <w:bookmarkStart w:id="309" w:name="_Toc489279903"/>
      <w:bookmarkStart w:id="310" w:name="_Toc117597518"/>
      <w:bookmarkStart w:id="311" w:name="_Toc490222537"/>
      <w:bookmarkStart w:id="312" w:name="_Toc497213768"/>
      <w:bookmarkStart w:id="313" w:name="_Toc486580092"/>
      <w:r>
        <w:rPr>
          <w:rFonts w:hint="eastAsia" w:ascii="宋体" w:hAnsi="宋体" w:eastAsia="宋体" w:cs="宋体"/>
          <w:b/>
          <w:bCs/>
          <w:sz w:val="24"/>
          <w:szCs w:val="24"/>
          <w:lang w:eastAsia="zh-CN"/>
        </w:rPr>
        <w:t>5.4  禁止使用不合格的材料和工程设备</w:t>
      </w:r>
      <w:bookmarkEnd w:id="308"/>
      <w:bookmarkEnd w:id="309"/>
      <w:bookmarkEnd w:id="310"/>
      <w:bookmarkEnd w:id="311"/>
      <w:bookmarkEnd w:id="312"/>
      <w:bookmarkEnd w:id="313"/>
    </w:p>
    <w:p w14:paraId="0ABF38B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5.4.1  监理人有权拒绝承包人提供的不合格材料或工程设备，并要求承包人立即进行更换。监理人应在更换后再次进行检查和检验，由此增加的费用和（或）工期延误由承包人承担。</w:t>
      </w:r>
    </w:p>
    <w:p w14:paraId="64EF8D0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5.4.2  监理人发现承包人使用了不合格的材料和工程设备，应即时发出指示要求承包人立即改正，并禁止在工程中继续使用不合格的材料和工程设备。</w:t>
      </w:r>
    </w:p>
    <w:p w14:paraId="55017F5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5.4.3  发包人提供的材料或工程设备不符合合同要求的，承包人有权拒绝，并可要求发包人更换，由此增加的费用和（或）工期延误由发包人承担。</w:t>
      </w:r>
    </w:p>
    <w:p w14:paraId="357ED884">
      <w:pPr>
        <w:keepNext/>
        <w:keepLines/>
        <w:spacing w:line="440" w:lineRule="exact"/>
        <w:ind w:firstLine="482" w:firstLineChars="200"/>
        <w:outlineLvl w:val="1"/>
        <w:rPr>
          <w:rFonts w:hint="eastAsia" w:ascii="宋体" w:hAnsi="宋体" w:eastAsia="宋体" w:cs="宋体"/>
          <w:b/>
          <w:bCs/>
          <w:sz w:val="24"/>
          <w:szCs w:val="24"/>
          <w:lang w:eastAsia="zh-CN"/>
        </w:rPr>
      </w:pPr>
      <w:bookmarkStart w:id="314" w:name="_Toc497213769"/>
      <w:bookmarkStart w:id="315" w:name="_Toc489279904"/>
      <w:bookmarkStart w:id="316" w:name="_Toc486580093"/>
      <w:bookmarkStart w:id="317" w:name="_Toc189651428"/>
      <w:bookmarkStart w:id="318" w:name="_Toc490222538"/>
      <w:bookmarkStart w:id="319" w:name="_Toc117597519"/>
      <w:r>
        <w:rPr>
          <w:rFonts w:hint="eastAsia" w:ascii="宋体" w:hAnsi="宋体" w:eastAsia="宋体" w:cs="宋体"/>
          <w:b/>
          <w:bCs/>
          <w:sz w:val="24"/>
          <w:szCs w:val="24"/>
          <w:lang w:eastAsia="zh-CN"/>
        </w:rPr>
        <w:t>6.施工设备和临时设施</w:t>
      </w:r>
      <w:bookmarkEnd w:id="314"/>
      <w:bookmarkEnd w:id="315"/>
      <w:bookmarkEnd w:id="316"/>
      <w:bookmarkEnd w:id="317"/>
      <w:bookmarkEnd w:id="318"/>
      <w:bookmarkEnd w:id="319"/>
    </w:p>
    <w:p w14:paraId="5E45045C">
      <w:pPr>
        <w:keepNext/>
        <w:keepLines/>
        <w:spacing w:line="440" w:lineRule="exact"/>
        <w:ind w:firstLine="482" w:firstLineChars="200"/>
        <w:outlineLvl w:val="2"/>
        <w:rPr>
          <w:rFonts w:hint="eastAsia" w:ascii="宋体" w:hAnsi="宋体" w:eastAsia="宋体" w:cs="宋体"/>
          <w:b/>
          <w:bCs/>
          <w:sz w:val="24"/>
          <w:szCs w:val="24"/>
          <w:lang w:eastAsia="zh-CN"/>
        </w:rPr>
      </w:pPr>
      <w:bookmarkStart w:id="320" w:name="_Toc489279905"/>
      <w:bookmarkStart w:id="321" w:name="_Toc490222539"/>
      <w:bookmarkStart w:id="322" w:name="_Toc189651429"/>
      <w:bookmarkStart w:id="323" w:name="_Toc117597520"/>
      <w:bookmarkStart w:id="324" w:name="_Toc497213770"/>
      <w:bookmarkStart w:id="325" w:name="_Toc486580094"/>
      <w:r>
        <w:rPr>
          <w:rFonts w:hint="eastAsia" w:ascii="宋体" w:hAnsi="宋体" w:eastAsia="宋体" w:cs="宋体"/>
          <w:b/>
          <w:bCs/>
          <w:sz w:val="24"/>
          <w:szCs w:val="24"/>
          <w:lang w:eastAsia="zh-CN"/>
        </w:rPr>
        <w:t>6.1  承包人提供的施工设备和临时设施</w:t>
      </w:r>
      <w:bookmarkEnd w:id="320"/>
      <w:bookmarkEnd w:id="321"/>
      <w:bookmarkEnd w:id="322"/>
      <w:bookmarkEnd w:id="323"/>
      <w:bookmarkEnd w:id="324"/>
      <w:bookmarkEnd w:id="325"/>
    </w:p>
    <w:p w14:paraId="18C5376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6.1.1  承包人应按合同进度计划的要求，及时配置施工设备和修建临时设施。进入施工场地的承包人设备需经监理人核查后才能投入使用。承包人更换合同约定的承包人设备的，应报监理人批准。</w:t>
      </w:r>
    </w:p>
    <w:p w14:paraId="60EB5F8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6.1.2  除合同另有约定外，承包人应承担自行修建临时设施的费用。需要临时占地的，应由发包人办理申请手续并承担相应费用。承包人自行修建临时设施的范围以及所需临时占地见合同条款专用部分。</w:t>
      </w:r>
    </w:p>
    <w:p w14:paraId="40BCBA93">
      <w:pPr>
        <w:keepNext/>
        <w:keepLines/>
        <w:spacing w:line="440" w:lineRule="exact"/>
        <w:ind w:firstLine="482" w:firstLineChars="200"/>
        <w:outlineLvl w:val="2"/>
        <w:rPr>
          <w:rFonts w:hint="eastAsia" w:ascii="宋体" w:hAnsi="宋体" w:eastAsia="宋体" w:cs="宋体"/>
          <w:b/>
          <w:bCs/>
          <w:sz w:val="24"/>
          <w:szCs w:val="24"/>
          <w:lang w:eastAsia="zh-CN"/>
        </w:rPr>
      </w:pPr>
      <w:bookmarkStart w:id="326" w:name="_Toc117597521"/>
      <w:bookmarkStart w:id="327" w:name="_Toc490222540"/>
      <w:bookmarkStart w:id="328" w:name="_Toc489279906"/>
      <w:bookmarkStart w:id="329" w:name="_Toc497213771"/>
      <w:bookmarkStart w:id="330" w:name="_Toc486580095"/>
      <w:bookmarkStart w:id="331" w:name="_Toc189651430"/>
      <w:r>
        <w:rPr>
          <w:rFonts w:hint="eastAsia" w:ascii="宋体" w:hAnsi="宋体" w:eastAsia="宋体" w:cs="宋体"/>
          <w:b/>
          <w:bCs/>
          <w:sz w:val="24"/>
          <w:szCs w:val="24"/>
          <w:lang w:eastAsia="zh-CN"/>
        </w:rPr>
        <w:t>6.2  发包人提供的施工设备和临时设施</w:t>
      </w:r>
      <w:bookmarkEnd w:id="326"/>
      <w:bookmarkEnd w:id="327"/>
      <w:bookmarkEnd w:id="328"/>
      <w:bookmarkEnd w:id="329"/>
      <w:bookmarkEnd w:id="330"/>
      <w:bookmarkEnd w:id="331"/>
    </w:p>
    <w:p w14:paraId="234E6EE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发包人提供的施工设备或临时设施，以及相关运行、维护、拆除、清运费用的承担人见合同条款专用部分。</w:t>
      </w:r>
    </w:p>
    <w:p w14:paraId="13012AB3">
      <w:pPr>
        <w:keepNext/>
        <w:keepLines/>
        <w:spacing w:line="440" w:lineRule="exact"/>
        <w:ind w:firstLine="482" w:firstLineChars="200"/>
        <w:outlineLvl w:val="2"/>
        <w:rPr>
          <w:rFonts w:hint="eastAsia" w:ascii="宋体" w:hAnsi="宋体" w:eastAsia="宋体" w:cs="宋体"/>
          <w:b/>
          <w:bCs/>
          <w:sz w:val="24"/>
          <w:szCs w:val="24"/>
          <w:lang w:eastAsia="zh-CN"/>
        </w:rPr>
      </w:pPr>
      <w:bookmarkStart w:id="332" w:name="_Toc117597522"/>
      <w:bookmarkStart w:id="333" w:name="_Toc497213772"/>
      <w:bookmarkStart w:id="334" w:name="_Toc489279907"/>
      <w:bookmarkStart w:id="335" w:name="_Toc189651431"/>
      <w:bookmarkStart w:id="336" w:name="_Toc490222541"/>
      <w:bookmarkStart w:id="337" w:name="_Toc486580096"/>
      <w:r>
        <w:rPr>
          <w:rFonts w:hint="eastAsia" w:ascii="宋体" w:hAnsi="宋体" w:eastAsia="宋体" w:cs="宋体"/>
          <w:b/>
          <w:bCs/>
          <w:sz w:val="24"/>
          <w:szCs w:val="24"/>
          <w:lang w:eastAsia="zh-CN"/>
        </w:rPr>
        <w:t>6.3  要求承包人增加或更换施工设备</w:t>
      </w:r>
      <w:bookmarkEnd w:id="332"/>
      <w:bookmarkEnd w:id="333"/>
      <w:bookmarkEnd w:id="334"/>
      <w:bookmarkEnd w:id="335"/>
      <w:bookmarkEnd w:id="336"/>
      <w:bookmarkEnd w:id="337"/>
    </w:p>
    <w:p w14:paraId="2ECFD0E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承包人使用的施工设备不能满足合同进度计划和（或）质量要求时，监理人有权要求承包人增加或更换施工设备，承包人应及时增加或更换，由此增加的费用和（或）工期延误由承包人承担。</w:t>
      </w:r>
    </w:p>
    <w:p w14:paraId="758DC00C">
      <w:pPr>
        <w:keepNext/>
        <w:keepLines/>
        <w:spacing w:line="440" w:lineRule="exact"/>
        <w:ind w:firstLine="482" w:firstLineChars="200"/>
        <w:outlineLvl w:val="2"/>
        <w:rPr>
          <w:rFonts w:hint="eastAsia" w:ascii="宋体" w:hAnsi="宋体" w:eastAsia="宋体" w:cs="宋体"/>
          <w:b/>
          <w:bCs/>
          <w:sz w:val="24"/>
          <w:szCs w:val="24"/>
          <w:lang w:eastAsia="zh-CN"/>
        </w:rPr>
      </w:pPr>
      <w:bookmarkStart w:id="338" w:name="_Toc497213773"/>
      <w:bookmarkStart w:id="339" w:name="_Toc189651432"/>
      <w:bookmarkStart w:id="340" w:name="_Toc489279908"/>
      <w:bookmarkStart w:id="341" w:name="_Toc486580097"/>
      <w:bookmarkStart w:id="342" w:name="_Toc490222542"/>
      <w:bookmarkStart w:id="343" w:name="_Toc117597523"/>
      <w:r>
        <w:rPr>
          <w:rFonts w:hint="eastAsia" w:ascii="宋体" w:hAnsi="宋体" w:eastAsia="宋体" w:cs="宋体"/>
          <w:b/>
          <w:bCs/>
          <w:sz w:val="24"/>
          <w:szCs w:val="24"/>
          <w:lang w:eastAsia="zh-CN"/>
        </w:rPr>
        <w:t>6.4  施工设备和临时设施专用于合同工程</w:t>
      </w:r>
      <w:bookmarkEnd w:id="338"/>
      <w:bookmarkEnd w:id="339"/>
      <w:bookmarkEnd w:id="340"/>
      <w:bookmarkEnd w:id="341"/>
      <w:bookmarkEnd w:id="342"/>
      <w:bookmarkEnd w:id="343"/>
    </w:p>
    <w:p w14:paraId="5A0D8AE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6.4.1  除为第4.1.8项约定的其他独立承包人和监理人指示的他人提供条件外,承包人运入施工场地的所有施工设备以及在施工场地建设的临时设施仅限于用于合同工程。未经监理人同意，不得将上述施工设备和临时设施中的任何部分运出施工场地或挪作他用。</w:t>
      </w:r>
    </w:p>
    <w:p w14:paraId="549704E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6.4.2  经监理人同意，承包人可根据合同进度计划撤走闲置的施工设备。</w:t>
      </w:r>
    </w:p>
    <w:p w14:paraId="40A40036">
      <w:pPr>
        <w:keepNext/>
        <w:keepLines/>
        <w:spacing w:line="440" w:lineRule="exact"/>
        <w:ind w:firstLine="482" w:firstLineChars="200"/>
        <w:outlineLvl w:val="1"/>
        <w:rPr>
          <w:rFonts w:hint="eastAsia" w:ascii="宋体" w:hAnsi="宋体" w:eastAsia="宋体" w:cs="宋体"/>
          <w:b/>
          <w:bCs/>
          <w:sz w:val="24"/>
          <w:szCs w:val="24"/>
          <w:lang w:eastAsia="zh-CN"/>
        </w:rPr>
      </w:pPr>
      <w:bookmarkStart w:id="344" w:name="_Toc117597524"/>
      <w:bookmarkStart w:id="345" w:name="_Toc490222543"/>
      <w:bookmarkStart w:id="346" w:name="_Toc486580098"/>
      <w:bookmarkStart w:id="347" w:name="_Toc189651433"/>
      <w:bookmarkStart w:id="348" w:name="_Toc497213774"/>
      <w:bookmarkStart w:id="349" w:name="_Toc489279909"/>
      <w:r>
        <w:rPr>
          <w:rFonts w:hint="eastAsia" w:ascii="宋体" w:hAnsi="宋体" w:eastAsia="宋体" w:cs="宋体"/>
          <w:b/>
          <w:bCs/>
          <w:sz w:val="24"/>
          <w:szCs w:val="24"/>
          <w:lang w:eastAsia="zh-CN"/>
        </w:rPr>
        <w:t>7.交通运输</w:t>
      </w:r>
      <w:bookmarkEnd w:id="344"/>
      <w:bookmarkEnd w:id="345"/>
      <w:bookmarkEnd w:id="346"/>
      <w:bookmarkEnd w:id="347"/>
      <w:bookmarkEnd w:id="348"/>
      <w:bookmarkEnd w:id="349"/>
    </w:p>
    <w:p w14:paraId="6EA8FFD7">
      <w:pPr>
        <w:keepNext/>
        <w:keepLines/>
        <w:spacing w:line="440" w:lineRule="exact"/>
        <w:ind w:firstLine="482" w:firstLineChars="200"/>
        <w:outlineLvl w:val="2"/>
        <w:rPr>
          <w:rFonts w:hint="eastAsia" w:ascii="宋体" w:hAnsi="宋体" w:eastAsia="宋体" w:cs="宋体"/>
          <w:b/>
          <w:bCs/>
          <w:sz w:val="24"/>
          <w:szCs w:val="24"/>
          <w:lang w:eastAsia="zh-CN"/>
        </w:rPr>
      </w:pPr>
      <w:bookmarkStart w:id="350" w:name="_Toc486580099"/>
      <w:bookmarkStart w:id="351" w:name="_Toc497213775"/>
      <w:bookmarkStart w:id="352" w:name="_Toc490222544"/>
      <w:bookmarkStart w:id="353" w:name="_Toc489279910"/>
      <w:bookmarkStart w:id="354" w:name="_Toc117597525"/>
      <w:bookmarkStart w:id="355" w:name="_Toc189651434"/>
      <w:r>
        <w:rPr>
          <w:rFonts w:hint="eastAsia" w:ascii="宋体" w:hAnsi="宋体" w:eastAsia="宋体" w:cs="宋体"/>
          <w:b/>
          <w:bCs/>
          <w:sz w:val="24"/>
          <w:szCs w:val="24"/>
          <w:lang w:eastAsia="zh-CN"/>
        </w:rPr>
        <w:t>7.1  道路通行权和场外设施</w:t>
      </w:r>
      <w:bookmarkEnd w:id="350"/>
      <w:bookmarkEnd w:id="351"/>
      <w:bookmarkEnd w:id="352"/>
      <w:bookmarkEnd w:id="353"/>
      <w:bookmarkEnd w:id="354"/>
      <w:bookmarkEnd w:id="355"/>
    </w:p>
    <w:p w14:paraId="646BCE5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除合同条款专用部分另有约定外，发包人应根据合同工程的施工需要，负责办理取得出入施工场地的专用和临时道路的通行权，以及取得为工程建设所需修建场外设施的权利，并承担有关费用。承包人应协助发包人办理上述手续。</w:t>
      </w:r>
    </w:p>
    <w:p w14:paraId="16D7EDE6">
      <w:pPr>
        <w:keepNext/>
        <w:keepLines/>
        <w:spacing w:line="440" w:lineRule="exact"/>
        <w:ind w:firstLine="482" w:firstLineChars="200"/>
        <w:outlineLvl w:val="2"/>
        <w:rPr>
          <w:rFonts w:hint="eastAsia" w:ascii="宋体" w:hAnsi="宋体" w:eastAsia="宋体" w:cs="宋体"/>
          <w:b/>
          <w:bCs/>
          <w:sz w:val="24"/>
          <w:szCs w:val="24"/>
          <w:lang w:eastAsia="zh-CN"/>
        </w:rPr>
      </w:pPr>
      <w:bookmarkStart w:id="356" w:name="_Toc117597526"/>
      <w:bookmarkStart w:id="357" w:name="_Toc490222545"/>
      <w:bookmarkStart w:id="358" w:name="_Toc189651435"/>
      <w:bookmarkStart w:id="359" w:name="_Toc486580100"/>
      <w:bookmarkStart w:id="360" w:name="_Toc489279911"/>
      <w:bookmarkStart w:id="361" w:name="_Toc497213776"/>
      <w:r>
        <w:rPr>
          <w:rFonts w:hint="eastAsia" w:ascii="宋体" w:hAnsi="宋体" w:eastAsia="宋体" w:cs="宋体"/>
          <w:b/>
          <w:bCs/>
          <w:sz w:val="24"/>
          <w:szCs w:val="24"/>
          <w:lang w:eastAsia="zh-CN"/>
        </w:rPr>
        <w:t>7.2  场内施工道路</w:t>
      </w:r>
      <w:bookmarkEnd w:id="356"/>
      <w:bookmarkEnd w:id="357"/>
      <w:bookmarkEnd w:id="358"/>
      <w:bookmarkEnd w:id="359"/>
      <w:bookmarkEnd w:id="360"/>
      <w:bookmarkEnd w:id="361"/>
    </w:p>
    <w:p w14:paraId="74CE418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7.2.1  除合同条款专用部分另有约定外，承包人应负责修建、维修、养护和管理施工所需的临时道路和交通设施，包括维修、养护和管理发包人提供的道路和交通设施，并承担相应费用。</w:t>
      </w:r>
    </w:p>
    <w:p w14:paraId="27B5DCD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7.2.2  发包人和监理人有权无偿使用承包人修建的临时道路和交通设施，不需要交纳任何费用。</w:t>
      </w:r>
    </w:p>
    <w:p w14:paraId="06E638D8">
      <w:pPr>
        <w:keepNext/>
        <w:keepLines/>
        <w:spacing w:line="440" w:lineRule="exact"/>
        <w:ind w:firstLine="482" w:firstLineChars="200"/>
        <w:outlineLvl w:val="2"/>
        <w:rPr>
          <w:rFonts w:hint="eastAsia" w:ascii="宋体" w:hAnsi="宋体" w:eastAsia="宋体" w:cs="宋体"/>
          <w:b/>
          <w:bCs/>
          <w:sz w:val="24"/>
          <w:szCs w:val="24"/>
          <w:lang w:eastAsia="zh-CN"/>
        </w:rPr>
      </w:pPr>
      <w:bookmarkStart w:id="362" w:name="_Toc486580101"/>
      <w:bookmarkStart w:id="363" w:name="_Toc497213777"/>
      <w:bookmarkStart w:id="364" w:name="_Toc189651436"/>
      <w:bookmarkStart w:id="365" w:name="_Toc489279912"/>
      <w:bookmarkStart w:id="366" w:name="_Toc117597527"/>
      <w:bookmarkStart w:id="367" w:name="_Toc490222546"/>
      <w:r>
        <w:rPr>
          <w:rFonts w:hint="eastAsia" w:ascii="宋体" w:hAnsi="宋体" w:eastAsia="宋体" w:cs="宋体"/>
          <w:b/>
          <w:bCs/>
          <w:sz w:val="24"/>
          <w:szCs w:val="24"/>
          <w:lang w:eastAsia="zh-CN"/>
        </w:rPr>
        <w:t>7.3  场外交通</w:t>
      </w:r>
      <w:bookmarkEnd w:id="362"/>
      <w:bookmarkEnd w:id="363"/>
      <w:bookmarkEnd w:id="364"/>
      <w:bookmarkEnd w:id="365"/>
      <w:bookmarkEnd w:id="366"/>
      <w:bookmarkEnd w:id="367"/>
    </w:p>
    <w:p w14:paraId="491F58E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7.3.1  承包人车辆外出行驶所需的场外公共道路的通行费、养路费和税款等由承包人承担。</w:t>
      </w:r>
    </w:p>
    <w:p w14:paraId="52A3B7F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7.3.2  承包人应遵守有关交通法规，严格按照道路和桥梁的限制荷重安全行驶，并服从交通管理部门的检查和监督。</w:t>
      </w:r>
    </w:p>
    <w:p w14:paraId="6DD480B3">
      <w:pPr>
        <w:keepNext/>
        <w:keepLines/>
        <w:spacing w:line="440" w:lineRule="exact"/>
        <w:ind w:firstLine="482" w:firstLineChars="200"/>
        <w:outlineLvl w:val="2"/>
        <w:rPr>
          <w:rFonts w:hint="eastAsia" w:ascii="宋体" w:hAnsi="宋体" w:eastAsia="宋体" w:cs="宋体"/>
          <w:b/>
          <w:bCs/>
          <w:sz w:val="24"/>
          <w:szCs w:val="24"/>
          <w:lang w:eastAsia="zh-CN"/>
        </w:rPr>
      </w:pPr>
      <w:bookmarkStart w:id="368" w:name="_Toc490222547"/>
      <w:bookmarkStart w:id="369" w:name="_Toc489279913"/>
      <w:bookmarkStart w:id="370" w:name="_Toc117597528"/>
      <w:bookmarkStart w:id="371" w:name="_Toc497213778"/>
      <w:bookmarkStart w:id="372" w:name="_Toc189651437"/>
      <w:bookmarkStart w:id="373" w:name="_Toc486580102"/>
      <w:r>
        <w:rPr>
          <w:rFonts w:hint="eastAsia" w:ascii="宋体" w:hAnsi="宋体" w:eastAsia="宋体" w:cs="宋体"/>
          <w:b/>
          <w:bCs/>
          <w:sz w:val="24"/>
          <w:szCs w:val="24"/>
          <w:lang w:eastAsia="zh-CN"/>
        </w:rPr>
        <w:t>7.4  超大件和超重件的运输</w:t>
      </w:r>
      <w:bookmarkEnd w:id="368"/>
      <w:bookmarkEnd w:id="369"/>
      <w:bookmarkEnd w:id="370"/>
      <w:bookmarkEnd w:id="371"/>
      <w:bookmarkEnd w:id="372"/>
      <w:bookmarkEnd w:id="373"/>
    </w:p>
    <w:p w14:paraId="0C5A3F4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由承包人负责运输的超大件或超重件，应由承包人负责向交通管理部门办理申请手续，发包人给予协助。运输超大件或超重件所需的道路和桥梁临时加固改造费用和其他有关费用，由承包人承担，但合同条款专用部分另有约定除外。</w:t>
      </w:r>
    </w:p>
    <w:p w14:paraId="7D3B3294">
      <w:pPr>
        <w:keepNext/>
        <w:keepLines/>
        <w:spacing w:line="440" w:lineRule="exact"/>
        <w:ind w:firstLine="482" w:firstLineChars="200"/>
        <w:outlineLvl w:val="2"/>
        <w:rPr>
          <w:rFonts w:hint="eastAsia" w:ascii="宋体" w:hAnsi="宋体" w:eastAsia="宋体" w:cs="宋体"/>
          <w:b/>
          <w:bCs/>
          <w:sz w:val="24"/>
          <w:szCs w:val="24"/>
          <w:lang w:eastAsia="zh-CN"/>
        </w:rPr>
      </w:pPr>
      <w:bookmarkStart w:id="374" w:name="_Toc490222548"/>
      <w:bookmarkStart w:id="375" w:name="_Toc486580103"/>
      <w:bookmarkStart w:id="376" w:name="_Toc117597529"/>
      <w:bookmarkStart w:id="377" w:name="_Toc497213779"/>
      <w:bookmarkStart w:id="378" w:name="_Toc189651438"/>
      <w:bookmarkStart w:id="379" w:name="_Toc489279914"/>
      <w:r>
        <w:rPr>
          <w:rFonts w:hint="eastAsia" w:ascii="宋体" w:hAnsi="宋体" w:eastAsia="宋体" w:cs="宋体"/>
          <w:b/>
          <w:bCs/>
          <w:sz w:val="24"/>
          <w:szCs w:val="24"/>
          <w:lang w:eastAsia="zh-CN"/>
        </w:rPr>
        <w:t>7.5  道路和桥梁的损坏责任</w:t>
      </w:r>
      <w:bookmarkEnd w:id="374"/>
      <w:bookmarkEnd w:id="375"/>
      <w:bookmarkEnd w:id="376"/>
      <w:bookmarkEnd w:id="377"/>
      <w:bookmarkEnd w:id="378"/>
      <w:bookmarkEnd w:id="379"/>
    </w:p>
    <w:p w14:paraId="63104E2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因承包人运输造成施工场地内外公共道路和桥梁损坏的，由承包人承担修复损坏的全部费用和可能引起的赔偿。</w:t>
      </w:r>
    </w:p>
    <w:p w14:paraId="039307B6">
      <w:pPr>
        <w:keepNext/>
        <w:keepLines/>
        <w:spacing w:line="440" w:lineRule="exact"/>
        <w:ind w:firstLine="482" w:firstLineChars="200"/>
        <w:outlineLvl w:val="2"/>
        <w:rPr>
          <w:rFonts w:hint="eastAsia" w:ascii="宋体" w:hAnsi="宋体" w:eastAsia="宋体" w:cs="宋体"/>
          <w:b/>
          <w:bCs/>
          <w:sz w:val="24"/>
          <w:szCs w:val="24"/>
          <w:lang w:eastAsia="zh-CN"/>
        </w:rPr>
      </w:pPr>
      <w:bookmarkStart w:id="380" w:name="_Toc117597530"/>
      <w:bookmarkStart w:id="381" w:name="_Toc189651439"/>
      <w:bookmarkStart w:id="382" w:name="_Toc486580104"/>
      <w:bookmarkStart w:id="383" w:name="_Toc490222549"/>
      <w:bookmarkStart w:id="384" w:name="_Toc489279915"/>
      <w:bookmarkStart w:id="385" w:name="_Toc497213780"/>
      <w:r>
        <w:rPr>
          <w:rFonts w:hint="eastAsia" w:ascii="宋体" w:hAnsi="宋体" w:eastAsia="宋体" w:cs="宋体"/>
          <w:b/>
          <w:bCs/>
          <w:sz w:val="24"/>
          <w:szCs w:val="24"/>
          <w:lang w:eastAsia="zh-CN"/>
        </w:rPr>
        <w:t>7.6  水路和航空运输</w:t>
      </w:r>
      <w:bookmarkEnd w:id="380"/>
      <w:bookmarkEnd w:id="381"/>
      <w:bookmarkEnd w:id="382"/>
      <w:bookmarkEnd w:id="383"/>
      <w:bookmarkEnd w:id="384"/>
      <w:bookmarkEnd w:id="385"/>
    </w:p>
    <w:p w14:paraId="3A9B86E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本条上述各款的内容适用于水路运输和航空运输，其中“道路”一词的涵义包括河道、航线、船闸、机场、码头、堤防以及水路或航空运输中其他相似结构物；“车辆”一词的涵义包括船舶和飞机等。</w:t>
      </w:r>
    </w:p>
    <w:p w14:paraId="7B93A8E1">
      <w:pPr>
        <w:keepNext/>
        <w:keepLines/>
        <w:spacing w:line="440" w:lineRule="exact"/>
        <w:ind w:firstLine="482" w:firstLineChars="200"/>
        <w:outlineLvl w:val="1"/>
        <w:rPr>
          <w:rFonts w:hint="eastAsia" w:ascii="宋体" w:hAnsi="宋体" w:eastAsia="宋体" w:cs="宋体"/>
          <w:b/>
          <w:bCs/>
          <w:sz w:val="24"/>
          <w:szCs w:val="24"/>
          <w:lang w:eastAsia="zh-CN"/>
        </w:rPr>
      </w:pPr>
      <w:bookmarkStart w:id="386" w:name="_Toc486580105"/>
      <w:bookmarkStart w:id="387" w:name="_Toc189651440"/>
      <w:bookmarkStart w:id="388" w:name="_Toc497213781"/>
      <w:bookmarkStart w:id="389" w:name="_Toc489279916"/>
      <w:bookmarkStart w:id="390" w:name="_Toc117597531"/>
      <w:bookmarkStart w:id="391" w:name="_Toc490222550"/>
      <w:r>
        <w:rPr>
          <w:rFonts w:hint="eastAsia" w:ascii="宋体" w:hAnsi="宋体" w:eastAsia="宋体" w:cs="宋体"/>
          <w:b/>
          <w:bCs/>
          <w:sz w:val="24"/>
          <w:szCs w:val="24"/>
          <w:lang w:eastAsia="zh-CN"/>
        </w:rPr>
        <w:t>8.测量放线</w:t>
      </w:r>
      <w:bookmarkEnd w:id="386"/>
      <w:bookmarkEnd w:id="387"/>
      <w:bookmarkEnd w:id="388"/>
      <w:bookmarkEnd w:id="389"/>
      <w:bookmarkEnd w:id="390"/>
      <w:bookmarkEnd w:id="391"/>
    </w:p>
    <w:p w14:paraId="6AC2B2D3">
      <w:pPr>
        <w:keepNext/>
        <w:keepLines/>
        <w:spacing w:line="440" w:lineRule="exact"/>
        <w:ind w:firstLine="482" w:firstLineChars="200"/>
        <w:outlineLvl w:val="2"/>
        <w:rPr>
          <w:rFonts w:hint="eastAsia" w:ascii="宋体" w:hAnsi="宋体" w:eastAsia="宋体" w:cs="宋体"/>
          <w:b/>
          <w:bCs/>
          <w:sz w:val="24"/>
          <w:szCs w:val="24"/>
          <w:lang w:eastAsia="zh-CN"/>
        </w:rPr>
      </w:pPr>
      <w:bookmarkStart w:id="392" w:name="_Toc489279917"/>
      <w:bookmarkStart w:id="393" w:name="_Toc490222551"/>
      <w:bookmarkStart w:id="394" w:name="_Toc497213782"/>
      <w:bookmarkStart w:id="395" w:name="_Toc117597532"/>
      <w:bookmarkStart w:id="396" w:name="_Toc189651441"/>
      <w:bookmarkStart w:id="397" w:name="_Toc486580106"/>
      <w:r>
        <w:rPr>
          <w:rFonts w:hint="eastAsia" w:ascii="宋体" w:hAnsi="宋体" w:eastAsia="宋体" w:cs="宋体"/>
          <w:b/>
          <w:bCs/>
          <w:sz w:val="24"/>
          <w:szCs w:val="24"/>
          <w:lang w:eastAsia="zh-CN"/>
        </w:rPr>
        <w:t>8.1  施工控制网</w:t>
      </w:r>
      <w:bookmarkEnd w:id="392"/>
      <w:bookmarkEnd w:id="393"/>
      <w:bookmarkEnd w:id="394"/>
      <w:bookmarkEnd w:id="395"/>
      <w:bookmarkEnd w:id="396"/>
      <w:bookmarkEnd w:id="397"/>
    </w:p>
    <w:p w14:paraId="4A5348D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8.1.1  发包人应在合同约定的期限内，通过监理人向承包人提供测量基准点、基准线和水准点及其书面资料。向承包人提供测量基准点、基准线和水准点及其书面资料的期限见合同条款专用部分。</w:t>
      </w:r>
    </w:p>
    <w:p w14:paraId="781ECB3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8.1.2  承包人应根据国家测绘基准、测绘系统和工程测量技术规范，按上述基准点（线）以及合同工程精度要求，测设施工控制网，承包人测设施工控制网的其他要求见合同条款专用部分。并将施工控制网资料在约定期限内报送监理人审批，其报送监理人审批的期限见合同条款专用部分。</w:t>
      </w:r>
    </w:p>
    <w:p w14:paraId="50676FD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8.1.3  承包人应负责管理施工控制网点。施工控制网点丢失或损坏的，承包人应及时修复，并承担施工控制网点的管理与修复费用。工程竣工后将施工控制网点移交发包人。</w:t>
      </w:r>
    </w:p>
    <w:p w14:paraId="2B39BFF4">
      <w:pPr>
        <w:keepNext/>
        <w:keepLines/>
        <w:spacing w:line="440" w:lineRule="exact"/>
        <w:ind w:firstLine="482" w:firstLineChars="200"/>
        <w:outlineLvl w:val="2"/>
        <w:rPr>
          <w:rFonts w:hint="eastAsia" w:ascii="宋体" w:hAnsi="宋体" w:eastAsia="宋体" w:cs="宋体"/>
          <w:b/>
          <w:bCs/>
          <w:sz w:val="24"/>
          <w:szCs w:val="24"/>
          <w:lang w:eastAsia="zh-CN"/>
        </w:rPr>
      </w:pPr>
      <w:bookmarkStart w:id="398" w:name="_Toc497213783"/>
      <w:bookmarkStart w:id="399" w:name="_Toc486580107"/>
      <w:bookmarkStart w:id="400" w:name="_Toc189651442"/>
      <w:bookmarkStart w:id="401" w:name="_Toc490222552"/>
      <w:bookmarkStart w:id="402" w:name="_Toc117597533"/>
      <w:bookmarkStart w:id="403" w:name="_Toc489279918"/>
      <w:r>
        <w:rPr>
          <w:rFonts w:hint="eastAsia" w:ascii="宋体" w:hAnsi="宋体" w:eastAsia="宋体" w:cs="宋体"/>
          <w:b/>
          <w:bCs/>
          <w:sz w:val="24"/>
          <w:szCs w:val="24"/>
          <w:lang w:eastAsia="zh-CN"/>
        </w:rPr>
        <w:t>8.2  施工测量</w:t>
      </w:r>
      <w:bookmarkEnd w:id="398"/>
      <w:bookmarkEnd w:id="399"/>
      <w:bookmarkEnd w:id="400"/>
      <w:bookmarkEnd w:id="401"/>
      <w:bookmarkEnd w:id="402"/>
      <w:bookmarkEnd w:id="403"/>
    </w:p>
    <w:p w14:paraId="6185C65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8.2.1  承包人应负责施工过程中的全部施工测量放线工作，并配置合格的人员、仪器、设备和其他物品。</w:t>
      </w:r>
    </w:p>
    <w:p w14:paraId="6417A5A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8.2.2  监理人可以指示承包人进行抽样复测，当复测中发现错误或出现超过合同约定的误差时，承包人应按监理人指示进行修正或补测，并承担相应的复测费用。</w:t>
      </w:r>
    </w:p>
    <w:p w14:paraId="7A3A65D5">
      <w:pPr>
        <w:keepNext/>
        <w:keepLines/>
        <w:spacing w:line="440" w:lineRule="exact"/>
        <w:ind w:firstLine="482" w:firstLineChars="200"/>
        <w:outlineLvl w:val="2"/>
        <w:rPr>
          <w:rFonts w:hint="eastAsia" w:ascii="宋体" w:hAnsi="宋体" w:eastAsia="宋体" w:cs="宋体"/>
          <w:b/>
          <w:bCs/>
          <w:sz w:val="24"/>
          <w:szCs w:val="24"/>
          <w:lang w:eastAsia="zh-CN"/>
        </w:rPr>
      </w:pPr>
      <w:bookmarkStart w:id="404" w:name="_Toc117597534"/>
      <w:bookmarkStart w:id="405" w:name="_Toc489279919"/>
      <w:bookmarkStart w:id="406" w:name="_Toc486580108"/>
      <w:bookmarkStart w:id="407" w:name="_Toc490222553"/>
      <w:bookmarkStart w:id="408" w:name="_Toc189651443"/>
      <w:bookmarkStart w:id="409" w:name="_Toc497213784"/>
      <w:r>
        <w:rPr>
          <w:rFonts w:hint="eastAsia" w:ascii="宋体" w:hAnsi="宋体" w:eastAsia="宋体" w:cs="宋体"/>
          <w:b/>
          <w:bCs/>
          <w:sz w:val="24"/>
          <w:szCs w:val="24"/>
          <w:lang w:eastAsia="zh-CN"/>
        </w:rPr>
        <w:t>8.3  基准资料错误的责任</w:t>
      </w:r>
      <w:bookmarkEnd w:id="404"/>
      <w:bookmarkEnd w:id="405"/>
      <w:bookmarkEnd w:id="406"/>
      <w:bookmarkEnd w:id="407"/>
      <w:bookmarkEnd w:id="408"/>
      <w:bookmarkEnd w:id="409"/>
    </w:p>
    <w:p w14:paraId="2D6193B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136DA124">
      <w:pPr>
        <w:keepNext/>
        <w:keepLines/>
        <w:spacing w:line="440" w:lineRule="exact"/>
        <w:ind w:firstLine="482" w:firstLineChars="200"/>
        <w:outlineLvl w:val="2"/>
        <w:rPr>
          <w:rFonts w:hint="eastAsia" w:ascii="宋体" w:hAnsi="宋体" w:eastAsia="宋体" w:cs="宋体"/>
          <w:b/>
          <w:bCs/>
          <w:sz w:val="24"/>
          <w:szCs w:val="24"/>
          <w:lang w:eastAsia="zh-CN"/>
        </w:rPr>
      </w:pPr>
      <w:bookmarkStart w:id="410" w:name="_Toc189651444"/>
      <w:bookmarkStart w:id="411" w:name="_Toc490222554"/>
      <w:bookmarkStart w:id="412" w:name="_Toc486580109"/>
      <w:bookmarkStart w:id="413" w:name="_Toc117597535"/>
      <w:bookmarkStart w:id="414" w:name="_Toc489279920"/>
      <w:bookmarkStart w:id="415" w:name="_Toc497213785"/>
      <w:r>
        <w:rPr>
          <w:rFonts w:hint="eastAsia" w:ascii="宋体" w:hAnsi="宋体" w:eastAsia="宋体" w:cs="宋体"/>
          <w:b/>
          <w:bCs/>
          <w:sz w:val="24"/>
          <w:szCs w:val="24"/>
          <w:lang w:eastAsia="zh-CN"/>
        </w:rPr>
        <w:t>8.4  监理人使用施工控制网</w:t>
      </w:r>
      <w:bookmarkEnd w:id="410"/>
      <w:bookmarkEnd w:id="411"/>
      <w:bookmarkEnd w:id="412"/>
      <w:bookmarkEnd w:id="413"/>
      <w:bookmarkEnd w:id="414"/>
      <w:bookmarkEnd w:id="415"/>
    </w:p>
    <w:p w14:paraId="6FCB8FA2">
      <w:pPr>
        <w:spacing w:line="440" w:lineRule="exact"/>
        <w:ind w:firstLine="480" w:firstLineChars="200"/>
        <w:rPr>
          <w:rFonts w:hint="eastAsia" w:ascii="宋体" w:hAnsi="宋体" w:eastAsia="宋体" w:cs="宋体"/>
          <w:dstrike/>
          <w:sz w:val="24"/>
          <w:szCs w:val="24"/>
          <w:lang w:eastAsia="zh-CN"/>
        </w:rPr>
      </w:pPr>
      <w:r>
        <w:rPr>
          <w:rFonts w:hint="eastAsia" w:ascii="宋体" w:hAnsi="宋体" w:eastAsia="宋体" w:cs="宋体"/>
          <w:sz w:val="24"/>
          <w:szCs w:val="24"/>
          <w:lang w:eastAsia="zh-CN"/>
        </w:rPr>
        <w:t>监理人需要使用施工控制网的，承包人应提供必要的协助，发包人不再为此支付费用。</w:t>
      </w:r>
    </w:p>
    <w:p w14:paraId="6F522479">
      <w:pPr>
        <w:keepNext/>
        <w:keepLines/>
        <w:spacing w:line="440" w:lineRule="exact"/>
        <w:ind w:firstLine="482" w:firstLineChars="200"/>
        <w:outlineLvl w:val="1"/>
        <w:rPr>
          <w:rFonts w:hint="eastAsia" w:ascii="宋体" w:hAnsi="宋体" w:eastAsia="宋体" w:cs="宋体"/>
          <w:b/>
          <w:bCs/>
          <w:sz w:val="24"/>
          <w:szCs w:val="24"/>
          <w:lang w:eastAsia="zh-CN"/>
        </w:rPr>
      </w:pPr>
      <w:bookmarkStart w:id="416" w:name="_Toc489279921"/>
      <w:bookmarkStart w:id="417" w:name="_Toc189651445"/>
      <w:bookmarkStart w:id="418" w:name="_Toc497213786"/>
      <w:bookmarkStart w:id="419" w:name="_Toc117597536"/>
      <w:bookmarkStart w:id="420" w:name="_Toc490222555"/>
      <w:bookmarkStart w:id="421" w:name="_Toc486580110"/>
      <w:r>
        <w:rPr>
          <w:rFonts w:hint="eastAsia" w:ascii="宋体" w:hAnsi="宋体" w:eastAsia="宋体" w:cs="宋体"/>
          <w:b/>
          <w:bCs/>
          <w:sz w:val="24"/>
          <w:szCs w:val="24"/>
          <w:lang w:eastAsia="zh-CN"/>
        </w:rPr>
        <w:t>9.施工安全、治安保卫和环境保护</w:t>
      </w:r>
      <w:bookmarkEnd w:id="416"/>
      <w:bookmarkEnd w:id="417"/>
      <w:bookmarkEnd w:id="418"/>
      <w:bookmarkEnd w:id="419"/>
      <w:bookmarkEnd w:id="420"/>
      <w:bookmarkEnd w:id="421"/>
    </w:p>
    <w:p w14:paraId="3D4E2214">
      <w:pPr>
        <w:keepNext/>
        <w:keepLines/>
        <w:spacing w:line="440" w:lineRule="exact"/>
        <w:ind w:firstLine="482" w:firstLineChars="200"/>
        <w:outlineLvl w:val="2"/>
        <w:rPr>
          <w:rFonts w:hint="eastAsia" w:ascii="宋体" w:hAnsi="宋体" w:eastAsia="宋体" w:cs="宋体"/>
          <w:b/>
          <w:bCs/>
          <w:sz w:val="24"/>
          <w:szCs w:val="24"/>
          <w:lang w:eastAsia="zh-CN"/>
        </w:rPr>
      </w:pPr>
      <w:bookmarkStart w:id="422" w:name="_Toc490222556"/>
      <w:bookmarkStart w:id="423" w:name="_Toc486580111"/>
      <w:bookmarkStart w:id="424" w:name="_Toc189651446"/>
      <w:bookmarkStart w:id="425" w:name="_Toc497213787"/>
      <w:bookmarkStart w:id="426" w:name="_Toc117597537"/>
      <w:bookmarkStart w:id="427" w:name="_Toc489279922"/>
      <w:r>
        <w:rPr>
          <w:rFonts w:hint="eastAsia" w:ascii="宋体" w:hAnsi="宋体" w:eastAsia="宋体" w:cs="宋体"/>
          <w:b/>
          <w:bCs/>
          <w:sz w:val="24"/>
          <w:szCs w:val="24"/>
          <w:lang w:eastAsia="zh-CN"/>
        </w:rPr>
        <w:t>9.1  发包人的施工安全责任</w:t>
      </w:r>
      <w:bookmarkEnd w:id="422"/>
      <w:bookmarkEnd w:id="423"/>
      <w:bookmarkEnd w:id="424"/>
      <w:bookmarkEnd w:id="425"/>
      <w:bookmarkEnd w:id="426"/>
      <w:bookmarkEnd w:id="427"/>
    </w:p>
    <w:p w14:paraId="797E374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9.1.1  发包人应按合同约定履行安全职责，授权监理人按合同约定的安全工作内容监督、检查承包人安全工作的实施，组织承包人和有关单位进行安全检查。</w:t>
      </w:r>
    </w:p>
    <w:p w14:paraId="7A1C5D3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9.1.2  发包人应对其现场机构雇佣的全部人员的工伤事故承担责任，但由于承包人原因造成发包人人员工伤的，应由承包人承担责任。</w:t>
      </w:r>
    </w:p>
    <w:p w14:paraId="2D31C61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9.1.3  发包人应负责赔偿以下各种情况造成的第三者人身伤亡和财产损失：</w:t>
      </w:r>
    </w:p>
    <w:p w14:paraId="69899E4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（1）工程或工程的任何部分对土地的占用所造成的第三者财产损失；</w:t>
      </w:r>
    </w:p>
    <w:p w14:paraId="5F8AB50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（2）由于发包人原因在施工场地及其毗邻地带造成的第三者人身伤亡和财产损失。</w:t>
      </w:r>
    </w:p>
    <w:p w14:paraId="6750C60E">
      <w:pPr>
        <w:keepNext/>
        <w:keepLines/>
        <w:spacing w:line="440" w:lineRule="exact"/>
        <w:ind w:firstLine="482" w:firstLineChars="200"/>
        <w:outlineLvl w:val="2"/>
        <w:rPr>
          <w:rFonts w:hint="eastAsia" w:ascii="宋体" w:hAnsi="宋体" w:eastAsia="宋体" w:cs="宋体"/>
          <w:b/>
          <w:bCs/>
          <w:sz w:val="24"/>
          <w:szCs w:val="24"/>
          <w:lang w:eastAsia="zh-CN"/>
        </w:rPr>
      </w:pPr>
      <w:bookmarkStart w:id="428" w:name="_Toc489279923"/>
      <w:bookmarkStart w:id="429" w:name="_Toc189651447"/>
      <w:bookmarkStart w:id="430" w:name="_Toc490222557"/>
      <w:bookmarkStart w:id="431" w:name="_Toc117597538"/>
      <w:bookmarkStart w:id="432" w:name="_Toc486580112"/>
      <w:bookmarkStart w:id="433" w:name="_Toc497213788"/>
      <w:r>
        <w:rPr>
          <w:rFonts w:hint="eastAsia" w:ascii="宋体" w:hAnsi="宋体" w:eastAsia="宋体" w:cs="宋体"/>
          <w:b/>
          <w:bCs/>
          <w:sz w:val="24"/>
          <w:szCs w:val="24"/>
          <w:lang w:eastAsia="zh-CN"/>
        </w:rPr>
        <w:t>9.2  承包人的施工安全责任</w:t>
      </w:r>
      <w:bookmarkEnd w:id="428"/>
      <w:bookmarkEnd w:id="429"/>
      <w:bookmarkEnd w:id="430"/>
      <w:bookmarkEnd w:id="431"/>
      <w:bookmarkEnd w:id="432"/>
      <w:bookmarkEnd w:id="433"/>
    </w:p>
    <w:p w14:paraId="20CAFD7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9.2.1  承包人应按合同约定履行安全职责,执行监理人有关安全工作的指示,并在合同条款专用部分约定的期限内，按合同约定的安全工作内容，编制施工安全措施计划报送监理人审批。监理人应在合同条款专用部分约定的期限内完成批复。</w:t>
      </w:r>
    </w:p>
    <w:p w14:paraId="266AE48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9.2.2  承包人应加强施工作业安全管理，特别应加强易燃、易爆材料、火工器材、有毒与腐蚀性材料、行业挥发性有机物和其他危险品的管理，以及对爆破作业和地下工程施工等危险作业的管理。</w:t>
      </w:r>
    </w:p>
    <w:p w14:paraId="6DCCB84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9.2.3  承包人应严格按照国家安全标准制定施工安全操作规程，配备必要的安全生产和劳动保护设施，加强对承包人人员的安全教育，并发放安全工作手册和劳动保护用具。</w:t>
      </w:r>
    </w:p>
    <w:p w14:paraId="61C7257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9.2.4  承包人应按监理人的指示制定应对灾害的紧急预案，报送监理人审批。承包人还应按预案做好安全检查，配置必要的救助物资和器材，切实保护好有关人员的人身和财产安全。</w:t>
      </w:r>
    </w:p>
    <w:p w14:paraId="2FF5D2D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9.2.5  合同约定的安全作业环境及安全施工措施所需费用应遵守有关规定，并包括在相关工作的合同价格中。因采取合同未约定的安全作业环境及安全施工措施增加的费用，由监理人按第3.5款商定或确定。</w:t>
      </w:r>
    </w:p>
    <w:p w14:paraId="04A6AFA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9.2.6  承包人应对其履行合同所雇佣的全部人员，包括分包人人员的工伤事故承担责任，但由于发包人原因造成承包人人员工伤事故的，应由发包人承担责任。</w:t>
      </w:r>
    </w:p>
    <w:p w14:paraId="09ACF42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9.2.7  由于承包人原因在施工场地内及其毗邻地带造成的第三者人员伤亡和财产损失，由承包人负责赔偿。</w:t>
      </w:r>
    </w:p>
    <w:p w14:paraId="4B1E6FC1">
      <w:pPr>
        <w:keepNext/>
        <w:keepLines/>
        <w:spacing w:line="440" w:lineRule="exact"/>
        <w:ind w:firstLine="482" w:firstLineChars="200"/>
        <w:outlineLvl w:val="2"/>
        <w:rPr>
          <w:rFonts w:hint="eastAsia" w:ascii="宋体" w:hAnsi="宋体" w:eastAsia="宋体" w:cs="宋体"/>
          <w:b/>
          <w:bCs/>
          <w:sz w:val="24"/>
          <w:szCs w:val="24"/>
          <w:lang w:eastAsia="zh-CN"/>
        </w:rPr>
      </w:pPr>
      <w:bookmarkStart w:id="434" w:name="_Toc117597539"/>
      <w:bookmarkStart w:id="435" w:name="_Toc486580113"/>
      <w:bookmarkStart w:id="436" w:name="_Toc489279924"/>
      <w:bookmarkStart w:id="437" w:name="_Toc490222558"/>
      <w:bookmarkStart w:id="438" w:name="_Toc189651448"/>
      <w:bookmarkStart w:id="439" w:name="_Toc497213789"/>
      <w:r>
        <w:rPr>
          <w:rFonts w:hint="eastAsia" w:ascii="宋体" w:hAnsi="宋体" w:eastAsia="宋体" w:cs="宋体"/>
          <w:b/>
          <w:bCs/>
          <w:sz w:val="24"/>
          <w:szCs w:val="24"/>
          <w:lang w:eastAsia="zh-CN"/>
        </w:rPr>
        <w:t>9.3  治安保卫</w:t>
      </w:r>
      <w:bookmarkEnd w:id="434"/>
      <w:bookmarkEnd w:id="435"/>
      <w:bookmarkEnd w:id="436"/>
      <w:bookmarkEnd w:id="437"/>
      <w:bookmarkEnd w:id="438"/>
      <w:bookmarkEnd w:id="439"/>
    </w:p>
    <w:p w14:paraId="69B209D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9.3.1  发包人应与当地公安部门协商，在现场建立治安管理机构或联防组织，负责统一管理施工场地的治安保卫事项，履行合同工程的治安保卫职责。</w:t>
      </w:r>
    </w:p>
    <w:p w14:paraId="6E2F746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9.3.2  发包人和承包人除应协助现场治安管理机构或联防组织维护施工场地的社会治安外，还应做好包括生活区在内的各自管辖区的治安保卫工作。</w:t>
      </w:r>
    </w:p>
    <w:p w14:paraId="2D92BA8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9.3.3  在工程开工前应当明确责任人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制定施工场地治安管理计划和突发治安事件紧急预案的责任人见合同条款专用部分。</w:t>
      </w:r>
    </w:p>
    <w:p w14:paraId="710B0F7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9.3.4建立健全疫情常态化防控应急机制，始终坚持疫情常态化防控和应急处置相结合的原则，按照项目所在地分区分级标准及时制定完善应急预案，明确应急处置流程，适时开展应急演练，确保责任落实到人。</w:t>
      </w:r>
    </w:p>
    <w:p w14:paraId="505DC93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建立联防联控机制，对接属地社区、卫生健康、疾控等部门，全面落实各项疫情常态化防控措施。发生涉疫情况，应第一时间向有关部门报告、第一时间启动应急预案、第一时间采取停工措施并封闭现场；并按照应急预案和相关规定进行先期处置，安排涉疫人员至隔离观察区域，与现场其他人员进行隔离，并安排专人负责卫生健康、疾控等部门防控专业人员的进场引导工作，保障急救通道畅通；同时积极配合卫生健康、疾控等部门做好流行病学调查、医学观察，对现场进行全面消杀。</w:t>
      </w:r>
    </w:p>
    <w:p w14:paraId="38FDDDD6">
      <w:pPr>
        <w:keepNext/>
        <w:keepLines/>
        <w:spacing w:line="440" w:lineRule="exact"/>
        <w:ind w:firstLine="482" w:firstLineChars="200"/>
        <w:outlineLvl w:val="2"/>
        <w:rPr>
          <w:rFonts w:hint="eastAsia" w:ascii="宋体" w:hAnsi="宋体" w:eastAsia="宋体" w:cs="宋体"/>
          <w:b/>
          <w:bCs/>
          <w:sz w:val="24"/>
          <w:szCs w:val="24"/>
          <w:lang w:eastAsia="zh-CN"/>
        </w:rPr>
      </w:pPr>
      <w:bookmarkStart w:id="440" w:name="_Toc486580114"/>
      <w:bookmarkStart w:id="441" w:name="_Toc189651449"/>
      <w:bookmarkStart w:id="442" w:name="_Toc490222559"/>
      <w:bookmarkStart w:id="443" w:name="_Toc497213790"/>
      <w:bookmarkStart w:id="444" w:name="_Toc489279925"/>
      <w:bookmarkStart w:id="445" w:name="_Toc117597540"/>
      <w:r>
        <w:rPr>
          <w:rFonts w:hint="eastAsia" w:ascii="宋体" w:hAnsi="宋体" w:eastAsia="宋体" w:cs="宋体"/>
          <w:b/>
          <w:bCs/>
          <w:sz w:val="24"/>
          <w:szCs w:val="24"/>
          <w:lang w:eastAsia="zh-CN"/>
        </w:rPr>
        <w:t>9.4  环境保护</w:t>
      </w:r>
      <w:bookmarkEnd w:id="440"/>
      <w:bookmarkEnd w:id="441"/>
      <w:bookmarkEnd w:id="442"/>
      <w:bookmarkEnd w:id="443"/>
      <w:bookmarkEnd w:id="444"/>
      <w:bookmarkEnd w:id="445"/>
    </w:p>
    <w:p w14:paraId="7E3428D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9.4.1  承包人在施工过程中，应遵守有关环境保护的法律，履行合同约定的环境保护义务，并对违反法律和合同约定义务所造成的环境破坏、人身伤害和财产损失负责。</w:t>
      </w:r>
    </w:p>
    <w:p w14:paraId="320EBE1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9.4.2  承包人应建立施工扬尘治理、建筑垃圾、土方和砂石清运与消纳、保证使用已在本市进行信息编码登记符合排放标准的非道路移动机械和严禁使用高排放非道路移动机械以及行业挥发性有机物治理（如建筑外墙涂装、钢结构等鼓励使用水性漆替代油性漆）等责任制，针对工程项目特点制定具体的实施方案，并严格实施。如扬尘治理，承包人应在建筑工地公示施工扬尘治理措施、责任人、主管部门等信息，并及时向当地主管部门报送施工扬尘治理措施落实情况。</w:t>
      </w:r>
    </w:p>
    <w:p w14:paraId="7A9FE61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9.4.3  承包人应在合同条款专用部分约定的时限内，按合同约定的环保工作内容，编制施工环保措施计划（包含第9.4.2项约定的实施方案内容），报送监理人审批。监理人在合同条款专用部分约定的期限内给予批复。</w:t>
      </w:r>
    </w:p>
    <w:p w14:paraId="634B5A8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9.4.4  承包人应按照批准的施工环保措施计划有序地堆放和处理施工废弃物，避免对环境造成破坏。因承包人任意堆放或弃置施工废弃物造成妨碍公共交通、影响城镇居民生活、降低河流行洪能力、危及居民安全、破坏和污染环境，或者影响其他承包人施工等后果的，承包人应承担责任。</w:t>
      </w:r>
    </w:p>
    <w:p w14:paraId="5CDD844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9.4.5  承包人应按合同约定采取有效措施，对施工开挖的边坡及时进行支护,维护排水设施，并进行水土保护，避免因施工造成的地质灾害。</w:t>
      </w:r>
    </w:p>
    <w:p w14:paraId="392956D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9.4.6  承包人应按国家饮用水管理标准定期对饮用水源进行监测，防止施工活动污染饮用水源。</w:t>
      </w:r>
    </w:p>
    <w:p w14:paraId="01F539E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9.4.7  承包人应按合同约定，加强对噪声、粉尘、废气、废水和废油的控制，努力降低噪声，控制粉尘和废气浓度，做好废水和废油的治理和排放。</w:t>
      </w:r>
    </w:p>
    <w:p w14:paraId="37BBAE9C">
      <w:pPr>
        <w:keepNext/>
        <w:keepLines/>
        <w:spacing w:line="440" w:lineRule="exact"/>
        <w:ind w:firstLine="482" w:firstLineChars="200"/>
        <w:outlineLvl w:val="2"/>
        <w:rPr>
          <w:rFonts w:hint="eastAsia" w:ascii="宋体" w:hAnsi="宋体" w:eastAsia="宋体" w:cs="宋体"/>
          <w:b/>
          <w:bCs/>
          <w:sz w:val="24"/>
          <w:szCs w:val="24"/>
          <w:lang w:eastAsia="zh-CN"/>
        </w:rPr>
      </w:pPr>
      <w:bookmarkStart w:id="446" w:name="_Toc497213791"/>
      <w:bookmarkStart w:id="447" w:name="_Toc117597541"/>
      <w:bookmarkStart w:id="448" w:name="_Toc489279926"/>
      <w:bookmarkStart w:id="449" w:name="_Toc189651450"/>
      <w:bookmarkStart w:id="450" w:name="_Toc490222560"/>
      <w:bookmarkStart w:id="451" w:name="_Toc486580115"/>
      <w:r>
        <w:rPr>
          <w:rFonts w:hint="eastAsia" w:ascii="宋体" w:hAnsi="宋体" w:eastAsia="宋体" w:cs="宋体"/>
          <w:b/>
          <w:bCs/>
          <w:sz w:val="24"/>
          <w:szCs w:val="24"/>
          <w:lang w:eastAsia="zh-CN"/>
        </w:rPr>
        <w:t>9.5  事故处理</w:t>
      </w:r>
      <w:bookmarkEnd w:id="446"/>
      <w:bookmarkEnd w:id="447"/>
      <w:bookmarkEnd w:id="448"/>
      <w:bookmarkEnd w:id="449"/>
      <w:bookmarkEnd w:id="450"/>
      <w:bookmarkEnd w:id="451"/>
    </w:p>
    <w:p w14:paraId="3626600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793ED6B7">
      <w:pPr>
        <w:pStyle w:val="50"/>
        <w:spacing w:before="120" w:after="120" w:line="440" w:lineRule="exact"/>
        <w:ind w:firstLine="482" w:firstLineChars="200"/>
        <w:rPr>
          <w:rFonts w:hint="eastAsia" w:ascii="宋体" w:hAnsi="宋体" w:eastAsia="宋体" w:cs="宋体"/>
          <w:b/>
          <w:bCs/>
          <w:szCs w:val="24"/>
          <w:lang w:eastAsia="zh-CN"/>
        </w:rPr>
      </w:pPr>
      <w:bookmarkStart w:id="452" w:name="_Toc117597542"/>
      <w:bookmarkStart w:id="453" w:name="_Toc189651451"/>
      <w:r>
        <w:rPr>
          <w:rFonts w:hint="eastAsia" w:ascii="宋体" w:hAnsi="宋体" w:eastAsia="宋体" w:cs="宋体"/>
          <w:b/>
          <w:bCs/>
          <w:szCs w:val="24"/>
          <w:lang w:eastAsia="zh-CN"/>
        </w:rPr>
        <w:t>9.6  施工现场安全生产标准化管理目标</w:t>
      </w:r>
      <w:bookmarkEnd w:id="452"/>
      <w:bookmarkEnd w:id="453"/>
    </w:p>
    <w:p w14:paraId="7AC0131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9.6.1 由于承包人原因，施工现场安全生产标准化评定、认定等级未达到合同协议书中约定的管理目标等级但“达标（合格）”的，承包人应当向发包人支付未达到合同协议书中约定的安全生产标准化管理目标等级的违约金或损失赔偿金。未达到合同协议书中约定的安全生产标准化管理目标等级的违约金或损失赔偿金的金额或者计算方法见合同条款专用部分。</w:t>
      </w:r>
    </w:p>
    <w:p w14:paraId="35A8D5F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9.6.2 发包人鼓励承包人提高施工现场安全生产标准化管理。施工现场安全生产标准化评定、认定等级高于合同协议书中约定的管理目标等级的，发包人可给予承包人创优奖励。发包人是否给予承包人创优奖励及创优奖励金额或者计算方法见合同条款专用部分。</w:t>
      </w:r>
    </w:p>
    <w:p w14:paraId="2925F7CB">
      <w:pPr>
        <w:pStyle w:val="50"/>
        <w:tabs>
          <w:tab w:val="left" w:pos="284"/>
          <w:tab w:val="left" w:pos="567"/>
        </w:tabs>
        <w:spacing w:before="120" w:after="120" w:line="440" w:lineRule="exact"/>
        <w:ind w:firstLine="482" w:firstLineChars="200"/>
        <w:rPr>
          <w:rFonts w:hint="eastAsia" w:ascii="宋体" w:hAnsi="宋体" w:eastAsia="宋体" w:cs="宋体"/>
          <w:b/>
          <w:bCs/>
          <w:szCs w:val="24"/>
          <w:lang w:eastAsia="zh-CN"/>
        </w:rPr>
      </w:pPr>
      <w:bookmarkStart w:id="454" w:name="_Toc117597543"/>
      <w:bookmarkStart w:id="455" w:name="_Toc189651452"/>
      <w:r>
        <w:rPr>
          <w:rFonts w:hint="eastAsia" w:ascii="宋体" w:hAnsi="宋体" w:eastAsia="宋体" w:cs="宋体"/>
          <w:b/>
          <w:bCs/>
          <w:szCs w:val="24"/>
          <w:lang w:eastAsia="zh-CN"/>
        </w:rPr>
        <w:t>9.7  特殊安全文明施工</w:t>
      </w:r>
      <w:bookmarkEnd w:id="454"/>
      <w:bookmarkEnd w:id="455"/>
    </w:p>
    <w:p w14:paraId="309FF90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9.7.1由于承包人原因，特殊安全文明施工要求未达到合同约定的要求，承包人应当向发包人支付未达到合同约定的特殊安全文明施工要求的违约金或损失赔偿金。未达到合同约定的特殊安全文明施工要求的违约金或损失赔偿金的金额或者计算方法见合同条款专用部分。</w:t>
      </w:r>
    </w:p>
    <w:p w14:paraId="0420F93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9.7.2 发包人鼓励承包人提高特殊安全文明施工要求。特殊安全文明施工要求高于合同约定的要求，发包人可给予承包人创优奖励。发包人是否给予承包人创优奖励及创优奖励金额或者计算方法见合同条款专用部分。</w:t>
      </w:r>
    </w:p>
    <w:p w14:paraId="0005F9B2">
      <w:pPr>
        <w:keepNext/>
        <w:keepLines/>
        <w:spacing w:line="440" w:lineRule="exact"/>
        <w:ind w:firstLine="482" w:firstLineChars="200"/>
        <w:outlineLvl w:val="1"/>
        <w:rPr>
          <w:rFonts w:hint="eastAsia" w:ascii="宋体" w:hAnsi="宋体" w:eastAsia="宋体" w:cs="宋体"/>
          <w:b/>
          <w:bCs/>
          <w:sz w:val="24"/>
          <w:szCs w:val="24"/>
          <w:lang w:eastAsia="zh-CN"/>
        </w:rPr>
      </w:pPr>
      <w:bookmarkStart w:id="456" w:name="_Toc489279927"/>
      <w:bookmarkStart w:id="457" w:name="_Toc486580116"/>
      <w:bookmarkStart w:id="458" w:name="_Toc497213792"/>
      <w:bookmarkStart w:id="459" w:name="_Toc117597544"/>
      <w:bookmarkStart w:id="460" w:name="_Toc490222561"/>
      <w:bookmarkStart w:id="461" w:name="_Toc189651453"/>
      <w:r>
        <w:rPr>
          <w:rFonts w:hint="eastAsia" w:ascii="宋体" w:hAnsi="宋体" w:eastAsia="宋体" w:cs="宋体"/>
          <w:b/>
          <w:bCs/>
          <w:sz w:val="24"/>
          <w:szCs w:val="24"/>
          <w:lang w:eastAsia="zh-CN"/>
        </w:rPr>
        <w:t>10.进度计划</w:t>
      </w:r>
      <w:bookmarkEnd w:id="456"/>
      <w:bookmarkEnd w:id="457"/>
      <w:bookmarkEnd w:id="458"/>
      <w:bookmarkEnd w:id="459"/>
      <w:bookmarkEnd w:id="460"/>
      <w:bookmarkEnd w:id="461"/>
    </w:p>
    <w:p w14:paraId="0048CA0E">
      <w:pPr>
        <w:keepNext/>
        <w:keepLines/>
        <w:spacing w:line="440" w:lineRule="exact"/>
        <w:ind w:firstLine="482" w:firstLineChars="200"/>
        <w:outlineLvl w:val="2"/>
        <w:rPr>
          <w:rFonts w:hint="eastAsia" w:ascii="宋体" w:hAnsi="宋体" w:eastAsia="宋体" w:cs="宋体"/>
          <w:b/>
          <w:bCs/>
          <w:sz w:val="24"/>
          <w:szCs w:val="24"/>
          <w:lang w:eastAsia="zh-CN"/>
        </w:rPr>
      </w:pPr>
      <w:bookmarkStart w:id="462" w:name="_Toc490222562"/>
      <w:bookmarkStart w:id="463" w:name="_Toc486580117"/>
      <w:bookmarkStart w:id="464" w:name="_Toc189651454"/>
      <w:bookmarkStart w:id="465" w:name="_Toc489279928"/>
      <w:bookmarkStart w:id="466" w:name="_Toc117597545"/>
      <w:bookmarkStart w:id="467" w:name="_Toc497213793"/>
      <w:r>
        <w:rPr>
          <w:rFonts w:hint="eastAsia" w:ascii="宋体" w:hAnsi="宋体" w:eastAsia="宋体" w:cs="宋体"/>
          <w:b/>
          <w:bCs/>
          <w:sz w:val="24"/>
          <w:szCs w:val="24"/>
          <w:lang w:eastAsia="zh-CN"/>
        </w:rPr>
        <w:t>10.1  合同进度计划</w:t>
      </w:r>
      <w:bookmarkEnd w:id="462"/>
      <w:bookmarkEnd w:id="463"/>
      <w:bookmarkEnd w:id="464"/>
      <w:bookmarkEnd w:id="465"/>
      <w:bookmarkEnd w:id="466"/>
      <w:bookmarkEnd w:id="467"/>
    </w:p>
    <w:p w14:paraId="037C2AE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10.1.1  承包人应当在收到监理人按照第11.1.1项发出的开工通知后7天内，编制详细的施工进度计划和施工方案说明报送监理人，施工进度计划应当反映进度管理的相关要素，包括开工日期和竣工日期、要求发包人组织设计人进行阶段性工程设计交底的时间、区段工程的开始时间和完成时间、施工次序和方法、施工活动的逻辑关系，主要材料和设备进场时间和数量，管理人员、劳动力及主要施工机械设备进出场时间和数量，保障工程安全、质量和工期的技术措施等。监理人应在收到承包人报送的相关进度计划和施工方案说明后14天内批复或提出修改意见，否则该进度计划视为已得到批准。经监理人批准的施工进度计划称合同进度计划，是控制合同工程进度的依据。承包人编制施工进度计划和施工方案说明的内容见合同条款专用部分。</w:t>
      </w:r>
    </w:p>
    <w:p w14:paraId="4D864FF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10.1.2  承包人还应根据合同进度计划，按照第10.1.1项相关约定编制更为详细的分阶段或分项进度计划，报监理人审批。承包人编制分阶段或分项施工进度计划和施工方案说明的内容及时限要求见合同条款专用部分。</w:t>
      </w:r>
    </w:p>
    <w:p w14:paraId="34B704D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10.1.3  群体工程中单位工程分期进行施工的，承包人应当按照发包人提供图纸及有关资料的时间要求，编制单位工程进度计划和施工方案说明。群体工程中有关编制进度计划和施工方案说明的要求见合同条款专用部分。</w:t>
      </w:r>
    </w:p>
    <w:p w14:paraId="6C41DDFC">
      <w:pPr>
        <w:keepNext/>
        <w:keepLines/>
        <w:spacing w:line="440" w:lineRule="exact"/>
        <w:ind w:firstLine="482" w:firstLineChars="200"/>
        <w:outlineLvl w:val="2"/>
        <w:rPr>
          <w:rFonts w:hint="eastAsia" w:ascii="宋体" w:hAnsi="宋体" w:eastAsia="宋体" w:cs="宋体"/>
          <w:b/>
          <w:bCs/>
          <w:sz w:val="24"/>
          <w:szCs w:val="24"/>
          <w:lang w:eastAsia="zh-CN"/>
        </w:rPr>
      </w:pPr>
      <w:bookmarkStart w:id="468" w:name="_Toc490222563"/>
      <w:bookmarkStart w:id="469" w:name="_Toc489279929"/>
      <w:bookmarkStart w:id="470" w:name="_Toc497213794"/>
      <w:bookmarkStart w:id="471" w:name="_Toc117597546"/>
      <w:bookmarkStart w:id="472" w:name="_Toc486580118"/>
      <w:bookmarkStart w:id="473" w:name="_Toc189651455"/>
      <w:r>
        <w:rPr>
          <w:rFonts w:hint="eastAsia" w:ascii="宋体" w:hAnsi="宋体" w:eastAsia="宋体" w:cs="宋体"/>
          <w:b/>
          <w:bCs/>
          <w:sz w:val="24"/>
          <w:szCs w:val="24"/>
          <w:lang w:eastAsia="zh-CN"/>
        </w:rPr>
        <w:t>10.2  合同进度计划的修订</w:t>
      </w:r>
      <w:bookmarkEnd w:id="468"/>
      <w:bookmarkEnd w:id="469"/>
      <w:bookmarkEnd w:id="470"/>
      <w:bookmarkEnd w:id="471"/>
      <w:bookmarkEnd w:id="472"/>
      <w:bookmarkEnd w:id="473"/>
    </w:p>
    <w:p w14:paraId="35EDEEA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10.2.1  不论何种原因造成工程的实际进度与第10.1款的合同进度计划不符时，承包人可以在合同条款专用部分约定的期限内向监理人提交修订合同进度计划的申请报告，并附有关措施和相关资料，报监理人审批；</w:t>
      </w:r>
    </w:p>
    <w:p w14:paraId="03E8677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10.2.2  监理人也可以直接向承包人作出修订合同进度计划的指示，承包人应按该指示修订合同进度计划，报监理人审批。监理人应在合同条款专用部分约定的期限内完成批复。监理人在批复前应获得发包人同意。</w:t>
      </w:r>
    </w:p>
    <w:p w14:paraId="05D6E77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10.2.3发包人对修订合同进度计划的批准，不影响发包人主张逾期损失赔偿和（或）承包人主张工期顺延的权利。</w:t>
      </w:r>
    </w:p>
    <w:p w14:paraId="2079F3BB">
      <w:pPr>
        <w:keepNext/>
        <w:keepLines/>
        <w:spacing w:line="440" w:lineRule="exact"/>
        <w:ind w:firstLine="482" w:firstLineChars="200"/>
        <w:outlineLvl w:val="2"/>
        <w:rPr>
          <w:rFonts w:hint="eastAsia" w:ascii="宋体" w:hAnsi="宋体" w:eastAsia="宋体" w:cs="宋体"/>
          <w:b/>
          <w:bCs/>
          <w:sz w:val="24"/>
          <w:szCs w:val="24"/>
          <w:lang w:eastAsia="zh-CN"/>
        </w:rPr>
      </w:pPr>
      <w:bookmarkStart w:id="474" w:name="_Toc189651456"/>
      <w:bookmarkStart w:id="475" w:name="_Toc113973445"/>
      <w:bookmarkStart w:id="476" w:name="_Toc117597547"/>
      <w:r>
        <w:rPr>
          <w:rFonts w:hint="eastAsia" w:ascii="宋体" w:hAnsi="宋体" w:eastAsia="宋体" w:cs="宋体"/>
          <w:b/>
          <w:bCs/>
          <w:sz w:val="24"/>
          <w:szCs w:val="24"/>
          <w:lang w:eastAsia="zh-CN"/>
        </w:rPr>
        <w:t xml:space="preserve">10.3  </w:t>
      </w:r>
      <w:bookmarkStart w:id="477" w:name="_Hlk112684339"/>
      <w:r>
        <w:rPr>
          <w:rFonts w:hint="eastAsia" w:ascii="宋体" w:hAnsi="宋体" w:eastAsia="宋体" w:cs="宋体"/>
          <w:b/>
          <w:bCs/>
          <w:sz w:val="24"/>
          <w:szCs w:val="24"/>
          <w:lang w:eastAsia="zh-CN"/>
        </w:rPr>
        <w:t>合同进度计划的其他要求</w:t>
      </w:r>
      <w:bookmarkEnd w:id="474"/>
      <w:bookmarkEnd w:id="475"/>
      <w:bookmarkEnd w:id="476"/>
      <w:bookmarkEnd w:id="477"/>
    </w:p>
    <w:p w14:paraId="0188155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10.3.1  经发包人批准的合同进度计划或最新版本合同进度计划的修订是发承包双方调配施工生产资源和实施进度管理的根据。</w:t>
      </w:r>
    </w:p>
    <w:p w14:paraId="5CA689B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10.3.2  </w:t>
      </w:r>
      <w:bookmarkStart w:id="478" w:name="_Hlk112684475"/>
      <w:bookmarkStart w:id="479" w:name="_Hlk112684377"/>
      <w:r>
        <w:rPr>
          <w:rFonts w:hint="eastAsia" w:ascii="宋体" w:hAnsi="宋体" w:eastAsia="宋体" w:cs="宋体"/>
          <w:sz w:val="24"/>
          <w:szCs w:val="24"/>
          <w:lang w:eastAsia="zh-CN"/>
        </w:rPr>
        <w:t>施工进度计划管理的人员配置</w:t>
      </w:r>
      <w:bookmarkEnd w:id="478"/>
      <w:r>
        <w:rPr>
          <w:rFonts w:hint="eastAsia" w:ascii="宋体" w:hAnsi="宋体" w:eastAsia="宋体" w:cs="宋体"/>
          <w:sz w:val="24"/>
          <w:szCs w:val="24"/>
          <w:lang w:eastAsia="zh-CN"/>
        </w:rPr>
        <w:t>要求</w:t>
      </w:r>
      <w:bookmarkEnd w:id="479"/>
      <w:r>
        <w:rPr>
          <w:rFonts w:hint="eastAsia" w:ascii="宋体" w:hAnsi="宋体" w:eastAsia="宋体" w:cs="宋体"/>
          <w:sz w:val="24"/>
          <w:szCs w:val="24"/>
          <w:lang w:eastAsia="zh-CN"/>
        </w:rPr>
        <w:t>见合同条款专用部分。</w:t>
      </w:r>
    </w:p>
    <w:p w14:paraId="7BFECBC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10.3.3  </w:t>
      </w:r>
      <w:bookmarkStart w:id="480" w:name="_Hlk112684387"/>
      <w:r>
        <w:rPr>
          <w:rFonts w:hint="eastAsia" w:ascii="宋体" w:hAnsi="宋体" w:eastAsia="宋体" w:cs="宋体"/>
          <w:sz w:val="24"/>
          <w:szCs w:val="24"/>
          <w:lang w:eastAsia="zh-CN"/>
        </w:rPr>
        <w:t>施工进度计划的计算机应用软件要求</w:t>
      </w:r>
      <w:bookmarkEnd w:id="480"/>
      <w:r>
        <w:rPr>
          <w:rFonts w:hint="eastAsia" w:ascii="宋体" w:hAnsi="宋体" w:eastAsia="宋体" w:cs="宋体"/>
          <w:sz w:val="24"/>
          <w:szCs w:val="24"/>
          <w:lang w:eastAsia="zh-CN"/>
        </w:rPr>
        <w:t>见合同条款专用部分。</w:t>
      </w:r>
    </w:p>
    <w:p w14:paraId="78DDB9AF">
      <w:pPr>
        <w:keepNext/>
        <w:keepLines/>
        <w:spacing w:line="440" w:lineRule="exact"/>
        <w:ind w:firstLine="482" w:firstLineChars="200"/>
        <w:outlineLvl w:val="1"/>
        <w:rPr>
          <w:rFonts w:hint="eastAsia" w:ascii="宋体" w:hAnsi="宋体" w:eastAsia="宋体" w:cs="宋体"/>
          <w:b/>
          <w:bCs/>
          <w:sz w:val="24"/>
          <w:szCs w:val="24"/>
          <w:lang w:eastAsia="zh-CN"/>
        </w:rPr>
      </w:pPr>
      <w:bookmarkStart w:id="481" w:name="_Toc189651457"/>
      <w:bookmarkStart w:id="482" w:name="_Toc486580119"/>
      <w:bookmarkStart w:id="483" w:name="_Toc490222564"/>
      <w:bookmarkStart w:id="484" w:name="_Toc489279930"/>
      <w:bookmarkStart w:id="485" w:name="_Toc497213795"/>
      <w:bookmarkStart w:id="486" w:name="_Toc117597548"/>
      <w:r>
        <w:rPr>
          <w:rFonts w:hint="eastAsia" w:ascii="宋体" w:hAnsi="宋体" w:eastAsia="宋体" w:cs="宋体"/>
          <w:b/>
          <w:bCs/>
          <w:sz w:val="24"/>
          <w:szCs w:val="24"/>
          <w:lang w:eastAsia="zh-CN"/>
        </w:rPr>
        <w:t>11.开工和竣工</w:t>
      </w:r>
      <w:bookmarkEnd w:id="481"/>
      <w:bookmarkEnd w:id="482"/>
      <w:bookmarkEnd w:id="483"/>
      <w:bookmarkEnd w:id="484"/>
      <w:bookmarkEnd w:id="485"/>
      <w:bookmarkEnd w:id="486"/>
    </w:p>
    <w:p w14:paraId="6D296795">
      <w:pPr>
        <w:keepNext/>
        <w:keepLines/>
        <w:spacing w:line="440" w:lineRule="exact"/>
        <w:ind w:firstLine="482" w:firstLineChars="200"/>
        <w:outlineLvl w:val="2"/>
        <w:rPr>
          <w:rFonts w:hint="eastAsia" w:ascii="宋体" w:hAnsi="宋体" w:eastAsia="宋体" w:cs="宋体"/>
          <w:b/>
          <w:bCs/>
          <w:sz w:val="24"/>
          <w:szCs w:val="24"/>
          <w:lang w:eastAsia="zh-CN"/>
        </w:rPr>
      </w:pPr>
      <w:bookmarkStart w:id="487" w:name="_Toc490222565"/>
      <w:bookmarkStart w:id="488" w:name="_Toc489279931"/>
      <w:bookmarkStart w:id="489" w:name="_Toc117597549"/>
      <w:bookmarkStart w:id="490" w:name="_Toc497213796"/>
      <w:bookmarkStart w:id="491" w:name="_Toc486580120"/>
      <w:bookmarkStart w:id="492" w:name="_Toc189651458"/>
      <w:r>
        <w:rPr>
          <w:rFonts w:hint="eastAsia" w:ascii="宋体" w:hAnsi="宋体" w:eastAsia="宋体" w:cs="宋体"/>
          <w:b/>
          <w:bCs/>
          <w:sz w:val="24"/>
          <w:szCs w:val="24"/>
          <w:lang w:eastAsia="zh-CN"/>
        </w:rPr>
        <w:t>11.1  开工</w:t>
      </w:r>
      <w:bookmarkEnd w:id="487"/>
      <w:bookmarkEnd w:id="488"/>
      <w:bookmarkEnd w:id="489"/>
      <w:bookmarkEnd w:id="490"/>
      <w:bookmarkEnd w:id="491"/>
      <w:bookmarkEnd w:id="492"/>
    </w:p>
    <w:p w14:paraId="6877A67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11.1.1  监理人应在开工日期7天前向承包人发出开工通知。监理人在发出开工通知前应获得发包人同意。工期自监理人发出的开工通知中载明的开工日期起计算。承包人应在开工日期后尽快施工。</w:t>
      </w:r>
    </w:p>
    <w:p w14:paraId="51399C90">
      <w:pPr>
        <w:spacing w:line="440" w:lineRule="exact"/>
        <w:ind w:firstLine="480" w:firstLineChars="200"/>
        <w:rPr>
          <w:rFonts w:hint="eastAsia" w:ascii="宋体" w:hAnsi="宋体" w:eastAsia="宋体" w:cs="宋体"/>
          <w:sz w:val="24"/>
          <w:szCs w:val="24"/>
          <w:shd w:val="pct10" w:color="auto" w:fill="FFFFFF"/>
          <w:lang w:eastAsia="zh-CN"/>
        </w:rPr>
      </w:pPr>
      <w:r>
        <w:rPr>
          <w:rFonts w:hint="eastAsia" w:ascii="宋体" w:hAnsi="宋体" w:eastAsia="宋体" w:cs="宋体"/>
          <w:sz w:val="24"/>
          <w:szCs w:val="24"/>
          <w:lang w:eastAsia="zh-CN"/>
        </w:rPr>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2A3813C9">
      <w:pPr>
        <w:keepNext/>
        <w:keepLines/>
        <w:spacing w:line="440" w:lineRule="exact"/>
        <w:ind w:firstLine="482" w:firstLineChars="200"/>
        <w:outlineLvl w:val="2"/>
        <w:rPr>
          <w:rFonts w:hint="eastAsia" w:ascii="宋体" w:hAnsi="宋体" w:eastAsia="宋体" w:cs="宋体"/>
          <w:b/>
          <w:bCs/>
          <w:sz w:val="24"/>
          <w:szCs w:val="24"/>
          <w:lang w:eastAsia="zh-CN"/>
        </w:rPr>
      </w:pPr>
      <w:bookmarkStart w:id="493" w:name="_Toc117597550"/>
      <w:bookmarkStart w:id="494" w:name="_Toc497213797"/>
      <w:bookmarkStart w:id="495" w:name="_Toc489279932"/>
      <w:bookmarkStart w:id="496" w:name="_Toc189651459"/>
      <w:bookmarkStart w:id="497" w:name="_Toc486580121"/>
      <w:bookmarkStart w:id="498" w:name="_Toc490222566"/>
      <w:r>
        <w:rPr>
          <w:rFonts w:hint="eastAsia" w:ascii="宋体" w:hAnsi="宋体" w:eastAsia="宋体" w:cs="宋体"/>
          <w:b/>
          <w:bCs/>
          <w:sz w:val="24"/>
          <w:szCs w:val="24"/>
          <w:lang w:eastAsia="zh-CN"/>
        </w:rPr>
        <w:t>11.2  竣工</w:t>
      </w:r>
      <w:bookmarkEnd w:id="493"/>
      <w:bookmarkEnd w:id="494"/>
      <w:bookmarkEnd w:id="495"/>
      <w:bookmarkEnd w:id="496"/>
      <w:bookmarkEnd w:id="497"/>
      <w:bookmarkEnd w:id="498"/>
    </w:p>
    <w:p w14:paraId="445BC6D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承包人应在第1.1.4.3目约定的期限内完成合同工程。实际竣工日期在接收证书中写明。</w:t>
      </w:r>
    </w:p>
    <w:p w14:paraId="0FE7B7CB">
      <w:pPr>
        <w:keepNext/>
        <w:keepLines/>
        <w:spacing w:line="440" w:lineRule="exact"/>
        <w:ind w:firstLine="482" w:firstLineChars="200"/>
        <w:outlineLvl w:val="2"/>
        <w:rPr>
          <w:rFonts w:hint="eastAsia" w:ascii="宋体" w:hAnsi="宋体" w:eastAsia="宋体" w:cs="宋体"/>
          <w:b/>
          <w:bCs/>
          <w:sz w:val="24"/>
          <w:szCs w:val="24"/>
          <w:lang w:eastAsia="zh-CN"/>
        </w:rPr>
      </w:pPr>
      <w:bookmarkStart w:id="499" w:name="_Toc486580122"/>
      <w:bookmarkStart w:id="500" w:name="_Toc497213798"/>
      <w:bookmarkStart w:id="501" w:name="_Toc490222567"/>
      <w:bookmarkStart w:id="502" w:name="_Toc117597551"/>
      <w:bookmarkStart w:id="503" w:name="_Toc189651460"/>
      <w:bookmarkStart w:id="504" w:name="_Toc489279933"/>
      <w:r>
        <w:rPr>
          <w:rFonts w:hint="eastAsia" w:ascii="宋体" w:hAnsi="宋体" w:eastAsia="宋体" w:cs="宋体"/>
          <w:b/>
          <w:bCs/>
          <w:sz w:val="24"/>
          <w:szCs w:val="24"/>
          <w:lang w:eastAsia="zh-CN"/>
        </w:rPr>
        <w:t>11.3  发包人的工期延误</w:t>
      </w:r>
      <w:bookmarkEnd w:id="499"/>
      <w:bookmarkEnd w:id="500"/>
      <w:bookmarkEnd w:id="501"/>
      <w:bookmarkEnd w:id="502"/>
      <w:bookmarkEnd w:id="503"/>
      <w:bookmarkEnd w:id="504"/>
    </w:p>
    <w:p w14:paraId="4782952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在履行合同过程中，由于发包人的下列原因造成承包人关键线路工期延误的，承包人有权要求发包人延长工期和（或）增加费用，并支付合理利润。需要修订合同进度计划的，按照第10.2款的约定办理。</w:t>
      </w:r>
    </w:p>
    <w:p w14:paraId="779FD72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（1）增加合同工作内容；</w:t>
      </w:r>
    </w:p>
    <w:p w14:paraId="4A0E981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（2）改变合同中任何一项工作的质量要求或其他特性；</w:t>
      </w:r>
    </w:p>
    <w:p w14:paraId="2CEC790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（3）发包人迟延提供材料、工程设备或变更交货地点的；</w:t>
      </w:r>
    </w:p>
    <w:p w14:paraId="06EAD10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（4）因发包人原因导致的暂停施工；</w:t>
      </w:r>
    </w:p>
    <w:p w14:paraId="79613C0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（5）提供图纸延误；</w:t>
      </w:r>
    </w:p>
    <w:p w14:paraId="2248AD8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（6）未按合同约定及时支付预付款、进度款；</w:t>
      </w:r>
    </w:p>
    <w:p w14:paraId="593553D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（7）因发包人原因不能按照监理人发出的开工通知中载明的开工日期开工；</w:t>
      </w:r>
    </w:p>
    <w:p w14:paraId="6DDDD2A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（8）发包人造成工期延误的其他原因见合同条款专用部分。</w:t>
      </w:r>
    </w:p>
    <w:p w14:paraId="71E7BE1D">
      <w:pPr>
        <w:keepNext/>
        <w:keepLines/>
        <w:spacing w:line="440" w:lineRule="exact"/>
        <w:ind w:firstLine="482" w:firstLineChars="200"/>
        <w:outlineLvl w:val="2"/>
        <w:rPr>
          <w:rFonts w:hint="eastAsia" w:ascii="宋体" w:hAnsi="宋体" w:eastAsia="宋体" w:cs="宋体"/>
          <w:b/>
          <w:bCs/>
          <w:sz w:val="24"/>
          <w:szCs w:val="24"/>
          <w:lang w:eastAsia="zh-CN"/>
        </w:rPr>
      </w:pPr>
      <w:bookmarkStart w:id="505" w:name="_Toc497213799"/>
      <w:bookmarkStart w:id="506" w:name="_Toc189651461"/>
      <w:bookmarkStart w:id="507" w:name="_Toc117597552"/>
      <w:bookmarkStart w:id="508" w:name="_Toc489279934"/>
      <w:bookmarkStart w:id="509" w:name="_Toc486580123"/>
      <w:bookmarkStart w:id="510" w:name="_Toc490222568"/>
      <w:r>
        <w:rPr>
          <w:rFonts w:hint="eastAsia" w:ascii="宋体" w:hAnsi="宋体" w:eastAsia="宋体" w:cs="宋体"/>
          <w:b/>
          <w:bCs/>
          <w:sz w:val="24"/>
          <w:szCs w:val="24"/>
          <w:lang w:eastAsia="zh-CN"/>
        </w:rPr>
        <w:t>11.4  异常恶劣的气候条件</w:t>
      </w:r>
      <w:bookmarkEnd w:id="505"/>
      <w:bookmarkEnd w:id="506"/>
      <w:bookmarkEnd w:id="507"/>
      <w:bookmarkEnd w:id="508"/>
      <w:bookmarkEnd w:id="509"/>
      <w:bookmarkEnd w:id="510"/>
    </w:p>
    <w:p w14:paraId="6275503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由于出现异常恶劣气候的条件导致工期延误的，承包人有权要求发包人延长工期。异常恶劣的气候条件的范围和标准见合同条款专用部分。</w:t>
      </w:r>
    </w:p>
    <w:p w14:paraId="4992A37F">
      <w:pPr>
        <w:keepNext/>
        <w:keepLines/>
        <w:spacing w:line="440" w:lineRule="exact"/>
        <w:ind w:firstLine="482" w:firstLineChars="200"/>
        <w:outlineLvl w:val="2"/>
        <w:rPr>
          <w:rFonts w:hint="eastAsia" w:ascii="宋体" w:hAnsi="宋体" w:eastAsia="宋体" w:cs="宋体"/>
          <w:b/>
          <w:bCs/>
          <w:sz w:val="24"/>
          <w:szCs w:val="24"/>
          <w:lang w:eastAsia="zh-CN"/>
        </w:rPr>
      </w:pPr>
      <w:bookmarkStart w:id="511" w:name="_Toc489279935"/>
      <w:bookmarkStart w:id="512" w:name="_Toc117597553"/>
      <w:bookmarkStart w:id="513" w:name="_Toc486580124"/>
      <w:bookmarkStart w:id="514" w:name="_Toc490222569"/>
      <w:bookmarkStart w:id="515" w:name="_Toc189651462"/>
      <w:bookmarkStart w:id="516" w:name="_Toc497213800"/>
      <w:r>
        <w:rPr>
          <w:rFonts w:hint="eastAsia" w:ascii="宋体" w:hAnsi="宋体" w:eastAsia="宋体" w:cs="宋体"/>
          <w:b/>
          <w:bCs/>
          <w:sz w:val="24"/>
          <w:szCs w:val="24"/>
          <w:lang w:eastAsia="zh-CN"/>
        </w:rPr>
        <w:t>11.5  承包人的工期延误</w:t>
      </w:r>
      <w:bookmarkEnd w:id="511"/>
      <w:bookmarkEnd w:id="512"/>
      <w:bookmarkEnd w:id="513"/>
      <w:bookmarkEnd w:id="514"/>
      <w:bookmarkEnd w:id="515"/>
      <w:bookmarkEnd w:id="516"/>
    </w:p>
    <w:p w14:paraId="1997195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11.5.1  由于承包人原因，未能按合同进度计划完成工作，或监理人认为承包人施工进度不能满足合同工期要求的，承包人应在不影响工程安全和质量的前提下采取必要的赶工措施加快进度，并承担加快进度所增加的费用。</w:t>
      </w:r>
    </w:p>
    <w:p w14:paraId="54B45FD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11.5.2  由于承包人原因造成不能按期竣工的，按照合同约定的竣工日期（包括按合同工期延长）后7天内，监理人应当按第23.4.1项的约定书面通知承包人,说明发包人有权得到逾期竣工违约金，逾期竣工违约金计算标准和计算方法见合同条款专用部分。但最终逾期竣工违约金的金额不应超过合同约定的逾期竣工违约金最高限额。逾期竣工违约金最高限额见合同条款专用部分。</w:t>
      </w:r>
    </w:p>
    <w:p w14:paraId="26CDCC9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监理人未在规定的期限内发出本款约定的书面通知的，发包人丧失主张逾期竣工违约金的权利。</w:t>
      </w:r>
    </w:p>
    <w:p w14:paraId="402F997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11.5.3  承包人支付逾期竣工违约金，不免除承包人完成工程及修补缺陷的义务。</w:t>
      </w:r>
    </w:p>
    <w:p w14:paraId="7D207DA4">
      <w:pPr>
        <w:pStyle w:val="50"/>
        <w:spacing w:before="120" w:after="120" w:line="440" w:lineRule="exact"/>
        <w:ind w:firstLine="482" w:firstLineChars="200"/>
        <w:rPr>
          <w:rFonts w:hint="eastAsia" w:ascii="宋体" w:hAnsi="宋体" w:eastAsia="宋体" w:cs="宋体"/>
          <w:b/>
          <w:bCs/>
          <w:szCs w:val="24"/>
          <w:lang w:eastAsia="zh-CN"/>
        </w:rPr>
      </w:pPr>
      <w:bookmarkStart w:id="517" w:name="_Toc113973452"/>
      <w:bookmarkStart w:id="518" w:name="_Toc117597554"/>
      <w:bookmarkStart w:id="519" w:name="_Toc189651463"/>
      <w:r>
        <w:rPr>
          <w:rFonts w:hint="eastAsia" w:ascii="宋体" w:hAnsi="宋体" w:eastAsia="宋体" w:cs="宋体"/>
          <w:b/>
          <w:bCs/>
          <w:szCs w:val="24"/>
          <w:lang w:eastAsia="zh-CN"/>
        </w:rPr>
        <w:t>11.6  发承包双方原因导致的工期延误</w:t>
      </w:r>
      <w:bookmarkEnd w:id="517"/>
      <w:bookmarkEnd w:id="518"/>
      <w:bookmarkEnd w:id="519"/>
    </w:p>
    <w:p w14:paraId="6280FAF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履行合同过程中，由于发承包双方的原因造成承包人关键线路工期延误或窝工降效的，承包人可根据实际影响情况并按照合同约定期限提出工期顺延和（或）费用损失申请，发包人应当在合同约定的期限内及时处理，并按过错责任分担工期和（或）费用损失；责任划分不清的，以主导原因为主承担工期和（或）费用损失。需要修订合同进度计划的，按照第10.2款的约定办理。发承包双方导致工期延误的原因见合同条款专用部分。</w:t>
      </w:r>
    </w:p>
    <w:p w14:paraId="09295983">
      <w:pPr>
        <w:pStyle w:val="50"/>
        <w:spacing w:before="120" w:after="120" w:line="440" w:lineRule="exact"/>
        <w:ind w:firstLine="482" w:firstLineChars="200"/>
        <w:rPr>
          <w:rFonts w:hint="eastAsia" w:ascii="宋体" w:hAnsi="宋体" w:eastAsia="宋体" w:cs="宋体"/>
          <w:b/>
          <w:bCs/>
          <w:szCs w:val="24"/>
          <w:lang w:eastAsia="zh-CN"/>
        </w:rPr>
      </w:pPr>
      <w:bookmarkStart w:id="520" w:name="_Toc113973453"/>
      <w:bookmarkStart w:id="521" w:name="_Toc117597555"/>
      <w:bookmarkStart w:id="522" w:name="_Toc189651464"/>
      <w:r>
        <w:rPr>
          <w:rFonts w:hint="eastAsia" w:ascii="宋体" w:hAnsi="宋体" w:eastAsia="宋体" w:cs="宋体"/>
          <w:b/>
          <w:bCs/>
          <w:szCs w:val="24"/>
          <w:lang w:eastAsia="zh-CN"/>
        </w:rPr>
        <w:t>11.7  非发承包双方原因导致的工期延误</w:t>
      </w:r>
      <w:bookmarkEnd w:id="520"/>
      <w:bookmarkEnd w:id="521"/>
      <w:bookmarkEnd w:id="522"/>
    </w:p>
    <w:p w14:paraId="125BA06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履行合同过程中，由于非发承包双方的原因造成承包人关键线路工期延误或窝工降效的，承包人可根据实际影响情况并按照合同约定期限提出工期顺延和（或）费用损失申请，发包人应当在合同约定的期限内及时处理，给予顺延工期，发承包双方应根据公平原则分担费用损失。需要修订合同进度计划的，按照第10.2款的约定办理。非发承包双方导致工期延误的原因见合同条款专用部分。</w:t>
      </w:r>
    </w:p>
    <w:p w14:paraId="60255087">
      <w:pPr>
        <w:keepNext/>
        <w:keepLines/>
        <w:spacing w:line="440" w:lineRule="exact"/>
        <w:ind w:firstLine="482" w:firstLineChars="200"/>
        <w:outlineLvl w:val="2"/>
        <w:rPr>
          <w:rFonts w:hint="eastAsia" w:ascii="宋体" w:hAnsi="宋体" w:eastAsia="宋体" w:cs="宋体"/>
          <w:b/>
          <w:bCs/>
          <w:sz w:val="24"/>
          <w:szCs w:val="24"/>
          <w:lang w:eastAsia="zh-CN"/>
        </w:rPr>
      </w:pPr>
      <w:bookmarkStart w:id="523" w:name="_Toc117597556"/>
      <w:bookmarkStart w:id="524" w:name="_Toc486580125"/>
      <w:bookmarkStart w:id="525" w:name="_Toc189651465"/>
      <w:bookmarkStart w:id="526" w:name="_Toc490222570"/>
      <w:bookmarkStart w:id="527" w:name="_Toc497213801"/>
      <w:bookmarkStart w:id="528" w:name="_Toc489279936"/>
      <w:r>
        <w:rPr>
          <w:rFonts w:hint="eastAsia" w:ascii="宋体" w:hAnsi="宋体" w:eastAsia="宋体" w:cs="宋体"/>
          <w:b/>
          <w:bCs/>
          <w:sz w:val="24"/>
          <w:szCs w:val="24"/>
          <w:lang w:eastAsia="zh-CN"/>
        </w:rPr>
        <w:t>11.8  工期提前</w:t>
      </w:r>
      <w:bookmarkEnd w:id="523"/>
      <w:bookmarkEnd w:id="524"/>
      <w:bookmarkEnd w:id="525"/>
      <w:bookmarkEnd w:id="526"/>
      <w:bookmarkEnd w:id="527"/>
      <w:bookmarkEnd w:id="528"/>
    </w:p>
    <w:p w14:paraId="128F455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相应的奖金。提前竣工的奖励办法见合同条款专用部分。</w:t>
      </w:r>
    </w:p>
    <w:p w14:paraId="1D636BC7">
      <w:pPr>
        <w:keepNext/>
        <w:keepLines/>
        <w:spacing w:line="440" w:lineRule="exact"/>
        <w:ind w:firstLine="482" w:firstLineChars="200"/>
        <w:outlineLvl w:val="1"/>
        <w:rPr>
          <w:rFonts w:hint="eastAsia" w:ascii="宋体" w:hAnsi="宋体" w:eastAsia="宋体" w:cs="宋体"/>
          <w:b/>
          <w:bCs/>
          <w:sz w:val="24"/>
          <w:szCs w:val="24"/>
          <w:lang w:eastAsia="zh-CN"/>
        </w:rPr>
      </w:pPr>
      <w:bookmarkStart w:id="529" w:name="_Toc497213802"/>
      <w:bookmarkStart w:id="530" w:name="_Toc489279937"/>
      <w:bookmarkStart w:id="531" w:name="_Toc486580126"/>
      <w:bookmarkStart w:id="532" w:name="_Toc117597557"/>
      <w:bookmarkStart w:id="533" w:name="_Toc490222571"/>
      <w:bookmarkStart w:id="534" w:name="_Toc189651466"/>
      <w:r>
        <w:rPr>
          <w:rFonts w:hint="eastAsia" w:ascii="宋体" w:hAnsi="宋体" w:eastAsia="宋体" w:cs="宋体"/>
          <w:b/>
          <w:bCs/>
          <w:sz w:val="24"/>
          <w:szCs w:val="24"/>
          <w:lang w:eastAsia="zh-CN"/>
        </w:rPr>
        <w:t>12.暂停施工</w:t>
      </w:r>
      <w:bookmarkEnd w:id="529"/>
      <w:bookmarkEnd w:id="530"/>
      <w:bookmarkEnd w:id="531"/>
      <w:bookmarkEnd w:id="532"/>
      <w:bookmarkEnd w:id="533"/>
      <w:bookmarkEnd w:id="534"/>
    </w:p>
    <w:p w14:paraId="0A2A76FB">
      <w:pPr>
        <w:keepNext/>
        <w:keepLines/>
        <w:spacing w:line="440" w:lineRule="exact"/>
        <w:ind w:firstLine="482" w:firstLineChars="200"/>
        <w:outlineLvl w:val="2"/>
        <w:rPr>
          <w:rFonts w:hint="eastAsia" w:ascii="宋体" w:hAnsi="宋体" w:eastAsia="宋体" w:cs="宋体"/>
          <w:b/>
          <w:bCs/>
          <w:sz w:val="24"/>
          <w:szCs w:val="24"/>
          <w:lang w:eastAsia="zh-CN"/>
        </w:rPr>
      </w:pPr>
      <w:bookmarkStart w:id="535" w:name="_Toc117597558"/>
      <w:bookmarkStart w:id="536" w:name="_Toc486580127"/>
      <w:bookmarkStart w:id="537" w:name="_Toc189651467"/>
      <w:bookmarkStart w:id="538" w:name="_Toc489279938"/>
      <w:bookmarkStart w:id="539" w:name="_Toc497213803"/>
      <w:bookmarkStart w:id="540" w:name="_Toc490222572"/>
      <w:r>
        <w:rPr>
          <w:rFonts w:hint="eastAsia" w:ascii="宋体" w:hAnsi="宋体" w:eastAsia="宋体" w:cs="宋体"/>
          <w:b/>
          <w:bCs/>
          <w:sz w:val="24"/>
          <w:szCs w:val="24"/>
          <w:lang w:eastAsia="zh-CN"/>
        </w:rPr>
        <w:t>12.1  承包人暂停施工的责任</w:t>
      </w:r>
      <w:bookmarkEnd w:id="535"/>
      <w:bookmarkEnd w:id="536"/>
      <w:bookmarkEnd w:id="537"/>
      <w:bookmarkEnd w:id="538"/>
      <w:bookmarkEnd w:id="539"/>
      <w:bookmarkEnd w:id="540"/>
    </w:p>
    <w:p w14:paraId="1A232BD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因下列情形暂停施工增加的费用和（或）工期延误由承包人承担：</w:t>
      </w:r>
    </w:p>
    <w:p w14:paraId="52549FF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（1）承包人违约引起的暂停施工；</w:t>
      </w:r>
    </w:p>
    <w:p w14:paraId="138A3CB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（2）由于承包人原因为工程合理施工和安全保障所必需的暂停施工；</w:t>
      </w:r>
    </w:p>
    <w:p w14:paraId="3948453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（3）承包人擅自暂停施工；</w:t>
      </w:r>
    </w:p>
    <w:p w14:paraId="24936DA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（4）承包人承担暂停施工责任的其他情形见合同条款专用部分。</w:t>
      </w:r>
    </w:p>
    <w:p w14:paraId="46E25504">
      <w:pPr>
        <w:keepNext/>
        <w:keepLines/>
        <w:spacing w:line="440" w:lineRule="exact"/>
        <w:ind w:firstLine="482" w:firstLineChars="200"/>
        <w:outlineLvl w:val="2"/>
        <w:rPr>
          <w:rFonts w:hint="eastAsia" w:ascii="宋体" w:hAnsi="宋体" w:eastAsia="宋体" w:cs="宋体"/>
          <w:b/>
          <w:bCs/>
          <w:sz w:val="24"/>
          <w:szCs w:val="24"/>
          <w:lang w:eastAsia="zh-CN"/>
        </w:rPr>
      </w:pPr>
      <w:bookmarkStart w:id="541" w:name="_Toc189651468"/>
      <w:bookmarkStart w:id="542" w:name="_Toc490222573"/>
      <w:bookmarkStart w:id="543" w:name="_Toc497213804"/>
      <w:bookmarkStart w:id="544" w:name="_Toc486580128"/>
      <w:bookmarkStart w:id="545" w:name="_Toc489279939"/>
      <w:bookmarkStart w:id="546" w:name="_Toc117597559"/>
      <w:r>
        <w:rPr>
          <w:rFonts w:hint="eastAsia" w:ascii="宋体" w:hAnsi="宋体" w:eastAsia="宋体" w:cs="宋体"/>
          <w:b/>
          <w:bCs/>
          <w:sz w:val="24"/>
          <w:szCs w:val="24"/>
          <w:lang w:eastAsia="zh-CN"/>
        </w:rPr>
        <w:t>12.2  发包人暂停施工的责任</w:t>
      </w:r>
      <w:bookmarkEnd w:id="541"/>
      <w:bookmarkEnd w:id="542"/>
      <w:bookmarkEnd w:id="543"/>
      <w:bookmarkEnd w:id="544"/>
      <w:bookmarkEnd w:id="545"/>
      <w:bookmarkEnd w:id="546"/>
    </w:p>
    <w:p w14:paraId="73E460E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由于发包人原因引起的暂停施工造成工期延误的，承包人有权要求发包人延长工期和（或）增加费用，并支付合理利润。</w:t>
      </w:r>
    </w:p>
    <w:p w14:paraId="1B657D32">
      <w:pPr>
        <w:keepNext/>
        <w:keepLines/>
        <w:spacing w:line="440" w:lineRule="exact"/>
        <w:ind w:firstLine="482" w:firstLineChars="200"/>
        <w:outlineLvl w:val="2"/>
        <w:rPr>
          <w:rFonts w:hint="eastAsia" w:ascii="宋体" w:hAnsi="宋体" w:eastAsia="宋体" w:cs="宋体"/>
          <w:b/>
          <w:bCs/>
          <w:sz w:val="24"/>
          <w:szCs w:val="24"/>
          <w:lang w:eastAsia="zh-CN"/>
        </w:rPr>
      </w:pPr>
      <w:bookmarkStart w:id="547" w:name="_Toc497213805"/>
      <w:bookmarkStart w:id="548" w:name="_Toc486580129"/>
      <w:bookmarkStart w:id="549" w:name="_Toc117597560"/>
      <w:bookmarkStart w:id="550" w:name="_Toc490222574"/>
      <w:bookmarkStart w:id="551" w:name="_Toc489279940"/>
      <w:bookmarkStart w:id="552" w:name="_Toc189651469"/>
      <w:r>
        <w:rPr>
          <w:rFonts w:hint="eastAsia" w:ascii="宋体" w:hAnsi="宋体" w:eastAsia="宋体" w:cs="宋体"/>
          <w:b/>
          <w:bCs/>
          <w:sz w:val="24"/>
          <w:szCs w:val="24"/>
          <w:lang w:eastAsia="zh-CN"/>
        </w:rPr>
        <w:t>12.3  监理人暂停施工指示</w:t>
      </w:r>
      <w:bookmarkEnd w:id="547"/>
      <w:bookmarkEnd w:id="548"/>
      <w:bookmarkEnd w:id="549"/>
      <w:bookmarkEnd w:id="550"/>
      <w:bookmarkEnd w:id="551"/>
      <w:bookmarkEnd w:id="552"/>
    </w:p>
    <w:p w14:paraId="1F80988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12.3.1  监理人认为有必要时，可向承包人作出暂停施工的指示，承包人应按监理人指示暂停施工。不论由于何种原因引起的暂停施工，暂停施工期间承包人应负责妥善保护工程并提供安全保障。</w:t>
      </w:r>
    </w:p>
    <w:p w14:paraId="2368DAE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08A176B4">
      <w:pPr>
        <w:keepNext/>
        <w:keepLines/>
        <w:spacing w:line="440" w:lineRule="exact"/>
        <w:ind w:firstLine="482" w:firstLineChars="200"/>
        <w:outlineLvl w:val="2"/>
        <w:rPr>
          <w:rFonts w:hint="eastAsia" w:ascii="宋体" w:hAnsi="宋体" w:eastAsia="宋体" w:cs="宋体"/>
          <w:b/>
          <w:bCs/>
          <w:sz w:val="24"/>
          <w:szCs w:val="24"/>
          <w:lang w:eastAsia="zh-CN"/>
        </w:rPr>
      </w:pPr>
      <w:bookmarkStart w:id="553" w:name="_Toc497213806"/>
      <w:bookmarkStart w:id="554" w:name="_Toc489279941"/>
      <w:bookmarkStart w:id="555" w:name="_Toc117597561"/>
      <w:bookmarkStart w:id="556" w:name="_Toc189651470"/>
      <w:bookmarkStart w:id="557" w:name="_Toc490222575"/>
      <w:bookmarkStart w:id="558" w:name="_Toc486580130"/>
      <w:r>
        <w:rPr>
          <w:rFonts w:hint="eastAsia" w:ascii="宋体" w:hAnsi="宋体" w:eastAsia="宋体" w:cs="宋体"/>
          <w:b/>
          <w:bCs/>
          <w:sz w:val="24"/>
          <w:szCs w:val="24"/>
          <w:lang w:eastAsia="zh-CN"/>
        </w:rPr>
        <w:t>12.4  暂停施工后的复工</w:t>
      </w:r>
      <w:bookmarkEnd w:id="553"/>
      <w:bookmarkEnd w:id="554"/>
      <w:bookmarkEnd w:id="555"/>
      <w:bookmarkEnd w:id="556"/>
      <w:bookmarkEnd w:id="557"/>
      <w:bookmarkEnd w:id="558"/>
    </w:p>
    <w:p w14:paraId="35539B2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14:paraId="6372FC4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12.4.2  承包人无故拖延和拒绝复工的，由此增加的费用和工期延误由承包人承担；因发包人原因无法按时复工的，承包人有权要求发包人延长工期和（或）增加费用，并支付合理利润。</w:t>
      </w:r>
    </w:p>
    <w:p w14:paraId="4D443D7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12.4.3  根据第12.4.1款的约定，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4DF65DF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12.4.4  暂停施工持续56天以上，按合同约定由承包人提供的材料和工程设备，由于暂停施工原因导致承包人在暂停施工前已经订购但被暂停运至施工现场的，发包人应按照承包人订购合同的约定支付相应的订购款项。</w:t>
      </w:r>
    </w:p>
    <w:p w14:paraId="7F7E8F02">
      <w:pPr>
        <w:keepNext/>
        <w:keepLines/>
        <w:spacing w:line="440" w:lineRule="exact"/>
        <w:ind w:firstLine="482" w:firstLineChars="200"/>
        <w:outlineLvl w:val="2"/>
        <w:rPr>
          <w:rFonts w:hint="eastAsia" w:ascii="宋体" w:hAnsi="宋体" w:eastAsia="宋体" w:cs="宋体"/>
          <w:b/>
          <w:bCs/>
          <w:sz w:val="24"/>
          <w:szCs w:val="24"/>
          <w:lang w:eastAsia="zh-CN"/>
        </w:rPr>
      </w:pPr>
      <w:bookmarkStart w:id="559" w:name="_Toc486580131"/>
      <w:bookmarkStart w:id="560" w:name="_Toc189651471"/>
      <w:bookmarkStart w:id="561" w:name="_Toc490222576"/>
      <w:bookmarkStart w:id="562" w:name="_Toc497213807"/>
      <w:bookmarkStart w:id="563" w:name="_Toc117597562"/>
      <w:bookmarkStart w:id="564" w:name="_Toc489279942"/>
      <w:r>
        <w:rPr>
          <w:rFonts w:hint="eastAsia" w:ascii="宋体" w:hAnsi="宋体" w:eastAsia="宋体" w:cs="宋体"/>
          <w:b/>
          <w:bCs/>
          <w:sz w:val="24"/>
          <w:szCs w:val="24"/>
          <w:lang w:eastAsia="zh-CN"/>
        </w:rPr>
        <w:t>12.5  暂停施工持续56天以上</w:t>
      </w:r>
      <w:bookmarkEnd w:id="559"/>
      <w:bookmarkEnd w:id="560"/>
      <w:bookmarkEnd w:id="561"/>
      <w:bookmarkEnd w:id="562"/>
      <w:bookmarkEnd w:id="563"/>
      <w:bookmarkEnd w:id="564"/>
    </w:p>
    <w:p w14:paraId="3541433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12.5.1  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规定办理。</w:t>
      </w:r>
    </w:p>
    <w:p w14:paraId="23BCD985">
      <w:pPr>
        <w:tabs>
          <w:tab w:val="left" w:pos="1560"/>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12.5.2  由于承包人责任引起的暂停施工，如承包人在收到监理人暂停施工指示后56天内不认真采取有效的复工措施，造成工期延误，可视为承包人违约，应按第22.1款的规定办理。</w:t>
      </w:r>
    </w:p>
    <w:p w14:paraId="1EF187CE">
      <w:pPr>
        <w:keepNext/>
        <w:keepLines/>
        <w:spacing w:line="440" w:lineRule="exact"/>
        <w:ind w:firstLine="482" w:firstLineChars="200"/>
        <w:outlineLvl w:val="1"/>
        <w:rPr>
          <w:rFonts w:hint="eastAsia" w:ascii="宋体" w:hAnsi="宋体" w:eastAsia="宋体" w:cs="宋体"/>
          <w:b/>
          <w:bCs/>
          <w:sz w:val="24"/>
          <w:szCs w:val="24"/>
          <w:lang w:eastAsia="zh-CN"/>
        </w:rPr>
      </w:pPr>
      <w:bookmarkStart w:id="565" w:name="_Toc489279943"/>
      <w:bookmarkStart w:id="566" w:name="_Toc189651472"/>
      <w:bookmarkStart w:id="567" w:name="_Toc486580132"/>
      <w:bookmarkStart w:id="568" w:name="_Toc497213808"/>
      <w:bookmarkStart w:id="569" w:name="_Toc117597563"/>
      <w:bookmarkStart w:id="570" w:name="_Toc490222577"/>
      <w:r>
        <w:rPr>
          <w:rFonts w:hint="eastAsia" w:ascii="宋体" w:hAnsi="宋体" w:eastAsia="宋体" w:cs="宋体"/>
          <w:b/>
          <w:bCs/>
          <w:sz w:val="24"/>
          <w:szCs w:val="24"/>
          <w:lang w:eastAsia="zh-CN"/>
        </w:rPr>
        <w:t>13.工程质量</w:t>
      </w:r>
      <w:bookmarkEnd w:id="565"/>
      <w:bookmarkEnd w:id="566"/>
      <w:bookmarkEnd w:id="567"/>
      <w:bookmarkEnd w:id="568"/>
      <w:bookmarkEnd w:id="569"/>
      <w:bookmarkEnd w:id="570"/>
    </w:p>
    <w:p w14:paraId="32F39E10">
      <w:pPr>
        <w:keepNext/>
        <w:keepLines/>
        <w:spacing w:line="440" w:lineRule="exact"/>
        <w:ind w:firstLine="482" w:firstLineChars="200"/>
        <w:outlineLvl w:val="2"/>
        <w:rPr>
          <w:rFonts w:hint="eastAsia" w:ascii="宋体" w:hAnsi="宋体" w:eastAsia="宋体" w:cs="宋体"/>
          <w:b/>
          <w:bCs/>
          <w:sz w:val="24"/>
          <w:szCs w:val="24"/>
          <w:lang w:eastAsia="zh-CN"/>
        </w:rPr>
      </w:pPr>
      <w:bookmarkStart w:id="571" w:name="_Toc490222578"/>
      <w:bookmarkStart w:id="572" w:name="_Toc497213809"/>
      <w:bookmarkStart w:id="573" w:name="_Toc117597564"/>
      <w:bookmarkStart w:id="574" w:name="_Toc489279944"/>
      <w:bookmarkStart w:id="575" w:name="_Toc486580133"/>
      <w:bookmarkStart w:id="576" w:name="_Toc189651473"/>
      <w:r>
        <w:rPr>
          <w:rFonts w:hint="eastAsia" w:ascii="宋体" w:hAnsi="宋体" w:eastAsia="宋体" w:cs="宋体"/>
          <w:b/>
          <w:bCs/>
          <w:sz w:val="24"/>
          <w:szCs w:val="24"/>
          <w:lang w:eastAsia="zh-CN"/>
        </w:rPr>
        <w:t>13.1  工程质量要求</w:t>
      </w:r>
      <w:bookmarkEnd w:id="571"/>
      <w:bookmarkEnd w:id="572"/>
      <w:bookmarkEnd w:id="573"/>
      <w:bookmarkEnd w:id="574"/>
      <w:bookmarkEnd w:id="575"/>
      <w:bookmarkEnd w:id="576"/>
    </w:p>
    <w:p w14:paraId="4703967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13.1.1  工程质量验收按合同约定验收标准执行。</w:t>
      </w:r>
    </w:p>
    <w:p w14:paraId="6FAF439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13.1.2  因承包人原因造成工程质量达不到合同约定验收标准的，监理人有权要求承包人返工直至符合合同要求为止，由此造成的费用增加和（或）工期延误由承包人承担。</w:t>
      </w:r>
    </w:p>
    <w:p w14:paraId="31C0F03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13.1.3  因发包人原因造成工程质量达不到合同约定验收标准的，发包人应承担由于承包人返工造成的费用增加和（或）工期延误，并支付承包人合理利润。</w:t>
      </w:r>
    </w:p>
    <w:p w14:paraId="51CB56D9">
      <w:pPr>
        <w:keepNext/>
        <w:keepLines/>
        <w:spacing w:line="440" w:lineRule="exact"/>
        <w:ind w:firstLine="482" w:firstLineChars="200"/>
        <w:outlineLvl w:val="2"/>
        <w:rPr>
          <w:rFonts w:hint="eastAsia" w:ascii="宋体" w:hAnsi="宋体" w:eastAsia="宋体" w:cs="宋体"/>
          <w:b/>
          <w:bCs/>
          <w:sz w:val="24"/>
          <w:szCs w:val="24"/>
          <w:lang w:eastAsia="zh-CN"/>
        </w:rPr>
      </w:pPr>
      <w:bookmarkStart w:id="577" w:name="_Toc497213810"/>
      <w:bookmarkStart w:id="578" w:name="_Toc486580134"/>
      <w:bookmarkStart w:id="579" w:name="_Toc117597565"/>
      <w:bookmarkStart w:id="580" w:name="_Toc489279945"/>
      <w:bookmarkStart w:id="581" w:name="_Toc189651474"/>
      <w:bookmarkStart w:id="582" w:name="_Toc490222579"/>
      <w:r>
        <w:rPr>
          <w:rFonts w:hint="eastAsia" w:ascii="宋体" w:hAnsi="宋体" w:eastAsia="宋体" w:cs="宋体"/>
          <w:b/>
          <w:bCs/>
          <w:sz w:val="24"/>
          <w:szCs w:val="24"/>
          <w:lang w:eastAsia="zh-CN"/>
        </w:rPr>
        <w:t>13.2  承包人的质量管理</w:t>
      </w:r>
      <w:bookmarkEnd w:id="577"/>
      <w:bookmarkEnd w:id="578"/>
      <w:bookmarkEnd w:id="579"/>
      <w:bookmarkEnd w:id="580"/>
      <w:bookmarkEnd w:id="581"/>
      <w:bookmarkEnd w:id="582"/>
    </w:p>
    <w:p w14:paraId="00CFB4E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13.2.1  承包人应在施工场地设置专门的质量检查机构，配备专职质量检查人员，建立完善的质量检查制度。承包人应在合同条款专用部分约定的期限内，提交工程质量保证措施文件，包括质量检查机构的组织和岗位责任、质检人员的组成、质量检查程序和实施细则等，报送监理人审批。监理人应在合同条款专用部分约定的期限内完成审批。</w:t>
      </w:r>
    </w:p>
    <w:p w14:paraId="3B5ABA6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13.2.2  承包人应加强对施工人员的质量教育和技术培训，定期考核施工人员的劳动技能，严格执行规范和操作规程。</w:t>
      </w:r>
    </w:p>
    <w:p w14:paraId="22AD269C">
      <w:pPr>
        <w:keepNext/>
        <w:keepLines/>
        <w:spacing w:line="440" w:lineRule="exact"/>
        <w:ind w:firstLine="482" w:firstLineChars="200"/>
        <w:outlineLvl w:val="2"/>
        <w:rPr>
          <w:rFonts w:hint="eastAsia" w:ascii="宋体" w:hAnsi="宋体" w:eastAsia="宋体" w:cs="宋体"/>
          <w:b/>
          <w:bCs/>
          <w:sz w:val="24"/>
          <w:szCs w:val="24"/>
          <w:lang w:eastAsia="zh-CN"/>
        </w:rPr>
      </w:pPr>
      <w:bookmarkStart w:id="583" w:name="_Toc490222580"/>
      <w:bookmarkStart w:id="584" w:name="_Toc486580135"/>
      <w:bookmarkStart w:id="585" w:name="_Toc497213811"/>
      <w:bookmarkStart w:id="586" w:name="_Toc489279946"/>
      <w:bookmarkStart w:id="587" w:name="_Toc189651475"/>
      <w:bookmarkStart w:id="588" w:name="_Toc117597566"/>
      <w:r>
        <w:rPr>
          <w:rFonts w:hint="eastAsia" w:ascii="宋体" w:hAnsi="宋体" w:eastAsia="宋体" w:cs="宋体"/>
          <w:b/>
          <w:bCs/>
          <w:sz w:val="24"/>
          <w:szCs w:val="24"/>
          <w:lang w:eastAsia="zh-CN"/>
        </w:rPr>
        <w:t>13.3  承包人的质量检查</w:t>
      </w:r>
      <w:bookmarkEnd w:id="583"/>
      <w:bookmarkEnd w:id="584"/>
      <w:bookmarkEnd w:id="585"/>
      <w:bookmarkEnd w:id="586"/>
      <w:bookmarkEnd w:id="587"/>
      <w:bookmarkEnd w:id="588"/>
    </w:p>
    <w:p w14:paraId="67AEE7E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应按合同条款专用部分的约定对材料、工程设备以及工程的所有部位及其施工工艺进行全过程的质量检查和检验，并作详细记录，编制工程质量报表，报送监理人审查。监理人应在合同条款专用部分约定的期限内完成审查。</w:t>
      </w:r>
    </w:p>
    <w:p w14:paraId="3C03F385">
      <w:pPr>
        <w:keepNext/>
        <w:keepLines/>
        <w:spacing w:line="440" w:lineRule="exact"/>
        <w:ind w:firstLine="482" w:firstLineChars="200"/>
        <w:outlineLvl w:val="2"/>
        <w:rPr>
          <w:rFonts w:hint="eastAsia" w:ascii="宋体" w:hAnsi="宋体" w:eastAsia="宋体" w:cs="宋体"/>
          <w:b/>
          <w:bCs/>
          <w:sz w:val="24"/>
          <w:szCs w:val="24"/>
          <w:lang w:eastAsia="zh-CN"/>
        </w:rPr>
      </w:pPr>
      <w:bookmarkStart w:id="589" w:name="_Toc117597567"/>
      <w:bookmarkStart w:id="590" w:name="_Toc189651476"/>
      <w:bookmarkStart w:id="591" w:name="_Toc486580136"/>
      <w:bookmarkStart w:id="592" w:name="_Toc489279947"/>
      <w:bookmarkStart w:id="593" w:name="_Toc490222581"/>
      <w:bookmarkStart w:id="594" w:name="_Toc497213812"/>
      <w:r>
        <w:rPr>
          <w:rFonts w:hint="eastAsia" w:ascii="宋体" w:hAnsi="宋体" w:eastAsia="宋体" w:cs="宋体"/>
          <w:b/>
          <w:bCs/>
          <w:sz w:val="24"/>
          <w:szCs w:val="24"/>
          <w:lang w:eastAsia="zh-CN"/>
        </w:rPr>
        <w:t>13.4  监理人的质量检查</w:t>
      </w:r>
      <w:bookmarkEnd w:id="589"/>
      <w:bookmarkEnd w:id="590"/>
      <w:bookmarkEnd w:id="591"/>
      <w:bookmarkEnd w:id="592"/>
      <w:bookmarkEnd w:id="593"/>
      <w:bookmarkEnd w:id="594"/>
    </w:p>
    <w:p w14:paraId="7EA2044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监理人可以进行察看和查阅施工原始记录的其他地方见合同条款专用部分。</w:t>
      </w:r>
    </w:p>
    <w:p w14:paraId="288B75F5">
      <w:pPr>
        <w:keepNext/>
        <w:keepLines/>
        <w:spacing w:line="440" w:lineRule="exact"/>
        <w:ind w:firstLine="482" w:firstLineChars="200"/>
        <w:outlineLvl w:val="2"/>
        <w:rPr>
          <w:rFonts w:hint="eastAsia" w:ascii="宋体" w:hAnsi="宋体" w:eastAsia="宋体" w:cs="宋体"/>
          <w:b/>
          <w:bCs/>
          <w:sz w:val="24"/>
          <w:szCs w:val="24"/>
          <w:lang w:eastAsia="zh-CN"/>
        </w:rPr>
      </w:pPr>
      <w:bookmarkStart w:id="595" w:name="_Toc189651477"/>
      <w:bookmarkStart w:id="596" w:name="_Toc117597568"/>
      <w:bookmarkStart w:id="597" w:name="_Toc489279948"/>
      <w:bookmarkStart w:id="598" w:name="_Toc497213813"/>
      <w:bookmarkStart w:id="599" w:name="_Toc486580137"/>
      <w:bookmarkStart w:id="600" w:name="_Toc490222582"/>
      <w:r>
        <w:rPr>
          <w:rFonts w:hint="eastAsia" w:ascii="宋体" w:hAnsi="宋体" w:eastAsia="宋体" w:cs="宋体"/>
          <w:b/>
          <w:bCs/>
          <w:sz w:val="24"/>
          <w:szCs w:val="24"/>
          <w:lang w:eastAsia="zh-CN"/>
        </w:rPr>
        <w:t>13.5  工程隐蔽部位覆盖前的检查</w:t>
      </w:r>
      <w:bookmarkEnd w:id="595"/>
      <w:bookmarkEnd w:id="596"/>
      <w:bookmarkEnd w:id="597"/>
      <w:bookmarkEnd w:id="598"/>
      <w:bookmarkEnd w:id="599"/>
      <w:bookmarkEnd w:id="600"/>
    </w:p>
    <w:p w14:paraId="0939013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13.5.1  通知监理人检查</w:t>
      </w:r>
    </w:p>
    <w:p w14:paraId="6AF039D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经承包人自检确认的工程隐蔽部位具备覆盖条件后，承包人应通知监理人在合同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监理人对工程隐蔽部位进行检查的期限见合同条款专用部分。</w:t>
      </w:r>
    </w:p>
    <w:p w14:paraId="1CE833B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13.5.2  监理人未到场检查</w:t>
      </w:r>
    </w:p>
    <w:p w14:paraId="1315C7E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监理人未按第13.5.1项约定的时间进行检查的，除监理人另有指示外，承包人可自行完成覆盖工作，并作相应记录报送监理人，监理人应签字确认。监理人事后对检查记录有疑问的，可按第13.5.3项的约定重新检查。</w:t>
      </w:r>
    </w:p>
    <w:p w14:paraId="45A1E3F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13.5.3  监理人重新检查</w:t>
      </w:r>
    </w:p>
    <w:p w14:paraId="6EB47EA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1D6AF44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13.5.4  承包人私自覆盖</w:t>
      </w:r>
    </w:p>
    <w:p w14:paraId="2B292E9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承包人未通知监理人到场检查，私自将工程隐蔽部位覆盖的，监理人有权指示承包人钻孔探测或揭开检查，由此增加的费用和（或）工期延误由承包人承担。</w:t>
      </w:r>
    </w:p>
    <w:p w14:paraId="65EC390E">
      <w:pPr>
        <w:keepNext/>
        <w:keepLines/>
        <w:spacing w:line="440" w:lineRule="exact"/>
        <w:ind w:firstLine="482" w:firstLineChars="200"/>
        <w:outlineLvl w:val="2"/>
        <w:rPr>
          <w:rFonts w:hint="eastAsia" w:ascii="宋体" w:hAnsi="宋体" w:eastAsia="宋体" w:cs="宋体"/>
          <w:b/>
          <w:bCs/>
          <w:sz w:val="24"/>
          <w:szCs w:val="24"/>
          <w:lang w:eastAsia="zh-CN"/>
        </w:rPr>
      </w:pPr>
      <w:bookmarkStart w:id="601" w:name="_Toc117597569"/>
      <w:bookmarkStart w:id="602" w:name="_Toc497213814"/>
      <w:bookmarkStart w:id="603" w:name="_Toc490222583"/>
      <w:bookmarkStart w:id="604" w:name="_Toc489279949"/>
      <w:bookmarkStart w:id="605" w:name="_Toc189651478"/>
      <w:bookmarkStart w:id="606" w:name="_Toc486580138"/>
      <w:r>
        <w:rPr>
          <w:rFonts w:hint="eastAsia" w:ascii="宋体" w:hAnsi="宋体" w:eastAsia="宋体" w:cs="宋体"/>
          <w:b/>
          <w:bCs/>
          <w:sz w:val="24"/>
          <w:szCs w:val="24"/>
          <w:lang w:eastAsia="zh-CN"/>
        </w:rPr>
        <w:t>13.6  清除不合格工程</w:t>
      </w:r>
      <w:bookmarkEnd w:id="601"/>
      <w:bookmarkEnd w:id="602"/>
      <w:bookmarkEnd w:id="603"/>
      <w:bookmarkEnd w:id="604"/>
      <w:bookmarkEnd w:id="605"/>
      <w:bookmarkEnd w:id="606"/>
    </w:p>
    <w:p w14:paraId="3255B9C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1DC421F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13.6.2  由于发包人提供的材料或工程设备不合格造成的工程不合格，需要承包人采取措施补救的，发包人应承担由此增加的费用和（或）工期延误，并支付承包人合理利润。</w:t>
      </w:r>
    </w:p>
    <w:p w14:paraId="0858D0F0">
      <w:pPr>
        <w:keepNext/>
        <w:keepLines/>
        <w:spacing w:line="440" w:lineRule="exact"/>
        <w:ind w:firstLine="482" w:firstLineChars="200"/>
        <w:outlineLvl w:val="2"/>
        <w:rPr>
          <w:rFonts w:hint="eastAsia" w:ascii="宋体" w:hAnsi="宋体" w:eastAsia="宋体" w:cs="宋体"/>
          <w:b/>
          <w:bCs/>
          <w:sz w:val="24"/>
          <w:szCs w:val="24"/>
          <w:lang w:eastAsia="zh-CN"/>
        </w:rPr>
      </w:pPr>
      <w:bookmarkStart w:id="607" w:name="_Toc189651479"/>
      <w:bookmarkStart w:id="608" w:name="_Toc117597570"/>
      <w:bookmarkStart w:id="609" w:name="_Toc490222584"/>
      <w:bookmarkStart w:id="610" w:name="_Toc486580139"/>
      <w:bookmarkStart w:id="611" w:name="_Toc497213815"/>
      <w:bookmarkStart w:id="612" w:name="_Toc489279950"/>
      <w:r>
        <w:rPr>
          <w:rFonts w:hint="eastAsia" w:ascii="宋体" w:hAnsi="宋体" w:eastAsia="宋体" w:cs="宋体"/>
          <w:b/>
          <w:bCs/>
          <w:sz w:val="24"/>
          <w:szCs w:val="24"/>
          <w:lang w:eastAsia="zh-CN"/>
        </w:rPr>
        <w:t>13.7  质量争议</w:t>
      </w:r>
      <w:bookmarkEnd w:id="607"/>
      <w:bookmarkEnd w:id="608"/>
      <w:bookmarkEnd w:id="609"/>
      <w:bookmarkEnd w:id="610"/>
      <w:bookmarkEnd w:id="611"/>
      <w:bookmarkEnd w:id="612"/>
    </w:p>
    <w:p w14:paraId="52543B7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和承包人对工程质量有争议的，除可按第24条办理外，监理人可提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处理按工程保修书的约定执行；已竣工未验收且未实际投入使用的工程以及停工、停建的工程，根据检测结果确定解决方案，或按工程质量监督机构的处理决定执行。</w:t>
      </w:r>
    </w:p>
    <w:p w14:paraId="047AFC03">
      <w:pPr>
        <w:keepNext/>
        <w:keepLines/>
        <w:spacing w:line="440" w:lineRule="exact"/>
        <w:ind w:firstLine="482" w:firstLineChars="200"/>
        <w:outlineLvl w:val="1"/>
        <w:rPr>
          <w:rFonts w:hint="eastAsia" w:ascii="宋体" w:hAnsi="宋体" w:eastAsia="宋体" w:cs="宋体"/>
          <w:b/>
          <w:bCs/>
          <w:sz w:val="24"/>
          <w:szCs w:val="24"/>
          <w:lang w:eastAsia="zh-CN"/>
        </w:rPr>
      </w:pPr>
      <w:bookmarkStart w:id="613" w:name="_Toc486580140"/>
      <w:bookmarkStart w:id="614" w:name="_Toc497213816"/>
      <w:bookmarkStart w:id="615" w:name="_Toc117597571"/>
      <w:bookmarkStart w:id="616" w:name="_Toc489279951"/>
      <w:bookmarkStart w:id="617" w:name="_Toc189651480"/>
      <w:bookmarkStart w:id="618" w:name="_Toc490222585"/>
      <w:r>
        <w:rPr>
          <w:rFonts w:hint="eastAsia" w:ascii="宋体" w:hAnsi="宋体" w:eastAsia="宋体" w:cs="宋体"/>
          <w:b/>
          <w:bCs/>
          <w:sz w:val="24"/>
          <w:szCs w:val="24"/>
          <w:lang w:eastAsia="zh-CN"/>
        </w:rPr>
        <w:t>14.试验和检验</w:t>
      </w:r>
      <w:bookmarkEnd w:id="613"/>
      <w:bookmarkEnd w:id="614"/>
      <w:bookmarkEnd w:id="615"/>
      <w:bookmarkEnd w:id="616"/>
      <w:bookmarkEnd w:id="617"/>
      <w:bookmarkEnd w:id="618"/>
    </w:p>
    <w:p w14:paraId="7D22AB25">
      <w:pPr>
        <w:keepNext/>
        <w:keepLines/>
        <w:spacing w:line="440" w:lineRule="exact"/>
        <w:ind w:firstLine="482" w:firstLineChars="200"/>
        <w:outlineLvl w:val="2"/>
        <w:rPr>
          <w:rFonts w:hint="eastAsia" w:ascii="宋体" w:hAnsi="宋体" w:eastAsia="宋体" w:cs="宋体"/>
          <w:b/>
          <w:bCs/>
          <w:sz w:val="24"/>
          <w:szCs w:val="24"/>
          <w:lang w:eastAsia="zh-CN"/>
        </w:rPr>
      </w:pPr>
      <w:bookmarkStart w:id="619" w:name="_Toc497213817"/>
      <w:bookmarkStart w:id="620" w:name="_Toc486580141"/>
      <w:bookmarkStart w:id="621" w:name="_Toc489279952"/>
      <w:bookmarkStart w:id="622" w:name="_Toc490222586"/>
      <w:bookmarkStart w:id="623" w:name="_Toc117597572"/>
      <w:bookmarkStart w:id="624" w:name="_Toc189651481"/>
      <w:r>
        <w:rPr>
          <w:rFonts w:hint="eastAsia" w:ascii="宋体" w:hAnsi="宋体" w:eastAsia="宋体" w:cs="宋体"/>
          <w:b/>
          <w:bCs/>
          <w:sz w:val="24"/>
          <w:szCs w:val="24"/>
          <w:lang w:eastAsia="zh-CN"/>
        </w:rPr>
        <w:t>14.1  材料、工程设备和工程的试验和检验</w:t>
      </w:r>
      <w:bookmarkEnd w:id="619"/>
      <w:bookmarkEnd w:id="620"/>
      <w:bookmarkEnd w:id="621"/>
      <w:bookmarkEnd w:id="622"/>
      <w:bookmarkEnd w:id="623"/>
      <w:bookmarkEnd w:id="624"/>
    </w:p>
    <w:p w14:paraId="360CA32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1DDBDAA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14.1.2  监理人未按合同约定派员参加试验和检验的，除监理人另有指示外，承包人可自行试验和检验，并应立即将试验和检验结果报送监理人，监理人应签字确认。</w:t>
      </w:r>
    </w:p>
    <w:p w14:paraId="165EDC3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50338E70">
      <w:pPr>
        <w:keepNext/>
        <w:keepLines/>
        <w:spacing w:line="440" w:lineRule="exact"/>
        <w:ind w:firstLine="482" w:firstLineChars="200"/>
        <w:outlineLvl w:val="2"/>
        <w:rPr>
          <w:rFonts w:hint="eastAsia" w:ascii="宋体" w:hAnsi="宋体" w:eastAsia="宋体" w:cs="宋体"/>
          <w:b/>
          <w:bCs/>
          <w:sz w:val="24"/>
          <w:szCs w:val="24"/>
          <w:lang w:eastAsia="zh-CN"/>
        </w:rPr>
      </w:pPr>
      <w:bookmarkStart w:id="625" w:name="_Toc497213818"/>
      <w:bookmarkStart w:id="626" w:name="_Toc489279953"/>
      <w:bookmarkStart w:id="627" w:name="_Toc117597573"/>
      <w:bookmarkStart w:id="628" w:name="_Toc486580142"/>
      <w:bookmarkStart w:id="629" w:name="_Toc490222587"/>
      <w:bookmarkStart w:id="630" w:name="_Toc189651482"/>
      <w:r>
        <w:rPr>
          <w:rFonts w:hint="eastAsia" w:ascii="宋体" w:hAnsi="宋体" w:eastAsia="宋体" w:cs="宋体"/>
          <w:b/>
          <w:bCs/>
          <w:sz w:val="24"/>
          <w:szCs w:val="24"/>
          <w:lang w:eastAsia="zh-CN"/>
        </w:rPr>
        <w:t>14.2  现场材料试验</w:t>
      </w:r>
      <w:bookmarkEnd w:id="625"/>
      <w:bookmarkEnd w:id="626"/>
      <w:bookmarkEnd w:id="627"/>
      <w:bookmarkEnd w:id="628"/>
      <w:bookmarkEnd w:id="629"/>
      <w:bookmarkEnd w:id="630"/>
    </w:p>
    <w:p w14:paraId="64EC31B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14.2.1  承包人根据合同约定或监理人指示进行的现场材料试验，应由承包人提供试验场所、试验人员、试验设备器材以及其他必要的试验条件。</w:t>
      </w:r>
    </w:p>
    <w:p w14:paraId="543BD07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14.2.2  监理人在必要时可以使用承包人的试验场所、试验设备器材以及其他试验条件，进行以工程质量检查为目的的复核性材料试验，承包人应予以协助。</w:t>
      </w:r>
    </w:p>
    <w:p w14:paraId="15B9F5D3">
      <w:pPr>
        <w:keepNext/>
        <w:keepLines/>
        <w:spacing w:line="440" w:lineRule="exact"/>
        <w:ind w:firstLine="482" w:firstLineChars="200"/>
        <w:outlineLvl w:val="2"/>
        <w:rPr>
          <w:rFonts w:hint="eastAsia" w:ascii="宋体" w:hAnsi="宋体" w:eastAsia="宋体" w:cs="宋体"/>
          <w:b/>
          <w:bCs/>
          <w:sz w:val="24"/>
          <w:szCs w:val="24"/>
          <w:lang w:eastAsia="zh-CN"/>
        </w:rPr>
      </w:pPr>
      <w:bookmarkStart w:id="631" w:name="_Toc486580143"/>
      <w:bookmarkStart w:id="632" w:name="_Toc497213819"/>
      <w:bookmarkStart w:id="633" w:name="_Toc189651483"/>
      <w:bookmarkStart w:id="634" w:name="_Toc490222588"/>
      <w:bookmarkStart w:id="635" w:name="_Toc117597574"/>
      <w:bookmarkStart w:id="636" w:name="_Toc489279954"/>
      <w:r>
        <w:rPr>
          <w:rFonts w:hint="eastAsia" w:ascii="宋体" w:hAnsi="宋体" w:eastAsia="宋体" w:cs="宋体"/>
          <w:b/>
          <w:bCs/>
          <w:sz w:val="24"/>
          <w:szCs w:val="24"/>
          <w:lang w:eastAsia="zh-CN"/>
        </w:rPr>
        <w:t>14.3  现场工艺试验</w:t>
      </w:r>
      <w:bookmarkEnd w:id="631"/>
      <w:bookmarkEnd w:id="632"/>
      <w:bookmarkEnd w:id="633"/>
      <w:bookmarkEnd w:id="634"/>
      <w:bookmarkEnd w:id="635"/>
      <w:bookmarkEnd w:id="636"/>
    </w:p>
    <w:p w14:paraId="1A184BC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承包人应按合同约定或监理人指示进行现场工艺试验。对大型的现场工艺试验，监理人认为必要时，应由承包人根据监理人提出的工艺试验要求，编制工艺试验措施计划，报送监理人审批。</w:t>
      </w:r>
    </w:p>
    <w:p w14:paraId="31203756">
      <w:pPr>
        <w:keepNext/>
        <w:keepLines/>
        <w:spacing w:line="440" w:lineRule="exact"/>
        <w:ind w:firstLine="482" w:firstLineChars="200"/>
        <w:outlineLvl w:val="1"/>
        <w:rPr>
          <w:rFonts w:hint="eastAsia" w:ascii="宋体" w:hAnsi="宋体" w:eastAsia="宋体" w:cs="宋体"/>
          <w:b/>
          <w:bCs/>
          <w:sz w:val="24"/>
          <w:szCs w:val="24"/>
          <w:lang w:eastAsia="zh-CN"/>
        </w:rPr>
      </w:pPr>
      <w:bookmarkStart w:id="637" w:name="_Toc486580144"/>
      <w:bookmarkStart w:id="638" w:name="_Toc490222589"/>
      <w:bookmarkStart w:id="639" w:name="_Toc117597575"/>
      <w:bookmarkStart w:id="640" w:name="_Toc497213820"/>
      <w:bookmarkStart w:id="641" w:name="_Toc189651484"/>
      <w:bookmarkStart w:id="642" w:name="_Toc489279955"/>
      <w:r>
        <w:rPr>
          <w:rFonts w:hint="eastAsia" w:ascii="宋体" w:hAnsi="宋体" w:eastAsia="宋体" w:cs="宋体"/>
          <w:b/>
          <w:bCs/>
          <w:sz w:val="24"/>
          <w:szCs w:val="24"/>
          <w:lang w:eastAsia="zh-CN"/>
        </w:rPr>
        <w:t>15.变更</w:t>
      </w:r>
      <w:bookmarkEnd w:id="637"/>
      <w:bookmarkEnd w:id="638"/>
      <w:bookmarkEnd w:id="639"/>
      <w:bookmarkEnd w:id="640"/>
      <w:bookmarkEnd w:id="641"/>
      <w:bookmarkEnd w:id="642"/>
    </w:p>
    <w:p w14:paraId="3BF7A580">
      <w:pPr>
        <w:keepNext/>
        <w:keepLines/>
        <w:spacing w:line="440" w:lineRule="exact"/>
        <w:ind w:firstLine="482" w:firstLineChars="200"/>
        <w:outlineLvl w:val="2"/>
        <w:rPr>
          <w:rFonts w:hint="eastAsia" w:ascii="宋体" w:hAnsi="宋体" w:eastAsia="宋体" w:cs="宋体"/>
          <w:b/>
          <w:bCs/>
          <w:sz w:val="24"/>
          <w:szCs w:val="24"/>
          <w:lang w:eastAsia="zh-CN"/>
        </w:rPr>
      </w:pPr>
      <w:bookmarkStart w:id="643" w:name="_Toc486580145"/>
      <w:bookmarkStart w:id="644" w:name="_Toc189651485"/>
      <w:bookmarkStart w:id="645" w:name="_Toc490222590"/>
      <w:bookmarkStart w:id="646" w:name="_Toc497213821"/>
      <w:bookmarkStart w:id="647" w:name="_Toc117597576"/>
      <w:bookmarkStart w:id="648" w:name="_Toc489279956"/>
      <w:r>
        <w:rPr>
          <w:rFonts w:hint="eastAsia" w:ascii="宋体" w:hAnsi="宋体" w:eastAsia="宋体" w:cs="宋体"/>
          <w:b/>
          <w:bCs/>
          <w:sz w:val="24"/>
          <w:szCs w:val="24"/>
          <w:lang w:eastAsia="zh-CN"/>
        </w:rPr>
        <w:t>15.1  变更的范围和内容</w:t>
      </w:r>
      <w:bookmarkEnd w:id="643"/>
      <w:bookmarkEnd w:id="644"/>
      <w:bookmarkEnd w:id="645"/>
      <w:bookmarkEnd w:id="646"/>
      <w:bookmarkEnd w:id="647"/>
      <w:bookmarkEnd w:id="648"/>
    </w:p>
    <w:p w14:paraId="2694EF6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15.1.1  在履行合同中发生以下情形之一，应按照本条规定进行变更。</w:t>
      </w:r>
    </w:p>
    <w:p w14:paraId="3AB0017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（1）取消合同中任何一项工作，但被取消的工作不能转由发包人或其他人实施；</w:t>
      </w:r>
    </w:p>
    <w:p w14:paraId="0D3589B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（2）改变合同中任何一项工作的质量或其他特性；</w:t>
      </w:r>
    </w:p>
    <w:p w14:paraId="59F1675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（3）改变合同工程的基线、标高、位置或尺寸；</w:t>
      </w:r>
    </w:p>
    <w:p w14:paraId="1D15FBA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（4）改变合同中任何一项工作的施工时间或改变已批准的施工工艺或顺序；</w:t>
      </w:r>
    </w:p>
    <w:p w14:paraId="6F63EBF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（5）为完成工程需要追加的额外工作；</w:t>
      </w:r>
    </w:p>
    <w:p w14:paraId="67613D3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（6）变更的其他情形见合同条款专用部分。</w:t>
      </w:r>
    </w:p>
    <w:p w14:paraId="1875A3C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15.1.2  发包人违背第15.1（1）目的约定，将被取消的合同中的工作转由发包人或其他人实施的，承包人可向监理人发出通知，要求发包人采取有效措施纠正违约行为，发包人在监理人收到承包人通知后28天内仍不纠正违约行为的，应当赔偿承包人损失（包括合理的利润）并承担由此引起的其他责任。承包人应当按第23.1（1）项的约定，在上述28天期限到期后的28天内，向监理人递交索赔意向通知书,并按第23.1（2）项的约定，及时向监理人递交正式索赔通知书，说明有权得到的损失赔偿金额并附必要的记录和证明材料。发包人支付给承包人的损失赔偿金额应当包括被取消工作的合同价值中所包含的承包人管理费、利润以及相应的税金和规费。</w:t>
      </w:r>
    </w:p>
    <w:p w14:paraId="74189906">
      <w:pPr>
        <w:keepNext/>
        <w:keepLines/>
        <w:spacing w:line="440" w:lineRule="exact"/>
        <w:ind w:firstLine="482" w:firstLineChars="200"/>
        <w:outlineLvl w:val="2"/>
        <w:rPr>
          <w:rFonts w:hint="eastAsia" w:ascii="宋体" w:hAnsi="宋体" w:eastAsia="宋体" w:cs="宋体"/>
          <w:b/>
          <w:bCs/>
          <w:sz w:val="24"/>
          <w:szCs w:val="24"/>
          <w:lang w:eastAsia="zh-CN"/>
        </w:rPr>
      </w:pPr>
      <w:bookmarkStart w:id="649" w:name="_Toc117597577"/>
      <w:bookmarkStart w:id="650" w:name="_Toc489279957"/>
      <w:bookmarkStart w:id="651" w:name="_Toc497213822"/>
      <w:bookmarkStart w:id="652" w:name="_Toc490222591"/>
      <w:bookmarkStart w:id="653" w:name="_Toc486580146"/>
      <w:bookmarkStart w:id="654" w:name="_Toc189651486"/>
      <w:r>
        <w:rPr>
          <w:rFonts w:hint="eastAsia" w:ascii="宋体" w:hAnsi="宋体" w:eastAsia="宋体" w:cs="宋体"/>
          <w:b/>
          <w:bCs/>
          <w:sz w:val="24"/>
          <w:szCs w:val="24"/>
          <w:lang w:eastAsia="zh-CN"/>
        </w:rPr>
        <w:t>15.2  变更权</w:t>
      </w:r>
      <w:bookmarkEnd w:id="649"/>
      <w:bookmarkEnd w:id="650"/>
      <w:bookmarkEnd w:id="651"/>
      <w:bookmarkEnd w:id="652"/>
      <w:bookmarkEnd w:id="653"/>
      <w:bookmarkEnd w:id="654"/>
    </w:p>
    <w:p w14:paraId="6EB380E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在履行合同过程中，经发包人同意，监理人可按第15.3款约定的变更程序向承包人作出变更指示，承包人应遵照执行。没有监理人的变更指示，承包人不得擅自变更。</w:t>
      </w:r>
    </w:p>
    <w:p w14:paraId="7765E6C6">
      <w:pPr>
        <w:keepNext/>
        <w:keepLines/>
        <w:spacing w:line="440" w:lineRule="exact"/>
        <w:ind w:firstLine="482" w:firstLineChars="200"/>
        <w:outlineLvl w:val="2"/>
        <w:rPr>
          <w:rFonts w:hint="eastAsia" w:ascii="宋体" w:hAnsi="宋体" w:eastAsia="宋体" w:cs="宋体"/>
          <w:b/>
          <w:bCs/>
          <w:sz w:val="24"/>
          <w:szCs w:val="24"/>
          <w:lang w:eastAsia="zh-CN"/>
        </w:rPr>
      </w:pPr>
      <w:bookmarkStart w:id="655" w:name="_Toc490222592"/>
      <w:bookmarkStart w:id="656" w:name="_Toc117597578"/>
      <w:bookmarkStart w:id="657" w:name="_Toc489279958"/>
      <w:bookmarkStart w:id="658" w:name="_Toc497213823"/>
      <w:bookmarkStart w:id="659" w:name="_Toc486580147"/>
      <w:bookmarkStart w:id="660" w:name="_Toc189651487"/>
      <w:r>
        <w:rPr>
          <w:rFonts w:hint="eastAsia" w:ascii="宋体" w:hAnsi="宋体" w:eastAsia="宋体" w:cs="宋体"/>
          <w:b/>
          <w:bCs/>
          <w:sz w:val="24"/>
          <w:szCs w:val="24"/>
          <w:lang w:eastAsia="zh-CN"/>
        </w:rPr>
        <w:t>15.3  变更程序</w:t>
      </w:r>
      <w:bookmarkEnd w:id="655"/>
      <w:bookmarkEnd w:id="656"/>
      <w:bookmarkEnd w:id="657"/>
      <w:bookmarkEnd w:id="658"/>
      <w:bookmarkEnd w:id="659"/>
      <w:bookmarkEnd w:id="660"/>
    </w:p>
    <w:p w14:paraId="1B5342A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15.3.1  变更的提出</w:t>
      </w:r>
    </w:p>
    <w:p w14:paraId="6431AD5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1）在合同履行过程中，可能发生第15.1.1项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 </w:t>
      </w:r>
    </w:p>
    <w:p w14:paraId="60D452F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（2）在合同履行过程中，发生第15.1.1项约定情形的，监理人应按照第15.3.3项约定向承包人发出变更指示。</w:t>
      </w:r>
    </w:p>
    <w:p w14:paraId="4C800F4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承包人收到监理人按合同约定发出的图纸和文件，经检查认为其中存在第15.1.1项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67D6AAB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（4）若承包人收到监理人的变更意向书后认为难以实施此项变更，应立即通知监理人，说明原因并附详细依据。监理人与承包人和发包人协商后确定撤销、改变或不改变原变更意向书。</w:t>
      </w:r>
    </w:p>
    <w:p w14:paraId="3160613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15.3.2  变更估价</w:t>
      </w:r>
    </w:p>
    <w:p w14:paraId="597D2A1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除合同条款专用部分对期限另有约定外，承包人应在收到变更指示或变更意向书后的14天内，向监理人提交变更报价书，报价内容应根据第15.4款约定的估价原则，详细开列变更工作的价格组成及其依据，并附必要的施工方法说明和有关图纸。承包人提交变更报价书的期限见合同条款专用部分。</w:t>
      </w:r>
    </w:p>
    <w:p w14:paraId="31C4319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（2）变更工作影响工期的，承包人应提出调整工期的具体细节。监理人认为有必要时，可要求承包人提交要求提前或延长工期的施工进度计划，及相应施工措施等详细资料。</w:t>
      </w:r>
    </w:p>
    <w:p w14:paraId="4EAF05A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（3）除合同条款专用部分对期限另有约定外，监理人收到承包人变更报价书后的14天内，根据第15.4款约定的估价原则，按照第3.5款商定或确定变更价格。监理人商定或确定变更价格的期限见合同条款专用部分。</w:t>
      </w:r>
    </w:p>
    <w:p w14:paraId="2B79DB4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（4）收到变更指示后，如承包人未在规定的期限内提交变更报价书的，监理人可自行决定是否调整合同价款以及如果监理人决定调整合同价款时，相应调整的具体金额。</w:t>
      </w:r>
    </w:p>
    <w:p w14:paraId="7CDDD7F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15.3.3  变更指示</w:t>
      </w:r>
    </w:p>
    <w:p w14:paraId="65B2AF7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（1）变更指示只能由监理人发出。</w:t>
      </w:r>
    </w:p>
    <w:p w14:paraId="1301490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（2）变更指示应说明变更的目的、范围、变更内容以及变更的工程量及其进度和技术要求，并附有关图纸和文件。承包人收到变更指示后，应按变更指示进行变更工作。</w:t>
      </w:r>
    </w:p>
    <w:p w14:paraId="335AAC17">
      <w:pPr>
        <w:keepNext/>
        <w:keepLines/>
        <w:spacing w:line="440" w:lineRule="exact"/>
        <w:ind w:firstLine="482" w:firstLineChars="200"/>
        <w:outlineLvl w:val="2"/>
        <w:rPr>
          <w:rFonts w:hint="eastAsia" w:ascii="宋体" w:hAnsi="宋体" w:eastAsia="宋体" w:cs="宋体"/>
          <w:b/>
          <w:bCs/>
          <w:sz w:val="24"/>
          <w:szCs w:val="24"/>
          <w:lang w:eastAsia="zh-CN"/>
        </w:rPr>
      </w:pPr>
      <w:bookmarkStart w:id="661" w:name="_Toc486580148"/>
      <w:bookmarkStart w:id="662" w:name="_Toc117597579"/>
      <w:bookmarkStart w:id="663" w:name="_Toc490222593"/>
      <w:bookmarkStart w:id="664" w:name="_Toc497213824"/>
      <w:bookmarkStart w:id="665" w:name="_Toc189651488"/>
      <w:bookmarkStart w:id="666" w:name="_Toc489279959"/>
      <w:r>
        <w:rPr>
          <w:rFonts w:hint="eastAsia" w:ascii="宋体" w:hAnsi="宋体" w:eastAsia="宋体" w:cs="宋体"/>
          <w:b/>
          <w:bCs/>
          <w:sz w:val="24"/>
          <w:szCs w:val="24"/>
          <w:lang w:eastAsia="zh-CN"/>
        </w:rPr>
        <w:t>15.4  变更的估价原则</w:t>
      </w:r>
      <w:bookmarkEnd w:id="661"/>
      <w:bookmarkEnd w:id="662"/>
      <w:bookmarkEnd w:id="663"/>
      <w:bookmarkEnd w:id="664"/>
      <w:bookmarkEnd w:id="665"/>
      <w:bookmarkEnd w:id="666"/>
    </w:p>
    <w:p w14:paraId="3888CA7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因工程量清单漏项（仅适用于合同协议书约定采用单价合同形式时）或变更引起的价格调整按照本款约定处理。</w:t>
      </w:r>
    </w:p>
    <w:p w14:paraId="72CB33F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15.4.1  已标价工程量清单中有适用于变更工作的子目的，采用该子目的单价。</w:t>
      </w:r>
    </w:p>
    <w:p w14:paraId="78950ED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15.4.2  已标价工程量清单中无适用于变更工作的子目，但有类似子目的，可在合理范围内参照类似子目的单价，由监理人按第3.5款商定或确定变更工作的单价。</w:t>
      </w:r>
    </w:p>
    <w:p w14:paraId="09679AB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15.4.3  已标价工程量清单中无适用或类似子目的单价，可按照成本加利润的原则，由监理人按第3.5款商定或确定变更工作的单价。</w:t>
      </w:r>
    </w:p>
    <w:p w14:paraId="66A7FA8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15.4.4  因工程量清单漏项（仅适用于合同协议书约定采用单价合同形式时）或变更引起措施项目发生变化，原措施项目费中已有的措施项目，采用原措施项目费的组价方法变更；原措施项目费中没有的措施项目，由承包人根据措施项目变更情况，提出适当的措施项目费变更，由监理人按第3.5款商定或确定变更措施项目的费用。</w:t>
      </w:r>
    </w:p>
    <w:p w14:paraId="5543243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15.4.5  合同协议书约定采用单价合同形式时，因非承包人原因引起已标价工程量清单中列明的工程量发生增减，超过合同约定范围且导致分部分项工程费总额变化超过一定幅度时，可以调整单价，否则不因已标价工程量清单中列明工程量的增减而调整单价。其调整的原则见合同条款专用部分。</w:t>
      </w:r>
    </w:p>
    <w:p w14:paraId="0BD273D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15.4.6  因变更引起价格调整的其他处理方式见合同条款专用部分。</w:t>
      </w:r>
    </w:p>
    <w:p w14:paraId="23B372C6">
      <w:pPr>
        <w:keepNext/>
        <w:keepLines/>
        <w:spacing w:line="440" w:lineRule="exact"/>
        <w:ind w:firstLine="482" w:firstLineChars="200"/>
        <w:outlineLvl w:val="2"/>
        <w:rPr>
          <w:rFonts w:hint="eastAsia" w:ascii="宋体" w:hAnsi="宋体" w:eastAsia="宋体" w:cs="宋体"/>
          <w:b/>
          <w:bCs/>
          <w:sz w:val="24"/>
          <w:szCs w:val="24"/>
          <w:lang w:eastAsia="zh-CN"/>
        </w:rPr>
      </w:pPr>
      <w:bookmarkStart w:id="667" w:name="_Toc117597580"/>
      <w:bookmarkStart w:id="668" w:name="_Toc486580149"/>
      <w:bookmarkStart w:id="669" w:name="_Toc489279960"/>
      <w:bookmarkStart w:id="670" w:name="_Toc490222594"/>
      <w:bookmarkStart w:id="671" w:name="_Toc497213825"/>
      <w:bookmarkStart w:id="672" w:name="_Toc189651489"/>
      <w:r>
        <w:rPr>
          <w:rFonts w:hint="eastAsia" w:ascii="宋体" w:hAnsi="宋体" w:eastAsia="宋体" w:cs="宋体"/>
          <w:b/>
          <w:bCs/>
          <w:sz w:val="24"/>
          <w:szCs w:val="24"/>
          <w:lang w:eastAsia="zh-CN"/>
        </w:rPr>
        <w:t>15.5  承包人的合理化建议</w:t>
      </w:r>
      <w:bookmarkEnd w:id="667"/>
      <w:bookmarkEnd w:id="668"/>
      <w:bookmarkEnd w:id="669"/>
      <w:bookmarkEnd w:id="670"/>
      <w:bookmarkEnd w:id="671"/>
      <w:bookmarkEnd w:id="672"/>
    </w:p>
    <w:p w14:paraId="3646E41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58A8BE6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15.5.2  承包人提出的合理化建议降低了合同价格、缩短了工期或者提高了工程经济效益的，发包人可按国家有关规定给予奖励。对承包人提出合理化建议的奖励方法见合同条款专用部分。</w:t>
      </w:r>
    </w:p>
    <w:p w14:paraId="5C9DB89B">
      <w:pPr>
        <w:keepNext/>
        <w:keepLines/>
        <w:spacing w:line="440" w:lineRule="exact"/>
        <w:ind w:firstLine="482" w:firstLineChars="200"/>
        <w:outlineLvl w:val="2"/>
        <w:rPr>
          <w:rFonts w:hint="eastAsia" w:ascii="宋体" w:hAnsi="宋体" w:eastAsia="宋体" w:cs="宋体"/>
          <w:b/>
          <w:bCs/>
          <w:sz w:val="24"/>
          <w:szCs w:val="24"/>
          <w:lang w:eastAsia="zh-CN"/>
        </w:rPr>
      </w:pPr>
      <w:bookmarkStart w:id="673" w:name="_Toc490222595"/>
      <w:bookmarkStart w:id="674" w:name="_Toc497213826"/>
      <w:bookmarkStart w:id="675" w:name="_Toc486580150"/>
      <w:bookmarkStart w:id="676" w:name="_Toc489279961"/>
      <w:bookmarkStart w:id="677" w:name="_Toc117597581"/>
      <w:bookmarkStart w:id="678" w:name="_Toc189651490"/>
      <w:r>
        <w:rPr>
          <w:rFonts w:hint="eastAsia" w:ascii="宋体" w:hAnsi="宋体" w:eastAsia="宋体" w:cs="宋体"/>
          <w:b/>
          <w:bCs/>
          <w:sz w:val="24"/>
          <w:szCs w:val="24"/>
          <w:lang w:eastAsia="zh-CN"/>
        </w:rPr>
        <w:t>15.6  暂列金额</w:t>
      </w:r>
      <w:bookmarkEnd w:id="673"/>
      <w:bookmarkEnd w:id="674"/>
      <w:bookmarkEnd w:id="675"/>
      <w:bookmarkEnd w:id="676"/>
      <w:bookmarkEnd w:id="677"/>
      <w:bookmarkEnd w:id="678"/>
    </w:p>
    <w:p w14:paraId="29BFF2D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暂列金额只能按照监理人的指示使用，并对合同价格进行相应调整。</w:t>
      </w:r>
    </w:p>
    <w:p w14:paraId="43D313F7">
      <w:pPr>
        <w:keepNext/>
        <w:keepLines/>
        <w:spacing w:line="440" w:lineRule="exact"/>
        <w:ind w:firstLine="482" w:firstLineChars="200"/>
        <w:outlineLvl w:val="2"/>
        <w:rPr>
          <w:rFonts w:hint="eastAsia" w:ascii="宋体" w:hAnsi="宋体" w:eastAsia="宋体" w:cs="宋体"/>
          <w:b/>
          <w:bCs/>
          <w:sz w:val="24"/>
          <w:szCs w:val="24"/>
          <w:lang w:eastAsia="zh-CN"/>
        </w:rPr>
      </w:pPr>
      <w:bookmarkStart w:id="679" w:name="_Toc486580151"/>
      <w:bookmarkStart w:id="680" w:name="_Toc489279962"/>
      <w:bookmarkStart w:id="681" w:name="_Toc189651491"/>
      <w:bookmarkStart w:id="682" w:name="_Toc117597582"/>
      <w:bookmarkStart w:id="683" w:name="_Toc490222596"/>
      <w:bookmarkStart w:id="684" w:name="_Toc497213827"/>
      <w:r>
        <w:rPr>
          <w:rFonts w:hint="eastAsia" w:ascii="宋体" w:hAnsi="宋体" w:eastAsia="宋体" w:cs="宋体"/>
          <w:b/>
          <w:bCs/>
          <w:sz w:val="24"/>
          <w:szCs w:val="24"/>
          <w:lang w:eastAsia="zh-CN"/>
        </w:rPr>
        <w:t>15.7  计日工</w:t>
      </w:r>
      <w:bookmarkEnd w:id="679"/>
      <w:bookmarkEnd w:id="680"/>
      <w:bookmarkEnd w:id="681"/>
      <w:bookmarkEnd w:id="682"/>
      <w:bookmarkEnd w:id="683"/>
      <w:bookmarkEnd w:id="684"/>
    </w:p>
    <w:p w14:paraId="13B1D4FB">
      <w:pPr>
        <w:spacing w:line="440" w:lineRule="exact"/>
        <w:ind w:firstLine="480" w:firstLineChars="200"/>
        <w:rPr>
          <w:rFonts w:hint="eastAsia" w:ascii="宋体" w:hAnsi="宋体" w:eastAsia="宋体" w:cs="宋体"/>
          <w:sz w:val="24"/>
          <w:szCs w:val="24"/>
          <w:shd w:val="pct10" w:color="auto" w:fill="FFFFFF"/>
          <w:lang w:eastAsia="zh-CN"/>
        </w:rPr>
      </w:pPr>
      <w:r>
        <w:rPr>
          <w:rFonts w:hint="eastAsia" w:ascii="宋体" w:hAnsi="宋体" w:eastAsia="宋体" w:cs="宋体"/>
          <w:sz w:val="24"/>
          <w:szCs w:val="24"/>
          <w:lang w:eastAsia="zh-CN"/>
        </w:rPr>
        <w:t>15.7.1  发包人认为有必要时，由监理人通知承包人以计日工方式实施变更的零星工作。其价款按列入已标价工程量清单中的计日工计价子目及其单价进行计算。</w:t>
      </w:r>
    </w:p>
    <w:p w14:paraId="28446A6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15.7.2  采用计日工计价的任何一项变更工作，应从暂列金额中支付，承包人应在该项变更的实施过程中，每天提交以下报表和有关凭证报送监理人审批：</w:t>
      </w:r>
    </w:p>
    <w:p w14:paraId="63B2438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（1）工作名称、内容和数量；</w:t>
      </w:r>
    </w:p>
    <w:p w14:paraId="48D6BED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（2）投入该工作所有人员的姓名、工种、级别和耗用工时；</w:t>
      </w:r>
    </w:p>
    <w:p w14:paraId="7164C5B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（3）投入该工作的材料类别和数量；</w:t>
      </w:r>
    </w:p>
    <w:p w14:paraId="420164A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（4）投入该工作的施工设备型号、台数和耗用台时；</w:t>
      </w:r>
    </w:p>
    <w:p w14:paraId="4A803C6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（5）监理人要求提交的其他资料和凭证。</w:t>
      </w:r>
    </w:p>
    <w:p w14:paraId="349A296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15.7.3  计日工由承包人汇总后，按第17.3.2项的约定列入进度付款申请单，由监理人复核并经发包人同意后列入进度付款。</w:t>
      </w:r>
    </w:p>
    <w:p w14:paraId="193393DD">
      <w:pPr>
        <w:keepNext/>
        <w:keepLines/>
        <w:spacing w:line="440" w:lineRule="exact"/>
        <w:ind w:firstLine="482" w:firstLineChars="200"/>
        <w:outlineLvl w:val="2"/>
        <w:rPr>
          <w:rFonts w:hint="eastAsia" w:ascii="宋体" w:hAnsi="宋体" w:eastAsia="宋体" w:cs="宋体"/>
          <w:b/>
          <w:bCs/>
          <w:sz w:val="24"/>
          <w:szCs w:val="24"/>
          <w:lang w:eastAsia="zh-CN"/>
        </w:rPr>
      </w:pPr>
      <w:bookmarkStart w:id="685" w:name="_Toc490222597"/>
      <w:bookmarkStart w:id="686" w:name="_Toc117597583"/>
      <w:bookmarkStart w:id="687" w:name="_Toc189651492"/>
      <w:bookmarkStart w:id="688" w:name="_Toc489279963"/>
      <w:bookmarkStart w:id="689" w:name="_Toc497213828"/>
      <w:bookmarkStart w:id="690" w:name="_Toc486580152"/>
      <w:r>
        <w:rPr>
          <w:rFonts w:hint="eastAsia" w:ascii="宋体" w:hAnsi="宋体" w:eastAsia="宋体" w:cs="宋体"/>
          <w:b/>
          <w:bCs/>
          <w:sz w:val="24"/>
          <w:szCs w:val="24"/>
          <w:lang w:eastAsia="zh-CN"/>
        </w:rPr>
        <w:t>15.8  暂估价</w:t>
      </w:r>
      <w:bookmarkEnd w:id="685"/>
      <w:bookmarkEnd w:id="686"/>
      <w:bookmarkEnd w:id="687"/>
      <w:bookmarkEnd w:id="688"/>
      <w:bookmarkEnd w:id="689"/>
      <w:bookmarkEnd w:id="690"/>
    </w:p>
    <w:p w14:paraId="6ABC3C4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15.8.1  发包人在工程量清单中给定暂估价的材料和工程设备及专业工程属于依法必须招标的范围并达到规定的规模标准的，由发包人和承包人采用招标方式选择专项供应商或专业分包人。发包人和承包人的权利义务关系约定如下： </w:t>
      </w:r>
    </w:p>
    <w:p w14:paraId="52617C6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（1）由承包人作为招标人，依法组织招标工作并接受有管辖权的建设工程招标参选行政监督部门的监督。</w:t>
      </w:r>
    </w:p>
    <w:p w14:paraId="00EF85D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（2）与组织招标工作有关的费用应当被认为已经包括在承包人的签约合同价（参选总报价）中。</w:t>
      </w:r>
    </w:p>
    <w:p w14:paraId="7FEE68E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（3）中选金额与工程量清单中所列的暂估价的金额差以及相应的税金等其他费用列入合同价格。</w:t>
      </w:r>
    </w:p>
    <w:p w14:paraId="783CA53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在任何招标工作启动前，承包人应当按照合同条款专用部分约定期限编制招标工作计划并通过监理人报请发包人审批，招标工作计划应当包括招标工作的时间安排、拟采用的招标方式、拟采用的资格审查方法、主要招标过程文件的编制内容、对参选人的资格条件要求、评标标准和方法、评标委员会组成、是否编制招标控制价和（或）标底以及招标控制价和（或）标底编制原则。发包人应当在监理人收到承包人报送的招标工作计划后应当在合同条款专用部分约定期限内给予批准或者提出修改意见。承包人应当严格按照经过发包人批准的招标工作计划开展招标工作。</w:t>
      </w:r>
    </w:p>
    <w:p w14:paraId="499C09A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承包人应当在发出招标公告（或者资格预审公告或者参选邀请书）、资格预审文件和招标文件前按照合同条款专用部分约定期限，分别将相关文件通过监理人报请发包人审批，发包人应当在监理人收到承包人报送的相关文件后应当在合同条款专用部分约定期限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发包人和监理人备查。</w:t>
      </w:r>
    </w:p>
    <w:p w14:paraId="022BF6B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（6）如果发、承包任何一方委派评标代表，评标委员会应当由七人以上单数构成。除发包人或者承包人自愿放弃委派评标代表的权利外，招标人评标代表应当分别由发包人和承包人等额委派。</w:t>
      </w:r>
    </w:p>
    <w:p w14:paraId="6BA454D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7）设有标底的，承包人应当在开标前提前48小时将标底报发包人审核认可，发包人应当在收到承包人报送的标底后24小时内给予批准或者提出修改意见。承包人和发包人应当共同制定标底保密措施，不得提前泄露标底。标底的最终审核和决定权属于发包人。</w:t>
      </w:r>
    </w:p>
    <w:p w14:paraId="1A56D8A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8）设有招标控制价的，承包人应当在招标文件发出前提前7天将招标控制价报发包人审核认可，发包人应当在收到承包人报送的招标控制价后72小时内给予认可或者提出修改意见。招标控制价的最终审核和决定权属于发包人，未经发包人认可，承包人不得发出招标文件。</w:t>
      </w:r>
    </w:p>
    <w:p w14:paraId="10C3544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9）承包人在收到相关招标项目评标委员会提交的评标报告后，应当在24小时内通过监理人转报发包人核查，发包人应当在监理人收到承包人报送的评标报告后48小时内核查完毕，评标报告经过发包人核查认可后，承包人才可以开始后续程序，依法确定中选人并发出中选通知书。</w:t>
      </w:r>
    </w:p>
    <w:p w14:paraId="3084925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承包人与专业分包人或者专项供应商订立合同前应当按照合同条款专用部分约定期限，将准备用于正式签订的合同文件通过监理人报发包人审核，发包人应当在监理人收到相关文件后在合同条款专用部分约定期限内给予批准或者提出修改意见，承包人应当按照发包人批准的合同文件签订相关合同，合同订立后，在合同条款专用部分约定期限内，承包人应当将其中的两份副本报送监理人，其中一份由监理人报发包人留存。</w:t>
      </w:r>
    </w:p>
    <w:p w14:paraId="68EFD59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（11）发包人对承包人报送文件进行审批或提出的修改意见应当合理，并符合现行有关法律法规的规定。</w:t>
      </w:r>
    </w:p>
    <w:p w14:paraId="53E12F6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12）承包人违背本项上述约定的程序或者未履行本项上述约定的报批手续的，发包人有权拒绝对相关专业工程或者涉及相关专项供应的材料和工程设备的工程进行验收和拨付相应工程款项，所造成的费用增加和（或）工期延误由承包人承担。发包人未按本项上述约定履行审批手续的，所造成的费用增加和（或）工期延误由发包人承担。</w:t>
      </w:r>
    </w:p>
    <w:p w14:paraId="00E596A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02D1830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15.8.3  发包人在工程量清单中给定暂估价的专业工程不属于依法必须招标的范围或未达到规定的规模标准的，由监理人按照第15.4款进行估价，但合同条款专用部分另有约定的除外。经估价的专业工程与工程量清单中所列的暂估价的金额差以及相应的税金等其他费用列入合同价格。</w:t>
      </w:r>
    </w:p>
    <w:p w14:paraId="3A9B53EB">
      <w:pPr>
        <w:keepNext/>
        <w:keepLines/>
        <w:spacing w:line="440" w:lineRule="exact"/>
        <w:ind w:firstLine="482" w:firstLineChars="200"/>
        <w:outlineLvl w:val="1"/>
        <w:rPr>
          <w:rFonts w:hint="eastAsia" w:ascii="宋体" w:hAnsi="宋体" w:eastAsia="宋体" w:cs="宋体"/>
          <w:b/>
          <w:bCs/>
          <w:sz w:val="24"/>
          <w:szCs w:val="24"/>
          <w:lang w:eastAsia="zh-CN"/>
        </w:rPr>
      </w:pPr>
      <w:bookmarkStart w:id="691" w:name="_Toc117597584"/>
      <w:bookmarkStart w:id="692" w:name="_Toc490222598"/>
      <w:bookmarkStart w:id="693" w:name="_Toc489279964"/>
      <w:bookmarkStart w:id="694" w:name="_Toc486580153"/>
      <w:bookmarkStart w:id="695" w:name="_Toc189651493"/>
      <w:bookmarkStart w:id="696" w:name="_Toc497213829"/>
      <w:r>
        <w:rPr>
          <w:rFonts w:hint="eastAsia" w:ascii="宋体" w:hAnsi="宋体" w:eastAsia="宋体" w:cs="宋体"/>
          <w:b/>
          <w:bCs/>
          <w:sz w:val="24"/>
          <w:szCs w:val="24"/>
          <w:lang w:eastAsia="zh-CN"/>
        </w:rPr>
        <w:t>16.价格调整</w:t>
      </w:r>
      <w:bookmarkEnd w:id="691"/>
      <w:bookmarkEnd w:id="692"/>
      <w:bookmarkEnd w:id="693"/>
      <w:bookmarkEnd w:id="694"/>
      <w:bookmarkEnd w:id="695"/>
      <w:bookmarkEnd w:id="696"/>
    </w:p>
    <w:p w14:paraId="73EF3732">
      <w:pPr>
        <w:keepNext/>
        <w:keepLines/>
        <w:spacing w:line="440" w:lineRule="exact"/>
        <w:ind w:firstLine="482" w:firstLineChars="200"/>
        <w:outlineLvl w:val="2"/>
        <w:rPr>
          <w:rFonts w:hint="eastAsia" w:ascii="宋体" w:hAnsi="宋体" w:eastAsia="宋体" w:cs="宋体"/>
          <w:b/>
          <w:bCs/>
          <w:sz w:val="24"/>
          <w:szCs w:val="24"/>
          <w:lang w:eastAsia="zh-CN"/>
        </w:rPr>
      </w:pPr>
      <w:bookmarkStart w:id="697" w:name="_Toc490222599"/>
      <w:bookmarkStart w:id="698" w:name="_Toc489279965"/>
      <w:bookmarkStart w:id="699" w:name="_Toc189651494"/>
      <w:bookmarkStart w:id="700" w:name="_Toc486580154"/>
      <w:bookmarkStart w:id="701" w:name="_Toc497213830"/>
      <w:bookmarkStart w:id="702" w:name="_Toc117597585"/>
      <w:r>
        <w:rPr>
          <w:rFonts w:hint="eastAsia" w:ascii="宋体" w:hAnsi="宋体" w:eastAsia="宋体" w:cs="宋体"/>
          <w:b/>
          <w:bCs/>
          <w:sz w:val="24"/>
          <w:szCs w:val="24"/>
          <w:lang w:eastAsia="zh-CN"/>
        </w:rPr>
        <w:t>16.1  物价波动引起的价格调整</w:t>
      </w:r>
      <w:bookmarkEnd w:id="697"/>
      <w:bookmarkEnd w:id="698"/>
      <w:bookmarkEnd w:id="699"/>
      <w:bookmarkEnd w:id="700"/>
      <w:bookmarkEnd w:id="701"/>
      <w:bookmarkEnd w:id="702"/>
    </w:p>
    <w:p w14:paraId="3B255C1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除合同条款专用部分另有约定外，因物价波动引起的价格调整按照本款约定处理。</w:t>
      </w:r>
    </w:p>
    <w:p w14:paraId="2349EF6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16.1.1 采用价格指数调整价格差额</w:t>
      </w:r>
    </w:p>
    <w:p w14:paraId="6671826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16.1.1.1 价格调整公式</w:t>
      </w:r>
    </w:p>
    <w:p w14:paraId="2BA58B2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因人工、材料和设备等价格波动影响合同价格时，根据参选函附录中的价格指数和权重表约定的数据，按以下公式计算差额并调整合同价格。</w:t>
      </w:r>
    </w:p>
    <w:p w14:paraId="08D8452B">
      <w:pPr>
        <w:spacing w:line="440" w:lineRule="exact"/>
        <w:ind w:firstLine="482" w:firstLineChars="200"/>
        <w:rPr>
          <w:rFonts w:hint="eastAsia" w:ascii="宋体" w:hAnsi="宋体" w:eastAsia="宋体" w:cs="宋体"/>
          <w:sz w:val="24"/>
          <w:szCs w:val="24"/>
        </w:rPr>
      </w:pPr>
      <w:r>
        <w:rPr>
          <w:rFonts w:hint="eastAsia" w:ascii="宋体" w:hAnsi="宋体" w:eastAsia="宋体" w:cs="宋体"/>
          <w:b/>
          <w:bCs/>
          <w:sz w:val="24"/>
          <w:szCs w:val="24"/>
          <w:lang w:val="zh-CN" w:eastAsia="zh-CN"/>
        </w:rPr>
        <w:t xml:space="preserve">        </w:t>
      </w:r>
      <w:r>
        <w:rPr>
          <w:rFonts w:hint="eastAsia" w:ascii="宋体" w:hAnsi="宋体" w:eastAsia="宋体" w:cs="宋体"/>
          <w:position w:val="-34"/>
          <w:sz w:val="24"/>
          <w:szCs w:val="24"/>
        </w:rPr>
        <w:object>
          <v:shape id="_x0000_i1025" o:spt="75" type="#_x0000_t75" style="height:41pt;width:306pt;" o:ole="t" filled="f" coordsize="21600,21600">
            <v:path/>
            <v:fill on="f" focussize="0,0"/>
            <v:stroke/>
            <v:imagedata r:id="rId16" o:title=""/>
            <o:lock v:ext="edit" aspectratio="t"/>
            <w10:wrap type="none"/>
            <w10:anchorlock/>
          </v:shape>
          <o:OLEObject Type="Embed" ProgID="Equation.3" ShapeID="_x0000_i1025" DrawAspect="Content" ObjectID="_1468075725" r:id="rId15">
            <o:LockedField>false</o:LockedField>
          </o:OLEObject>
        </w:object>
      </w:r>
    </w:p>
    <w:p w14:paraId="6BE2289B">
      <w:pPr>
        <w:tabs>
          <w:tab w:val="left" w:pos="1260"/>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w:t>
      </w:r>
    </w:p>
    <w:p w14:paraId="5E3CC608">
      <w:pPr>
        <w:tabs>
          <w:tab w:val="left" w:pos="1260"/>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式中： △P -- 需调整的价格差额；</w:t>
      </w:r>
    </w:p>
    <w:p w14:paraId="5C860755">
      <w:pPr>
        <w:tabs>
          <w:tab w:val="left" w:pos="1260"/>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ab/>
      </w:r>
      <w:r>
        <w:rPr>
          <w:rFonts w:hint="eastAsia" w:ascii="宋体" w:hAnsi="宋体" w:eastAsia="宋体" w:cs="宋体"/>
          <w:sz w:val="24"/>
          <w:szCs w:val="24"/>
          <w:lang w:eastAsia="zh-CN"/>
        </w:rPr>
        <w:t>P</w:t>
      </w:r>
      <w:r>
        <w:rPr>
          <w:rFonts w:hint="eastAsia" w:ascii="宋体" w:hAnsi="宋体" w:eastAsia="宋体" w:cs="宋体"/>
          <w:sz w:val="24"/>
          <w:szCs w:val="24"/>
          <w:vertAlign w:val="subscript"/>
          <w:lang w:eastAsia="zh-CN"/>
        </w:rPr>
        <w:t>0</w:t>
      </w:r>
      <w:r>
        <w:rPr>
          <w:rFonts w:hint="eastAsia" w:ascii="宋体" w:hAnsi="宋体" w:eastAsia="宋体" w:cs="宋体"/>
          <w:sz w:val="24"/>
          <w:szCs w:val="24"/>
          <w:lang w:eastAsia="zh-CN"/>
        </w:rPr>
        <w:t xml:space="preserve"> -- 第17.3.3项、第17.5.3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1CD42D56">
      <w:pPr>
        <w:tabs>
          <w:tab w:val="left" w:pos="1260"/>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ab/>
      </w:r>
      <w:r>
        <w:rPr>
          <w:rFonts w:hint="eastAsia" w:ascii="宋体" w:hAnsi="宋体" w:eastAsia="宋体" w:cs="宋体"/>
          <w:sz w:val="24"/>
          <w:szCs w:val="24"/>
          <w:lang w:eastAsia="zh-CN"/>
        </w:rPr>
        <w:t>A -- 定值权重(即不调部分的权重)；</w:t>
      </w:r>
    </w:p>
    <w:p w14:paraId="12DBED79">
      <w:pPr>
        <w:tabs>
          <w:tab w:val="left" w:pos="1260"/>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ab/>
      </w:r>
      <w:r>
        <w:rPr>
          <w:rFonts w:hint="eastAsia" w:ascii="宋体" w:hAnsi="宋体" w:eastAsia="宋体" w:cs="宋体"/>
          <w:sz w:val="24"/>
          <w:szCs w:val="24"/>
          <w:lang w:eastAsia="zh-CN"/>
        </w:rPr>
        <w:t>B</w:t>
      </w:r>
      <w:r>
        <w:rPr>
          <w:rFonts w:hint="eastAsia" w:ascii="宋体" w:hAnsi="宋体" w:eastAsia="宋体" w:cs="宋体"/>
          <w:sz w:val="24"/>
          <w:szCs w:val="24"/>
          <w:vertAlign w:val="subscript"/>
          <w:lang w:eastAsia="zh-CN"/>
        </w:rPr>
        <w:t>1</w:t>
      </w:r>
      <w:r>
        <w:rPr>
          <w:rFonts w:hint="eastAsia" w:ascii="宋体" w:hAnsi="宋体" w:eastAsia="宋体" w:cs="宋体"/>
          <w:sz w:val="24"/>
          <w:szCs w:val="24"/>
          <w:lang w:eastAsia="zh-CN"/>
        </w:rPr>
        <w:t>; B</w:t>
      </w:r>
      <w:r>
        <w:rPr>
          <w:rFonts w:hint="eastAsia" w:ascii="宋体" w:hAnsi="宋体" w:eastAsia="宋体" w:cs="宋体"/>
          <w:sz w:val="24"/>
          <w:szCs w:val="24"/>
          <w:vertAlign w:val="subscript"/>
          <w:lang w:eastAsia="zh-CN"/>
        </w:rPr>
        <w:t>2</w:t>
      </w:r>
      <w:r>
        <w:rPr>
          <w:rFonts w:hint="eastAsia" w:ascii="宋体" w:hAnsi="宋体" w:eastAsia="宋体" w:cs="宋体"/>
          <w:sz w:val="24"/>
          <w:szCs w:val="24"/>
          <w:lang w:eastAsia="zh-CN"/>
        </w:rPr>
        <w:t xml:space="preserve"> ;B</w:t>
      </w:r>
      <w:r>
        <w:rPr>
          <w:rFonts w:hint="eastAsia" w:ascii="宋体" w:hAnsi="宋体" w:eastAsia="宋体" w:cs="宋体"/>
          <w:sz w:val="24"/>
          <w:szCs w:val="24"/>
          <w:vertAlign w:val="subscript"/>
          <w:lang w:eastAsia="zh-CN"/>
        </w:rPr>
        <w:t>3</w:t>
      </w:r>
      <w:r>
        <w:rPr>
          <w:rFonts w:hint="eastAsia" w:ascii="宋体" w:hAnsi="宋体" w:eastAsia="宋体" w:cs="宋体"/>
          <w:sz w:val="24"/>
          <w:szCs w:val="24"/>
          <w:lang w:eastAsia="zh-CN"/>
        </w:rPr>
        <w:t>·····B</w:t>
      </w:r>
      <w:r>
        <w:rPr>
          <w:rFonts w:hint="eastAsia" w:ascii="宋体" w:hAnsi="宋体" w:eastAsia="宋体" w:cs="宋体"/>
          <w:sz w:val="24"/>
          <w:szCs w:val="24"/>
          <w:vertAlign w:val="subscript"/>
          <w:lang w:eastAsia="zh-CN"/>
        </w:rPr>
        <w:t>n</w:t>
      </w:r>
      <w:r>
        <w:rPr>
          <w:rFonts w:hint="eastAsia" w:ascii="宋体" w:hAnsi="宋体" w:eastAsia="宋体" w:cs="宋体"/>
          <w:sz w:val="24"/>
          <w:szCs w:val="24"/>
          <w:lang w:eastAsia="zh-CN"/>
        </w:rPr>
        <w:t xml:space="preserve"> -- 各可调因子的变值权重(即可调部分的权重)为各可调因子在参选函参选总报价中所占的比例；</w:t>
      </w:r>
    </w:p>
    <w:p w14:paraId="1A31FB66">
      <w:pPr>
        <w:tabs>
          <w:tab w:val="left" w:pos="1260"/>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ab/>
      </w:r>
      <w:r>
        <w:rPr>
          <w:rFonts w:hint="eastAsia" w:ascii="宋体" w:hAnsi="宋体" w:eastAsia="宋体" w:cs="宋体"/>
          <w:sz w:val="24"/>
          <w:szCs w:val="24"/>
          <w:lang w:eastAsia="zh-CN"/>
        </w:rPr>
        <w:t>F</w:t>
      </w:r>
      <w:r>
        <w:rPr>
          <w:rFonts w:hint="eastAsia" w:ascii="宋体" w:hAnsi="宋体" w:eastAsia="宋体" w:cs="宋体"/>
          <w:sz w:val="24"/>
          <w:szCs w:val="24"/>
          <w:vertAlign w:val="subscript"/>
          <w:lang w:eastAsia="zh-CN"/>
        </w:rPr>
        <w:t>t1</w:t>
      </w:r>
      <w:r>
        <w:rPr>
          <w:rFonts w:hint="eastAsia" w:ascii="宋体" w:hAnsi="宋体" w:eastAsia="宋体" w:cs="宋体"/>
          <w:sz w:val="24"/>
          <w:szCs w:val="24"/>
          <w:lang w:eastAsia="zh-CN"/>
        </w:rPr>
        <w:t xml:space="preserve"> ;F</w:t>
      </w:r>
      <w:r>
        <w:rPr>
          <w:rFonts w:hint="eastAsia" w:ascii="宋体" w:hAnsi="宋体" w:eastAsia="宋体" w:cs="宋体"/>
          <w:sz w:val="24"/>
          <w:szCs w:val="24"/>
          <w:vertAlign w:val="subscript"/>
          <w:lang w:eastAsia="zh-CN"/>
        </w:rPr>
        <w:t>t2</w:t>
      </w:r>
      <w:r>
        <w:rPr>
          <w:rFonts w:hint="eastAsia" w:ascii="宋体" w:hAnsi="宋体" w:eastAsia="宋体" w:cs="宋体"/>
          <w:sz w:val="24"/>
          <w:szCs w:val="24"/>
          <w:lang w:eastAsia="zh-CN"/>
        </w:rPr>
        <w:t xml:space="preserve"> ;F</w:t>
      </w:r>
      <w:r>
        <w:rPr>
          <w:rFonts w:hint="eastAsia" w:ascii="宋体" w:hAnsi="宋体" w:eastAsia="宋体" w:cs="宋体"/>
          <w:sz w:val="24"/>
          <w:szCs w:val="24"/>
          <w:vertAlign w:val="subscript"/>
          <w:lang w:eastAsia="zh-CN"/>
        </w:rPr>
        <w:t>t3</w:t>
      </w:r>
      <w:r>
        <w:rPr>
          <w:rFonts w:hint="eastAsia" w:ascii="宋体" w:hAnsi="宋体" w:eastAsia="宋体" w:cs="宋体"/>
          <w:sz w:val="24"/>
          <w:szCs w:val="24"/>
          <w:lang w:eastAsia="zh-CN"/>
        </w:rPr>
        <w:t>·····F</w:t>
      </w:r>
      <w:r>
        <w:rPr>
          <w:rFonts w:hint="eastAsia" w:ascii="宋体" w:hAnsi="宋体" w:eastAsia="宋体" w:cs="宋体"/>
          <w:sz w:val="24"/>
          <w:szCs w:val="24"/>
          <w:vertAlign w:val="subscript"/>
          <w:lang w:eastAsia="zh-CN"/>
        </w:rPr>
        <w:t>tn</w:t>
      </w:r>
      <w:r>
        <w:rPr>
          <w:rFonts w:hint="eastAsia" w:ascii="宋体" w:hAnsi="宋体" w:eastAsia="宋体" w:cs="宋体"/>
          <w:sz w:val="24"/>
          <w:szCs w:val="24"/>
          <w:lang w:eastAsia="zh-CN"/>
        </w:rPr>
        <w:t xml:space="preserve"> -- 各可调因子的现行价格指数，指第17.3.3项、第17.5.3项和第17.6.2项约定的付款证书相关周期最后一天的前42天的各可调因子的价格指数；</w:t>
      </w:r>
    </w:p>
    <w:p w14:paraId="0A8633A0">
      <w:pPr>
        <w:tabs>
          <w:tab w:val="left" w:pos="1260"/>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ab/>
      </w:r>
      <w:r>
        <w:rPr>
          <w:rFonts w:hint="eastAsia" w:ascii="宋体" w:hAnsi="宋体" w:eastAsia="宋体" w:cs="宋体"/>
          <w:sz w:val="24"/>
          <w:szCs w:val="24"/>
          <w:lang w:eastAsia="zh-CN"/>
        </w:rPr>
        <w:t>F</w:t>
      </w:r>
      <w:r>
        <w:rPr>
          <w:rFonts w:hint="eastAsia" w:ascii="宋体" w:hAnsi="宋体" w:eastAsia="宋体" w:cs="宋体"/>
          <w:sz w:val="24"/>
          <w:szCs w:val="24"/>
          <w:vertAlign w:val="subscript"/>
          <w:lang w:eastAsia="zh-CN"/>
        </w:rPr>
        <w:t>o1</w:t>
      </w:r>
      <w:r>
        <w:rPr>
          <w:rFonts w:hint="eastAsia" w:ascii="宋体" w:hAnsi="宋体" w:eastAsia="宋体" w:cs="宋体"/>
          <w:sz w:val="24"/>
          <w:szCs w:val="24"/>
          <w:lang w:eastAsia="zh-CN"/>
        </w:rPr>
        <w:t>; F</w:t>
      </w:r>
      <w:r>
        <w:rPr>
          <w:rFonts w:hint="eastAsia" w:ascii="宋体" w:hAnsi="宋体" w:eastAsia="宋体" w:cs="宋体"/>
          <w:sz w:val="24"/>
          <w:szCs w:val="24"/>
          <w:vertAlign w:val="subscript"/>
          <w:lang w:eastAsia="zh-CN"/>
        </w:rPr>
        <w:t>o2</w:t>
      </w:r>
      <w:r>
        <w:rPr>
          <w:rFonts w:hint="eastAsia" w:ascii="宋体" w:hAnsi="宋体" w:eastAsia="宋体" w:cs="宋体"/>
          <w:sz w:val="24"/>
          <w:szCs w:val="24"/>
          <w:lang w:eastAsia="zh-CN"/>
        </w:rPr>
        <w:t>; F</w:t>
      </w:r>
      <w:r>
        <w:rPr>
          <w:rFonts w:hint="eastAsia" w:ascii="宋体" w:hAnsi="宋体" w:eastAsia="宋体" w:cs="宋体"/>
          <w:sz w:val="24"/>
          <w:szCs w:val="24"/>
          <w:vertAlign w:val="subscript"/>
          <w:lang w:eastAsia="zh-CN"/>
        </w:rPr>
        <w:t>o3</w:t>
      </w:r>
      <w:r>
        <w:rPr>
          <w:rFonts w:hint="eastAsia" w:ascii="宋体" w:hAnsi="宋体" w:eastAsia="宋体" w:cs="宋体"/>
          <w:sz w:val="24"/>
          <w:szCs w:val="24"/>
          <w:lang w:eastAsia="zh-CN"/>
        </w:rPr>
        <w:t>·····F</w:t>
      </w:r>
      <w:r>
        <w:rPr>
          <w:rFonts w:hint="eastAsia" w:ascii="宋体" w:hAnsi="宋体" w:eastAsia="宋体" w:cs="宋体"/>
          <w:sz w:val="24"/>
          <w:szCs w:val="24"/>
          <w:vertAlign w:val="subscript"/>
          <w:lang w:eastAsia="zh-CN"/>
        </w:rPr>
        <w:t>on</w:t>
      </w:r>
      <w:r>
        <w:rPr>
          <w:rFonts w:hint="eastAsia" w:ascii="宋体" w:hAnsi="宋体" w:eastAsia="宋体" w:cs="宋体"/>
          <w:sz w:val="24"/>
          <w:szCs w:val="24"/>
          <w:lang w:eastAsia="zh-CN"/>
        </w:rPr>
        <w:t xml:space="preserve"> -- 各可调因子的基本价格指数，指基准日期的各可调因子的价格指数。</w:t>
      </w:r>
    </w:p>
    <w:p w14:paraId="5977441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以上价格调整公式中的各可调因子、定值和变值权重，以及基本价格指数及其来源在参选函附录价格指数和权重表中约定。价格指数应首先采用有关部门提供的价格指数，缺乏上述价格指数时，可采用有关部门提供的价格代替。</w:t>
      </w:r>
    </w:p>
    <w:p w14:paraId="4F7CCED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16.1.1.2 暂时确定调整差额</w:t>
      </w:r>
    </w:p>
    <w:p w14:paraId="02182B2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在计算调整差额时得不到现行价格指数的，可暂用上一次价格指数计算，并在以后的付款中再按实际价格指数进行调整。</w:t>
      </w:r>
    </w:p>
    <w:p w14:paraId="743C6C9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16.1.1.3 权重的调整</w:t>
      </w:r>
    </w:p>
    <w:p w14:paraId="4D1E5BC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按第15.1款约定的变更导致原定合同中的权重不合理时，由监理人与承包人和发包人协商后进行调整。</w:t>
      </w:r>
    </w:p>
    <w:p w14:paraId="20B4F04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16.1.1.4 承包人工期延误后的价格调整</w:t>
      </w:r>
    </w:p>
    <w:p w14:paraId="5873036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由于承包人原因未在约定的工期内竣工的，则对原约定竣工日期后继续施工的工程，在使用第16.1.1.1目价格调整公式时，应采用原约定竣工日期与实际竣工日期的两个价格指数中较低的一个作为现行价格指数。</w:t>
      </w:r>
    </w:p>
    <w:p w14:paraId="4F573D7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16.1.2  采用造价信息调整价格差额</w:t>
      </w:r>
    </w:p>
    <w:p w14:paraId="60DD17E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施工期内，因人工、材料、设备和机械台班价格波动影响合同价格时，需要进行价格调整的，其价格和数量应由监理人审核，监理人确认需调整的内容、范围、价格和数量作为调整工程合同价格差额的依据。</w:t>
      </w:r>
    </w:p>
    <w:p w14:paraId="1CE9E7E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16.1.2.1  引起价格调整的物价波动风险范围及幅度</w:t>
      </w:r>
    </w:p>
    <w:p w14:paraId="5473837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施工期内，因人工、材料、设备和机械台班发生物价波动变化幅度在合同约定的风险幅度范围以内的，由承包人承担或受益，不调整合同价格；其价格波动变化幅度在合同约定的风险幅度范围以外的，由发包人承担或受益。物价波动引起价格调整的风险范围以及调整的风险幅度见合同条款专用部分。</w:t>
      </w:r>
    </w:p>
    <w:p w14:paraId="6E86EBD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16.1.2.2  物价波动变化幅度的计算方法</w:t>
      </w:r>
    </w:p>
    <w:p w14:paraId="49130DE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（1）参选报价基准期确定的人工、材料、设备和机械台班的市场价格即为基准价。参选报价基准期见合同条款专用部分。</w:t>
      </w:r>
    </w:p>
    <w:p w14:paraId="7B09D6C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北京工程造价信息》中工程造价信息价有的，以北京市建设工程造价管理机构发布的《北京工程造价信息》中的工程造价信息价（以下简称造价信息价格）为依据确定基准价，造价信息价格中有上、下限的，以下限为准；《北京工程造价信息》工程造价信息价中没有的，确定基准价的方法见合同条款专用部分。</w:t>
      </w:r>
    </w:p>
    <w:p w14:paraId="4382359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（3）合同履行期间价格的确定方法见合同条款专用部分。</w:t>
      </w:r>
    </w:p>
    <w:p w14:paraId="754DAD0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（4）物价波动变化幅度的计算方法见合同条款专用部分。</w:t>
      </w:r>
    </w:p>
    <w:p w14:paraId="3FF4C07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16.1.2.3  物价波动引起价格调整的方法</w:t>
      </w:r>
    </w:p>
    <w:p w14:paraId="2B8848B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（1）第16.1.2.1目中约定的人工、材料、设备和机械台班的物价波动变化幅度超过风险幅度时，价格调整方法见合同条款专用部分。</w:t>
      </w:r>
    </w:p>
    <w:p w14:paraId="265A196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（2）第16.1.2.1目中约定的人工的物价波动变化幅度超过风险幅度时，应当计算全部价格差额，其价格差额由发包人承担或受益，其价格差额只计取税金。</w:t>
      </w:r>
    </w:p>
    <w:p w14:paraId="698E43F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（3）第16.1.2.1目中约定的材料、设备和机械台班的物价波动变化幅度超过风险幅度时，应当计算超过部分的价格差额，其价格差额由发包人承担或受益，其价格差额只计取税金。</w:t>
      </w:r>
    </w:p>
    <w:p w14:paraId="11D30F2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16.1.2.4  物价波动引起价格调整的其他约定见合同条款专用部分。</w:t>
      </w:r>
    </w:p>
    <w:p w14:paraId="68F87D7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16.1.3  物价波动引起价格调整的其他方法见合同条款专用部分。</w:t>
      </w:r>
    </w:p>
    <w:p w14:paraId="1FF23093">
      <w:pPr>
        <w:keepNext/>
        <w:keepLines/>
        <w:spacing w:line="440" w:lineRule="exact"/>
        <w:ind w:firstLine="480" w:firstLineChars="200"/>
        <w:outlineLvl w:val="2"/>
        <w:rPr>
          <w:rFonts w:hint="eastAsia" w:ascii="宋体" w:hAnsi="宋体" w:eastAsia="宋体" w:cs="宋体"/>
          <w:sz w:val="24"/>
          <w:szCs w:val="24"/>
          <w:lang w:eastAsia="zh-CN"/>
        </w:rPr>
      </w:pPr>
      <w:bookmarkStart w:id="703" w:name="_Toc117597586"/>
      <w:bookmarkStart w:id="704" w:name="_Toc189651495"/>
      <w:bookmarkStart w:id="705" w:name="_Toc489279966"/>
      <w:bookmarkStart w:id="706" w:name="_Toc497213831"/>
      <w:bookmarkStart w:id="707" w:name="_Toc486580155"/>
      <w:bookmarkStart w:id="708" w:name="_Toc490222600"/>
      <w:r>
        <w:rPr>
          <w:rFonts w:hint="eastAsia" w:ascii="宋体" w:hAnsi="宋体" w:eastAsia="宋体" w:cs="宋体"/>
          <w:sz w:val="24"/>
          <w:szCs w:val="24"/>
          <w:lang w:eastAsia="zh-CN"/>
        </w:rPr>
        <w:t>16.2  法律变化引起的价格调整</w:t>
      </w:r>
      <w:bookmarkEnd w:id="703"/>
      <w:bookmarkEnd w:id="704"/>
      <w:bookmarkEnd w:id="705"/>
      <w:bookmarkEnd w:id="706"/>
      <w:bookmarkEnd w:id="707"/>
      <w:bookmarkEnd w:id="708"/>
    </w:p>
    <w:p w14:paraId="293E31E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在基准日后，因法律变化导致承包人在合同履行中所需要的工程费用发生除第16.1款约定以外的增减时，监理人应根据法律、国家或省、自治区、直辖市有关部门的规定，按第3.5款商定或确定需调整的合同价款。</w:t>
      </w:r>
    </w:p>
    <w:p w14:paraId="520DFF41">
      <w:pPr>
        <w:keepNext/>
        <w:keepLines/>
        <w:spacing w:line="440" w:lineRule="exact"/>
        <w:ind w:firstLine="482" w:firstLineChars="200"/>
        <w:outlineLvl w:val="1"/>
        <w:rPr>
          <w:rFonts w:hint="eastAsia" w:ascii="宋体" w:hAnsi="宋体" w:eastAsia="宋体" w:cs="宋体"/>
          <w:b/>
          <w:bCs/>
          <w:sz w:val="24"/>
          <w:szCs w:val="24"/>
          <w:lang w:eastAsia="zh-CN"/>
        </w:rPr>
      </w:pPr>
      <w:bookmarkStart w:id="709" w:name="_Toc486580156"/>
      <w:bookmarkStart w:id="710" w:name="_Toc117597587"/>
      <w:bookmarkStart w:id="711" w:name="_Toc189651496"/>
      <w:bookmarkStart w:id="712" w:name="_Toc489279967"/>
      <w:bookmarkStart w:id="713" w:name="_Toc497213832"/>
      <w:bookmarkStart w:id="714" w:name="_Toc490222601"/>
      <w:r>
        <w:rPr>
          <w:rFonts w:hint="eastAsia" w:ascii="宋体" w:hAnsi="宋体" w:eastAsia="宋体" w:cs="宋体"/>
          <w:b/>
          <w:bCs/>
          <w:sz w:val="24"/>
          <w:szCs w:val="24"/>
          <w:lang w:eastAsia="zh-CN"/>
        </w:rPr>
        <w:t>17.计量与支付</w:t>
      </w:r>
      <w:bookmarkEnd w:id="709"/>
      <w:bookmarkEnd w:id="710"/>
      <w:bookmarkEnd w:id="711"/>
      <w:bookmarkEnd w:id="712"/>
      <w:bookmarkEnd w:id="713"/>
      <w:bookmarkEnd w:id="714"/>
    </w:p>
    <w:p w14:paraId="7E063641">
      <w:pPr>
        <w:keepNext/>
        <w:keepLines/>
        <w:spacing w:line="440" w:lineRule="exact"/>
        <w:ind w:firstLine="482" w:firstLineChars="200"/>
        <w:outlineLvl w:val="2"/>
        <w:rPr>
          <w:rFonts w:hint="eastAsia" w:ascii="宋体" w:hAnsi="宋体" w:eastAsia="宋体" w:cs="宋体"/>
          <w:b/>
          <w:bCs/>
          <w:sz w:val="24"/>
          <w:szCs w:val="24"/>
          <w:lang w:eastAsia="zh-CN"/>
        </w:rPr>
      </w:pPr>
      <w:bookmarkStart w:id="715" w:name="_Toc189651497"/>
      <w:bookmarkStart w:id="716" w:name="_Toc490222602"/>
      <w:bookmarkStart w:id="717" w:name="_Toc497213833"/>
      <w:bookmarkStart w:id="718" w:name="_Toc117597588"/>
      <w:bookmarkStart w:id="719" w:name="_Toc489279968"/>
      <w:bookmarkStart w:id="720" w:name="_Toc486580157"/>
      <w:r>
        <w:rPr>
          <w:rFonts w:hint="eastAsia" w:ascii="宋体" w:hAnsi="宋体" w:eastAsia="宋体" w:cs="宋体"/>
          <w:b/>
          <w:bCs/>
          <w:sz w:val="24"/>
          <w:szCs w:val="24"/>
          <w:lang w:eastAsia="zh-CN"/>
        </w:rPr>
        <w:t>17.1  计量</w:t>
      </w:r>
      <w:bookmarkEnd w:id="715"/>
      <w:bookmarkEnd w:id="716"/>
      <w:bookmarkEnd w:id="717"/>
      <w:bookmarkEnd w:id="718"/>
      <w:bookmarkEnd w:id="719"/>
      <w:bookmarkEnd w:id="720"/>
    </w:p>
    <w:p w14:paraId="4F5C4D0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17.1.1  计量单位</w:t>
      </w:r>
    </w:p>
    <w:p w14:paraId="2304EC3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计量采用国家法定的计量单位。</w:t>
      </w:r>
    </w:p>
    <w:p w14:paraId="0EE7344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17.1.2  计量方法</w:t>
      </w:r>
    </w:p>
    <w:p w14:paraId="56CC6A8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工程量计算规则执行工程量清单中约定的计量计价规范版本。除合同另有约定外，承包人实际完成的工程量按约定的工程量计算规则和有合同约束力的图纸进行计量。</w:t>
      </w:r>
    </w:p>
    <w:p w14:paraId="7B1F400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17.1.3  计量周期</w:t>
      </w:r>
    </w:p>
    <w:p w14:paraId="78E8A3A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（1）本合同的计量周期为月，当月计量截止日期（不含当日）和下月计量起始日期（含当日）见合同条款专用部分。</w:t>
      </w:r>
    </w:p>
    <w:p w14:paraId="0FDB771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（2）单价子目已完成工程量是否按月计量见合同条款专用部分。</w:t>
      </w:r>
    </w:p>
    <w:p w14:paraId="717582F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（3）总价子目计量方法见合同条款专用部分。</w:t>
      </w:r>
    </w:p>
    <w:p w14:paraId="442DA84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17.1.4  单价子目的计量</w:t>
      </w:r>
    </w:p>
    <w:p w14:paraId="269E6DE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（1）已标价工程量清单中的单价子目工程量为估算工程量。结算工程量是承包人实际完成的，并按合同约定的计量方法进行计量的工程量。</w:t>
      </w:r>
    </w:p>
    <w:p w14:paraId="26EB589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（2）承包人对已完成的工程进行计量，向监理人提交进度付款申请单、已完成工程量报表和有关计量资料。</w:t>
      </w:r>
    </w:p>
    <w:p w14:paraId="2DB3582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54489C5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（4）监理人认为有必要时，可通知承包人共同进行联合测量、计量，承包人应遵照执行。</w:t>
      </w:r>
    </w:p>
    <w:p w14:paraId="00A291D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77C1D5F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（6）监理人应在收到承包人提交的工程量报表后的7天内进行复核，监理人未在约定时间内复核的，承包人提交的工程量报表中的工程量视为承包人实际完成的工程量，据此计算工程价款。</w:t>
      </w:r>
    </w:p>
    <w:p w14:paraId="623993E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17.1.5  总价子目的计量（适用于采用支付分解报告）</w:t>
      </w:r>
    </w:p>
    <w:p w14:paraId="55EB2AE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总价子目按照有合同约束力的支付分解表支付。承包人应根据合同条款第10条约定的合同进度计划和总价子目的总价构成、费用性质、计划发生时间和相应工作量等因素对各个总价子目的总价按月进行分解，形成支付分解报告。承包人应当在收到经过监理人批复的合同进度计划后7天内，将支付分解报告以及形成支付分解报告的分项计量和总价分解等支持性资料报监理人审批，监理人应当在收到承包人报送的支付分解报告后7天内给予批复或提出修改意见，经监理人批准的支付分解报告为有合同约束力的支付分解表。支付分解表应根据合同条款第10.2款约定的修订合同进度计划进行修正，修正的程序和期限应当依照本项上述约定，经修正的支付分解表为有合同约束力的支付分解表。</w:t>
      </w:r>
    </w:p>
    <w:p w14:paraId="39DAC08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（1）总价子目的价格调整方法见合同条款专用部分。</w:t>
      </w:r>
    </w:p>
    <w:p w14:paraId="1818F39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（2）列入每月进度付款申请单中各总价子目的价值为有合同约束力的支付分解表中对应月份的总价子目总价值。</w:t>
      </w:r>
    </w:p>
    <w:p w14:paraId="10463EC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（3）监理人根据有合同约束力的支付分解表复核列入每月进度付款申请单中的总价子目的总价值。</w:t>
      </w:r>
    </w:p>
    <w:p w14:paraId="71E2237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（4）除按照第15条约定的变更外，在竣工结算时总价子目的工程量不应当重新计量，签约合同价所基于的工程量即是用于竣工结算的最终工程量。</w:t>
      </w:r>
    </w:p>
    <w:p w14:paraId="0B78672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17.1.5  总价子目的计量（适用于采用按实际完成工程量计量）</w:t>
      </w:r>
    </w:p>
    <w:p w14:paraId="2519F6A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（1）总价子目的计量和支付应以总价为基础，对承包人实际完成的工程量进行计量，是进行工程目标管理和控制进度款支付的依据。总价子目的价格调整方法见合同条款专用部分。</w:t>
      </w:r>
    </w:p>
    <w:p w14:paraId="7017E99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承包人在合同条款专用部分第17.1.3（1）目约定的每月计量截止日期后，对已完成的分部分项工程和单价措施项目的子目，按照合同条款第17.1.2项约定的计量方法进行计量，对已完成的总价措施项目的相关子目，按其总价构成、费用性质和实际发生比例进行计量，向监理人提交进度付款申请单、已完成工程量报表和有关计量资料。</w:t>
      </w:r>
    </w:p>
    <w:p w14:paraId="606A056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监理人对承包人提交的工程量报表进行复核，以确定实际完成的工程量。对数量有异议的，可要求承包人进行共同复核。承包人应协助监理人进行复核并按监理人要求提供补充计量资料。承包人未按监理人要求参加复核，监理人复核或修正的工程量视为承包人实际完成的工程量。</w:t>
      </w:r>
    </w:p>
    <w:p w14:paraId="5E5EF4E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（4）监理人应在收到承包人提交的工程量报表后的7天内进行复核，监理人未在约定时间内复核的，承包人提交的工程量报表中的工程量视为承包人实际完成的工程量，据此计算工程价款。</w:t>
      </w:r>
    </w:p>
    <w:p w14:paraId="7BE5EE4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（5）除按照第15条约定的变更外，在竣工结算时总价子目的工程量不应当重新计量，签约合同价所基于的工程量即是用于竣工结算的最终工程量。</w:t>
      </w:r>
    </w:p>
    <w:p w14:paraId="3EF2E1A6">
      <w:pPr>
        <w:keepNext/>
        <w:keepLines/>
        <w:spacing w:line="440" w:lineRule="exact"/>
        <w:ind w:firstLine="482" w:firstLineChars="200"/>
        <w:outlineLvl w:val="2"/>
        <w:rPr>
          <w:rFonts w:hint="eastAsia" w:ascii="宋体" w:hAnsi="宋体" w:eastAsia="宋体" w:cs="宋体"/>
          <w:b/>
          <w:bCs/>
          <w:sz w:val="24"/>
          <w:szCs w:val="24"/>
          <w:lang w:eastAsia="zh-CN"/>
        </w:rPr>
      </w:pPr>
      <w:bookmarkStart w:id="721" w:name="_Toc490222603"/>
      <w:bookmarkStart w:id="722" w:name="_Toc497213834"/>
      <w:bookmarkStart w:id="723" w:name="_Toc489279969"/>
      <w:bookmarkStart w:id="724" w:name="_Toc189651498"/>
      <w:bookmarkStart w:id="725" w:name="_Toc486580158"/>
      <w:bookmarkStart w:id="726" w:name="_Toc117597589"/>
      <w:r>
        <w:rPr>
          <w:rFonts w:hint="eastAsia" w:ascii="宋体" w:hAnsi="宋体" w:eastAsia="宋体" w:cs="宋体"/>
          <w:b/>
          <w:bCs/>
          <w:sz w:val="24"/>
          <w:szCs w:val="24"/>
          <w:lang w:eastAsia="zh-CN"/>
        </w:rPr>
        <w:t>17.2  预付款</w:t>
      </w:r>
      <w:bookmarkEnd w:id="721"/>
      <w:bookmarkEnd w:id="722"/>
      <w:bookmarkEnd w:id="723"/>
      <w:bookmarkEnd w:id="724"/>
      <w:bookmarkEnd w:id="725"/>
      <w:bookmarkEnd w:id="726"/>
    </w:p>
    <w:p w14:paraId="06C77EA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17.2.1  预付款</w:t>
      </w:r>
    </w:p>
    <w:p w14:paraId="2E520B2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预付款用于承包人为合同工程施工购置材料、工程设备、施工设备、修建临时设施以及组织施工队伍进场等。预付款必须专用于合同工程。预付款的额度和预付办法以及支付时间见合同条款专用部分。</w:t>
      </w:r>
    </w:p>
    <w:p w14:paraId="1C83C6F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安全文明施工费用预付款额度及方式见合同条款专用部分。</w:t>
      </w:r>
    </w:p>
    <w:p w14:paraId="0675CB9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发包人逾期支付合同约定的预付款，除承担第22.2款约定的违约责任外，还应向承包人支付按第17.3.3(2)目约定的标准和方法计算的逾期付款违约金。</w:t>
      </w:r>
    </w:p>
    <w:p w14:paraId="701097C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17.2.2  预付款的扣回与还清</w:t>
      </w:r>
    </w:p>
    <w:p w14:paraId="479C90E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预付款在进度付款中按照合同约定扣回。在颁发工程接收证书前，由于不可抗力或其他原因解除合同时，预付款尚未扣清的，尚未扣清的预付款余额应作为承包人的到期应付款。预付款扣回办法见合同条款专用部分。</w:t>
      </w:r>
    </w:p>
    <w:p w14:paraId="5C6FCA74">
      <w:pPr>
        <w:keepNext/>
        <w:keepLines/>
        <w:spacing w:line="440" w:lineRule="exact"/>
        <w:ind w:firstLine="482" w:firstLineChars="200"/>
        <w:outlineLvl w:val="2"/>
        <w:rPr>
          <w:rFonts w:hint="eastAsia" w:ascii="宋体" w:hAnsi="宋体" w:eastAsia="宋体" w:cs="宋体"/>
          <w:b/>
          <w:bCs/>
          <w:sz w:val="24"/>
          <w:szCs w:val="24"/>
          <w:lang w:eastAsia="zh-CN"/>
        </w:rPr>
      </w:pPr>
      <w:bookmarkStart w:id="727" w:name="_Toc497213835"/>
      <w:bookmarkStart w:id="728" w:name="_Toc117597590"/>
      <w:bookmarkStart w:id="729" w:name="_Toc489279970"/>
      <w:bookmarkStart w:id="730" w:name="_Toc189651499"/>
      <w:bookmarkStart w:id="731" w:name="_Toc490222604"/>
      <w:bookmarkStart w:id="732" w:name="_Toc486580159"/>
      <w:r>
        <w:rPr>
          <w:rFonts w:hint="eastAsia" w:ascii="宋体" w:hAnsi="宋体" w:eastAsia="宋体" w:cs="宋体"/>
          <w:b/>
          <w:bCs/>
          <w:sz w:val="24"/>
          <w:szCs w:val="24"/>
          <w:lang w:eastAsia="zh-CN"/>
        </w:rPr>
        <w:t>17.3  工程进度付款</w:t>
      </w:r>
      <w:bookmarkEnd w:id="727"/>
      <w:bookmarkEnd w:id="728"/>
      <w:bookmarkEnd w:id="729"/>
      <w:bookmarkEnd w:id="730"/>
      <w:bookmarkEnd w:id="731"/>
      <w:bookmarkEnd w:id="732"/>
    </w:p>
    <w:p w14:paraId="47B6AA7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17.3.1  付款周期</w:t>
      </w:r>
    </w:p>
    <w:p w14:paraId="45B7824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付款周期同计量周期。</w:t>
      </w:r>
    </w:p>
    <w:p w14:paraId="2C0CF9B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17.3.2  进度付款申请单</w:t>
      </w:r>
    </w:p>
    <w:p w14:paraId="08D3BB5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承包人应在每个付款周期末，按监理人批准的格式和合同约定的份数，向监理人提交进度付款申请单，并附相应的支持性证明文件。承包人提交进度付款申请单份数见合同条款专用部分。</w:t>
      </w:r>
    </w:p>
    <w:p w14:paraId="3DC7C43D">
      <w:pPr>
        <w:spacing w:line="440" w:lineRule="exact"/>
        <w:ind w:firstLine="480" w:firstLineChars="200"/>
        <w:rPr>
          <w:rFonts w:hint="eastAsia" w:ascii="宋体" w:hAnsi="宋体" w:eastAsia="宋体" w:cs="宋体"/>
          <w:dstrike/>
          <w:sz w:val="24"/>
          <w:szCs w:val="24"/>
          <w:lang w:eastAsia="zh-CN"/>
        </w:rPr>
      </w:pPr>
      <w:r>
        <w:rPr>
          <w:rFonts w:hint="eastAsia" w:ascii="宋体" w:hAnsi="宋体" w:eastAsia="宋体" w:cs="宋体"/>
          <w:sz w:val="24"/>
          <w:szCs w:val="24"/>
          <w:lang w:eastAsia="zh-CN"/>
        </w:rPr>
        <w:t>承包人报送监理人的进度付款申请单应包括下列内容：</w:t>
      </w:r>
    </w:p>
    <w:p w14:paraId="33C02FC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（1）截至本次付款周期末已实施工程的价款及其中人工费占工程款比例；</w:t>
      </w:r>
    </w:p>
    <w:p w14:paraId="6EF4BF8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（2）根据第15条应增加和扣减的变更金额；</w:t>
      </w:r>
    </w:p>
    <w:p w14:paraId="3E65662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（3）根据第23条应增加和扣减的索赔金额；</w:t>
      </w:r>
    </w:p>
    <w:p w14:paraId="530CCF9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（4）根据第17.2款约定应支付的预付款和扣减的返还预付款；</w:t>
      </w:r>
    </w:p>
    <w:p w14:paraId="2D84C38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（5）根据第17.4.1项约定应扣减的质量保证金；</w:t>
      </w:r>
    </w:p>
    <w:p w14:paraId="594CD1B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（6）根据合同应增加和（或）扣减的其他内容金额见合同条款专用部分。</w:t>
      </w:r>
    </w:p>
    <w:p w14:paraId="7315B5D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（7）本次应付进度款见合同条款专用部分。</w:t>
      </w:r>
    </w:p>
    <w:p w14:paraId="22ECDB1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政府机关、事业单位、国有企业建设工程进度款支付应不低于已完成工程价款的80%。</w:t>
      </w:r>
    </w:p>
    <w:p w14:paraId="739D8B7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17.3.3  进度付款证书和支付时间</w:t>
      </w:r>
    </w:p>
    <w:p w14:paraId="7DFC686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573F759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发包人应在监理人收到进度付款申请单后的28天内，将进度应付款支付给承包人。发包人未按第17.2.1(2)目、第17.3.3(2)目、第17.5.3(2)目和第17.6.2(2)目约定的期限支付承包人依合同约定应当得到的款项，应当从应付之日起按照合同约定的计算标准和计算方法向承包人支付逾期付款违约金。承包人应当按第23.1（1）目的约定，在最终付款期限到期后28天内，向监理人递交索赔意向通知书,说明有权得到按本款约定的标准和方法计算的逾期付款违约金。承包人要求发包人支付逾期付款违约金不影响承包人要求发包人承担第22.2款约定的其他违约责任的权利。逾期付款违约金计算标准和计算方法见合同条款专用部分。</w:t>
      </w:r>
    </w:p>
    <w:p w14:paraId="388FFBA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（3）监理人出具进度付款证书，不应视为监理人已同意、批准或接受了承包人完成的该部分工作。</w:t>
      </w:r>
    </w:p>
    <w:p w14:paraId="06B5F39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（4）进度付款涉及政府投资资金的，按照国库集中支付等国家相关规定和合同约定办理。进度付款涉及政府性资金的支付方法见合同条款专用部分。</w:t>
      </w:r>
    </w:p>
    <w:p w14:paraId="0D4D902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17.3.4  工程进度付款的修正</w:t>
      </w:r>
    </w:p>
    <w:p w14:paraId="739F6AB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在对以往历次已签发的进度付款证书进行汇总和复核中发现错、漏或重复的，监理人有权予以修正，承包人也有权提出修正申请。经双方复核同意的修正，应在本次进度付款中支付或扣除。</w:t>
      </w:r>
    </w:p>
    <w:p w14:paraId="45CE3D8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17.3.5  临时付款证书</w:t>
      </w:r>
    </w:p>
    <w:p w14:paraId="141A794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合同约定的期限内，承包人和监理人无法对当期已完工程量和按合同约定应当支付的其他款项达成一致的，监理人应当在收到承包人报送的进度付款申请单等文件后14天内，就与承包人达成一致意见的金额编制临时付款证书，报送发包人审查。临时付款证书中应当说明承包人有异议部分的金额及其原因，经发包人签字确认后，由监理人向承包人出具临时付款证书。发包人应当在监理人收到进度付款申请单后28天内，将临时付款证书中确定的应付金额支付给承包人。发包人和监理人均不得以任何理由延期支付工程进度付款。</w:t>
      </w:r>
    </w:p>
    <w:p w14:paraId="56AB2C2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对临时付款证书中承包人有异议部分的金额，承包人应当按照监理人要求，提交进一步的支持性文件，经监理人进一步审核并认可的应付金额，应当按第17.3.4项的约定纳入到下一期进度付款证书中。经过进一步努力，承包人仍有异议的，按合同条款第24条的约定办理。</w:t>
      </w:r>
    </w:p>
    <w:p w14:paraId="7FC89C3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有异议款项中经监理人进一步审核后认可的，或者经过合同条款第24条约定的争议解决方式确定的应付金额，其应付之日为引发异议的进度付款证书的应付之日，承包人有权得到按第17.3.3（2）目约定计算的逾期付款违约金。</w:t>
      </w:r>
    </w:p>
    <w:p w14:paraId="4E1DECF4">
      <w:pPr>
        <w:keepNext/>
        <w:keepLines/>
        <w:spacing w:line="440" w:lineRule="exact"/>
        <w:ind w:firstLine="482" w:firstLineChars="200"/>
        <w:outlineLvl w:val="2"/>
        <w:rPr>
          <w:rFonts w:hint="eastAsia" w:ascii="宋体" w:hAnsi="宋体" w:eastAsia="宋体" w:cs="宋体"/>
          <w:b/>
          <w:bCs/>
          <w:sz w:val="24"/>
          <w:szCs w:val="24"/>
          <w:lang w:eastAsia="zh-CN"/>
        </w:rPr>
      </w:pPr>
      <w:bookmarkStart w:id="733" w:name="_Toc117597591"/>
      <w:bookmarkStart w:id="734" w:name="_Toc489279971"/>
      <w:bookmarkStart w:id="735" w:name="_Toc189651500"/>
      <w:bookmarkStart w:id="736" w:name="_Toc490222605"/>
      <w:bookmarkStart w:id="737" w:name="_Toc486580160"/>
      <w:bookmarkStart w:id="738" w:name="_Toc497213836"/>
      <w:r>
        <w:rPr>
          <w:rFonts w:hint="eastAsia" w:ascii="宋体" w:hAnsi="宋体" w:eastAsia="宋体" w:cs="宋体"/>
          <w:b/>
          <w:bCs/>
          <w:sz w:val="24"/>
          <w:szCs w:val="24"/>
          <w:lang w:eastAsia="zh-CN"/>
        </w:rPr>
        <w:t>17.4  质量保证金</w:t>
      </w:r>
      <w:bookmarkEnd w:id="733"/>
      <w:bookmarkEnd w:id="734"/>
      <w:bookmarkEnd w:id="735"/>
      <w:bookmarkEnd w:id="736"/>
      <w:bookmarkEnd w:id="737"/>
      <w:bookmarkEnd w:id="738"/>
    </w:p>
    <w:p w14:paraId="6D1839F5">
      <w:pPr>
        <w:spacing w:line="440" w:lineRule="exact"/>
        <w:ind w:firstLine="480" w:firstLineChars="200"/>
        <w:rPr>
          <w:rFonts w:hint="eastAsia" w:ascii="宋体" w:hAnsi="宋体" w:eastAsia="宋体" w:cs="宋体"/>
          <w:sz w:val="24"/>
          <w:szCs w:val="24"/>
          <w:lang w:eastAsia="zh-CN"/>
        </w:rPr>
      </w:pPr>
      <w:bookmarkStart w:id="739" w:name="_Toc490222606"/>
      <w:bookmarkStart w:id="740" w:name="_Toc486580161"/>
      <w:bookmarkStart w:id="741" w:name="_Toc489279972"/>
      <w:r>
        <w:rPr>
          <w:rFonts w:hint="eastAsia" w:ascii="宋体" w:hAnsi="宋体" w:eastAsia="宋体" w:cs="宋体"/>
          <w:sz w:val="24"/>
          <w:szCs w:val="24"/>
          <w:lang w:eastAsia="zh-CN"/>
        </w:rPr>
        <w:t>17.4.1  质量保证金处理</w:t>
      </w:r>
    </w:p>
    <w:p w14:paraId="55746CB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合同条款专用部分第4.2.1项约定不提交履约担保，采用扣留质量保证金的，质量保证金由监理人从第一个付款周期开始按进度付款证书确认的已实施工程的价款、根据合同条款第15条增加和扣减的变更金额、根据合同条款第23条增加和扣减的索赔金额以及根据合同应增加和扣减的其他金额（不包括预付款的支付、返还、此前已经按合同约定支付给承包人的进度款以及已经扣留的质量保证金）的总额的约定比例扣留，直至质量保证金累计扣留金额达到竣工结算合同总价的约定比例为止；采用质量保证金保函担保形式的，工程竣工前，不得扣留质量保证金。</w:t>
      </w:r>
    </w:p>
    <w:p w14:paraId="6E7C1E2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合同条款专用部分第4.2.1项约定提交履约担保，采用扣留质量保证金的，在第17.5款竣工结算中，应当按照竣工结算合同总价约定的比例扣留质量保证金；采用质量保证金保函担保形式的，工程竣工前，不得扣留质量保证金。</w:t>
      </w:r>
    </w:p>
    <w:p w14:paraId="2A9E487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（3）质量保证金的形式与约定比例见合同条款专用部分。</w:t>
      </w:r>
    </w:p>
    <w:p w14:paraId="154EC5F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17.4.2  在第1.1.4.5目约定的缺陷责任期满时，承包人向发包人申请到期应返还承包人剩余的质量保证金金额或退还保函担保，发包人应在14天内会同承包人按照合同约定的内容核实承包人是否完成缺陷责任。如无异议，发包人应当在核实后将剩余保证金返还承包人或将其保函退还承包人。</w:t>
      </w:r>
    </w:p>
    <w:p w14:paraId="0A0E3CB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17.4.3  在第1.1.4.5目约定的缺陷责任期满时，承包人没有完成缺陷责任的，发包人有权扣留与未履行责任剩余工作所需金额相应的质量保证金余额或依据其保函担保约定追究责任，并有权根据第19.3款约定要求延长缺陷责任期，直至完成剩余工作为止。</w:t>
      </w:r>
    </w:p>
    <w:p w14:paraId="5F3B64EF">
      <w:pPr>
        <w:keepNext/>
        <w:keepLines/>
        <w:spacing w:line="440" w:lineRule="exact"/>
        <w:ind w:firstLine="482" w:firstLineChars="200"/>
        <w:outlineLvl w:val="2"/>
        <w:rPr>
          <w:rFonts w:hint="eastAsia" w:ascii="宋体" w:hAnsi="宋体" w:eastAsia="宋体" w:cs="宋体"/>
          <w:b/>
          <w:bCs/>
          <w:sz w:val="24"/>
          <w:szCs w:val="24"/>
          <w:lang w:eastAsia="zh-CN"/>
        </w:rPr>
      </w:pPr>
      <w:bookmarkStart w:id="742" w:name="_Toc117597592"/>
      <w:bookmarkStart w:id="743" w:name="_Toc189651501"/>
      <w:bookmarkStart w:id="744" w:name="_Toc497213837"/>
      <w:r>
        <w:rPr>
          <w:rFonts w:hint="eastAsia" w:ascii="宋体" w:hAnsi="宋体" w:eastAsia="宋体" w:cs="宋体"/>
          <w:b/>
          <w:bCs/>
          <w:sz w:val="24"/>
          <w:szCs w:val="24"/>
          <w:lang w:eastAsia="zh-CN"/>
        </w:rPr>
        <w:t>17.5  竣工结算</w:t>
      </w:r>
      <w:bookmarkEnd w:id="739"/>
      <w:bookmarkEnd w:id="740"/>
      <w:bookmarkEnd w:id="741"/>
      <w:bookmarkEnd w:id="742"/>
      <w:bookmarkEnd w:id="743"/>
      <w:bookmarkEnd w:id="744"/>
    </w:p>
    <w:p w14:paraId="049C10B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17.5.1  过程结算</w:t>
      </w:r>
    </w:p>
    <w:p w14:paraId="723A5242">
      <w:pPr>
        <w:spacing w:line="440" w:lineRule="exact"/>
        <w:ind w:firstLine="480" w:firstLineChars="200"/>
        <w:rPr>
          <w:rFonts w:hint="eastAsia" w:ascii="宋体" w:hAnsi="宋体" w:eastAsia="宋体" w:cs="宋体"/>
          <w:sz w:val="24"/>
          <w:szCs w:val="24"/>
          <w:lang w:eastAsia="zh-CN"/>
        </w:rPr>
      </w:pPr>
      <w:bookmarkStart w:id="745" w:name="_Hlk111558437"/>
      <w:r>
        <w:rPr>
          <w:rFonts w:hint="eastAsia" w:ascii="宋体" w:hAnsi="宋体" w:eastAsia="宋体" w:cs="宋体"/>
          <w:sz w:val="24"/>
          <w:szCs w:val="24"/>
          <w:lang w:eastAsia="zh-CN"/>
        </w:rPr>
        <w:t>本工程是否进行过程结算及相关要求</w:t>
      </w:r>
      <w:bookmarkEnd w:id="745"/>
      <w:r>
        <w:rPr>
          <w:rFonts w:hint="eastAsia" w:ascii="宋体" w:hAnsi="宋体" w:eastAsia="宋体" w:cs="宋体"/>
          <w:sz w:val="24"/>
          <w:szCs w:val="24"/>
          <w:lang w:eastAsia="zh-CN"/>
        </w:rPr>
        <w:t>见合同条款专用部分。</w:t>
      </w:r>
    </w:p>
    <w:p w14:paraId="4272B20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17.5.2  竣工付款申请单</w:t>
      </w:r>
    </w:p>
    <w:p w14:paraId="452385F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（1）工程接收证书颁发后，承包人应按合同约定的份数和期限向监理人提交竣工付款申请单，并提供相关证明材料。承包人提交竣工付款申请单份数和期限见合同条款专用部分。</w:t>
      </w:r>
    </w:p>
    <w:p w14:paraId="7ED61D2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竣工付款申请单应包括下列内容：竣工结算合同总价、发包人已支付承包人的工程价款、应扣留的质量保证金、应支付的竣工付款金额和应支付或扣减的其他内容金额。竣工付款申请单的其他内容见合同条款专用部分。</w:t>
      </w:r>
    </w:p>
    <w:p w14:paraId="7729609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（3）监理人对竣工付款申请单有异议的，有权要求承包人进行修正和提供补充资料。经监理人和承包人协商后，由承包人向监理人提交修正后的竣工付款申请单。</w:t>
      </w:r>
    </w:p>
    <w:p w14:paraId="096C8C8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承包人未按本项约定的期限和内容提交竣工付款申请单或者未按第17.5.2（3)目约定提交修正后的竣工付款申请单，经监理人催促后14天内仍未提交或者没有明确答复的，监理人和发包人有权根据已有资料进行审查，审查确定的竣工结算合同总价和竣工付款金额视同是经承包人认可的工程竣工结算合同总价和竣工付款金额。</w:t>
      </w:r>
    </w:p>
    <w:p w14:paraId="2458E08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17.5.3  竣工付款证书及支付时间</w:t>
      </w:r>
    </w:p>
    <w:p w14:paraId="00A9823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监理人在收到承包人提交的竣工付款申请单后的14天内完成审核，并提出发包人到期应支付给承包人的价款等审核意见，报送发包人审核。发包人应在收到后14天内审核完毕，由监理人向承包人出具经发包人签字确认的竣工付款证书。监理人未在约定时间内提出具体意见的，视为承包人提交的竣工付款申请单已经监理人核查同意；发包人未在约定时间内提出具体意见的，监理人提出发包人到期应支付给承包人的价款视为已经发包人同意。</w:t>
      </w:r>
    </w:p>
    <w:p w14:paraId="01F456A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（2）发包人应在监理人出具竣工付款证书后的14天内，将应支付款支付给承包人。发包人不按期支付的，按第17.3.3（2）目的约定，将逾期付款违约金支付给承包人。</w:t>
      </w:r>
    </w:p>
    <w:p w14:paraId="15AD687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（3）如竣工付款证书中显示进度款支付超出实际已完成工程价款的情况，承包人应在监理人出具竣工付款证书后30日内向发包人返还多收到的工程进度款。</w:t>
      </w:r>
    </w:p>
    <w:p w14:paraId="388D5EC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（4）承包人对发包人签认的竣工付款证书有异议的，发包人可出具竣工付款申请单中与承包人达成一致意见部分的临时付款证书。存在争议的部分，按第24条“争议的解决”的约定办理。</w:t>
      </w:r>
    </w:p>
    <w:p w14:paraId="2278E22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（5）竣工付款涉及政府投资资金的，按第17.3.3（4）目的约定办理。</w:t>
      </w:r>
    </w:p>
    <w:p w14:paraId="1289A23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17.5.4  除第17.5.5项约定的情况外，发包人和承包人应当在监理人颁发（出具）工程接收证书后56天内办清竣工结算和竣工付款。</w:t>
      </w:r>
    </w:p>
    <w:p w14:paraId="452168A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17.5.5  政府投资或者以政府投资为主的建设项目纳入审计项目计划的，发包人和承包人均负有配合、接受审计机关审计的义务，竣工结算应当依据审计结论，办清竣工结算和竣工付款的时间按照相关规定执行。</w:t>
      </w:r>
    </w:p>
    <w:p w14:paraId="2DB8C9DA">
      <w:pPr>
        <w:keepNext/>
        <w:keepLines/>
        <w:spacing w:line="440" w:lineRule="exact"/>
        <w:ind w:firstLine="482" w:firstLineChars="200"/>
        <w:outlineLvl w:val="2"/>
        <w:rPr>
          <w:rFonts w:hint="eastAsia" w:ascii="宋体" w:hAnsi="宋体" w:eastAsia="宋体" w:cs="宋体"/>
          <w:b/>
          <w:bCs/>
          <w:sz w:val="24"/>
          <w:szCs w:val="24"/>
          <w:lang w:eastAsia="zh-CN"/>
        </w:rPr>
      </w:pPr>
      <w:bookmarkStart w:id="746" w:name="_Toc497213838"/>
      <w:bookmarkStart w:id="747" w:name="_Toc489279973"/>
      <w:bookmarkStart w:id="748" w:name="_Toc189651502"/>
      <w:bookmarkStart w:id="749" w:name="_Toc486580162"/>
      <w:bookmarkStart w:id="750" w:name="_Toc490222607"/>
      <w:bookmarkStart w:id="751" w:name="_Toc117597593"/>
      <w:r>
        <w:rPr>
          <w:rFonts w:hint="eastAsia" w:ascii="宋体" w:hAnsi="宋体" w:eastAsia="宋体" w:cs="宋体"/>
          <w:b/>
          <w:bCs/>
          <w:sz w:val="24"/>
          <w:szCs w:val="24"/>
          <w:lang w:eastAsia="zh-CN"/>
        </w:rPr>
        <w:t>17.6  最终结清</w:t>
      </w:r>
      <w:bookmarkEnd w:id="746"/>
      <w:bookmarkEnd w:id="747"/>
      <w:bookmarkEnd w:id="748"/>
      <w:bookmarkEnd w:id="749"/>
      <w:bookmarkEnd w:id="750"/>
      <w:bookmarkEnd w:id="751"/>
    </w:p>
    <w:p w14:paraId="25247B5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17.6.1  最终结清申请单</w:t>
      </w:r>
    </w:p>
    <w:p w14:paraId="039CE64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（1）缺陷责任期终止证书签发后，承包人可按合同约定的份数和期限向监理人提交最终结清申请单，并提供相关证明材料。承包人提交最终结清申请单的份数和期限见合同条款专用部分。</w:t>
      </w:r>
    </w:p>
    <w:p w14:paraId="353B805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发包人向承包人支付质量保证金利息的，承包人应按照约定的利息计算方法计算利息，并列入最终结清申请单中。是否支付质量保证金利息及利息计算方法见合同条款专用部分。</w:t>
      </w:r>
    </w:p>
    <w:p w14:paraId="46B88E0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（2）发包人对最终结清申请单内容有异议的，有权要求承包人进行修正和提供补充资料，由承包人向监理人提交修正后的最终结清申请单。</w:t>
      </w:r>
    </w:p>
    <w:p w14:paraId="312DBAB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17.6.2  最终结清证书和支付时间</w:t>
      </w:r>
    </w:p>
    <w:p w14:paraId="426121A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监理人收到承包人提交的最终结清申请单后的14天内，提出发包人应支付给承包人的价款等审核意见，并报送发包人审核。发包人应在收到后14天内审核完毕，由监理人向承包人出具经发包人签认的最终结清证书。监理人未在约定时间内提出具体意见的，视为承包人提交的最终结清申请已经监理人核查同意；发包人未在约定时间内提出具体意见的，监理人提出应支付给承包人的价款视为已经发包人同意。</w:t>
      </w:r>
    </w:p>
    <w:p w14:paraId="2355B4D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（2）发包人应在监理人出具最终结清证书后的14天内，将应支付款支付给承包人。发包人不按期支付的，按第17.3.3（2）目的约定，将逾期付款违约金支付给承包人。</w:t>
      </w:r>
    </w:p>
    <w:p w14:paraId="2A07E23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（3）承包人对发包人签认的最终结清证书有异议的，按第24条“争议的解决”的约定办理。</w:t>
      </w:r>
    </w:p>
    <w:p w14:paraId="0B7E3BB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（4）最终结清付款涉及政府投资资金的，按第17.3.3（4）目的约定办理。</w:t>
      </w:r>
    </w:p>
    <w:p w14:paraId="04C585E5">
      <w:pPr>
        <w:keepNext/>
        <w:keepLines/>
        <w:spacing w:line="440" w:lineRule="exact"/>
        <w:ind w:firstLine="482" w:firstLineChars="200"/>
        <w:outlineLvl w:val="1"/>
        <w:rPr>
          <w:rFonts w:hint="eastAsia" w:ascii="宋体" w:hAnsi="宋体" w:eastAsia="宋体" w:cs="宋体"/>
          <w:b/>
          <w:bCs/>
          <w:sz w:val="24"/>
          <w:szCs w:val="24"/>
          <w:lang w:eastAsia="zh-CN"/>
        </w:rPr>
      </w:pPr>
      <w:bookmarkStart w:id="752" w:name="_Toc486580163"/>
      <w:bookmarkStart w:id="753" w:name="_Toc489279974"/>
      <w:bookmarkStart w:id="754" w:name="_Toc490222608"/>
      <w:bookmarkStart w:id="755" w:name="_Toc189651503"/>
      <w:bookmarkStart w:id="756" w:name="_Toc497213839"/>
      <w:bookmarkStart w:id="757" w:name="_Toc117597594"/>
      <w:r>
        <w:rPr>
          <w:rFonts w:hint="eastAsia" w:ascii="宋体" w:hAnsi="宋体" w:eastAsia="宋体" w:cs="宋体"/>
          <w:b/>
          <w:bCs/>
          <w:sz w:val="24"/>
          <w:szCs w:val="24"/>
          <w:lang w:eastAsia="zh-CN"/>
        </w:rPr>
        <w:t>18.竣工验收</w:t>
      </w:r>
      <w:bookmarkEnd w:id="752"/>
      <w:bookmarkEnd w:id="753"/>
      <w:bookmarkEnd w:id="754"/>
      <w:bookmarkEnd w:id="755"/>
      <w:bookmarkEnd w:id="756"/>
      <w:bookmarkEnd w:id="757"/>
    </w:p>
    <w:p w14:paraId="28AE4E53">
      <w:pPr>
        <w:keepNext/>
        <w:keepLines/>
        <w:spacing w:line="440" w:lineRule="exact"/>
        <w:ind w:firstLine="482" w:firstLineChars="200"/>
        <w:outlineLvl w:val="2"/>
        <w:rPr>
          <w:rFonts w:hint="eastAsia" w:ascii="宋体" w:hAnsi="宋体" w:eastAsia="宋体" w:cs="宋体"/>
          <w:b/>
          <w:bCs/>
          <w:sz w:val="24"/>
          <w:szCs w:val="24"/>
          <w:lang w:eastAsia="zh-CN"/>
        </w:rPr>
      </w:pPr>
      <w:bookmarkStart w:id="758" w:name="_Toc497213840"/>
      <w:bookmarkStart w:id="759" w:name="_Toc189651504"/>
      <w:bookmarkStart w:id="760" w:name="_Toc489279975"/>
      <w:bookmarkStart w:id="761" w:name="_Toc486580164"/>
      <w:bookmarkStart w:id="762" w:name="_Toc490222609"/>
      <w:bookmarkStart w:id="763" w:name="_Toc117597595"/>
      <w:r>
        <w:rPr>
          <w:rFonts w:hint="eastAsia" w:ascii="宋体" w:hAnsi="宋体" w:eastAsia="宋体" w:cs="宋体"/>
          <w:b/>
          <w:bCs/>
          <w:sz w:val="24"/>
          <w:szCs w:val="24"/>
          <w:lang w:eastAsia="zh-CN"/>
        </w:rPr>
        <w:t>18.1  竣工验收的含义</w:t>
      </w:r>
      <w:bookmarkEnd w:id="758"/>
      <w:bookmarkEnd w:id="759"/>
      <w:bookmarkEnd w:id="760"/>
      <w:bookmarkEnd w:id="761"/>
      <w:bookmarkEnd w:id="762"/>
      <w:bookmarkEnd w:id="763"/>
    </w:p>
    <w:p w14:paraId="41FF9F7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18.1.1  竣工验收指承包人完成了全部合同工作后，发包人按合同要求进行的验收。</w:t>
      </w:r>
    </w:p>
    <w:p w14:paraId="069585D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18.1.2  国家验收是政府有关部门根据法律、规范、规程和政策要求，针对发包人全面组织实施的整个工程正式交付投运前的验收。</w:t>
      </w:r>
    </w:p>
    <w:p w14:paraId="313CCC1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18.1.3  需要进行国家验收的，竣工验收是国家验收的一部分。竣工验收所采用的各项验收和评定标准应符合国家验收标准。发包人和承包人为竣工验收提供的各项竣工验收资料应符合国家验收的要求。 </w:t>
      </w:r>
    </w:p>
    <w:p w14:paraId="046D9A25">
      <w:pPr>
        <w:keepNext/>
        <w:keepLines/>
        <w:spacing w:line="440" w:lineRule="exact"/>
        <w:ind w:firstLine="482" w:firstLineChars="200"/>
        <w:outlineLvl w:val="2"/>
        <w:rPr>
          <w:rFonts w:hint="eastAsia" w:ascii="宋体" w:hAnsi="宋体" w:eastAsia="宋体" w:cs="宋体"/>
          <w:b/>
          <w:bCs/>
          <w:sz w:val="24"/>
          <w:szCs w:val="24"/>
          <w:lang w:eastAsia="zh-CN"/>
        </w:rPr>
      </w:pPr>
      <w:bookmarkStart w:id="764" w:name="_Toc489279976"/>
      <w:bookmarkStart w:id="765" w:name="_Toc117597596"/>
      <w:bookmarkStart w:id="766" w:name="_Toc486580165"/>
      <w:bookmarkStart w:id="767" w:name="_Toc189651505"/>
      <w:bookmarkStart w:id="768" w:name="_Toc490222610"/>
      <w:bookmarkStart w:id="769" w:name="_Toc497213841"/>
      <w:r>
        <w:rPr>
          <w:rFonts w:hint="eastAsia" w:ascii="宋体" w:hAnsi="宋体" w:eastAsia="宋体" w:cs="宋体"/>
          <w:b/>
          <w:bCs/>
          <w:sz w:val="24"/>
          <w:szCs w:val="24"/>
          <w:lang w:eastAsia="zh-CN"/>
        </w:rPr>
        <w:t>18.2  竣工验收申请报告</w:t>
      </w:r>
      <w:bookmarkEnd w:id="764"/>
      <w:bookmarkEnd w:id="765"/>
      <w:bookmarkEnd w:id="766"/>
      <w:bookmarkEnd w:id="767"/>
      <w:bookmarkEnd w:id="768"/>
      <w:bookmarkEnd w:id="769"/>
    </w:p>
    <w:p w14:paraId="7BBF3B7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当工程具备以下条件时，承包人即可向监理人报送竣工验收申请报告：</w:t>
      </w:r>
    </w:p>
    <w:p w14:paraId="7259C6C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（1）除监理人同意列入缺陷责任期内完成的尾工（甩项）工程和缺陷修补工作外，合同范围内的全部单位工程以及有关工作，包括合同要求的试验、试运行以及检验和验收均已完成，并符合合同要求。</w:t>
      </w:r>
    </w:p>
    <w:p w14:paraId="792CC70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承包人负责整理和提交的竣工验收资料应当符合工程所在地建设行政主管部门和（或）城市建设档案管理机构有关施工资料的要求，同时已按合同条款专用部分约定备齐了符合要求的竣工资料。竣工验收资料的内容和份数以及费用支付方式见合同条款专用部分。</w:t>
      </w:r>
    </w:p>
    <w:p w14:paraId="45DCD4B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（3）已按监理人的要求编制了在缺陷责任期内需完成的尾工（甩项）工程，和缺陷修补工作清单等相应施工计划。</w:t>
      </w:r>
    </w:p>
    <w:p w14:paraId="43D9B46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（4）监理人要求在竣工验收前应完成的其他工作。</w:t>
      </w:r>
    </w:p>
    <w:p w14:paraId="11EB465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（5）监理人要求提交的竣工验收资料清单。</w:t>
      </w:r>
    </w:p>
    <w:p w14:paraId="09F62670">
      <w:pPr>
        <w:keepNext/>
        <w:keepLines/>
        <w:spacing w:line="440" w:lineRule="exact"/>
        <w:ind w:firstLine="482" w:firstLineChars="200"/>
        <w:outlineLvl w:val="2"/>
        <w:rPr>
          <w:rFonts w:hint="eastAsia" w:ascii="宋体" w:hAnsi="宋体" w:eastAsia="宋体" w:cs="宋体"/>
          <w:b/>
          <w:bCs/>
          <w:sz w:val="24"/>
          <w:szCs w:val="24"/>
          <w:lang w:eastAsia="zh-CN"/>
        </w:rPr>
      </w:pPr>
      <w:bookmarkStart w:id="770" w:name="_Toc490222611"/>
      <w:bookmarkStart w:id="771" w:name="_Toc117597597"/>
      <w:bookmarkStart w:id="772" w:name="_Toc486580166"/>
      <w:bookmarkStart w:id="773" w:name="_Toc189651506"/>
      <w:bookmarkStart w:id="774" w:name="_Toc497213842"/>
      <w:bookmarkStart w:id="775" w:name="_Toc489279977"/>
      <w:r>
        <w:rPr>
          <w:rFonts w:hint="eastAsia" w:ascii="宋体" w:hAnsi="宋体" w:eastAsia="宋体" w:cs="宋体"/>
          <w:b/>
          <w:bCs/>
          <w:sz w:val="24"/>
          <w:szCs w:val="24"/>
          <w:lang w:eastAsia="zh-CN"/>
        </w:rPr>
        <w:t>18.3  验收</w:t>
      </w:r>
      <w:bookmarkEnd w:id="770"/>
      <w:bookmarkEnd w:id="771"/>
      <w:bookmarkEnd w:id="772"/>
      <w:bookmarkEnd w:id="773"/>
      <w:bookmarkEnd w:id="774"/>
      <w:bookmarkEnd w:id="775"/>
    </w:p>
    <w:p w14:paraId="432D5E5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监理人收到承包人按第18.2款约定提交的竣工验收申请报告后，应审查申请报告的各项内容，并按以下不同情况进行处理。</w:t>
      </w:r>
    </w:p>
    <w:p w14:paraId="3E883C2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18.3.1  监理人审查后认为尚不具备竣工验收条件的，应在收到竣工验收申请报告后的28天内通知承包人，并指出在颁发接收证书前承包人需进行的工作内容。承包人完成监理人通知的全部工作内容后，应再次提交竣工验收申请报告，直至监理人同意为止。</w:t>
      </w:r>
    </w:p>
    <w:p w14:paraId="0B780E7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18.3.2  监理人审查后认为已具备竣工验收条件的，应在收到竣工验收申请报告后的28天内提请发包人进行工程验收。</w:t>
      </w:r>
    </w:p>
    <w:p w14:paraId="17CEC4F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18.3.3  发包人经过验收后同意接受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72670F3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14:paraId="76C0C3B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18.3.5  经验收合格的工程, 实际竣工日期为承包人按照第18.2款提交竣工验收申请报告或按照本款重新提交竣工验收申请报告的日期（以两者中时间在后者为准）。</w:t>
      </w:r>
    </w:p>
    <w:p w14:paraId="5C214FF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18.3.6  发包人在收到承包人竣工验收申请报告56天后未进行验收的，视为验收合格，实际竣工日期以提交竣工验收申请报告的日期为准，但发包人由于不可抗力不能进行验收的除外。</w:t>
      </w:r>
    </w:p>
    <w:p w14:paraId="0505CD1E">
      <w:pPr>
        <w:keepNext/>
        <w:keepLines/>
        <w:spacing w:line="440" w:lineRule="exact"/>
        <w:ind w:firstLine="482" w:firstLineChars="200"/>
        <w:outlineLvl w:val="2"/>
        <w:rPr>
          <w:rFonts w:hint="eastAsia" w:ascii="宋体" w:hAnsi="宋体" w:eastAsia="宋体" w:cs="宋体"/>
          <w:b/>
          <w:bCs/>
          <w:sz w:val="24"/>
          <w:szCs w:val="24"/>
          <w:lang w:eastAsia="zh-CN"/>
        </w:rPr>
      </w:pPr>
      <w:bookmarkStart w:id="776" w:name="_Toc497213843"/>
      <w:bookmarkStart w:id="777" w:name="_Toc189651507"/>
      <w:bookmarkStart w:id="778" w:name="_Toc489279978"/>
      <w:bookmarkStart w:id="779" w:name="_Toc117597598"/>
      <w:bookmarkStart w:id="780" w:name="_Toc486580167"/>
      <w:bookmarkStart w:id="781" w:name="_Toc490222612"/>
      <w:r>
        <w:rPr>
          <w:rFonts w:hint="eastAsia" w:ascii="宋体" w:hAnsi="宋体" w:eastAsia="宋体" w:cs="宋体"/>
          <w:b/>
          <w:bCs/>
          <w:sz w:val="24"/>
          <w:szCs w:val="24"/>
          <w:lang w:eastAsia="zh-CN"/>
        </w:rPr>
        <w:t>18.4  单位工程验收</w:t>
      </w:r>
      <w:bookmarkEnd w:id="776"/>
      <w:bookmarkEnd w:id="777"/>
      <w:bookmarkEnd w:id="778"/>
      <w:bookmarkEnd w:id="779"/>
      <w:bookmarkEnd w:id="780"/>
      <w:bookmarkEnd w:id="781"/>
    </w:p>
    <w:p w14:paraId="4A9A9A3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18.4.1  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281B112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18.4.2  发包人在全部工程竣工前，使用已接收的单位工程导致承包人费用增加的，发包人应承担由此增加的费用和（或）工期延误，并支付承包人合理利润。</w:t>
      </w:r>
    </w:p>
    <w:p w14:paraId="316E424A">
      <w:pPr>
        <w:keepNext/>
        <w:keepLines/>
        <w:spacing w:line="440" w:lineRule="exact"/>
        <w:ind w:firstLine="482" w:firstLineChars="200"/>
        <w:outlineLvl w:val="2"/>
        <w:rPr>
          <w:rFonts w:hint="eastAsia" w:ascii="宋体" w:hAnsi="宋体" w:eastAsia="宋体" w:cs="宋体"/>
          <w:b/>
          <w:bCs/>
          <w:sz w:val="24"/>
          <w:szCs w:val="24"/>
          <w:lang w:eastAsia="zh-CN"/>
        </w:rPr>
      </w:pPr>
      <w:bookmarkStart w:id="782" w:name="_Toc489279979"/>
      <w:bookmarkStart w:id="783" w:name="_Toc497213844"/>
      <w:bookmarkStart w:id="784" w:name="_Toc490222613"/>
      <w:bookmarkStart w:id="785" w:name="_Toc117597599"/>
      <w:bookmarkStart w:id="786" w:name="_Toc486580168"/>
      <w:bookmarkStart w:id="787" w:name="_Toc189651508"/>
      <w:r>
        <w:rPr>
          <w:rFonts w:hint="eastAsia" w:ascii="宋体" w:hAnsi="宋体" w:eastAsia="宋体" w:cs="宋体"/>
          <w:b/>
          <w:bCs/>
          <w:sz w:val="24"/>
          <w:szCs w:val="24"/>
          <w:lang w:eastAsia="zh-CN"/>
        </w:rPr>
        <w:t>18.5  施工期运行</w:t>
      </w:r>
      <w:bookmarkEnd w:id="782"/>
      <w:bookmarkEnd w:id="783"/>
      <w:bookmarkEnd w:id="784"/>
      <w:bookmarkEnd w:id="785"/>
      <w:bookmarkEnd w:id="786"/>
      <w:bookmarkEnd w:id="787"/>
    </w:p>
    <w:p w14:paraId="6DF1D60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18.5.1  施工期运行是指合同工程尚未全部竣工，其中某项或某几项单位工程或工程设备安装已竣工，根据合同条款专用部分约定，需要投入施工期运行的，经发包人按第18.4款的约定验收合格，证明能确保安全后，才能在施工期投入运行。</w:t>
      </w:r>
    </w:p>
    <w:p w14:paraId="71AD309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18.5.2  在施工期运行中发现工程或工程设备损坏或存在缺陷的，由承包人按第19.2款约定进行修复。</w:t>
      </w:r>
    </w:p>
    <w:p w14:paraId="1C2D4375">
      <w:pPr>
        <w:keepNext/>
        <w:keepLines/>
        <w:spacing w:line="440" w:lineRule="exact"/>
        <w:ind w:firstLine="482" w:firstLineChars="200"/>
        <w:outlineLvl w:val="2"/>
        <w:rPr>
          <w:rFonts w:hint="eastAsia" w:ascii="宋体" w:hAnsi="宋体" w:eastAsia="宋体" w:cs="宋体"/>
          <w:b/>
          <w:bCs/>
          <w:sz w:val="24"/>
          <w:szCs w:val="24"/>
          <w:lang w:eastAsia="zh-CN"/>
        </w:rPr>
      </w:pPr>
      <w:bookmarkStart w:id="788" w:name="_Toc489279980"/>
      <w:bookmarkStart w:id="789" w:name="_Toc490222614"/>
      <w:bookmarkStart w:id="790" w:name="_Toc497213845"/>
      <w:bookmarkStart w:id="791" w:name="_Toc117597600"/>
      <w:bookmarkStart w:id="792" w:name="_Toc189651509"/>
      <w:bookmarkStart w:id="793" w:name="_Toc486580169"/>
      <w:r>
        <w:rPr>
          <w:rFonts w:hint="eastAsia" w:ascii="宋体" w:hAnsi="宋体" w:eastAsia="宋体" w:cs="宋体"/>
          <w:b/>
          <w:bCs/>
          <w:sz w:val="24"/>
          <w:szCs w:val="24"/>
          <w:lang w:eastAsia="zh-CN"/>
        </w:rPr>
        <w:t>18.6  试运行</w:t>
      </w:r>
      <w:bookmarkEnd w:id="788"/>
      <w:bookmarkEnd w:id="789"/>
      <w:bookmarkEnd w:id="790"/>
      <w:bookmarkEnd w:id="791"/>
      <w:bookmarkEnd w:id="792"/>
      <w:bookmarkEnd w:id="793"/>
    </w:p>
    <w:p w14:paraId="0F81A11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18.6.1  工程及工程设备试运行的组织与费用承担</w:t>
      </w:r>
    </w:p>
    <w:p w14:paraId="7B0CE08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（1）工程设备安装具备单机无负荷试运行条件，由承包人组织试运行，费用由承包人承担。</w:t>
      </w:r>
    </w:p>
    <w:p w14:paraId="380F066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（2）工程设备安装具备无负荷联动试运行条件，由发包人组织试运行，费用由发包人承担。</w:t>
      </w:r>
    </w:p>
    <w:p w14:paraId="337518B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（3）投料试运行应在工程竣工验收后由发包人负责，如发包人要求在工程竣工验收前进行或需要承包人配合时，应征得承包人同意，另行签订补充协议。</w:t>
      </w:r>
    </w:p>
    <w:p w14:paraId="2E4153D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1B3AE7AE">
      <w:pPr>
        <w:keepNext/>
        <w:keepLines/>
        <w:spacing w:line="440" w:lineRule="exact"/>
        <w:ind w:firstLine="482" w:firstLineChars="200"/>
        <w:outlineLvl w:val="2"/>
        <w:rPr>
          <w:rFonts w:hint="eastAsia" w:ascii="宋体" w:hAnsi="宋体" w:eastAsia="宋体" w:cs="宋体"/>
          <w:b/>
          <w:bCs/>
          <w:sz w:val="24"/>
          <w:szCs w:val="24"/>
          <w:lang w:eastAsia="zh-CN"/>
        </w:rPr>
      </w:pPr>
      <w:bookmarkStart w:id="794" w:name="_Toc489279981"/>
      <w:bookmarkStart w:id="795" w:name="_Toc117597601"/>
      <w:bookmarkStart w:id="796" w:name="_Toc486580170"/>
      <w:bookmarkStart w:id="797" w:name="_Toc189651510"/>
      <w:bookmarkStart w:id="798" w:name="_Toc490222615"/>
      <w:bookmarkStart w:id="799" w:name="_Toc497213846"/>
      <w:r>
        <w:rPr>
          <w:rFonts w:hint="eastAsia" w:ascii="宋体" w:hAnsi="宋体" w:eastAsia="宋体" w:cs="宋体"/>
          <w:b/>
          <w:bCs/>
          <w:sz w:val="24"/>
          <w:szCs w:val="24"/>
          <w:lang w:eastAsia="zh-CN"/>
        </w:rPr>
        <w:t>18.7  竣工清场</w:t>
      </w:r>
      <w:bookmarkEnd w:id="794"/>
      <w:bookmarkEnd w:id="795"/>
      <w:bookmarkEnd w:id="796"/>
      <w:bookmarkEnd w:id="797"/>
      <w:bookmarkEnd w:id="798"/>
      <w:bookmarkEnd w:id="799"/>
    </w:p>
    <w:p w14:paraId="3DD6C00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18.7.1  监理人颁发（出具）工程接收证书后，承包人负责按照以下要求对施工场地进行清理，直至监理人检验合格为止。竣工清场费用由承包人承担。</w:t>
      </w:r>
    </w:p>
    <w:p w14:paraId="729085E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（1）施工场地内残留的垃圾已全部清除出场；</w:t>
      </w:r>
    </w:p>
    <w:p w14:paraId="2D6E012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（2）临时工程已拆除，场地已按合同要求进行清理、平整或复原；</w:t>
      </w:r>
    </w:p>
    <w:p w14:paraId="70300AC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（3）按合同约定应撤离的承包人设备和剩余的材料，包括废弃的施工设备和材料，已按计划撤离施工场地；</w:t>
      </w:r>
    </w:p>
    <w:p w14:paraId="7E19DED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（4）工程建筑物周边及其附近道路、河道的施工堆积物，已按监理人指示全部清理；</w:t>
      </w:r>
    </w:p>
    <w:p w14:paraId="4187A03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（5）监理人指示的其他场地清理工作已全部完成。</w:t>
      </w:r>
    </w:p>
    <w:p w14:paraId="0B1A7FC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18.7.2  承包人未按监理人的要求恢复临时占地，或者场地清理未达到合同约定的，发包人有权委托其他人恢复或清理，所发生的金额从拟支付给承包人的款项中扣除。</w:t>
      </w:r>
    </w:p>
    <w:p w14:paraId="12A3C8D0">
      <w:pPr>
        <w:keepNext/>
        <w:keepLines/>
        <w:spacing w:line="440" w:lineRule="exact"/>
        <w:ind w:firstLine="482" w:firstLineChars="200"/>
        <w:outlineLvl w:val="2"/>
        <w:rPr>
          <w:rFonts w:hint="eastAsia" w:ascii="宋体" w:hAnsi="宋体" w:eastAsia="宋体" w:cs="宋体"/>
          <w:b/>
          <w:bCs/>
          <w:sz w:val="24"/>
          <w:szCs w:val="24"/>
          <w:lang w:eastAsia="zh-CN"/>
        </w:rPr>
      </w:pPr>
      <w:bookmarkStart w:id="800" w:name="_Toc497213847"/>
      <w:bookmarkStart w:id="801" w:name="_Toc486580171"/>
      <w:bookmarkStart w:id="802" w:name="_Toc189651511"/>
      <w:bookmarkStart w:id="803" w:name="_Toc490222616"/>
      <w:bookmarkStart w:id="804" w:name="_Toc117597602"/>
      <w:bookmarkStart w:id="805" w:name="_Toc489279982"/>
      <w:r>
        <w:rPr>
          <w:rFonts w:hint="eastAsia" w:ascii="宋体" w:hAnsi="宋体" w:eastAsia="宋体" w:cs="宋体"/>
          <w:b/>
          <w:bCs/>
          <w:sz w:val="24"/>
          <w:szCs w:val="24"/>
          <w:lang w:eastAsia="zh-CN"/>
        </w:rPr>
        <w:t>18.8  施工队伍的撤离</w:t>
      </w:r>
      <w:bookmarkEnd w:id="800"/>
      <w:bookmarkEnd w:id="801"/>
      <w:bookmarkEnd w:id="802"/>
      <w:bookmarkEnd w:id="803"/>
      <w:bookmarkEnd w:id="804"/>
      <w:bookmarkEnd w:id="805"/>
    </w:p>
    <w:p w14:paraId="305B81C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18.8.1  工程接收证书颁发后的56天内，除了经监理人同意需在缺陷责任期内继续工作和使用的人员、施工设备和临时工程外，其余的人员、施工设备和临时工程均应撤离施工场地或拆除。</w:t>
      </w:r>
    </w:p>
    <w:p w14:paraId="418F255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18.8.2  承包人撤离施工场地（现场）时，监理人和承包人应当办理永久工程和施工场地移交手续，移交手续以书面方式出具，并分别经过发包人、监理人和承包人的签认。但是，监理人和发包人未按第17.5.2项约定的期限办清竣工结算和竣工付款的，本工程不得交付使用，发包人和监理人也无权要求承包人按合同约定的期限撤离施工场地（现场）和办理工程移交手续。</w:t>
      </w:r>
    </w:p>
    <w:p w14:paraId="2B99016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18.8.3  缺陷责任期满时，承包人的人员和施工设备应在合同约定期限内全部撤离施工场地。撤离施工场地的期限要求见合同条款专用部分。</w:t>
      </w:r>
    </w:p>
    <w:p w14:paraId="27D6C09B">
      <w:pPr>
        <w:keepNext/>
        <w:keepLines/>
        <w:spacing w:line="440" w:lineRule="exact"/>
        <w:ind w:firstLine="482" w:firstLineChars="200"/>
        <w:outlineLvl w:val="2"/>
        <w:rPr>
          <w:rFonts w:hint="eastAsia" w:ascii="宋体" w:hAnsi="宋体" w:eastAsia="宋体" w:cs="宋体"/>
          <w:b/>
          <w:bCs/>
          <w:sz w:val="24"/>
          <w:szCs w:val="24"/>
          <w:lang w:eastAsia="zh-CN"/>
        </w:rPr>
      </w:pPr>
      <w:bookmarkStart w:id="806" w:name="_Toc490222617"/>
      <w:bookmarkStart w:id="807" w:name="_Toc189651512"/>
      <w:bookmarkStart w:id="808" w:name="_Toc489279983"/>
      <w:bookmarkStart w:id="809" w:name="_Toc497213848"/>
      <w:bookmarkStart w:id="810" w:name="_Toc117597603"/>
      <w:bookmarkStart w:id="811" w:name="_Toc486580172"/>
      <w:r>
        <w:rPr>
          <w:rFonts w:hint="eastAsia" w:ascii="宋体" w:hAnsi="宋体" w:eastAsia="宋体" w:cs="宋体"/>
          <w:b/>
          <w:bCs/>
          <w:sz w:val="24"/>
          <w:szCs w:val="24"/>
          <w:lang w:eastAsia="zh-CN"/>
        </w:rPr>
        <w:t>18.9  中间验收</w:t>
      </w:r>
      <w:bookmarkEnd w:id="806"/>
      <w:bookmarkEnd w:id="807"/>
      <w:bookmarkEnd w:id="808"/>
      <w:bookmarkEnd w:id="809"/>
      <w:bookmarkEnd w:id="810"/>
      <w:bookmarkEnd w:id="811"/>
    </w:p>
    <w:p w14:paraId="74A7B00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18.9.1  本工程需要按照合同约定进行中间验收。进行中间验收的部位见合同条款专用部分。</w:t>
      </w:r>
    </w:p>
    <w:p w14:paraId="601905C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18.9.2  当工程进度达到第18.9.1项约定的中间验收部位时，承包人应当进行自检，并在中间验收前48小时以书面形式通知监理人验收。书面通知应包括中间验收的内容、验收时间和地点。承包人应当准备验收记录。只有监理人验收合格并在验收记录上签字后，承包人方可继续施工。验收不合格的，承包人在合同约定的期限内修改后重新验收。重新验收的期限见合同条款专用部分。</w:t>
      </w:r>
    </w:p>
    <w:p w14:paraId="3B00CD6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18.9.3  监理人不能按时进行验收的，应在验收前至少24小时以书面形式向承包人提出延期要求，但延期不能超过48小时。监理人未能按本款约定的时限提出延期要求，又未按期进行验收的，承包人可自行组织验收，监理人必须认同验收记录。</w:t>
      </w:r>
    </w:p>
    <w:p w14:paraId="28D50E9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经监理人验收后工程质量符合约定的验收标准，但验收24小时后监理人仍不在验收记录上签字的，视为监理人已经认可验收记录，承包人可继续施工。</w:t>
      </w:r>
    </w:p>
    <w:p w14:paraId="109E4BDE">
      <w:pPr>
        <w:keepNext/>
        <w:keepLines/>
        <w:spacing w:line="440" w:lineRule="exact"/>
        <w:ind w:firstLine="482" w:firstLineChars="200"/>
        <w:outlineLvl w:val="1"/>
        <w:rPr>
          <w:rFonts w:hint="eastAsia" w:ascii="宋体" w:hAnsi="宋体" w:eastAsia="宋体" w:cs="宋体"/>
          <w:b/>
          <w:bCs/>
          <w:sz w:val="24"/>
          <w:szCs w:val="24"/>
          <w:lang w:eastAsia="zh-CN"/>
        </w:rPr>
      </w:pPr>
      <w:bookmarkStart w:id="812" w:name="_Toc117597604"/>
      <w:bookmarkStart w:id="813" w:name="_Toc497213849"/>
      <w:bookmarkStart w:id="814" w:name="_Toc486580173"/>
      <w:bookmarkStart w:id="815" w:name="_Toc189651513"/>
      <w:bookmarkStart w:id="816" w:name="_Toc490222618"/>
      <w:bookmarkStart w:id="817" w:name="_Toc489279984"/>
      <w:r>
        <w:rPr>
          <w:rFonts w:hint="eastAsia" w:ascii="宋体" w:hAnsi="宋体" w:eastAsia="宋体" w:cs="宋体"/>
          <w:b/>
          <w:bCs/>
          <w:sz w:val="24"/>
          <w:szCs w:val="24"/>
          <w:lang w:eastAsia="zh-CN"/>
        </w:rPr>
        <w:t>19.缺陷责任与保修责任</w:t>
      </w:r>
      <w:bookmarkEnd w:id="812"/>
      <w:bookmarkEnd w:id="813"/>
      <w:bookmarkEnd w:id="814"/>
      <w:bookmarkEnd w:id="815"/>
      <w:bookmarkEnd w:id="816"/>
      <w:bookmarkEnd w:id="817"/>
    </w:p>
    <w:p w14:paraId="23D14B48">
      <w:pPr>
        <w:keepNext/>
        <w:keepLines/>
        <w:spacing w:line="440" w:lineRule="exact"/>
        <w:ind w:firstLine="482" w:firstLineChars="200"/>
        <w:outlineLvl w:val="2"/>
        <w:rPr>
          <w:rFonts w:hint="eastAsia" w:ascii="宋体" w:hAnsi="宋体" w:eastAsia="宋体" w:cs="宋体"/>
          <w:b/>
          <w:bCs/>
          <w:sz w:val="24"/>
          <w:szCs w:val="24"/>
          <w:lang w:eastAsia="zh-CN"/>
        </w:rPr>
      </w:pPr>
      <w:bookmarkStart w:id="818" w:name="_Toc497213850"/>
      <w:bookmarkStart w:id="819" w:name="_Toc489279985"/>
      <w:bookmarkStart w:id="820" w:name="_Toc486580174"/>
      <w:bookmarkStart w:id="821" w:name="_Toc189651514"/>
      <w:bookmarkStart w:id="822" w:name="_Toc117597605"/>
      <w:bookmarkStart w:id="823" w:name="_Toc490222619"/>
      <w:r>
        <w:rPr>
          <w:rFonts w:hint="eastAsia" w:ascii="宋体" w:hAnsi="宋体" w:eastAsia="宋体" w:cs="宋体"/>
          <w:b/>
          <w:bCs/>
          <w:sz w:val="24"/>
          <w:szCs w:val="24"/>
          <w:lang w:eastAsia="zh-CN"/>
        </w:rPr>
        <w:t>19.1  缺陷责任期的起算时间</w:t>
      </w:r>
      <w:bookmarkEnd w:id="818"/>
      <w:bookmarkEnd w:id="819"/>
      <w:bookmarkEnd w:id="820"/>
      <w:bookmarkEnd w:id="821"/>
      <w:bookmarkEnd w:id="822"/>
      <w:bookmarkEnd w:id="823"/>
    </w:p>
    <w:p w14:paraId="2F41D58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缺陷责任期自实际竣工日期起计算。在全部工程竣工验收前，已经发包人提前验收的单位工程，其缺陷责任期的起算日期相应提前。</w:t>
      </w:r>
    </w:p>
    <w:p w14:paraId="0BA8B997">
      <w:pPr>
        <w:keepNext/>
        <w:keepLines/>
        <w:spacing w:line="440" w:lineRule="exact"/>
        <w:ind w:firstLine="482" w:firstLineChars="200"/>
        <w:outlineLvl w:val="2"/>
        <w:rPr>
          <w:rFonts w:hint="eastAsia" w:ascii="宋体" w:hAnsi="宋体" w:eastAsia="宋体" w:cs="宋体"/>
          <w:b/>
          <w:bCs/>
          <w:sz w:val="24"/>
          <w:szCs w:val="24"/>
          <w:lang w:eastAsia="zh-CN"/>
        </w:rPr>
      </w:pPr>
      <w:bookmarkStart w:id="824" w:name="_Toc497213851"/>
      <w:bookmarkStart w:id="825" w:name="_Toc486580175"/>
      <w:bookmarkStart w:id="826" w:name="_Toc189651515"/>
      <w:bookmarkStart w:id="827" w:name="_Toc490222620"/>
      <w:bookmarkStart w:id="828" w:name="_Toc117597606"/>
      <w:bookmarkStart w:id="829" w:name="_Toc489279986"/>
      <w:r>
        <w:rPr>
          <w:rFonts w:hint="eastAsia" w:ascii="宋体" w:hAnsi="宋体" w:eastAsia="宋体" w:cs="宋体"/>
          <w:b/>
          <w:bCs/>
          <w:sz w:val="24"/>
          <w:szCs w:val="24"/>
          <w:lang w:eastAsia="zh-CN"/>
        </w:rPr>
        <w:t>19.2  缺陷责任</w:t>
      </w:r>
      <w:bookmarkEnd w:id="824"/>
      <w:bookmarkEnd w:id="825"/>
      <w:bookmarkEnd w:id="826"/>
      <w:bookmarkEnd w:id="827"/>
      <w:bookmarkEnd w:id="828"/>
      <w:bookmarkEnd w:id="829"/>
    </w:p>
    <w:p w14:paraId="62E495C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19.2.1  承包人应在缺陷责任期内对已交付使用的工程承担缺陷责任。</w:t>
      </w:r>
    </w:p>
    <w:p w14:paraId="76527E1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55BBCB7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207953F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19.2.4  承包人不能在合理时间内修复缺陷的，发包人可自行修复或委托其他人修复，所需费用和利润的承担，按第19.2.3项约定办理。</w:t>
      </w:r>
    </w:p>
    <w:p w14:paraId="69982737">
      <w:pPr>
        <w:keepNext/>
        <w:keepLines/>
        <w:spacing w:line="440" w:lineRule="exact"/>
        <w:ind w:firstLine="482" w:firstLineChars="200"/>
        <w:outlineLvl w:val="2"/>
        <w:rPr>
          <w:rFonts w:hint="eastAsia" w:ascii="宋体" w:hAnsi="宋体" w:eastAsia="宋体" w:cs="宋体"/>
          <w:b/>
          <w:bCs/>
          <w:sz w:val="24"/>
          <w:szCs w:val="24"/>
          <w:lang w:eastAsia="zh-CN"/>
        </w:rPr>
      </w:pPr>
      <w:bookmarkStart w:id="830" w:name="_Toc189651516"/>
      <w:bookmarkStart w:id="831" w:name="_Toc117597607"/>
      <w:bookmarkStart w:id="832" w:name="_Toc489279987"/>
      <w:bookmarkStart w:id="833" w:name="_Toc486580176"/>
      <w:bookmarkStart w:id="834" w:name="_Toc490222621"/>
      <w:bookmarkStart w:id="835" w:name="_Toc497213852"/>
      <w:r>
        <w:rPr>
          <w:rFonts w:hint="eastAsia" w:ascii="宋体" w:hAnsi="宋体" w:eastAsia="宋体" w:cs="宋体"/>
          <w:b/>
          <w:bCs/>
          <w:sz w:val="24"/>
          <w:szCs w:val="24"/>
          <w:lang w:eastAsia="zh-CN"/>
        </w:rPr>
        <w:t>19.3  缺陷责任期的延长</w:t>
      </w:r>
      <w:bookmarkEnd w:id="830"/>
      <w:bookmarkEnd w:id="831"/>
      <w:bookmarkEnd w:id="832"/>
      <w:bookmarkEnd w:id="833"/>
      <w:bookmarkEnd w:id="834"/>
      <w:bookmarkEnd w:id="835"/>
    </w:p>
    <w:p w14:paraId="0D25510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由于承包人原因造成某项缺陷或损坏，使某项工程或工程设备不能按原定目标使用，需要再次检查、检验和修复的，发包人有权要求承包人相应延长缺陷责任期，但缺陷责任期最长不超过2年。</w:t>
      </w:r>
    </w:p>
    <w:p w14:paraId="6BA36B63">
      <w:pPr>
        <w:keepNext/>
        <w:keepLines/>
        <w:spacing w:line="440" w:lineRule="exact"/>
        <w:ind w:firstLine="482" w:firstLineChars="200"/>
        <w:outlineLvl w:val="2"/>
        <w:rPr>
          <w:rFonts w:hint="eastAsia" w:ascii="宋体" w:hAnsi="宋体" w:eastAsia="宋体" w:cs="宋体"/>
          <w:b/>
          <w:bCs/>
          <w:sz w:val="24"/>
          <w:szCs w:val="24"/>
          <w:lang w:eastAsia="zh-CN"/>
        </w:rPr>
      </w:pPr>
      <w:bookmarkStart w:id="836" w:name="_Toc117597608"/>
      <w:bookmarkStart w:id="837" w:name="_Toc490222622"/>
      <w:bookmarkStart w:id="838" w:name="_Toc189651517"/>
      <w:bookmarkStart w:id="839" w:name="_Toc486580177"/>
      <w:bookmarkStart w:id="840" w:name="_Toc489279988"/>
      <w:bookmarkStart w:id="841" w:name="_Toc497213853"/>
      <w:r>
        <w:rPr>
          <w:rFonts w:hint="eastAsia" w:ascii="宋体" w:hAnsi="宋体" w:eastAsia="宋体" w:cs="宋体"/>
          <w:b/>
          <w:bCs/>
          <w:sz w:val="24"/>
          <w:szCs w:val="24"/>
          <w:lang w:eastAsia="zh-CN"/>
        </w:rPr>
        <w:t>19.4  进一步试验和试运行</w:t>
      </w:r>
      <w:bookmarkEnd w:id="836"/>
      <w:bookmarkEnd w:id="837"/>
      <w:bookmarkEnd w:id="838"/>
      <w:bookmarkEnd w:id="839"/>
      <w:bookmarkEnd w:id="840"/>
      <w:bookmarkEnd w:id="841"/>
    </w:p>
    <w:p w14:paraId="775BA4F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任何一项缺陷或损坏修复后，经检查证明其影响了工程或工程设备的使用性能，承包人应重新进行合同约定的试验和试运行，试验和试运行的全部费用应由责任方承担。</w:t>
      </w:r>
    </w:p>
    <w:p w14:paraId="11D5204E">
      <w:pPr>
        <w:keepNext/>
        <w:keepLines/>
        <w:spacing w:line="440" w:lineRule="exact"/>
        <w:ind w:firstLine="482" w:firstLineChars="200"/>
        <w:outlineLvl w:val="2"/>
        <w:rPr>
          <w:rFonts w:hint="eastAsia" w:ascii="宋体" w:hAnsi="宋体" w:eastAsia="宋体" w:cs="宋体"/>
          <w:b/>
          <w:bCs/>
          <w:sz w:val="24"/>
          <w:szCs w:val="24"/>
          <w:lang w:eastAsia="zh-CN"/>
        </w:rPr>
      </w:pPr>
      <w:bookmarkStart w:id="842" w:name="_Toc490222623"/>
      <w:bookmarkStart w:id="843" w:name="_Toc117597609"/>
      <w:bookmarkStart w:id="844" w:name="_Toc489279989"/>
      <w:bookmarkStart w:id="845" w:name="_Toc189651518"/>
      <w:bookmarkStart w:id="846" w:name="_Toc486580178"/>
      <w:bookmarkStart w:id="847" w:name="_Toc497213854"/>
      <w:r>
        <w:rPr>
          <w:rFonts w:hint="eastAsia" w:ascii="宋体" w:hAnsi="宋体" w:eastAsia="宋体" w:cs="宋体"/>
          <w:b/>
          <w:bCs/>
          <w:sz w:val="24"/>
          <w:szCs w:val="24"/>
          <w:lang w:eastAsia="zh-CN"/>
        </w:rPr>
        <w:t>19.5  承包人的进入权</w:t>
      </w:r>
      <w:bookmarkEnd w:id="842"/>
      <w:bookmarkEnd w:id="843"/>
      <w:bookmarkEnd w:id="844"/>
      <w:bookmarkEnd w:id="845"/>
      <w:bookmarkEnd w:id="846"/>
      <w:bookmarkEnd w:id="847"/>
    </w:p>
    <w:p w14:paraId="3845123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缺陷责任期内承包人为缺陷修复工作需要，有权进入工程现场，但应遵守发包人的保安和保密规定。</w:t>
      </w:r>
    </w:p>
    <w:p w14:paraId="4CD7FB67">
      <w:pPr>
        <w:keepNext/>
        <w:keepLines/>
        <w:spacing w:line="440" w:lineRule="exact"/>
        <w:ind w:firstLine="482" w:firstLineChars="200"/>
        <w:outlineLvl w:val="2"/>
        <w:rPr>
          <w:rFonts w:hint="eastAsia" w:ascii="宋体" w:hAnsi="宋体" w:eastAsia="宋体" w:cs="宋体"/>
          <w:b/>
          <w:bCs/>
          <w:sz w:val="24"/>
          <w:szCs w:val="24"/>
          <w:lang w:eastAsia="zh-CN"/>
        </w:rPr>
      </w:pPr>
      <w:bookmarkStart w:id="848" w:name="_Toc117597610"/>
      <w:bookmarkStart w:id="849" w:name="_Toc489279990"/>
      <w:bookmarkStart w:id="850" w:name="_Toc189651519"/>
      <w:bookmarkStart w:id="851" w:name="_Toc486580179"/>
      <w:bookmarkStart w:id="852" w:name="_Toc490222624"/>
      <w:bookmarkStart w:id="853" w:name="_Toc497213855"/>
      <w:r>
        <w:rPr>
          <w:rFonts w:hint="eastAsia" w:ascii="宋体" w:hAnsi="宋体" w:eastAsia="宋体" w:cs="宋体"/>
          <w:b/>
          <w:bCs/>
          <w:sz w:val="24"/>
          <w:szCs w:val="24"/>
          <w:lang w:eastAsia="zh-CN"/>
        </w:rPr>
        <w:t>19.6  缺陷责任期终止证书</w:t>
      </w:r>
      <w:bookmarkEnd w:id="848"/>
      <w:bookmarkEnd w:id="849"/>
      <w:bookmarkEnd w:id="850"/>
      <w:bookmarkEnd w:id="851"/>
      <w:bookmarkEnd w:id="852"/>
      <w:bookmarkEnd w:id="853"/>
    </w:p>
    <w:p w14:paraId="14D4863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在第1.1.4.5目约定的缺陷责任期，包括根据第19.3款延长的期限终止后14天内，由监理人向承包人出具经发包人签认的缺陷责任期终止证书，并退还剩余的质量保证金或退还保函。</w:t>
      </w:r>
    </w:p>
    <w:p w14:paraId="382CF598">
      <w:pPr>
        <w:keepNext/>
        <w:keepLines/>
        <w:spacing w:line="440" w:lineRule="exact"/>
        <w:ind w:firstLine="482" w:firstLineChars="200"/>
        <w:outlineLvl w:val="2"/>
        <w:rPr>
          <w:rFonts w:hint="eastAsia" w:ascii="宋体" w:hAnsi="宋体" w:eastAsia="宋体" w:cs="宋体"/>
          <w:b/>
          <w:bCs/>
          <w:sz w:val="24"/>
          <w:szCs w:val="24"/>
          <w:lang w:eastAsia="zh-CN"/>
        </w:rPr>
      </w:pPr>
      <w:bookmarkStart w:id="854" w:name="_Toc117597611"/>
      <w:bookmarkStart w:id="855" w:name="_Toc489279991"/>
      <w:bookmarkStart w:id="856" w:name="_Toc486580180"/>
      <w:bookmarkStart w:id="857" w:name="_Toc497213856"/>
      <w:bookmarkStart w:id="858" w:name="_Toc490222625"/>
      <w:bookmarkStart w:id="859" w:name="_Toc189651520"/>
      <w:r>
        <w:rPr>
          <w:rFonts w:hint="eastAsia" w:ascii="宋体" w:hAnsi="宋体" w:eastAsia="宋体" w:cs="宋体"/>
          <w:b/>
          <w:bCs/>
          <w:sz w:val="24"/>
          <w:szCs w:val="24"/>
          <w:lang w:eastAsia="zh-CN"/>
        </w:rPr>
        <w:t>19.7  保修责任</w:t>
      </w:r>
      <w:bookmarkEnd w:id="854"/>
      <w:bookmarkEnd w:id="855"/>
      <w:bookmarkEnd w:id="856"/>
      <w:bookmarkEnd w:id="857"/>
      <w:bookmarkEnd w:id="858"/>
      <w:bookmarkEnd w:id="859"/>
    </w:p>
    <w:p w14:paraId="2FD6A25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19.7.1  合同当事人根据有关法律法规规定明确工程质量保修范围、期限和责任。保修期自实际竣工日期起计算。在全部工程竣工验收前，已经发包人提前验收的单位工程，其保修期的起算日期相应提前。工程质量保修范围、期限和责任见合同条款专用部分。</w:t>
      </w:r>
    </w:p>
    <w:p w14:paraId="581F6A9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19.7.2  质量保修书是竣工验收申请报告的组成内容。承包人应当按照有关法律法规规定和合同所附的格式出具质量保修书，质量保修书的主要内容应当与本款上述约定内容一致。承包人在递交合同条款第18.2款约定的竣工验收报告的同时，将质量保修书一并报送监理人。</w:t>
      </w:r>
    </w:p>
    <w:p w14:paraId="48498537">
      <w:pPr>
        <w:keepNext/>
        <w:keepLines/>
        <w:spacing w:line="440" w:lineRule="exact"/>
        <w:ind w:firstLine="482" w:firstLineChars="200"/>
        <w:outlineLvl w:val="1"/>
        <w:rPr>
          <w:rFonts w:hint="eastAsia" w:ascii="宋体" w:hAnsi="宋体" w:eastAsia="宋体" w:cs="宋体"/>
          <w:b/>
          <w:bCs/>
          <w:sz w:val="24"/>
          <w:szCs w:val="24"/>
          <w:lang w:eastAsia="zh-CN"/>
        </w:rPr>
      </w:pPr>
      <w:bookmarkStart w:id="860" w:name="_Toc117597612"/>
      <w:bookmarkStart w:id="861" w:name="_Toc486580181"/>
      <w:bookmarkStart w:id="862" w:name="_Toc189651521"/>
      <w:bookmarkStart w:id="863" w:name="_Toc490222626"/>
      <w:bookmarkStart w:id="864" w:name="_Toc489279992"/>
      <w:bookmarkStart w:id="865" w:name="_Toc497213857"/>
      <w:r>
        <w:rPr>
          <w:rFonts w:hint="eastAsia" w:ascii="宋体" w:hAnsi="宋体" w:eastAsia="宋体" w:cs="宋体"/>
          <w:b/>
          <w:bCs/>
          <w:sz w:val="24"/>
          <w:szCs w:val="24"/>
          <w:lang w:eastAsia="zh-CN"/>
        </w:rPr>
        <w:t>20.保险</w:t>
      </w:r>
      <w:bookmarkEnd w:id="860"/>
      <w:bookmarkEnd w:id="861"/>
      <w:bookmarkEnd w:id="862"/>
      <w:bookmarkEnd w:id="863"/>
      <w:bookmarkEnd w:id="864"/>
      <w:bookmarkEnd w:id="865"/>
    </w:p>
    <w:p w14:paraId="47885EB4">
      <w:pPr>
        <w:keepNext/>
        <w:keepLines/>
        <w:spacing w:line="440" w:lineRule="exact"/>
        <w:ind w:firstLine="482" w:firstLineChars="200"/>
        <w:outlineLvl w:val="2"/>
        <w:rPr>
          <w:rFonts w:hint="eastAsia" w:ascii="宋体" w:hAnsi="宋体" w:eastAsia="宋体" w:cs="宋体"/>
          <w:b/>
          <w:bCs/>
          <w:sz w:val="24"/>
          <w:szCs w:val="24"/>
          <w:lang w:eastAsia="zh-CN"/>
        </w:rPr>
      </w:pPr>
      <w:bookmarkStart w:id="866" w:name="_Toc117597613"/>
      <w:bookmarkStart w:id="867" w:name="_Toc490222627"/>
      <w:bookmarkStart w:id="868" w:name="_Toc189651522"/>
      <w:bookmarkStart w:id="869" w:name="_Toc497213858"/>
      <w:bookmarkStart w:id="870" w:name="_Toc489279993"/>
      <w:bookmarkStart w:id="871" w:name="_Toc486580182"/>
      <w:r>
        <w:rPr>
          <w:rFonts w:hint="eastAsia" w:ascii="宋体" w:hAnsi="宋体" w:eastAsia="宋体" w:cs="宋体"/>
          <w:b/>
          <w:bCs/>
          <w:sz w:val="24"/>
          <w:szCs w:val="24"/>
          <w:lang w:eastAsia="zh-CN"/>
        </w:rPr>
        <w:t>20.1  工程保险</w:t>
      </w:r>
      <w:bookmarkEnd w:id="866"/>
      <w:bookmarkEnd w:id="867"/>
      <w:bookmarkEnd w:id="868"/>
      <w:bookmarkEnd w:id="869"/>
      <w:bookmarkEnd w:id="870"/>
      <w:bookmarkEnd w:id="871"/>
    </w:p>
    <w:p w14:paraId="55A6036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承包人应以发包人和承包人的共同名义向双方同意的保险人投保建筑工程一切险、安装工程一切险。其具体的投保内容、保险金额、保险费率、保险期限等有关内容见合同条款专用部分。</w:t>
      </w:r>
    </w:p>
    <w:p w14:paraId="5CDE0C84">
      <w:pPr>
        <w:keepNext/>
        <w:keepLines/>
        <w:spacing w:line="440" w:lineRule="exact"/>
        <w:ind w:firstLine="482" w:firstLineChars="200"/>
        <w:outlineLvl w:val="2"/>
        <w:rPr>
          <w:rFonts w:hint="eastAsia" w:ascii="宋体" w:hAnsi="宋体" w:eastAsia="宋体" w:cs="宋体"/>
          <w:b/>
          <w:bCs/>
          <w:sz w:val="24"/>
          <w:szCs w:val="24"/>
          <w:lang w:eastAsia="zh-CN"/>
        </w:rPr>
      </w:pPr>
      <w:bookmarkStart w:id="872" w:name="_Toc489279994"/>
      <w:bookmarkStart w:id="873" w:name="_Toc117597614"/>
      <w:bookmarkStart w:id="874" w:name="_Toc497213859"/>
      <w:bookmarkStart w:id="875" w:name="_Toc490222628"/>
      <w:bookmarkStart w:id="876" w:name="_Toc189651523"/>
      <w:bookmarkStart w:id="877" w:name="_Toc486580183"/>
      <w:r>
        <w:rPr>
          <w:rFonts w:hint="eastAsia" w:ascii="宋体" w:hAnsi="宋体" w:eastAsia="宋体" w:cs="宋体"/>
          <w:b/>
          <w:bCs/>
          <w:sz w:val="24"/>
          <w:szCs w:val="24"/>
          <w:lang w:eastAsia="zh-CN"/>
        </w:rPr>
        <w:t>20.2  人员工伤事故的保险</w:t>
      </w:r>
      <w:bookmarkEnd w:id="872"/>
      <w:bookmarkEnd w:id="873"/>
      <w:bookmarkEnd w:id="874"/>
      <w:bookmarkEnd w:id="875"/>
      <w:bookmarkEnd w:id="876"/>
      <w:bookmarkEnd w:id="877"/>
    </w:p>
    <w:p w14:paraId="4D930C5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20.2.1  承包人员工伤事故的保险</w:t>
      </w:r>
    </w:p>
    <w:p w14:paraId="1D4CCD5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承包人应依照有关法律法规规定参加工伤保险，为其履行合同所雇佣的全部人员（包括专业分包人、劳务分包人使用的人员），在合同工程开工前应当一次性缴纳工伤保险费。承包人在工程分包计费时，不得再向分包人另行计提、划拨工伤保险费。</w:t>
      </w:r>
    </w:p>
    <w:p w14:paraId="266DEF0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（2）承包人工伤事故保险期限自合同工程开工之日起至合同终止之日止。</w:t>
      </w:r>
    </w:p>
    <w:p w14:paraId="62788FE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20.2.2  发包人员工伤事故的保险</w:t>
      </w:r>
    </w:p>
    <w:p w14:paraId="4635640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发包人应依照有关法律法规规定参加工伤保险，为其现场机构雇佣的全部人员，缴纳工伤保险费，并要求其监理人也进行此项保险。</w:t>
      </w:r>
    </w:p>
    <w:p w14:paraId="094AB1CB">
      <w:pPr>
        <w:keepNext/>
        <w:keepLines/>
        <w:spacing w:line="440" w:lineRule="exact"/>
        <w:ind w:firstLine="482" w:firstLineChars="200"/>
        <w:outlineLvl w:val="2"/>
        <w:rPr>
          <w:rFonts w:hint="eastAsia" w:ascii="宋体" w:hAnsi="宋体" w:eastAsia="宋体" w:cs="宋体"/>
          <w:b/>
          <w:bCs/>
          <w:sz w:val="24"/>
          <w:szCs w:val="24"/>
          <w:lang w:eastAsia="zh-CN"/>
        </w:rPr>
      </w:pPr>
      <w:bookmarkStart w:id="878" w:name="_Toc489279995"/>
      <w:bookmarkStart w:id="879" w:name="_Toc189651524"/>
      <w:bookmarkStart w:id="880" w:name="_Toc486580184"/>
      <w:bookmarkStart w:id="881" w:name="_Toc490222629"/>
      <w:bookmarkStart w:id="882" w:name="_Toc497213860"/>
      <w:bookmarkStart w:id="883" w:name="_Toc117597615"/>
      <w:r>
        <w:rPr>
          <w:rFonts w:hint="eastAsia" w:ascii="宋体" w:hAnsi="宋体" w:eastAsia="宋体" w:cs="宋体"/>
          <w:b/>
          <w:bCs/>
          <w:sz w:val="24"/>
          <w:szCs w:val="24"/>
          <w:lang w:eastAsia="zh-CN"/>
        </w:rPr>
        <w:t>20.3  人身意外伤害险</w:t>
      </w:r>
      <w:bookmarkEnd w:id="878"/>
      <w:bookmarkEnd w:id="879"/>
      <w:bookmarkEnd w:id="880"/>
      <w:bookmarkEnd w:id="881"/>
      <w:bookmarkEnd w:id="882"/>
      <w:bookmarkEnd w:id="883"/>
    </w:p>
    <w:p w14:paraId="11935F0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20.3.1  发包人应在整个施工期间为其现场机构雇用的全部人员，投保人身意外伤害险，缴纳保险费，并要求其监理人也进行此项保险。</w:t>
      </w:r>
    </w:p>
    <w:p w14:paraId="5DB1AF2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20.3.2  承包人应在整个施工期间为其现场机构雇用的全部人员，投保人身意外伤害险，缴纳保险费，并要求其分包人也进行此项保险。</w:t>
      </w:r>
    </w:p>
    <w:p w14:paraId="0498CDE0">
      <w:pPr>
        <w:keepNext/>
        <w:keepLines/>
        <w:spacing w:line="440" w:lineRule="exact"/>
        <w:ind w:firstLine="482" w:firstLineChars="200"/>
        <w:outlineLvl w:val="2"/>
        <w:rPr>
          <w:rFonts w:hint="eastAsia" w:ascii="宋体" w:hAnsi="宋体" w:eastAsia="宋体" w:cs="宋体"/>
          <w:b/>
          <w:bCs/>
          <w:sz w:val="24"/>
          <w:szCs w:val="24"/>
          <w:lang w:eastAsia="zh-CN"/>
        </w:rPr>
      </w:pPr>
      <w:bookmarkStart w:id="884" w:name="_Toc486580185"/>
      <w:bookmarkStart w:id="885" w:name="_Toc497213861"/>
      <w:bookmarkStart w:id="886" w:name="_Toc489279996"/>
      <w:bookmarkStart w:id="887" w:name="_Toc189651525"/>
      <w:bookmarkStart w:id="888" w:name="_Toc117597616"/>
      <w:bookmarkStart w:id="889" w:name="_Toc490222630"/>
      <w:r>
        <w:rPr>
          <w:rFonts w:hint="eastAsia" w:ascii="宋体" w:hAnsi="宋体" w:eastAsia="宋体" w:cs="宋体"/>
          <w:b/>
          <w:bCs/>
          <w:sz w:val="24"/>
          <w:szCs w:val="24"/>
          <w:lang w:eastAsia="zh-CN"/>
        </w:rPr>
        <w:t>20.4  第三者责任险</w:t>
      </w:r>
      <w:bookmarkEnd w:id="884"/>
      <w:bookmarkEnd w:id="885"/>
      <w:bookmarkEnd w:id="886"/>
      <w:bookmarkEnd w:id="887"/>
      <w:bookmarkEnd w:id="888"/>
      <w:bookmarkEnd w:id="889"/>
    </w:p>
    <w:p w14:paraId="751EBD0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3746874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20.4.2  在缺陷责任期终止证书颁发前，承包人应以承包人和发包人的共同名义，投保第20.4.1项约定的第三者责任险，其保险费率、保险金额、保险费承担人等有关内容见合同条款专用部分。</w:t>
      </w:r>
    </w:p>
    <w:p w14:paraId="27C10251">
      <w:pPr>
        <w:keepNext/>
        <w:keepLines/>
        <w:spacing w:line="440" w:lineRule="exact"/>
        <w:ind w:firstLine="482" w:firstLineChars="200"/>
        <w:outlineLvl w:val="2"/>
        <w:rPr>
          <w:rFonts w:hint="eastAsia" w:ascii="宋体" w:hAnsi="宋体" w:eastAsia="宋体" w:cs="宋体"/>
          <w:b/>
          <w:bCs/>
          <w:sz w:val="24"/>
          <w:szCs w:val="24"/>
          <w:lang w:eastAsia="zh-CN"/>
        </w:rPr>
      </w:pPr>
      <w:bookmarkStart w:id="890" w:name="_Toc490222631"/>
      <w:bookmarkStart w:id="891" w:name="_Toc486580186"/>
      <w:bookmarkStart w:id="892" w:name="_Toc497213862"/>
      <w:bookmarkStart w:id="893" w:name="_Toc189651526"/>
      <w:bookmarkStart w:id="894" w:name="_Toc489279997"/>
      <w:bookmarkStart w:id="895" w:name="_Toc117597617"/>
      <w:r>
        <w:rPr>
          <w:rFonts w:hint="eastAsia" w:ascii="宋体" w:hAnsi="宋体" w:eastAsia="宋体" w:cs="宋体"/>
          <w:b/>
          <w:bCs/>
          <w:sz w:val="24"/>
          <w:szCs w:val="24"/>
          <w:lang w:eastAsia="zh-CN"/>
        </w:rPr>
        <w:t>20.5  其他保险</w:t>
      </w:r>
      <w:bookmarkEnd w:id="890"/>
      <w:bookmarkEnd w:id="891"/>
      <w:bookmarkEnd w:id="892"/>
      <w:bookmarkEnd w:id="893"/>
      <w:bookmarkEnd w:id="894"/>
      <w:bookmarkEnd w:id="895"/>
    </w:p>
    <w:p w14:paraId="3282AE8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承包人应为其施工设备、进场的材料和工程设备等办理保险。办理保险的险种见合同条款专用部分。</w:t>
      </w:r>
    </w:p>
    <w:p w14:paraId="5A6D2C81">
      <w:pPr>
        <w:keepNext/>
        <w:keepLines/>
        <w:spacing w:line="440" w:lineRule="exact"/>
        <w:ind w:firstLine="482" w:firstLineChars="200"/>
        <w:outlineLvl w:val="2"/>
        <w:rPr>
          <w:rFonts w:hint="eastAsia" w:ascii="宋体" w:hAnsi="宋体" w:eastAsia="宋体" w:cs="宋体"/>
          <w:b/>
          <w:bCs/>
          <w:sz w:val="24"/>
          <w:szCs w:val="24"/>
          <w:lang w:eastAsia="zh-CN"/>
        </w:rPr>
      </w:pPr>
      <w:bookmarkStart w:id="896" w:name="_Toc486580187"/>
      <w:bookmarkStart w:id="897" w:name="_Toc497213863"/>
      <w:bookmarkStart w:id="898" w:name="_Toc117597618"/>
      <w:bookmarkStart w:id="899" w:name="_Toc189651527"/>
      <w:bookmarkStart w:id="900" w:name="_Toc490222632"/>
      <w:bookmarkStart w:id="901" w:name="_Toc489279998"/>
      <w:r>
        <w:rPr>
          <w:rFonts w:hint="eastAsia" w:ascii="宋体" w:hAnsi="宋体" w:eastAsia="宋体" w:cs="宋体"/>
          <w:b/>
          <w:bCs/>
          <w:sz w:val="24"/>
          <w:szCs w:val="24"/>
          <w:lang w:eastAsia="zh-CN"/>
        </w:rPr>
        <w:t>20.6  对各项保险的一般要求</w:t>
      </w:r>
      <w:bookmarkEnd w:id="896"/>
      <w:bookmarkEnd w:id="897"/>
      <w:bookmarkEnd w:id="898"/>
      <w:bookmarkEnd w:id="899"/>
      <w:bookmarkEnd w:id="900"/>
      <w:bookmarkEnd w:id="901"/>
    </w:p>
    <w:p w14:paraId="2951400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20.6.1  保险凭证</w:t>
      </w:r>
    </w:p>
    <w:p w14:paraId="2D13483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承包人应在合同约定的期限内向发包人提交各项保险生效的证据和保险单副本，保险单必须与合同约定的条件保持一致。各项保险生效的证据和保险单副本的期限见合同条款专用部分。</w:t>
      </w:r>
    </w:p>
    <w:p w14:paraId="57C5DB0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20.6.2  保险合同条款的变动</w:t>
      </w:r>
    </w:p>
    <w:p w14:paraId="5C70FAE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承包人需要变动保险合同条款时，应事先征得发包人同意，并通知监理人。保险人作出变动的，承包人应在收到保险人通知后立即通知发包人和监理人。</w:t>
      </w:r>
    </w:p>
    <w:p w14:paraId="75565BD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20.6.3  持续保险</w:t>
      </w:r>
    </w:p>
    <w:p w14:paraId="0D0D29F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承包人应与保险人保持联系，使保险人能够随时了解工程实施中的变动，并确保按保险合同条款要求持续保险。</w:t>
      </w:r>
    </w:p>
    <w:p w14:paraId="4D105FE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20.6.4  保险金不足的补偿</w:t>
      </w:r>
    </w:p>
    <w:p w14:paraId="083C9D2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保险金不足以补偿损失的，应由承包人和（或）发包人按合同约定负责补偿。保险金不足的补偿原则见合同条款专用部分。</w:t>
      </w:r>
    </w:p>
    <w:p w14:paraId="1864BDE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20.6.5  未按约定投保的补救</w:t>
      </w:r>
    </w:p>
    <w:p w14:paraId="6BD6024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（1）由于负有投保义务的一方当事人未按合同约定办理保险，或未能使保险持续有效的，另一方当事人可代为办理，所需费用由对方当事人承担。</w:t>
      </w:r>
    </w:p>
    <w:p w14:paraId="0C2198C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（2）由于负有投保义务的一方当事人未按合同约定办理某项保险，导致受益人未能得到保险人的赔偿，原应从该项保险得到的保险金应由负有投保义务的一方当事人支付。</w:t>
      </w:r>
    </w:p>
    <w:p w14:paraId="7FEF25C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20.6.6  报告义务</w:t>
      </w:r>
    </w:p>
    <w:p w14:paraId="1488CCB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当保险事故发生时，投保人应按照保险单规定的条件和期限及时向保险人报告。</w:t>
      </w:r>
    </w:p>
    <w:p w14:paraId="5F231DF0">
      <w:pPr>
        <w:keepNext/>
        <w:keepLines/>
        <w:spacing w:line="440" w:lineRule="exact"/>
        <w:ind w:firstLine="482" w:firstLineChars="200"/>
        <w:outlineLvl w:val="1"/>
        <w:rPr>
          <w:rFonts w:hint="eastAsia" w:ascii="宋体" w:hAnsi="宋体" w:eastAsia="宋体" w:cs="宋体"/>
          <w:b/>
          <w:bCs/>
          <w:sz w:val="24"/>
          <w:szCs w:val="24"/>
          <w:lang w:eastAsia="zh-CN"/>
        </w:rPr>
      </w:pPr>
      <w:bookmarkStart w:id="902" w:name="_Toc189651528"/>
      <w:bookmarkStart w:id="903" w:name="_Toc489279999"/>
      <w:bookmarkStart w:id="904" w:name="_Toc490222633"/>
      <w:bookmarkStart w:id="905" w:name="_Toc497213864"/>
      <w:bookmarkStart w:id="906" w:name="_Toc117597619"/>
      <w:bookmarkStart w:id="907" w:name="_Toc486580188"/>
      <w:r>
        <w:rPr>
          <w:rFonts w:hint="eastAsia" w:ascii="宋体" w:hAnsi="宋体" w:eastAsia="宋体" w:cs="宋体"/>
          <w:b/>
          <w:bCs/>
          <w:sz w:val="24"/>
          <w:szCs w:val="24"/>
          <w:lang w:eastAsia="zh-CN"/>
        </w:rPr>
        <w:t>21.不可抗力</w:t>
      </w:r>
      <w:bookmarkEnd w:id="902"/>
      <w:bookmarkEnd w:id="903"/>
      <w:bookmarkEnd w:id="904"/>
      <w:bookmarkEnd w:id="905"/>
      <w:bookmarkEnd w:id="906"/>
      <w:bookmarkEnd w:id="907"/>
    </w:p>
    <w:p w14:paraId="614071A1">
      <w:pPr>
        <w:keepNext/>
        <w:keepLines/>
        <w:spacing w:line="440" w:lineRule="exact"/>
        <w:ind w:firstLine="482" w:firstLineChars="200"/>
        <w:outlineLvl w:val="2"/>
        <w:rPr>
          <w:rFonts w:hint="eastAsia" w:ascii="宋体" w:hAnsi="宋体" w:eastAsia="宋体" w:cs="宋体"/>
          <w:b/>
          <w:bCs/>
          <w:sz w:val="24"/>
          <w:szCs w:val="24"/>
          <w:lang w:eastAsia="zh-CN"/>
        </w:rPr>
      </w:pPr>
      <w:bookmarkStart w:id="908" w:name="_Toc497213865"/>
      <w:bookmarkStart w:id="909" w:name="_Toc486580189"/>
      <w:bookmarkStart w:id="910" w:name="_Toc489280000"/>
      <w:bookmarkStart w:id="911" w:name="_Toc189651529"/>
      <w:bookmarkStart w:id="912" w:name="_Toc117597620"/>
      <w:bookmarkStart w:id="913" w:name="_Toc490222634"/>
      <w:r>
        <w:rPr>
          <w:rFonts w:hint="eastAsia" w:ascii="宋体" w:hAnsi="宋体" w:eastAsia="宋体" w:cs="宋体"/>
          <w:b/>
          <w:bCs/>
          <w:sz w:val="24"/>
          <w:szCs w:val="24"/>
          <w:lang w:eastAsia="zh-CN"/>
        </w:rPr>
        <w:t>21.1  不可抗力的确认</w:t>
      </w:r>
      <w:bookmarkEnd w:id="908"/>
      <w:bookmarkEnd w:id="909"/>
      <w:bookmarkEnd w:id="910"/>
      <w:bookmarkEnd w:id="911"/>
      <w:bookmarkEnd w:id="912"/>
      <w:bookmarkEnd w:id="913"/>
    </w:p>
    <w:p w14:paraId="0054077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21.1.1  不可抗力是指承包人和发包人在订立合同时不可预见，在工程施工过程中不可避免发生并不能克服的自然灾害和社会性突发事件，如地震、海啸、瘟疫、水灾、骚乱、暴动、战争和合同约定的其他情形。其他情形见合同条款专用部分。</w:t>
      </w:r>
    </w:p>
    <w:p w14:paraId="32AFB2E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1970259D">
      <w:pPr>
        <w:keepNext/>
        <w:keepLines/>
        <w:spacing w:line="440" w:lineRule="exact"/>
        <w:ind w:firstLine="480" w:firstLineChars="200"/>
        <w:outlineLvl w:val="2"/>
        <w:rPr>
          <w:rFonts w:hint="eastAsia" w:ascii="宋体" w:hAnsi="宋体" w:eastAsia="宋体" w:cs="宋体"/>
          <w:sz w:val="24"/>
          <w:szCs w:val="24"/>
          <w:lang w:eastAsia="zh-CN"/>
        </w:rPr>
      </w:pPr>
      <w:bookmarkStart w:id="914" w:name="_Toc489280001"/>
      <w:bookmarkStart w:id="915" w:name="_Toc189651530"/>
      <w:bookmarkStart w:id="916" w:name="_Toc497213866"/>
      <w:bookmarkStart w:id="917" w:name="_Toc117597621"/>
      <w:bookmarkStart w:id="918" w:name="_Toc490222635"/>
      <w:bookmarkStart w:id="919" w:name="_Toc486580190"/>
      <w:r>
        <w:rPr>
          <w:rFonts w:hint="eastAsia" w:ascii="宋体" w:hAnsi="宋体" w:eastAsia="宋体" w:cs="宋体"/>
          <w:sz w:val="24"/>
          <w:szCs w:val="24"/>
          <w:lang w:eastAsia="zh-CN"/>
        </w:rPr>
        <w:t>21.2  不可抗力的通知</w:t>
      </w:r>
      <w:bookmarkEnd w:id="914"/>
      <w:bookmarkEnd w:id="915"/>
      <w:bookmarkEnd w:id="916"/>
      <w:bookmarkEnd w:id="917"/>
      <w:bookmarkEnd w:id="918"/>
      <w:bookmarkEnd w:id="919"/>
    </w:p>
    <w:p w14:paraId="7E5FAF0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21.2.1  合同一方当事人遇到不可抗力事件，使其履行合同义务受到阻碍时，应立即通知合同另一方当事人和监理人，书面说明不可抗力和受阻碍的详细情况，并提供必要的证明。</w:t>
      </w:r>
    </w:p>
    <w:p w14:paraId="37CAAC2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21.2.2  如不可抗力持续发生，合同一方当事人应及时向合同另一方当事人和监理人提交中间报告，说明不可抗力和履行合同受阻的情况，并于不可抗力事件结束后28天内提交最终报告及有关资料。</w:t>
      </w:r>
    </w:p>
    <w:p w14:paraId="753C5EAA">
      <w:pPr>
        <w:keepNext/>
        <w:keepLines/>
        <w:spacing w:line="440" w:lineRule="exact"/>
        <w:ind w:firstLine="482" w:firstLineChars="200"/>
        <w:outlineLvl w:val="2"/>
        <w:rPr>
          <w:rFonts w:hint="eastAsia" w:ascii="宋体" w:hAnsi="宋体" w:eastAsia="宋体" w:cs="宋体"/>
          <w:b/>
          <w:bCs/>
          <w:sz w:val="24"/>
          <w:szCs w:val="24"/>
          <w:lang w:eastAsia="zh-CN"/>
        </w:rPr>
      </w:pPr>
      <w:bookmarkStart w:id="920" w:name="_Toc490222636"/>
      <w:bookmarkStart w:id="921" w:name="_Toc117597622"/>
      <w:bookmarkStart w:id="922" w:name="_Toc497213867"/>
      <w:bookmarkStart w:id="923" w:name="_Toc486580191"/>
      <w:bookmarkStart w:id="924" w:name="_Toc489280002"/>
      <w:bookmarkStart w:id="925" w:name="_Toc189651531"/>
      <w:r>
        <w:rPr>
          <w:rFonts w:hint="eastAsia" w:ascii="宋体" w:hAnsi="宋体" w:eastAsia="宋体" w:cs="宋体"/>
          <w:b/>
          <w:bCs/>
          <w:sz w:val="24"/>
          <w:szCs w:val="24"/>
          <w:lang w:eastAsia="zh-CN"/>
        </w:rPr>
        <w:t>21.3  不可抗力后果及其处理</w:t>
      </w:r>
      <w:bookmarkEnd w:id="920"/>
      <w:bookmarkEnd w:id="921"/>
      <w:bookmarkEnd w:id="922"/>
      <w:bookmarkEnd w:id="923"/>
      <w:bookmarkEnd w:id="924"/>
      <w:bookmarkEnd w:id="925"/>
    </w:p>
    <w:p w14:paraId="2808869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21.3.1  不可抗力造成损害的责任</w:t>
      </w:r>
    </w:p>
    <w:p w14:paraId="6A1EFDE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不可抗力导致的人员伤亡、财产损失、费用增加和（或）工期延误等后果，由合同双方按以下原则承担： </w:t>
      </w:r>
    </w:p>
    <w:p w14:paraId="41FE8A1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（1）永久工程，包括已运至施工场地的材料和工程设备的损害，以及因工程损害造成的第三者人员伤亡和财产损失由发包人承担；</w:t>
      </w:r>
    </w:p>
    <w:p w14:paraId="5D0456A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（2）承包人设备的损坏由承包人承担；</w:t>
      </w:r>
    </w:p>
    <w:p w14:paraId="0A7DAE7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（3）发包人和承包人各自承担其人员伤亡和其他财产损失及其相关费用；</w:t>
      </w:r>
    </w:p>
    <w:p w14:paraId="129A1A7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（4）承包人的停工损失由承包人承担，但停工期间应监理人要求照管工程和清理、修复工程的金额由发包人承担；</w:t>
      </w:r>
    </w:p>
    <w:p w14:paraId="3CF612E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（5）不能按期竣工的，应合理延长工期，承包人不需支付逾期竣工违约金。发包人要求赶工的，承包人应采取赶工措施，赶工费用由发包人承担。</w:t>
      </w:r>
    </w:p>
    <w:p w14:paraId="474039A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21.3.2  延迟履行期间发生的不可抗力</w:t>
      </w:r>
    </w:p>
    <w:p w14:paraId="05F0A0A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合同一方当事人延迟履行，在延迟履行期间发生不可抗力的，不免除其责任。</w:t>
      </w:r>
    </w:p>
    <w:p w14:paraId="7B50BAA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21.3.3  避免和减少不可抗力损失</w:t>
      </w:r>
    </w:p>
    <w:p w14:paraId="63148BA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不可抗力发生后，发包人和承包人均应采取措施尽量避免和减少损失的扩大，任何一方没有采取有效措施导致损失扩大的，应对扩大的损失承担责任。</w:t>
      </w:r>
    </w:p>
    <w:p w14:paraId="263E658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21.3.4  因不可抗力解除合同</w:t>
      </w:r>
    </w:p>
    <w:p w14:paraId="42C8C58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2B4F9B33">
      <w:pPr>
        <w:keepNext/>
        <w:keepLines/>
        <w:spacing w:line="440" w:lineRule="exact"/>
        <w:ind w:firstLine="482" w:firstLineChars="200"/>
        <w:outlineLvl w:val="1"/>
        <w:rPr>
          <w:rFonts w:hint="eastAsia" w:ascii="宋体" w:hAnsi="宋体" w:eastAsia="宋体" w:cs="宋体"/>
          <w:b/>
          <w:bCs/>
          <w:sz w:val="24"/>
          <w:szCs w:val="24"/>
          <w:lang w:eastAsia="zh-CN"/>
        </w:rPr>
      </w:pPr>
      <w:bookmarkStart w:id="926" w:name="_Toc189651532"/>
      <w:bookmarkStart w:id="927" w:name="_Toc486580192"/>
      <w:bookmarkStart w:id="928" w:name="_Toc117597623"/>
      <w:bookmarkStart w:id="929" w:name="_Toc497213868"/>
      <w:bookmarkStart w:id="930" w:name="_Toc489280003"/>
      <w:bookmarkStart w:id="931" w:name="_Toc490222637"/>
      <w:r>
        <w:rPr>
          <w:rFonts w:hint="eastAsia" w:ascii="宋体" w:hAnsi="宋体" w:eastAsia="宋体" w:cs="宋体"/>
          <w:b/>
          <w:bCs/>
          <w:sz w:val="24"/>
          <w:szCs w:val="24"/>
          <w:lang w:eastAsia="zh-CN"/>
        </w:rPr>
        <w:t>22.违约</w:t>
      </w:r>
      <w:bookmarkEnd w:id="926"/>
      <w:bookmarkEnd w:id="927"/>
      <w:bookmarkEnd w:id="928"/>
      <w:bookmarkEnd w:id="929"/>
      <w:bookmarkEnd w:id="930"/>
      <w:bookmarkEnd w:id="931"/>
    </w:p>
    <w:p w14:paraId="2801B95D">
      <w:pPr>
        <w:keepNext/>
        <w:keepLines/>
        <w:spacing w:line="440" w:lineRule="exact"/>
        <w:ind w:firstLine="482" w:firstLineChars="200"/>
        <w:outlineLvl w:val="2"/>
        <w:rPr>
          <w:rFonts w:hint="eastAsia" w:ascii="宋体" w:hAnsi="宋体" w:eastAsia="宋体" w:cs="宋体"/>
          <w:b/>
          <w:bCs/>
          <w:sz w:val="24"/>
          <w:szCs w:val="24"/>
          <w:lang w:eastAsia="zh-CN"/>
        </w:rPr>
      </w:pPr>
      <w:bookmarkStart w:id="932" w:name="_Toc486580193"/>
      <w:bookmarkStart w:id="933" w:name="_Toc489280004"/>
      <w:bookmarkStart w:id="934" w:name="_Toc497213869"/>
      <w:bookmarkStart w:id="935" w:name="_Toc117597624"/>
      <w:bookmarkStart w:id="936" w:name="_Toc189651533"/>
      <w:bookmarkStart w:id="937" w:name="_Toc490222638"/>
      <w:r>
        <w:rPr>
          <w:rFonts w:hint="eastAsia" w:ascii="宋体" w:hAnsi="宋体" w:eastAsia="宋体" w:cs="宋体"/>
          <w:b/>
          <w:bCs/>
          <w:sz w:val="24"/>
          <w:szCs w:val="24"/>
          <w:lang w:eastAsia="zh-CN"/>
        </w:rPr>
        <w:t>22.1  承包人违约</w:t>
      </w:r>
      <w:bookmarkEnd w:id="932"/>
      <w:bookmarkEnd w:id="933"/>
      <w:bookmarkEnd w:id="934"/>
      <w:bookmarkEnd w:id="935"/>
      <w:bookmarkEnd w:id="936"/>
      <w:bookmarkEnd w:id="937"/>
    </w:p>
    <w:p w14:paraId="6530E35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22.1.1  承包人违约的情形</w:t>
      </w:r>
    </w:p>
    <w:p w14:paraId="1F8EC0E0">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在履行合同过程中发生的下列情况属承包人违约：</w:t>
      </w:r>
    </w:p>
    <w:p w14:paraId="428A084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（1）承包人违反第1.8款或第4.3款的约定，私自将合同的全部或部分权利转让给其他人，或私自将合同的全部或部分义务转移给其他人；</w:t>
      </w:r>
    </w:p>
    <w:p w14:paraId="446D2AE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（2）承包人违反第5.3款或第6.4款的约定，未经监理人批准，私自将已按合同约定进入施工场地的施工设备、临时设施或材料撤离施工场地；</w:t>
      </w:r>
    </w:p>
    <w:p w14:paraId="2B14550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（3）承包人违反第5.4款的约定使用了不合格材料或工程设备，工程质量达不到标准要求，又拒绝清除不合格工程；</w:t>
      </w:r>
    </w:p>
    <w:p w14:paraId="460E0D2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（4）承包人未能按合同进度计划及时完成合同约定的工作，已造成或预期造成工期延误；</w:t>
      </w:r>
    </w:p>
    <w:p w14:paraId="241CADA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（5）承包人在缺陷责任期内，未能对工程接收证书所列的缺陷清单的内容或缺陷责任期内发生的缺陷进行修复，而又拒绝按监理人指示再进行修补；</w:t>
      </w:r>
    </w:p>
    <w:p w14:paraId="7B3E908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（6）承包人无法继续履行或明确表示不履行或实质上已停止履行合同；</w:t>
      </w:r>
    </w:p>
    <w:p w14:paraId="2A3B28A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（7）承包人不按合同约定履行义务的其他情况。</w:t>
      </w:r>
    </w:p>
    <w:p w14:paraId="3A92EBD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22.1.2  对承包人违约的处理</w:t>
      </w:r>
    </w:p>
    <w:p w14:paraId="316DEC19">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（1）承包人发生第22.1.1（6）目约定的违约情况时，发包人可通知承包人立即解除合同，并按有关法律处理。</w:t>
      </w:r>
    </w:p>
    <w:p w14:paraId="61074AE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（2）承包人发生除第22.1.1（6）目约定以外的其他违约情况时，监理人可向承包人发出整改通知，要求其在指定的期限内改正。承包人应承担其违约所引起的费用增加和（或）工期延误。</w:t>
      </w:r>
    </w:p>
    <w:p w14:paraId="6FD084B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（3）经检查证明承包人已采取了有效措施纠正违约行为，具备复工条件的，可由监理人签发复工通知复工。</w:t>
      </w:r>
    </w:p>
    <w:p w14:paraId="2D8108D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22.1.3  承包人违约解除合同</w:t>
      </w:r>
    </w:p>
    <w:p w14:paraId="4A3C491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05CDBBC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22.1.4  合同解除后的估价、付款和结清</w:t>
      </w:r>
    </w:p>
    <w:p w14:paraId="40AA47E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（1）合同解除后，监理人按第3.5款商定或确定承包人实际完成工作的价值，以及承包人已提供的材料、施工设备、工程设备和临时工程等的价值。 </w:t>
      </w:r>
    </w:p>
    <w:p w14:paraId="5F95CEC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（2）合同解除后，发包人应暂停对承包人的一切付款，查清各项付款和已扣款金额，包括承包人应支付的违约金。 </w:t>
      </w:r>
    </w:p>
    <w:p w14:paraId="112B4C7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（3）合同解除后，发包人应按第23.4款的约定向承包人索赔由于解除合同给发包人造成的损失。</w:t>
      </w:r>
    </w:p>
    <w:p w14:paraId="452046D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（4）合同双方确认上述往来款项后，出具最终结清付款证书，结清全部合同款项。</w:t>
      </w:r>
    </w:p>
    <w:p w14:paraId="024AA45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（5）发包人和承包人未能就解除合同后的结清达成一致而形成争议的，按第24条的约定办理。</w:t>
      </w:r>
    </w:p>
    <w:p w14:paraId="049039B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22.1.5  协议利益的转让</w:t>
      </w:r>
    </w:p>
    <w:p w14:paraId="2C03B2B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因承包人违约解除合同的，发包人有权要求承包人将其为实施合同而签订的材料和设备的订货协议或任何服务协议利益转让给发包人，并在解除合同后的14天内，依法办理转让手续。 </w:t>
      </w:r>
    </w:p>
    <w:p w14:paraId="24ED24D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22.1.6  紧急情况下无能力或不愿进行抢救</w:t>
      </w:r>
    </w:p>
    <w:p w14:paraId="38AC1AE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3D91AFC1">
      <w:pPr>
        <w:keepNext/>
        <w:keepLines/>
        <w:spacing w:line="440" w:lineRule="exact"/>
        <w:ind w:firstLine="482" w:firstLineChars="200"/>
        <w:outlineLvl w:val="2"/>
        <w:rPr>
          <w:rFonts w:hint="eastAsia" w:ascii="宋体" w:hAnsi="宋体" w:eastAsia="宋体" w:cs="宋体"/>
          <w:b/>
          <w:bCs/>
          <w:sz w:val="24"/>
          <w:szCs w:val="24"/>
          <w:lang w:eastAsia="zh-CN"/>
        </w:rPr>
      </w:pPr>
      <w:bookmarkStart w:id="938" w:name="_Toc497213870"/>
      <w:bookmarkStart w:id="939" w:name="_Toc117597625"/>
      <w:bookmarkStart w:id="940" w:name="_Toc486580194"/>
      <w:bookmarkStart w:id="941" w:name="_Toc490222639"/>
      <w:bookmarkStart w:id="942" w:name="_Toc489280005"/>
      <w:bookmarkStart w:id="943" w:name="_Toc189651534"/>
      <w:r>
        <w:rPr>
          <w:rFonts w:hint="eastAsia" w:ascii="宋体" w:hAnsi="宋体" w:eastAsia="宋体" w:cs="宋体"/>
          <w:b/>
          <w:bCs/>
          <w:sz w:val="24"/>
          <w:szCs w:val="24"/>
          <w:lang w:eastAsia="zh-CN"/>
        </w:rPr>
        <w:t>22.2  发包人违约</w:t>
      </w:r>
      <w:bookmarkEnd w:id="938"/>
      <w:bookmarkEnd w:id="939"/>
      <w:bookmarkEnd w:id="940"/>
      <w:bookmarkEnd w:id="941"/>
      <w:bookmarkEnd w:id="942"/>
      <w:bookmarkEnd w:id="943"/>
    </w:p>
    <w:p w14:paraId="1910635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22.2.1  发包人违约的情形</w:t>
      </w:r>
    </w:p>
    <w:p w14:paraId="24C0E85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在履行合同过程中发生的下列情形，属发包人违约：</w:t>
      </w:r>
    </w:p>
    <w:p w14:paraId="179E074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（1）发包人未能按合同约定支付预付款或合同价款，或拖延、拒绝批准付款申请和支付凭证，导致付款延误的；</w:t>
      </w:r>
    </w:p>
    <w:p w14:paraId="2489248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（2）发包人原因造成停工的；</w:t>
      </w:r>
    </w:p>
    <w:p w14:paraId="3C4C0A3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（3）监理人无正当理由没有在约定期限内发出复工指示，导致承包人无法复工的；</w:t>
      </w:r>
    </w:p>
    <w:p w14:paraId="4C2FD2E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（4）发包人无法继续履行或明确表示不履行或实质上已停止履行合同的；</w:t>
      </w:r>
    </w:p>
    <w:p w14:paraId="61BA4D8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（5）发包人不履行合同约定其他义务的。</w:t>
      </w:r>
    </w:p>
    <w:p w14:paraId="433DA9B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22.2.2  承包人有权暂停施工</w:t>
      </w:r>
    </w:p>
    <w:p w14:paraId="2FA55BC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75BEA9E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22.2.3  发包人违约解除合同 </w:t>
      </w:r>
    </w:p>
    <w:p w14:paraId="2E88B6C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（1）发生第22.2.1（4）目的违约情况时，承包人可书面通知发包人解除合同。   </w:t>
      </w:r>
    </w:p>
    <w:p w14:paraId="4DD871B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（2）承包人按第22.2.2项暂停施工28天后，发包人仍不纠正违约行为的，承包人可向发包人发出解除合同通知。但承包人的这一行动不免除发包人承担的违约责任，也不影响承包人根据合同约定享有的索赔权利。</w:t>
      </w:r>
    </w:p>
    <w:p w14:paraId="038F64A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22.2.4  解除合同后的付款</w:t>
      </w:r>
    </w:p>
    <w:p w14:paraId="2F14449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因发包人违约解除合同的，发包人应在解除合同后28天内向承包人支付下列金额，承包人应在此期限内及时向发包人提交要求支付下列金额的有关资料和凭证：</w:t>
      </w:r>
    </w:p>
    <w:p w14:paraId="37980F00">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（1）合同解除日以前所完成工作的价款；</w:t>
      </w:r>
    </w:p>
    <w:p w14:paraId="5F844B0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（2）承包人为该工程施工订购并已付款的材料、工程设备和其他物品的金额。发包人付还后，该材料、工程设备和其他物品归发包人所有；</w:t>
      </w:r>
    </w:p>
    <w:p w14:paraId="713FA8E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（3）承包人为完成工程所发生的，而发包人未支付的金额；</w:t>
      </w:r>
    </w:p>
    <w:p w14:paraId="323EAF4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（4）承包人撤离施工场地以及遣散承包人人员的金额；</w:t>
      </w:r>
    </w:p>
    <w:p w14:paraId="29D82F0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（5）由于解除合同应赔偿的承包人损失；</w:t>
      </w:r>
    </w:p>
    <w:p w14:paraId="65903A3D">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（6）按合同约定在合同解除日前应支付给承包人的其他金额。</w:t>
      </w:r>
    </w:p>
    <w:p w14:paraId="6917202E">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发包人应按本项约定支付上述金额并退还质量保证金或退还质量保证金保函和履约担保，但有权要求承包人支付应偿还给发包人的各项金额。</w:t>
      </w:r>
    </w:p>
    <w:p w14:paraId="373A85BD">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22.2.5  解除合同后的承包人撤离</w:t>
      </w:r>
    </w:p>
    <w:p w14:paraId="5B29754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14:paraId="60843765">
      <w:pPr>
        <w:keepNext/>
        <w:keepLines/>
        <w:spacing w:line="440" w:lineRule="exact"/>
        <w:ind w:firstLine="480" w:firstLineChars="200"/>
        <w:outlineLvl w:val="2"/>
        <w:rPr>
          <w:rFonts w:hint="eastAsia" w:ascii="宋体" w:hAnsi="宋体" w:eastAsia="宋体" w:cs="宋体"/>
          <w:sz w:val="24"/>
          <w:szCs w:val="24"/>
          <w:lang w:eastAsia="zh-CN"/>
        </w:rPr>
      </w:pPr>
      <w:bookmarkStart w:id="944" w:name="_Toc490222640"/>
      <w:bookmarkStart w:id="945" w:name="_Toc489280006"/>
      <w:bookmarkStart w:id="946" w:name="_Toc117597626"/>
      <w:bookmarkStart w:id="947" w:name="_Toc497213871"/>
      <w:bookmarkStart w:id="948" w:name="_Toc189651535"/>
      <w:bookmarkStart w:id="949" w:name="_Toc486580195"/>
      <w:r>
        <w:rPr>
          <w:rFonts w:hint="eastAsia" w:ascii="宋体" w:hAnsi="宋体" w:eastAsia="宋体" w:cs="宋体"/>
          <w:sz w:val="24"/>
          <w:szCs w:val="24"/>
          <w:lang w:eastAsia="zh-CN"/>
        </w:rPr>
        <w:t>22.3  第三人造成的违约</w:t>
      </w:r>
      <w:bookmarkEnd w:id="944"/>
      <w:bookmarkEnd w:id="945"/>
      <w:bookmarkEnd w:id="946"/>
      <w:bookmarkEnd w:id="947"/>
      <w:bookmarkEnd w:id="948"/>
      <w:bookmarkEnd w:id="949"/>
    </w:p>
    <w:p w14:paraId="4B4E166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在履行合同过程中，一方当事人因第三人的原因造成违约的，应当向对方当事人承担违约责任。一方当事人和第三人之间的纠纷，依照法律规定或者按照约定解决。</w:t>
      </w:r>
    </w:p>
    <w:p w14:paraId="0DBE38CD">
      <w:pPr>
        <w:keepNext/>
        <w:keepLines/>
        <w:spacing w:line="440" w:lineRule="exact"/>
        <w:ind w:firstLine="482" w:firstLineChars="200"/>
        <w:outlineLvl w:val="1"/>
        <w:rPr>
          <w:rFonts w:hint="eastAsia" w:ascii="宋体" w:hAnsi="宋体" w:eastAsia="宋体" w:cs="宋体"/>
          <w:b/>
          <w:bCs/>
          <w:sz w:val="24"/>
          <w:szCs w:val="24"/>
          <w:lang w:eastAsia="zh-CN"/>
        </w:rPr>
      </w:pPr>
      <w:bookmarkStart w:id="950" w:name="_Toc489280007"/>
      <w:bookmarkStart w:id="951" w:name="_Toc189651536"/>
      <w:bookmarkStart w:id="952" w:name="_Toc486580196"/>
      <w:bookmarkStart w:id="953" w:name="_Toc490222641"/>
      <w:bookmarkStart w:id="954" w:name="_Toc117597627"/>
      <w:bookmarkStart w:id="955" w:name="_Toc497213872"/>
      <w:r>
        <w:rPr>
          <w:rFonts w:hint="eastAsia" w:ascii="宋体" w:hAnsi="宋体" w:eastAsia="宋体" w:cs="宋体"/>
          <w:b/>
          <w:bCs/>
          <w:sz w:val="24"/>
          <w:szCs w:val="24"/>
          <w:lang w:eastAsia="zh-CN"/>
        </w:rPr>
        <w:t>23.索赔</w:t>
      </w:r>
      <w:bookmarkEnd w:id="950"/>
      <w:bookmarkEnd w:id="951"/>
      <w:bookmarkEnd w:id="952"/>
      <w:bookmarkEnd w:id="953"/>
      <w:bookmarkEnd w:id="954"/>
      <w:bookmarkEnd w:id="955"/>
    </w:p>
    <w:p w14:paraId="5595B99B">
      <w:pPr>
        <w:keepNext/>
        <w:keepLines/>
        <w:spacing w:line="440" w:lineRule="exact"/>
        <w:ind w:firstLine="482" w:firstLineChars="200"/>
        <w:outlineLvl w:val="2"/>
        <w:rPr>
          <w:rFonts w:hint="eastAsia" w:ascii="宋体" w:hAnsi="宋体" w:eastAsia="宋体" w:cs="宋体"/>
          <w:b/>
          <w:bCs/>
          <w:sz w:val="24"/>
          <w:szCs w:val="24"/>
          <w:lang w:eastAsia="zh-CN"/>
        </w:rPr>
      </w:pPr>
      <w:bookmarkStart w:id="956" w:name="_Toc489280008"/>
      <w:bookmarkStart w:id="957" w:name="_Toc189651537"/>
      <w:bookmarkStart w:id="958" w:name="_Toc486580197"/>
      <w:bookmarkStart w:id="959" w:name="_Toc497213873"/>
      <w:bookmarkStart w:id="960" w:name="_Toc490222642"/>
      <w:bookmarkStart w:id="961" w:name="_Toc117597628"/>
      <w:r>
        <w:rPr>
          <w:rFonts w:hint="eastAsia" w:ascii="宋体" w:hAnsi="宋体" w:eastAsia="宋体" w:cs="宋体"/>
          <w:b/>
          <w:bCs/>
          <w:sz w:val="24"/>
          <w:szCs w:val="24"/>
          <w:lang w:eastAsia="zh-CN"/>
        </w:rPr>
        <w:t>23.1  承包人索赔的提出</w:t>
      </w:r>
      <w:bookmarkEnd w:id="956"/>
      <w:bookmarkEnd w:id="957"/>
      <w:bookmarkEnd w:id="958"/>
      <w:bookmarkEnd w:id="959"/>
      <w:bookmarkEnd w:id="960"/>
      <w:bookmarkEnd w:id="961"/>
    </w:p>
    <w:p w14:paraId="6BFE64C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根据合同约定，承包人认为有权得到追加付款和（或）延长工期的，应按以下程序向发包人提出索赔：</w:t>
      </w:r>
    </w:p>
    <w:p w14:paraId="196DB8C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2155AB7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（2）承包人应在发出索赔意向通知书后28天内，向监理人正式递交索赔通知书。索赔通知书应详细说明索赔理由以及要求追加的付款金额和（或）延长的工期，并附必要的记录和证明材料；</w:t>
      </w:r>
    </w:p>
    <w:p w14:paraId="6E9ED40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（3）索赔事件具有连续影响的，承包人应按合理时间间隔继续递交延续索赔通知，说明连续影响的实际情况和记录，列出累计的追加付款金额和（或）工期延长天数；</w:t>
      </w:r>
    </w:p>
    <w:p w14:paraId="5E3929C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（4）在索赔事件影响结束后的28天内，承包人应向监理人递交最终索赔通知书，说明最终要求索赔的追加付款金额和延长的工期，并附必要的记录和证明材料。</w:t>
      </w:r>
    </w:p>
    <w:p w14:paraId="520455F0">
      <w:pPr>
        <w:keepNext/>
        <w:keepLines/>
        <w:spacing w:line="440" w:lineRule="exact"/>
        <w:ind w:firstLine="482" w:firstLineChars="200"/>
        <w:outlineLvl w:val="2"/>
        <w:rPr>
          <w:rFonts w:hint="eastAsia" w:ascii="宋体" w:hAnsi="宋体" w:eastAsia="宋体" w:cs="宋体"/>
          <w:b/>
          <w:bCs/>
          <w:sz w:val="24"/>
          <w:szCs w:val="24"/>
          <w:lang w:eastAsia="zh-CN"/>
        </w:rPr>
      </w:pPr>
      <w:bookmarkStart w:id="962" w:name="_Toc490222643"/>
      <w:bookmarkStart w:id="963" w:name="_Toc486580198"/>
      <w:bookmarkStart w:id="964" w:name="_Toc189651538"/>
      <w:bookmarkStart w:id="965" w:name="_Toc117597629"/>
      <w:bookmarkStart w:id="966" w:name="_Toc489280009"/>
      <w:bookmarkStart w:id="967" w:name="_Toc497213874"/>
      <w:r>
        <w:rPr>
          <w:rFonts w:hint="eastAsia" w:ascii="宋体" w:hAnsi="宋体" w:eastAsia="宋体" w:cs="宋体"/>
          <w:b/>
          <w:bCs/>
          <w:sz w:val="24"/>
          <w:szCs w:val="24"/>
          <w:lang w:eastAsia="zh-CN"/>
        </w:rPr>
        <w:t>23.2  承包人索赔处理程序</w:t>
      </w:r>
      <w:bookmarkEnd w:id="962"/>
      <w:bookmarkEnd w:id="963"/>
      <w:bookmarkEnd w:id="964"/>
      <w:bookmarkEnd w:id="965"/>
      <w:bookmarkEnd w:id="966"/>
      <w:bookmarkEnd w:id="967"/>
    </w:p>
    <w:p w14:paraId="0B61BD3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（1）监理人收到承包人提交的索赔通知书后，应及时审查索赔通知书的内容、查验承包人的记录和证明材料，必要时监理人可要求承包人提交全部原始记录副本。</w:t>
      </w:r>
    </w:p>
    <w:p w14:paraId="3FA3D4F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（2）监理人应按第3.5款商定或确定追加的付款和（或）延长的工期，并在收到上述索赔通知书或有关索赔的进一步证明材料后的42天内，将索赔处理结果答复承包人。</w:t>
      </w:r>
    </w:p>
    <w:p w14:paraId="0B2D211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（3）承包人接受索赔处理结果的，发包人应在作出索赔处理结果答复后28天内完成赔付。承包人不接受索赔处理结果的，按第24条的约定办理。</w:t>
      </w:r>
    </w:p>
    <w:p w14:paraId="5D5ADBF3">
      <w:pPr>
        <w:keepNext/>
        <w:keepLines/>
        <w:spacing w:line="440" w:lineRule="exact"/>
        <w:ind w:firstLine="482" w:firstLineChars="200"/>
        <w:outlineLvl w:val="2"/>
        <w:rPr>
          <w:rFonts w:hint="eastAsia" w:ascii="宋体" w:hAnsi="宋体" w:eastAsia="宋体" w:cs="宋体"/>
          <w:b/>
          <w:bCs/>
          <w:sz w:val="24"/>
          <w:szCs w:val="24"/>
          <w:lang w:eastAsia="zh-CN"/>
        </w:rPr>
      </w:pPr>
      <w:bookmarkStart w:id="968" w:name="_Toc497213875"/>
      <w:bookmarkStart w:id="969" w:name="_Toc486580199"/>
      <w:bookmarkStart w:id="970" w:name="_Toc490222644"/>
      <w:bookmarkStart w:id="971" w:name="_Toc489280010"/>
      <w:bookmarkStart w:id="972" w:name="_Toc189651539"/>
      <w:bookmarkStart w:id="973" w:name="_Toc117597630"/>
      <w:r>
        <w:rPr>
          <w:rFonts w:hint="eastAsia" w:ascii="宋体" w:hAnsi="宋体" w:eastAsia="宋体" w:cs="宋体"/>
          <w:b/>
          <w:bCs/>
          <w:sz w:val="24"/>
          <w:szCs w:val="24"/>
          <w:lang w:eastAsia="zh-CN"/>
        </w:rPr>
        <w:t>23.3  承包人提出索赔的期限</w:t>
      </w:r>
      <w:bookmarkEnd w:id="968"/>
      <w:bookmarkEnd w:id="969"/>
      <w:bookmarkEnd w:id="970"/>
      <w:bookmarkEnd w:id="971"/>
      <w:bookmarkEnd w:id="972"/>
      <w:bookmarkEnd w:id="973"/>
    </w:p>
    <w:p w14:paraId="01B4D16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23.3.1  承包人按第17.5款的约定接受了竣工付款证书后，应被认为已无权再提出在合同工程接收证书颁发前所发生的任何索赔。</w:t>
      </w:r>
    </w:p>
    <w:p w14:paraId="10D1DA8C">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23.3.2  承包人按第17.6款的约定提交的最终结清申请单中，只限于提出工程接收证书颁发后发生的索赔。提出索赔的期限自接受最终结清证书时终止。 </w:t>
      </w:r>
    </w:p>
    <w:p w14:paraId="5DB9F1F2">
      <w:pPr>
        <w:keepNext/>
        <w:keepLines/>
        <w:spacing w:line="440" w:lineRule="exact"/>
        <w:ind w:firstLine="480" w:firstLineChars="200"/>
        <w:outlineLvl w:val="2"/>
        <w:rPr>
          <w:rFonts w:hint="eastAsia" w:ascii="宋体" w:hAnsi="宋体" w:eastAsia="宋体" w:cs="宋体"/>
          <w:sz w:val="24"/>
          <w:szCs w:val="24"/>
          <w:lang w:eastAsia="zh-CN"/>
        </w:rPr>
      </w:pPr>
      <w:bookmarkStart w:id="974" w:name="_Toc117597631"/>
      <w:bookmarkStart w:id="975" w:name="_Toc486580200"/>
      <w:bookmarkStart w:id="976" w:name="_Toc490222645"/>
      <w:bookmarkStart w:id="977" w:name="_Toc189651540"/>
      <w:bookmarkStart w:id="978" w:name="_Toc489280011"/>
      <w:bookmarkStart w:id="979" w:name="_Toc497213876"/>
      <w:r>
        <w:rPr>
          <w:rFonts w:hint="eastAsia" w:ascii="宋体" w:hAnsi="宋体" w:eastAsia="宋体" w:cs="宋体"/>
          <w:sz w:val="24"/>
          <w:szCs w:val="24"/>
          <w:lang w:eastAsia="zh-CN"/>
        </w:rPr>
        <w:t>23.4  发包人的索赔</w:t>
      </w:r>
      <w:bookmarkEnd w:id="974"/>
      <w:bookmarkEnd w:id="975"/>
      <w:bookmarkEnd w:id="976"/>
      <w:bookmarkEnd w:id="977"/>
      <w:bookmarkEnd w:id="978"/>
      <w:bookmarkEnd w:id="979"/>
    </w:p>
    <w:p w14:paraId="4183AD87">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73A4DAFF">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23.4.2  监理人按第3.5款商定或确定发包人从承包人处得到赔付的金额和（或）缺陷责任期的延长期。承包人应付给发包人的金额可从拟支付给承包人的合同价款中扣除，或由承包人以其他方式支付给发包人。</w:t>
      </w:r>
    </w:p>
    <w:p w14:paraId="1672695E">
      <w:pPr>
        <w:keepNext/>
        <w:keepLines/>
        <w:spacing w:line="440" w:lineRule="exact"/>
        <w:ind w:firstLine="482" w:firstLineChars="200"/>
        <w:outlineLvl w:val="1"/>
        <w:rPr>
          <w:rFonts w:hint="eastAsia" w:ascii="宋体" w:hAnsi="宋体" w:eastAsia="宋体" w:cs="宋体"/>
          <w:b/>
          <w:bCs/>
          <w:sz w:val="24"/>
          <w:szCs w:val="24"/>
          <w:lang w:eastAsia="zh-CN"/>
        </w:rPr>
      </w:pPr>
      <w:bookmarkStart w:id="980" w:name="_Toc117597632"/>
      <w:bookmarkStart w:id="981" w:name="_Toc490222646"/>
      <w:bookmarkStart w:id="982" w:name="_Toc189651541"/>
      <w:bookmarkStart w:id="983" w:name="_Toc486580201"/>
      <w:bookmarkStart w:id="984" w:name="_Toc489280012"/>
      <w:bookmarkStart w:id="985" w:name="_Toc497213877"/>
      <w:r>
        <w:rPr>
          <w:rFonts w:hint="eastAsia" w:ascii="宋体" w:hAnsi="宋体" w:eastAsia="宋体" w:cs="宋体"/>
          <w:b/>
          <w:bCs/>
          <w:sz w:val="24"/>
          <w:szCs w:val="24"/>
          <w:lang w:eastAsia="zh-CN"/>
        </w:rPr>
        <w:t>24.争议的解决</w:t>
      </w:r>
      <w:bookmarkEnd w:id="980"/>
      <w:bookmarkEnd w:id="981"/>
      <w:bookmarkEnd w:id="982"/>
      <w:bookmarkEnd w:id="983"/>
      <w:bookmarkEnd w:id="984"/>
      <w:bookmarkEnd w:id="985"/>
    </w:p>
    <w:p w14:paraId="3E40F106">
      <w:pPr>
        <w:keepNext/>
        <w:keepLines/>
        <w:spacing w:line="440" w:lineRule="exact"/>
        <w:ind w:firstLine="482" w:firstLineChars="200"/>
        <w:outlineLvl w:val="2"/>
        <w:rPr>
          <w:rFonts w:hint="eastAsia" w:ascii="宋体" w:hAnsi="宋体" w:eastAsia="宋体" w:cs="宋体"/>
          <w:b/>
          <w:bCs/>
          <w:sz w:val="24"/>
          <w:szCs w:val="24"/>
          <w:lang w:eastAsia="zh-CN"/>
        </w:rPr>
      </w:pPr>
      <w:bookmarkStart w:id="986" w:name="_Toc486580202"/>
      <w:bookmarkStart w:id="987" w:name="_Toc489280013"/>
      <w:bookmarkStart w:id="988" w:name="_Toc189651542"/>
      <w:bookmarkStart w:id="989" w:name="_Toc497213878"/>
      <w:bookmarkStart w:id="990" w:name="_Toc490222647"/>
      <w:bookmarkStart w:id="991" w:name="_Toc117597633"/>
      <w:r>
        <w:rPr>
          <w:rFonts w:hint="eastAsia" w:ascii="宋体" w:hAnsi="宋体" w:eastAsia="宋体" w:cs="宋体"/>
          <w:b/>
          <w:bCs/>
          <w:sz w:val="24"/>
          <w:szCs w:val="24"/>
          <w:lang w:eastAsia="zh-CN"/>
        </w:rPr>
        <w:t>24.1  争议的解决方式</w:t>
      </w:r>
      <w:bookmarkEnd w:id="986"/>
      <w:bookmarkEnd w:id="987"/>
      <w:bookmarkEnd w:id="988"/>
      <w:bookmarkEnd w:id="989"/>
      <w:bookmarkEnd w:id="990"/>
      <w:bookmarkEnd w:id="991"/>
    </w:p>
    <w:p w14:paraId="5C6B3DA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和承包人在履行合同中发生争议的，可以友好协商解决或者提请争议评审组评审。合同当事人友好协商解决不成、不愿提请争议评审或者不接受争议评审组意见的，可在合同条款专用部分中约定下列一种方式解决。</w:t>
      </w:r>
    </w:p>
    <w:p w14:paraId="19294501">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（1）向约定的仲裁委员会申请仲裁；</w:t>
      </w:r>
    </w:p>
    <w:p w14:paraId="5F48EB36">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（2）向有管辖权的人民法院提起诉讼。</w:t>
      </w:r>
    </w:p>
    <w:p w14:paraId="0B746B22">
      <w:pPr>
        <w:keepNext/>
        <w:keepLines/>
        <w:spacing w:line="440" w:lineRule="exact"/>
        <w:ind w:firstLine="482" w:firstLineChars="200"/>
        <w:outlineLvl w:val="2"/>
        <w:rPr>
          <w:rFonts w:hint="eastAsia" w:ascii="宋体" w:hAnsi="宋体" w:eastAsia="宋体" w:cs="宋体"/>
          <w:b/>
          <w:bCs/>
          <w:sz w:val="24"/>
          <w:szCs w:val="24"/>
          <w:lang w:eastAsia="zh-CN"/>
        </w:rPr>
      </w:pPr>
      <w:bookmarkStart w:id="992" w:name="_Toc486580203"/>
      <w:bookmarkStart w:id="993" w:name="_Toc497213879"/>
      <w:bookmarkStart w:id="994" w:name="_Toc489280014"/>
      <w:bookmarkStart w:id="995" w:name="_Toc189651543"/>
      <w:bookmarkStart w:id="996" w:name="_Toc490222648"/>
      <w:bookmarkStart w:id="997" w:name="_Toc117597634"/>
      <w:r>
        <w:rPr>
          <w:rFonts w:hint="eastAsia" w:ascii="宋体" w:hAnsi="宋体" w:eastAsia="宋体" w:cs="宋体"/>
          <w:b/>
          <w:bCs/>
          <w:sz w:val="24"/>
          <w:szCs w:val="24"/>
          <w:lang w:eastAsia="zh-CN"/>
        </w:rPr>
        <w:t>24.2  友好解决</w:t>
      </w:r>
      <w:bookmarkEnd w:id="992"/>
      <w:bookmarkEnd w:id="993"/>
      <w:bookmarkEnd w:id="994"/>
      <w:bookmarkEnd w:id="995"/>
      <w:bookmarkEnd w:id="996"/>
      <w:bookmarkEnd w:id="997"/>
    </w:p>
    <w:p w14:paraId="0C3EBC24">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在提请争议评审、仲裁或者诉讼前，以及在争议评审、仲裁或诉讼过程中，发包人和承包人均可共同努力友好协商解决争议。</w:t>
      </w:r>
    </w:p>
    <w:p w14:paraId="5DC45AD0">
      <w:pPr>
        <w:keepNext/>
        <w:keepLines/>
        <w:spacing w:line="440" w:lineRule="exact"/>
        <w:ind w:firstLine="482" w:firstLineChars="200"/>
        <w:outlineLvl w:val="2"/>
        <w:rPr>
          <w:rFonts w:hint="eastAsia" w:ascii="宋体" w:hAnsi="宋体" w:eastAsia="宋体" w:cs="宋体"/>
          <w:b/>
          <w:bCs/>
          <w:sz w:val="24"/>
          <w:szCs w:val="24"/>
          <w:lang w:eastAsia="zh-CN"/>
        </w:rPr>
      </w:pPr>
      <w:bookmarkStart w:id="998" w:name="_Toc489280015"/>
      <w:bookmarkStart w:id="999" w:name="_Toc486580204"/>
      <w:bookmarkStart w:id="1000" w:name="_Toc117597635"/>
      <w:bookmarkStart w:id="1001" w:name="_Toc189651544"/>
      <w:bookmarkStart w:id="1002" w:name="_Toc490222649"/>
      <w:bookmarkStart w:id="1003" w:name="_Toc497213880"/>
      <w:r>
        <w:rPr>
          <w:rFonts w:hint="eastAsia" w:ascii="宋体" w:hAnsi="宋体" w:eastAsia="宋体" w:cs="宋体"/>
          <w:b/>
          <w:bCs/>
          <w:sz w:val="24"/>
          <w:szCs w:val="24"/>
          <w:lang w:eastAsia="zh-CN"/>
        </w:rPr>
        <w:t>24.3  争议评审</w:t>
      </w:r>
      <w:bookmarkEnd w:id="998"/>
      <w:bookmarkEnd w:id="999"/>
      <w:bookmarkEnd w:id="1000"/>
      <w:bookmarkEnd w:id="1001"/>
      <w:bookmarkEnd w:id="1002"/>
      <w:bookmarkEnd w:id="1003"/>
    </w:p>
    <w:p w14:paraId="50DCBE12">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24.3.1  采用争议评审的，发包人和承包人应在开工日后的28天内或在争议发生后，协商成立争议评审组。争议评审组由有合同管理和工程实践经验的专家组成。</w:t>
      </w:r>
    </w:p>
    <w:p w14:paraId="3F74909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24.3.2  合同双方的争议，应首先由申请人向争议评审组提交一份详细的评审申请报告，并附必要的文件、图纸和证明材料，申请人还应将上述报告的副本同时提交给被申请人和监理人。</w:t>
      </w:r>
    </w:p>
    <w:p w14:paraId="75DB6803">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24.3.3  被申请人在收到申请人评审申请报告副本后的28天内，向争议评审组提交一份答辩报告，并附证明材料。被申请人应将答辩报告的副本同时提交给申请人和监理人。</w:t>
      </w:r>
    </w:p>
    <w:p w14:paraId="7D322AA8">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24.3.4  争议评审组在收到合同双方报告后的14天内，邀请双方代表和有关人员在合同约定的期限内举行调查会，向双方调查争议细节；必要时争议评审组可要求双方进一步提供补充材料。举行调查会的期限见合同条款专用部分。</w:t>
      </w:r>
    </w:p>
    <w:p w14:paraId="089B5AB5">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24.3.5  在调查会结束后的14天内，争议评审组应在不受任何干扰的情况下进行独立、公正的评审，在合同约定的期限内作出书面评审意见，并说明理由。在争议评审期间，争议双方暂按总监理工程师的确定执行。争议评审组作出争议评审意见的期限见合同条款专用部分。</w:t>
      </w:r>
    </w:p>
    <w:p w14:paraId="4AF385FB">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24.3.6  发包人和承包人接受评审意见的，由监理人根据评审意见拟定执行协议，经争议双方签字后作为合同的补充文件，并遵照执行。</w:t>
      </w:r>
    </w:p>
    <w:p w14:paraId="7B67B8CF">
      <w:pPr>
        <w:spacing w:line="440" w:lineRule="exact"/>
        <w:ind w:firstLine="480" w:firstLineChars="200"/>
        <w:outlineLvl w:val="0"/>
        <w:rPr>
          <w:rFonts w:hint="eastAsia" w:ascii="宋体" w:hAnsi="宋体" w:eastAsia="宋体" w:cs="宋体"/>
          <w:lang w:eastAsia="zh-CN"/>
        </w:rPr>
      </w:pPr>
      <w:bookmarkStart w:id="1004" w:name="_Toc189651545"/>
      <w:r>
        <w:rPr>
          <w:rFonts w:hint="eastAsia" w:ascii="宋体" w:hAnsi="宋体" w:eastAsia="宋体" w:cs="宋体"/>
          <w:sz w:val="24"/>
          <w:szCs w:val="24"/>
          <w:lang w:eastAsia="zh-CN"/>
        </w:rPr>
        <w:t>24.3.7  发包人或承包人不接受评审意见，并要求提交仲裁或提起诉讼的，应在收到评审意见后的14天内将仲裁或起诉意向书面通知另一方，并抄送监理人，但在仲裁或诉讼结束前应暂按总监理工程师的确定执行。</w:t>
      </w:r>
      <w:bookmarkEnd w:id="1004"/>
    </w:p>
    <w:p w14:paraId="5529DA1B">
      <w:pP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lang w:eastAsia="zh-CN"/>
        </w:rPr>
        <w:br w:type="page"/>
      </w:r>
    </w:p>
    <w:p w14:paraId="41A10FDB">
      <w:pPr>
        <w:spacing w:line="360" w:lineRule="auto"/>
        <w:jc w:val="center"/>
        <w:outlineLvl w:val="0"/>
        <w:rPr>
          <w:rFonts w:hint="eastAsia" w:ascii="宋体" w:hAnsi="宋体" w:eastAsia="宋体" w:cs="宋体"/>
          <w:b/>
          <w:bCs/>
          <w:color w:val="000000" w:themeColor="text1"/>
          <w:sz w:val="32"/>
          <w:szCs w:val="32"/>
          <w:lang w:eastAsia="zh-CN"/>
          <w14:textFill>
            <w14:solidFill>
              <w14:schemeClr w14:val="tx1"/>
            </w14:solidFill>
          </w14:textFill>
        </w:rPr>
      </w:pPr>
      <w:bookmarkStart w:id="1005" w:name="_Toc407609872"/>
      <w:r>
        <w:rPr>
          <w:rFonts w:hint="eastAsia" w:ascii="宋体" w:hAnsi="宋体" w:eastAsia="宋体" w:cs="宋体"/>
          <w:b/>
          <w:bCs/>
          <w:color w:val="000000" w:themeColor="text1"/>
          <w:sz w:val="32"/>
          <w:szCs w:val="32"/>
          <w:lang w:eastAsia="zh-CN"/>
          <w14:textFill>
            <w14:solidFill>
              <w14:schemeClr w14:val="tx1"/>
            </w14:solidFill>
          </w14:textFill>
        </w:rPr>
        <w:t>第二节 专用合同条款</w:t>
      </w:r>
      <w:bookmarkEnd w:id="4"/>
      <w:bookmarkEnd w:id="5"/>
      <w:bookmarkEnd w:id="1005"/>
    </w:p>
    <w:bookmarkEnd w:id="6"/>
    <w:bookmarkEnd w:id="7"/>
    <w:p w14:paraId="5AEA1A6D">
      <w:pPr>
        <w:pStyle w:val="3"/>
        <w:tabs>
          <w:tab w:val="left" w:pos="567"/>
        </w:tabs>
        <w:spacing w:line="440" w:lineRule="exact"/>
        <w:ind w:firstLine="422" w:firstLineChars="200"/>
        <w:outlineLvl w:val="1"/>
        <w:rPr>
          <w:rFonts w:hint="eastAsia" w:ascii="宋体" w:hAnsi="宋体" w:eastAsia="宋体" w:cs="宋体"/>
          <w:b/>
          <w:bCs/>
          <w:szCs w:val="24"/>
          <w:lang w:eastAsia="zh-CN"/>
        </w:rPr>
      </w:pPr>
      <w:bookmarkStart w:id="1006" w:name="_Toc189651547"/>
      <w:r>
        <w:rPr>
          <w:rFonts w:hint="eastAsia" w:ascii="宋体" w:hAnsi="宋体" w:eastAsia="宋体" w:cs="宋体"/>
          <w:b/>
          <w:bCs/>
          <w:szCs w:val="24"/>
          <w:lang w:eastAsia="zh-CN"/>
        </w:rPr>
        <w:t>1. 一般约定</w:t>
      </w:r>
      <w:bookmarkEnd w:id="1006"/>
    </w:p>
    <w:p w14:paraId="6204A794">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1.1 词语定义</w:t>
      </w:r>
    </w:p>
    <w:p w14:paraId="679DCCC1">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1.1.2 合同当事人和人员</w:t>
      </w:r>
    </w:p>
    <w:p w14:paraId="2BC4E8D9">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rPr>
        <w:fldChar w:fldCharType="begin"/>
      </w:r>
      <w:r>
        <w:rPr>
          <w:rFonts w:hint="eastAsia" w:ascii="宋体" w:hAnsi="宋体" w:eastAsia="宋体" w:cs="宋体"/>
        </w:rPr>
        <w:instrText xml:space="preserve"> HYPERLINK "file:///E:\\微信文件\\WeChat%20Files\\wxid_3hcjvnl979gw22\\FileStorage\\File\\2025-03\\1.1.2.2" </w:instrText>
      </w:r>
      <w:r>
        <w:rPr>
          <w:rFonts w:hint="eastAsia" w:ascii="宋体" w:hAnsi="宋体" w:eastAsia="宋体" w:cs="宋体"/>
        </w:rPr>
        <w:fldChar w:fldCharType="separate"/>
      </w:r>
      <w:r>
        <w:rPr>
          <w:rFonts w:hint="eastAsia" w:ascii="宋体" w:hAnsi="宋体" w:eastAsia="宋体" w:cs="宋体"/>
          <w:szCs w:val="24"/>
          <w:lang w:eastAsia="zh-CN"/>
        </w:rPr>
        <w:t>1.1.2.</w:t>
      </w:r>
      <w:r>
        <w:rPr>
          <w:rFonts w:hint="eastAsia" w:ascii="宋体" w:hAnsi="宋体" w:eastAsia="宋体" w:cs="宋体"/>
          <w:szCs w:val="24"/>
          <w:lang w:eastAsia="zh-CN"/>
        </w:rPr>
        <w:fldChar w:fldCharType="end"/>
      </w:r>
      <w:r>
        <w:rPr>
          <w:rFonts w:hint="eastAsia" w:ascii="宋体" w:hAnsi="宋体" w:eastAsia="宋体" w:cs="宋体"/>
          <w:szCs w:val="24"/>
          <w:lang w:eastAsia="zh-CN"/>
        </w:rPr>
        <w:t>2 发包人：</w:t>
      </w:r>
      <w:r>
        <w:rPr>
          <w:rFonts w:hint="eastAsia" w:ascii="宋体" w:hAnsi="宋体" w:eastAsia="宋体" w:cs="宋体"/>
          <w:szCs w:val="24"/>
          <w:u w:val="single"/>
          <w:lang w:eastAsia="zh-CN"/>
        </w:rPr>
        <w:t>北京市东城区人民政府崇文门外街道办事处</w:t>
      </w:r>
    </w:p>
    <w:p w14:paraId="3C25936A">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rPr>
        <w:fldChar w:fldCharType="begin"/>
      </w:r>
      <w:r>
        <w:rPr>
          <w:rFonts w:hint="eastAsia" w:ascii="宋体" w:hAnsi="宋体" w:eastAsia="宋体" w:cs="宋体"/>
        </w:rPr>
        <w:instrText xml:space="preserve"> HYPERLINK "file:///E:\\微信文件\\WeChat%20Files\\wxid_3hcjvnl979gw22\\FileStorage\\File\\2025-03\\1.1.2.3" </w:instrText>
      </w:r>
      <w:r>
        <w:rPr>
          <w:rFonts w:hint="eastAsia" w:ascii="宋体" w:hAnsi="宋体" w:eastAsia="宋体" w:cs="宋体"/>
        </w:rPr>
        <w:fldChar w:fldCharType="separate"/>
      </w:r>
      <w:r>
        <w:rPr>
          <w:rFonts w:hint="eastAsia" w:ascii="宋体" w:hAnsi="宋体" w:eastAsia="宋体" w:cs="宋体"/>
          <w:szCs w:val="24"/>
          <w:lang w:eastAsia="zh-CN"/>
        </w:rPr>
        <w:t>1.1.2.</w:t>
      </w:r>
      <w:r>
        <w:rPr>
          <w:rFonts w:hint="eastAsia" w:ascii="宋体" w:hAnsi="宋体" w:eastAsia="宋体" w:cs="宋体"/>
          <w:szCs w:val="24"/>
          <w:lang w:eastAsia="zh-CN"/>
        </w:rPr>
        <w:fldChar w:fldCharType="end"/>
      </w:r>
      <w:r>
        <w:rPr>
          <w:rFonts w:hint="eastAsia" w:ascii="宋体" w:hAnsi="宋体" w:eastAsia="宋体" w:cs="宋体"/>
          <w:szCs w:val="24"/>
          <w:lang w:eastAsia="zh-CN"/>
        </w:rPr>
        <w:t>3 承包人：</w:t>
      </w:r>
      <w:r>
        <w:rPr>
          <w:rFonts w:hint="eastAsia" w:ascii="宋体" w:hAnsi="宋体" w:eastAsia="宋体" w:cs="宋体"/>
          <w:szCs w:val="24"/>
          <w:u w:val="single"/>
          <w:lang w:eastAsia="zh-CN"/>
        </w:rPr>
        <w:t>北京市佳恒致远建筑工程有限公司</w:t>
      </w:r>
    </w:p>
    <w:p w14:paraId="08952766">
      <w:pPr>
        <w:pStyle w:val="3"/>
        <w:tabs>
          <w:tab w:val="left" w:pos="567"/>
        </w:tabs>
        <w:spacing w:line="440" w:lineRule="exact"/>
        <w:ind w:firstLine="420" w:firstLineChars="200"/>
        <w:rPr>
          <w:rFonts w:hint="eastAsia" w:ascii="宋体" w:hAnsi="宋体" w:eastAsia="宋体" w:cs="宋体"/>
          <w:szCs w:val="24"/>
          <w:highlight w:val="yellow"/>
          <w:lang w:eastAsia="zh-CN"/>
        </w:rPr>
      </w:pPr>
      <w:r>
        <w:rPr>
          <w:rFonts w:hint="eastAsia" w:ascii="宋体" w:hAnsi="宋体" w:eastAsia="宋体" w:cs="宋体"/>
          <w:highlight w:val="yellow"/>
        </w:rPr>
        <w:fldChar w:fldCharType="begin"/>
      </w:r>
      <w:r>
        <w:rPr>
          <w:rFonts w:hint="eastAsia" w:ascii="宋体" w:hAnsi="宋体" w:eastAsia="宋体" w:cs="宋体"/>
          <w:highlight w:val="yellow"/>
        </w:rPr>
        <w:instrText xml:space="preserve"> HYPERLINK "file:///E:\\微信文件\\WeChat%20Files\\wxid_3hcjvnl979gw22\\FileStorage\\File\\2025-03\\1.1.2.6" </w:instrText>
      </w:r>
      <w:r>
        <w:rPr>
          <w:rFonts w:hint="eastAsia" w:ascii="宋体" w:hAnsi="宋体" w:eastAsia="宋体" w:cs="宋体"/>
          <w:highlight w:val="yellow"/>
        </w:rPr>
        <w:fldChar w:fldCharType="separate"/>
      </w:r>
      <w:r>
        <w:rPr>
          <w:rFonts w:hint="eastAsia" w:ascii="宋体" w:hAnsi="宋体" w:eastAsia="宋体" w:cs="宋体"/>
          <w:szCs w:val="24"/>
          <w:highlight w:val="yellow"/>
          <w:lang w:eastAsia="zh-CN"/>
        </w:rPr>
        <w:t>1.1.2.</w:t>
      </w:r>
      <w:r>
        <w:rPr>
          <w:rFonts w:hint="eastAsia" w:ascii="宋体" w:hAnsi="宋体" w:eastAsia="宋体" w:cs="宋体"/>
          <w:szCs w:val="24"/>
          <w:highlight w:val="yellow"/>
          <w:lang w:eastAsia="zh-CN"/>
        </w:rPr>
        <w:fldChar w:fldCharType="end"/>
      </w:r>
      <w:r>
        <w:rPr>
          <w:rFonts w:hint="eastAsia" w:ascii="宋体" w:hAnsi="宋体" w:eastAsia="宋体" w:cs="宋体"/>
          <w:szCs w:val="24"/>
          <w:highlight w:val="yellow"/>
          <w:lang w:eastAsia="zh-CN"/>
        </w:rPr>
        <w:t>6 监理人：</w:t>
      </w:r>
      <w:r>
        <w:rPr>
          <w:rFonts w:hint="eastAsia" w:ascii="宋体" w:hAnsi="宋体" w:eastAsia="宋体" w:cs="宋体"/>
          <w:szCs w:val="24"/>
          <w:highlight w:val="yellow"/>
          <w:u w:val="single"/>
          <w:lang w:eastAsia="zh-CN"/>
        </w:rPr>
        <w:t xml:space="preserve">                    </w:t>
      </w:r>
    </w:p>
    <w:p w14:paraId="0BFD94AE">
      <w:pPr>
        <w:spacing w:line="400" w:lineRule="exact"/>
        <w:ind w:firstLine="420" w:firstLineChars="200"/>
        <w:rPr>
          <w:rFonts w:hint="eastAsia" w:ascii="宋体" w:hAnsi="宋体" w:eastAsia="宋体" w:cs="宋体"/>
          <w:szCs w:val="24"/>
          <w:highlight w:val="yellow"/>
          <w:lang w:eastAsia="zh-CN"/>
        </w:rPr>
      </w:pPr>
      <w:r>
        <w:rPr>
          <w:rFonts w:hint="eastAsia" w:ascii="宋体" w:hAnsi="宋体" w:eastAsia="宋体" w:cs="宋体"/>
          <w:highlight w:val="yellow"/>
        </w:rPr>
        <w:fldChar w:fldCharType="begin"/>
      </w:r>
      <w:r>
        <w:rPr>
          <w:rFonts w:hint="eastAsia" w:ascii="宋体" w:hAnsi="宋体" w:eastAsia="宋体" w:cs="宋体"/>
          <w:highlight w:val="yellow"/>
        </w:rPr>
        <w:instrText xml:space="preserve"> HYPERLINK "file:///E:\\微信文件\\WeChat%20Files\\wxid_3hcjvnl979gw22\\FileStorage\\File\\2025-03\\1.1.2.8" </w:instrText>
      </w:r>
      <w:r>
        <w:rPr>
          <w:rFonts w:hint="eastAsia" w:ascii="宋体" w:hAnsi="宋体" w:eastAsia="宋体" w:cs="宋体"/>
          <w:highlight w:val="yellow"/>
        </w:rPr>
        <w:fldChar w:fldCharType="separate"/>
      </w:r>
      <w:r>
        <w:rPr>
          <w:rFonts w:hint="eastAsia" w:ascii="宋体" w:hAnsi="宋体" w:eastAsia="宋体" w:cs="宋体"/>
          <w:szCs w:val="24"/>
          <w:highlight w:val="yellow"/>
          <w:lang w:eastAsia="zh-CN"/>
        </w:rPr>
        <w:t>1.1.2.</w:t>
      </w:r>
      <w:r>
        <w:rPr>
          <w:rFonts w:hint="eastAsia" w:ascii="宋体" w:hAnsi="宋体" w:eastAsia="宋体" w:cs="宋体"/>
          <w:szCs w:val="24"/>
          <w:highlight w:val="yellow"/>
          <w:lang w:eastAsia="zh-CN"/>
        </w:rPr>
        <w:fldChar w:fldCharType="end"/>
      </w:r>
      <w:r>
        <w:rPr>
          <w:rFonts w:hint="eastAsia" w:ascii="宋体" w:hAnsi="宋体" w:eastAsia="宋体" w:cs="宋体"/>
          <w:szCs w:val="24"/>
          <w:highlight w:val="yellow"/>
          <w:lang w:eastAsia="zh-CN"/>
        </w:rPr>
        <w:t xml:space="preserve">8 发包人代表：指发包人指定的派驻施工场地（现场）的全权代表。  </w:t>
      </w:r>
    </w:p>
    <w:p w14:paraId="0D4758DA">
      <w:pPr>
        <w:pStyle w:val="3"/>
        <w:tabs>
          <w:tab w:val="left" w:pos="567"/>
        </w:tabs>
        <w:spacing w:line="440" w:lineRule="exact"/>
        <w:ind w:firstLine="420" w:firstLineChars="200"/>
        <w:rPr>
          <w:rFonts w:hint="eastAsia" w:ascii="宋体" w:hAnsi="宋体" w:eastAsia="宋体" w:cs="宋体"/>
          <w:szCs w:val="24"/>
          <w:highlight w:val="yellow"/>
          <w:lang w:eastAsia="zh-CN"/>
        </w:rPr>
      </w:pPr>
      <w:r>
        <w:rPr>
          <w:rFonts w:hint="eastAsia" w:ascii="宋体" w:hAnsi="宋体" w:eastAsia="宋体" w:cs="宋体"/>
          <w:szCs w:val="24"/>
          <w:highlight w:val="yellow"/>
          <w:lang w:eastAsia="zh-CN"/>
        </w:rPr>
        <w:t>姓    名：</w:t>
      </w:r>
      <w:r>
        <w:rPr>
          <w:rFonts w:hint="eastAsia" w:ascii="宋体" w:hAnsi="宋体" w:eastAsia="宋体" w:cs="宋体"/>
          <w:szCs w:val="24"/>
          <w:highlight w:val="yellow"/>
          <w:u w:val="single"/>
          <w:lang w:eastAsia="zh-CN"/>
        </w:rPr>
        <w:t xml:space="preserve">                    </w:t>
      </w:r>
    </w:p>
    <w:p w14:paraId="05285F4B">
      <w:pPr>
        <w:pStyle w:val="3"/>
        <w:tabs>
          <w:tab w:val="left" w:pos="567"/>
        </w:tabs>
        <w:spacing w:line="440" w:lineRule="exact"/>
        <w:ind w:firstLine="420" w:firstLineChars="200"/>
        <w:rPr>
          <w:rFonts w:hint="eastAsia" w:ascii="宋体" w:hAnsi="宋体" w:eastAsia="宋体" w:cs="宋体"/>
          <w:szCs w:val="24"/>
          <w:highlight w:val="yellow"/>
          <w:lang w:eastAsia="zh-CN"/>
        </w:rPr>
      </w:pPr>
      <w:r>
        <w:rPr>
          <w:rFonts w:hint="eastAsia" w:ascii="宋体" w:hAnsi="宋体" w:eastAsia="宋体" w:cs="宋体"/>
          <w:szCs w:val="24"/>
          <w:highlight w:val="yellow"/>
          <w:lang w:eastAsia="zh-CN"/>
        </w:rPr>
        <w:t>职    称：</w:t>
      </w:r>
      <w:r>
        <w:rPr>
          <w:rFonts w:hint="eastAsia" w:ascii="宋体" w:hAnsi="宋体" w:eastAsia="宋体" w:cs="宋体"/>
          <w:szCs w:val="24"/>
          <w:highlight w:val="yellow"/>
          <w:u w:val="single"/>
          <w:lang w:eastAsia="zh-CN"/>
        </w:rPr>
        <w:t xml:space="preserve">                    </w:t>
      </w:r>
    </w:p>
    <w:p w14:paraId="78DC6748">
      <w:pPr>
        <w:pStyle w:val="3"/>
        <w:tabs>
          <w:tab w:val="left" w:pos="567"/>
        </w:tabs>
        <w:spacing w:line="440" w:lineRule="exact"/>
        <w:ind w:firstLine="420" w:firstLineChars="200"/>
        <w:rPr>
          <w:rFonts w:hint="eastAsia" w:ascii="宋体" w:hAnsi="宋体" w:eastAsia="宋体" w:cs="宋体"/>
          <w:szCs w:val="24"/>
          <w:highlight w:val="yellow"/>
          <w:lang w:eastAsia="zh-CN"/>
        </w:rPr>
      </w:pPr>
      <w:r>
        <w:rPr>
          <w:rFonts w:hint="eastAsia" w:ascii="宋体" w:hAnsi="宋体" w:eastAsia="宋体" w:cs="宋体"/>
          <w:szCs w:val="24"/>
          <w:highlight w:val="yellow"/>
          <w:lang w:eastAsia="zh-CN"/>
        </w:rPr>
        <w:t>联系电话：</w:t>
      </w:r>
      <w:r>
        <w:rPr>
          <w:rFonts w:hint="eastAsia" w:ascii="宋体" w:hAnsi="宋体" w:eastAsia="宋体" w:cs="宋体"/>
          <w:szCs w:val="24"/>
          <w:highlight w:val="yellow"/>
          <w:u w:val="single"/>
          <w:lang w:eastAsia="zh-CN"/>
        </w:rPr>
        <w:t xml:space="preserve">                    </w:t>
      </w:r>
    </w:p>
    <w:p w14:paraId="3A732759">
      <w:pPr>
        <w:pStyle w:val="3"/>
        <w:tabs>
          <w:tab w:val="left" w:pos="567"/>
        </w:tabs>
        <w:spacing w:line="440" w:lineRule="exact"/>
        <w:ind w:firstLine="420" w:firstLineChars="200"/>
        <w:rPr>
          <w:rFonts w:hint="eastAsia" w:ascii="宋体" w:hAnsi="宋体" w:eastAsia="宋体" w:cs="宋体"/>
          <w:szCs w:val="24"/>
          <w:highlight w:val="yellow"/>
          <w:lang w:eastAsia="zh-CN"/>
        </w:rPr>
      </w:pPr>
      <w:r>
        <w:rPr>
          <w:rFonts w:hint="eastAsia" w:ascii="宋体" w:hAnsi="宋体" w:eastAsia="宋体" w:cs="宋体"/>
          <w:szCs w:val="24"/>
          <w:highlight w:val="yellow"/>
          <w:lang w:eastAsia="zh-CN"/>
        </w:rPr>
        <w:t>电子信箱：</w:t>
      </w:r>
      <w:r>
        <w:rPr>
          <w:rFonts w:hint="eastAsia" w:ascii="宋体" w:hAnsi="宋体" w:eastAsia="宋体" w:cs="宋体"/>
          <w:szCs w:val="24"/>
          <w:highlight w:val="yellow"/>
          <w:u w:val="single"/>
          <w:lang w:eastAsia="zh-CN"/>
        </w:rPr>
        <w:t xml:space="preserve">                    </w:t>
      </w:r>
    </w:p>
    <w:p w14:paraId="6EB95446">
      <w:pPr>
        <w:pStyle w:val="3"/>
        <w:tabs>
          <w:tab w:val="left" w:pos="567"/>
        </w:tabs>
        <w:spacing w:line="440" w:lineRule="exact"/>
        <w:ind w:firstLine="420" w:firstLineChars="200"/>
        <w:rPr>
          <w:rFonts w:hint="eastAsia" w:ascii="宋体" w:hAnsi="宋体" w:eastAsia="宋体" w:cs="宋体"/>
          <w:szCs w:val="24"/>
          <w:highlight w:val="yellow"/>
          <w:lang w:eastAsia="zh-CN"/>
        </w:rPr>
      </w:pPr>
      <w:r>
        <w:rPr>
          <w:rFonts w:hint="eastAsia" w:ascii="宋体" w:hAnsi="宋体" w:eastAsia="宋体" w:cs="宋体"/>
          <w:szCs w:val="24"/>
          <w:highlight w:val="yellow"/>
          <w:lang w:eastAsia="zh-CN"/>
        </w:rPr>
        <w:t>通信地址：</w:t>
      </w:r>
      <w:r>
        <w:rPr>
          <w:rFonts w:hint="eastAsia" w:ascii="宋体" w:hAnsi="宋体" w:eastAsia="宋体" w:cs="宋体"/>
          <w:szCs w:val="24"/>
          <w:highlight w:val="yellow"/>
          <w:u w:val="single"/>
          <w:lang w:eastAsia="zh-CN"/>
        </w:rPr>
        <w:t xml:space="preserve">                    </w:t>
      </w:r>
    </w:p>
    <w:p w14:paraId="56E3048E">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1.1.3 工程和设备</w:t>
      </w:r>
    </w:p>
    <w:p w14:paraId="5E3290A1">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rPr>
        <w:fldChar w:fldCharType="begin"/>
      </w:r>
      <w:r>
        <w:rPr>
          <w:rFonts w:hint="eastAsia" w:ascii="宋体" w:hAnsi="宋体" w:eastAsia="宋体" w:cs="宋体"/>
        </w:rPr>
        <w:instrText xml:space="preserve"> HYPERLINK "file:///E:\\微信文件\\WeChat%20Files\\wxid_3hcjvnl979gw22\\FileStorage\\File\\2025-03\\1.1.3.2" </w:instrText>
      </w:r>
      <w:r>
        <w:rPr>
          <w:rFonts w:hint="eastAsia" w:ascii="宋体" w:hAnsi="宋体" w:eastAsia="宋体" w:cs="宋体"/>
        </w:rPr>
        <w:fldChar w:fldCharType="separate"/>
      </w:r>
      <w:r>
        <w:rPr>
          <w:rFonts w:hint="eastAsia" w:ascii="宋体" w:hAnsi="宋体" w:eastAsia="宋体" w:cs="宋体"/>
          <w:szCs w:val="24"/>
          <w:lang w:eastAsia="zh-CN"/>
        </w:rPr>
        <w:t>1.1.3.</w:t>
      </w:r>
      <w:r>
        <w:rPr>
          <w:rFonts w:hint="eastAsia" w:ascii="宋体" w:hAnsi="宋体" w:eastAsia="宋体" w:cs="宋体"/>
          <w:szCs w:val="24"/>
          <w:lang w:eastAsia="zh-CN"/>
        </w:rPr>
        <w:fldChar w:fldCharType="end"/>
      </w:r>
      <w:r>
        <w:rPr>
          <w:rFonts w:hint="eastAsia" w:ascii="宋体" w:hAnsi="宋体" w:eastAsia="宋体" w:cs="宋体"/>
          <w:szCs w:val="24"/>
          <w:lang w:eastAsia="zh-CN"/>
        </w:rPr>
        <w:t>2 永久工程：</w:t>
      </w:r>
      <w:r>
        <w:rPr>
          <w:rFonts w:hint="eastAsia" w:ascii="宋体" w:hAnsi="宋体" w:eastAsia="宋体" w:cs="宋体"/>
          <w:szCs w:val="24"/>
          <w:u w:val="single"/>
          <w:lang w:eastAsia="zh-CN"/>
        </w:rPr>
        <w:t>本工程施工图纸中所需建造、完成并移交给发包人的工程，包括工程设备。</w:t>
      </w:r>
    </w:p>
    <w:p w14:paraId="54E3508C">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rPr>
        <w:fldChar w:fldCharType="begin"/>
      </w:r>
      <w:r>
        <w:rPr>
          <w:rFonts w:hint="eastAsia" w:ascii="宋体" w:hAnsi="宋体" w:eastAsia="宋体" w:cs="宋体"/>
        </w:rPr>
        <w:instrText xml:space="preserve"> HYPERLINK "file:///E:\\微信文件\\WeChat%20Files\\wxid_3hcjvnl979gw22\\FileStorage\\File\\2025-03\\1.1.3.3" </w:instrText>
      </w:r>
      <w:r>
        <w:rPr>
          <w:rFonts w:hint="eastAsia" w:ascii="宋体" w:hAnsi="宋体" w:eastAsia="宋体" w:cs="宋体"/>
        </w:rPr>
        <w:fldChar w:fldCharType="separate"/>
      </w:r>
      <w:r>
        <w:rPr>
          <w:rFonts w:hint="eastAsia" w:ascii="宋体" w:hAnsi="宋体" w:eastAsia="宋体" w:cs="宋体"/>
          <w:szCs w:val="24"/>
          <w:lang w:eastAsia="zh-CN"/>
        </w:rPr>
        <w:t>1.1.3.</w:t>
      </w:r>
      <w:r>
        <w:rPr>
          <w:rFonts w:hint="eastAsia" w:ascii="宋体" w:hAnsi="宋体" w:eastAsia="宋体" w:cs="宋体"/>
          <w:szCs w:val="24"/>
          <w:lang w:eastAsia="zh-CN"/>
        </w:rPr>
        <w:fldChar w:fldCharType="end"/>
      </w:r>
      <w:r>
        <w:rPr>
          <w:rFonts w:hint="eastAsia" w:ascii="宋体" w:hAnsi="宋体" w:eastAsia="宋体" w:cs="宋体"/>
          <w:szCs w:val="24"/>
          <w:lang w:eastAsia="zh-CN"/>
        </w:rPr>
        <w:t>3 临时工程：</w:t>
      </w:r>
      <w:r>
        <w:rPr>
          <w:rFonts w:hint="eastAsia" w:ascii="宋体" w:hAnsi="宋体" w:eastAsia="宋体" w:cs="宋体"/>
          <w:szCs w:val="24"/>
          <w:u w:val="single"/>
          <w:lang w:eastAsia="zh-CN"/>
        </w:rPr>
        <w:t>承包人为完成本合同范围内的全部永久工程而修建和搭设的临时性工程，并在发包人要求时 ，承包人需予以全部拆除的工程。包括但不限于临时性用房、临时性道路、场地、施工及生活区供水供电工程、施工照明工程、机械及设备基础。</w:t>
      </w:r>
    </w:p>
    <w:p w14:paraId="2F95DF7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rPr>
        <w:fldChar w:fldCharType="begin"/>
      </w:r>
      <w:r>
        <w:rPr>
          <w:rFonts w:hint="eastAsia" w:ascii="宋体" w:hAnsi="宋体" w:eastAsia="宋体" w:cs="宋体"/>
        </w:rPr>
        <w:instrText xml:space="preserve"> HYPERLINK "file:///E:\\微信文件\\WeChat%20Files\\wxid_3hcjvnl979gw22\\FileStorage\\File\\2025-03\\1.1.3.10" </w:instrText>
      </w:r>
      <w:r>
        <w:rPr>
          <w:rFonts w:hint="eastAsia" w:ascii="宋体" w:hAnsi="宋体" w:eastAsia="宋体" w:cs="宋体"/>
        </w:rPr>
        <w:fldChar w:fldCharType="separate"/>
      </w:r>
      <w:r>
        <w:rPr>
          <w:rFonts w:hint="eastAsia" w:ascii="宋体" w:hAnsi="宋体" w:eastAsia="宋体" w:cs="宋体"/>
          <w:szCs w:val="24"/>
          <w:lang w:eastAsia="zh-CN"/>
        </w:rPr>
        <w:t>1.1.3.</w:t>
      </w:r>
      <w:r>
        <w:rPr>
          <w:rFonts w:hint="eastAsia" w:ascii="宋体" w:hAnsi="宋体" w:eastAsia="宋体" w:cs="宋体"/>
          <w:szCs w:val="24"/>
          <w:lang w:eastAsia="zh-CN"/>
        </w:rPr>
        <w:fldChar w:fldCharType="end"/>
      </w:r>
      <w:r>
        <w:rPr>
          <w:rFonts w:hint="eastAsia" w:ascii="宋体" w:hAnsi="宋体" w:eastAsia="宋体" w:cs="宋体"/>
          <w:szCs w:val="24"/>
          <w:lang w:eastAsia="zh-CN"/>
        </w:rPr>
        <w:t>10 永久占地：</w:t>
      </w:r>
      <w:r>
        <w:rPr>
          <w:rFonts w:hint="eastAsia" w:ascii="宋体" w:hAnsi="宋体" w:eastAsia="宋体" w:cs="宋体"/>
          <w:szCs w:val="24"/>
          <w:u w:val="single"/>
          <w:lang w:eastAsia="zh-CN"/>
        </w:rPr>
        <w:t>为实施本合同工程需要的永久占地。</w:t>
      </w:r>
    </w:p>
    <w:p w14:paraId="23AA41C1">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rPr>
        <w:fldChar w:fldCharType="begin"/>
      </w:r>
      <w:r>
        <w:rPr>
          <w:rFonts w:hint="eastAsia" w:ascii="宋体" w:hAnsi="宋体" w:eastAsia="宋体" w:cs="宋体"/>
        </w:rPr>
        <w:instrText xml:space="preserve"> HYPERLINK "file:///E:\\微信文件\\WeChat%20Files\\wxid_3hcjvnl979gw22\\FileStorage\\File\\2025-03\\1.1.3.11" </w:instrText>
      </w:r>
      <w:r>
        <w:rPr>
          <w:rFonts w:hint="eastAsia" w:ascii="宋体" w:hAnsi="宋体" w:eastAsia="宋体" w:cs="宋体"/>
        </w:rPr>
        <w:fldChar w:fldCharType="separate"/>
      </w:r>
      <w:r>
        <w:rPr>
          <w:rFonts w:hint="eastAsia" w:ascii="宋体" w:hAnsi="宋体" w:eastAsia="宋体" w:cs="宋体"/>
          <w:szCs w:val="24"/>
          <w:lang w:eastAsia="zh-CN"/>
        </w:rPr>
        <w:t>1.1.3.</w:t>
      </w:r>
      <w:r>
        <w:rPr>
          <w:rFonts w:hint="eastAsia" w:ascii="宋体" w:hAnsi="宋体" w:eastAsia="宋体" w:cs="宋体"/>
          <w:szCs w:val="24"/>
          <w:lang w:eastAsia="zh-CN"/>
        </w:rPr>
        <w:fldChar w:fldCharType="end"/>
      </w:r>
      <w:r>
        <w:rPr>
          <w:rFonts w:hint="eastAsia" w:ascii="宋体" w:hAnsi="宋体" w:eastAsia="宋体" w:cs="宋体"/>
          <w:szCs w:val="24"/>
          <w:lang w:eastAsia="zh-CN"/>
        </w:rPr>
        <w:t>11 临时占地：</w:t>
      </w:r>
      <w:r>
        <w:rPr>
          <w:rFonts w:hint="eastAsia" w:ascii="宋体" w:hAnsi="宋体" w:eastAsia="宋体" w:cs="宋体"/>
          <w:szCs w:val="24"/>
          <w:u w:val="single"/>
          <w:lang w:eastAsia="zh-CN"/>
        </w:rPr>
        <w:t>承包人结合现场实际情况及经发包人和监理审核通过的施工组织方案临时占用的场地，如临时占地在红线外，发包人配合承包人办理相关手续。</w:t>
      </w:r>
    </w:p>
    <w:p w14:paraId="55A9501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1.1.4 日期</w:t>
      </w:r>
    </w:p>
    <w:p w14:paraId="5B719CE7">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rPr>
        <w:fldChar w:fldCharType="begin"/>
      </w:r>
      <w:r>
        <w:rPr>
          <w:rFonts w:hint="eastAsia" w:ascii="宋体" w:hAnsi="宋体" w:eastAsia="宋体" w:cs="宋体"/>
        </w:rPr>
        <w:instrText xml:space="preserve"> HYPERLINK "file:///E:\\微信文件\\WeChat%20Files\\wxid_3hcjvnl979gw22\\FileStorage\\File\\2025-03\\1.1.4.5" </w:instrText>
      </w:r>
      <w:r>
        <w:rPr>
          <w:rFonts w:hint="eastAsia" w:ascii="宋体" w:hAnsi="宋体" w:eastAsia="宋体" w:cs="宋体"/>
        </w:rPr>
        <w:fldChar w:fldCharType="separate"/>
      </w:r>
      <w:r>
        <w:rPr>
          <w:rFonts w:hint="eastAsia" w:ascii="宋体" w:hAnsi="宋体" w:eastAsia="宋体" w:cs="宋体"/>
          <w:szCs w:val="24"/>
          <w:lang w:eastAsia="zh-CN"/>
        </w:rPr>
        <w:t>1.1.</w:t>
      </w:r>
      <w:r>
        <w:rPr>
          <w:rFonts w:hint="eastAsia" w:ascii="宋体" w:hAnsi="宋体" w:eastAsia="宋体" w:cs="宋体"/>
          <w:szCs w:val="24"/>
          <w:lang w:eastAsia="zh-CN"/>
        </w:rPr>
        <w:fldChar w:fldCharType="end"/>
      </w:r>
      <w:r>
        <w:rPr>
          <w:rFonts w:hint="eastAsia" w:ascii="宋体" w:hAnsi="宋体" w:eastAsia="宋体" w:cs="宋体"/>
          <w:szCs w:val="24"/>
          <w:lang w:eastAsia="zh-CN"/>
        </w:rPr>
        <w:t>4.5 缺陷责任期期限：</w:t>
      </w:r>
      <w:r>
        <w:rPr>
          <w:rFonts w:hint="eastAsia" w:ascii="宋体" w:hAnsi="宋体" w:eastAsia="宋体" w:cs="宋体"/>
          <w:szCs w:val="24"/>
          <w:u w:val="single"/>
          <w:lang w:eastAsia="zh-CN"/>
        </w:rPr>
        <w:t xml:space="preserve">  12  </w:t>
      </w:r>
      <w:r>
        <w:rPr>
          <w:rFonts w:hint="eastAsia" w:ascii="宋体" w:hAnsi="宋体" w:eastAsia="宋体" w:cs="宋体"/>
          <w:szCs w:val="24"/>
          <w:lang w:eastAsia="zh-CN"/>
        </w:rPr>
        <w:t>月。</w:t>
      </w:r>
    </w:p>
    <w:p w14:paraId="309D2602">
      <w:pPr>
        <w:pStyle w:val="3"/>
        <w:tabs>
          <w:tab w:val="left" w:pos="567"/>
        </w:tabs>
        <w:spacing w:line="440" w:lineRule="exact"/>
        <w:ind w:firstLine="420" w:firstLineChars="200"/>
        <w:rPr>
          <w:rFonts w:hint="eastAsia" w:ascii="宋体" w:hAnsi="宋体" w:eastAsia="宋体" w:cs="宋体"/>
          <w:u w:val="single"/>
          <w:lang w:eastAsia="zh-CN"/>
        </w:rPr>
      </w:pPr>
      <w:r>
        <w:rPr>
          <w:rFonts w:hint="eastAsia" w:ascii="宋体" w:hAnsi="宋体" w:eastAsia="宋体" w:cs="宋体"/>
          <w:lang w:eastAsia="zh-CN"/>
        </w:rPr>
        <w:t>1.1.8</w:t>
      </w:r>
      <w:r>
        <w:rPr>
          <w:rFonts w:hint="eastAsia" w:ascii="宋体" w:hAnsi="宋体" w:eastAsia="宋体" w:cs="宋体"/>
          <w:kern w:val="2"/>
          <w:sz w:val="24"/>
          <w:szCs w:val="24"/>
          <w:lang w:eastAsia="zh-CN"/>
        </w:rPr>
        <w:t xml:space="preserve"> 其他需要补充的内容：</w:t>
      </w:r>
      <w:r>
        <w:rPr>
          <w:rFonts w:hint="eastAsia" w:ascii="宋体" w:hAnsi="宋体" w:eastAsia="宋体" w:cs="宋体"/>
          <w:szCs w:val="24"/>
          <w:u w:val="single"/>
          <w:lang w:eastAsia="zh-CN"/>
        </w:rPr>
        <w:t xml:space="preserve">  /  </w:t>
      </w:r>
    </w:p>
    <w:p w14:paraId="17C7D745">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1.4 合同文件的优先顺序</w:t>
      </w:r>
    </w:p>
    <w:p w14:paraId="689A42E9">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合同文件的优先解释顺序如下：</w:t>
      </w:r>
    </w:p>
    <w:p w14:paraId="0105E47A">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（1）合同协议书；</w:t>
      </w:r>
    </w:p>
    <w:p w14:paraId="5A1ACB2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（2）成交通知书；</w:t>
      </w:r>
    </w:p>
    <w:p w14:paraId="50F05EC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（3）最终报价文件；</w:t>
      </w:r>
    </w:p>
    <w:p w14:paraId="3071B64A">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（4）专用合同条款；</w:t>
      </w:r>
    </w:p>
    <w:p w14:paraId="156B0A3B">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（5）通用合同条款；</w:t>
      </w:r>
    </w:p>
    <w:p w14:paraId="467428A3">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（6）已标价的工程量清单；</w:t>
      </w:r>
    </w:p>
    <w:p w14:paraId="7147DFAF">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（7）技术标准和要求 ；</w:t>
      </w:r>
    </w:p>
    <w:p w14:paraId="6D5D410C">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（8）图纸 ；</w:t>
      </w:r>
    </w:p>
    <w:p w14:paraId="2D954898">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（9）施工组织设计。</w:t>
      </w:r>
    </w:p>
    <w:p w14:paraId="530EC3F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对于同一类合同文件，其签署、颁发的时间在后者具有优先解释顺序。</w:t>
      </w:r>
    </w:p>
    <w:p w14:paraId="78809EE9">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1.5 合同协议书</w:t>
      </w:r>
    </w:p>
    <w:p w14:paraId="795D5C15">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合同生效的条件：双方签字盖章后生效</w:t>
      </w:r>
    </w:p>
    <w:p w14:paraId="0DA2932F">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1.6 图纸和承包人文件</w:t>
      </w:r>
    </w:p>
    <w:p w14:paraId="30F527C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1.5.1 图纸的提供</w:t>
      </w:r>
    </w:p>
    <w:p w14:paraId="4804A00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1.5.1.1 发包人提供图纸的期限：</w:t>
      </w:r>
      <w:r>
        <w:rPr>
          <w:rFonts w:hint="eastAsia" w:ascii="宋体" w:hAnsi="宋体" w:eastAsia="宋体" w:cs="宋体"/>
          <w:szCs w:val="24"/>
          <w:u w:val="single"/>
          <w:lang w:eastAsia="zh-CN"/>
        </w:rPr>
        <w:t xml:space="preserve">        </w:t>
      </w:r>
      <w:r>
        <w:rPr>
          <w:rFonts w:hint="eastAsia" w:ascii="宋体" w:hAnsi="宋体" w:eastAsia="宋体" w:cs="宋体"/>
          <w:szCs w:val="24"/>
          <w:u w:val="single"/>
          <w:lang w:val="en-US" w:eastAsia="zh-CN"/>
        </w:rPr>
        <w:t>/</w:t>
      </w:r>
      <w:r>
        <w:rPr>
          <w:rFonts w:hint="eastAsia" w:ascii="宋体" w:hAnsi="宋体" w:eastAsia="宋体" w:cs="宋体"/>
          <w:szCs w:val="24"/>
          <w:u w:val="single"/>
          <w:lang w:eastAsia="zh-CN"/>
        </w:rPr>
        <w:t xml:space="preserve">         </w:t>
      </w:r>
      <w:r>
        <w:rPr>
          <w:rFonts w:hint="eastAsia" w:ascii="宋体" w:hAnsi="宋体" w:eastAsia="宋体" w:cs="宋体"/>
          <w:szCs w:val="24"/>
          <w:lang w:eastAsia="zh-CN"/>
        </w:rPr>
        <w:t>。</w:t>
      </w:r>
    </w:p>
    <w:p w14:paraId="747B8A4C">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1.5.1.2 发包人提供图纸的数量：</w:t>
      </w:r>
      <w:r>
        <w:rPr>
          <w:rFonts w:hint="eastAsia" w:ascii="宋体" w:hAnsi="宋体" w:eastAsia="宋体" w:cs="宋体"/>
          <w:szCs w:val="24"/>
          <w:u w:val="single"/>
          <w:lang w:eastAsia="zh-CN"/>
        </w:rPr>
        <w:t xml:space="preserve">         </w:t>
      </w:r>
      <w:r>
        <w:rPr>
          <w:rFonts w:hint="eastAsia" w:ascii="宋体" w:hAnsi="宋体" w:eastAsia="宋体" w:cs="宋体"/>
          <w:szCs w:val="24"/>
          <w:u w:val="single"/>
          <w:lang w:val="en-US" w:eastAsia="zh-CN"/>
        </w:rPr>
        <w:t>/</w:t>
      </w:r>
      <w:r>
        <w:rPr>
          <w:rFonts w:hint="eastAsia" w:ascii="宋体" w:hAnsi="宋体" w:eastAsia="宋体" w:cs="宋体"/>
          <w:szCs w:val="24"/>
          <w:u w:val="single"/>
          <w:lang w:eastAsia="zh-CN"/>
        </w:rPr>
        <w:t xml:space="preserve">        </w:t>
      </w:r>
      <w:r>
        <w:rPr>
          <w:rFonts w:hint="eastAsia" w:ascii="宋体" w:hAnsi="宋体" w:eastAsia="宋体" w:cs="宋体"/>
          <w:szCs w:val="24"/>
          <w:lang w:eastAsia="zh-CN"/>
        </w:rPr>
        <w:t>。</w:t>
      </w:r>
    </w:p>
    <w:p w14:paraId="42758570">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1.5.1.3 其他约定：</w:t>
      </w:r>
      <w:r>
        <w:rPr>
          <w:rFonts w:hint="eastAsia" w:ascii="宋体" w:hAnsi="宋体" w:eastAsia="宋体" w:cs="宋体"/>
          <w:szCs w:val="24"/>
          <w:u w:val="single"/>
          <w:lang w:eastAsia="zh-CN"/>
        </w:rPr>
        <w:t xml:space="preserve">             </w:t>
      </w:r>
      <w:r>
        <w:rPr>
          <w:rFonts w:hint="eastAsia" w:ascii="宋体" w:hAnsi="宋体" w:eastAsia="宋体" w:cs="宋体"/>
          <w:szCs w:val="24"/>
          <w:u w:val="single"/>
          <w:lang w:val="en-US" w:eastAsia="zh-CN"/>
        </w:rPr>
        <w:t>/</w:t>
      </w:r>
      <w:r>
        <w:rPr>
          <w:rFonts w:hint="eastAsia" w:ascii="宋体" w:hAnsi="宋体" w:eastAsia="宋体" w:cs="宋体"/>
          <w:szCs w:val="24"/>
          <w:u w:val="single"/>
          <w:lang w:eastAsia="zh-CN"/>
        </w:rPr>
        <w:t xml:space="preserve">                </w:t>
      </w:r>
      <w:r>
        <w:rPr>
          <w:rFonts w:hint="eastAsia" w:ascii="宋体" w:hAnsi="宋体" w:eastAsia="宋体" w:cs="宋体"/>
          <w:szCs w:val="24"/>
          <w:lang w:eastAsia="zh-CN"/>
        </w:rPr>
        <w:t>。</w:t>
      </w:r>
    </w:p>
    <w:p w14:paraId="318CEF08">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1.5.2 承包人提供的文件</w:t>
      </w:r>
    </w:p>
    <w:p w14:paraId="06BADB7A">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1.5.2.1 由承包人提供的文件范围：</w:t>
      </w:r>
      <w:r>
        <w:rPr>
          <w:rFonts w:hint="eastAsia" w:ascii="宋体" w:hAnsi="宋体" w:eastAsia="宋体" w:cs="宋体"/>
          <w:szCs w:val="24"/>
          <w:u w:val="single"/>
          <w:lang w:eastAsia="zh-CN"/>
        </w:rPr>
        <w:t>按照合同文件要求提交施工组织设计、进度报表等文件。</w:t>
      </w:r>
    </w:p>
    <w:p w14:paraId="49829B6E">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lang w:eastAsia="zh-CN"/>
        </w:rPr>
        <w:t>承包人提供文件的期限：</w:t>
      </w:r>
      <w:r>
        <w:rPr>
          <w:rFonts w:hint="eastAsia" w:ascii="宋体" w:hAnsi="宋体" w:eastAsia="宋体" w:cs="宋体"/>
          <w:szCs w:val="24"/>
          <w:u w:val="single"/>
          <w:lang w:eastAsia="zh-CN"/>
        </w:rPr>
        <w:t>承包人应当在签订合同后10日内，提供满足施工进度要求的施工组织设计、施工方案、施工安全措施计划、施工环保措施计划、施工进度计划等文件。</w:t>
      </w:r>
    </w:p>
    <w:p w14:paraId="3291A91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1.5.2.2 承包人提供文件的数量：</w:t>
      </w:r>
      <w:r>
        <w:rPr>
          <w:rFonts w:hint="eastAsia" w:ascii="宋体" w:hAnsi="宋体" w:eastAsia="宋体" w:cs="宋体"/>
          <w:szCs w:val="24"/>
          <w:u w:val="single"/>
          <w:lang w:eastAsia="zh-CN"/>
        </w:rPr>
        <w:t xml:space="preserve"> 合同文件中有相关规定的，按照相关规定执行。没有相关规定的，文件数量应当满足工程需要及审批需要 </w:t>
      </w:r>
      <w:r>
        <w:rPr>
          <w:rFonts w:hint="eastAsia" w:ascii="宋体" w:hAnsi="宋体" w:eastAsia="宋体" w:cs="宋体"/>
          <w:szCs w:val="24"/>
          <w:lang w:eastAsia="zh-CN"/>
        </w:rPr>
        <w:t>。</w:t>
      </w:r>
    </w:p>
    <w:p w14:paraId="190FF6C7">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1.5.2.3 其他约定：</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w:t>
      </w:r>
    </w:p>
    <w:p w14:paraId="147ADE9A">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1.7 联络</w:t>
      </w:r>
    </w:p>
    <w:p w14:paraId="48BA7729">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1.6.1 联络来往函件的送达和接收</w:t>
      </w:r>
    </w:p>
    <w:p w14:paraId="347A4918">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（2）发包人指定的接收地点：</w:t>
      </w:r>
      <w:r>
        <w:rPr>
          <w:rFonts w:hint="eastAsia" w:ascii="宋体" w:hAnsi="宋体" w:eastAsia="宋体" w:cs="宋体"/>
          <w:szCs w:val="24"/>
          <w:u w:val="single"/>
          <w:lang w:eastAsia="zh-CN"/>
        </w:rPr>
        <w:t>发包人项目部</w:t>
      </w:r>
      <w:r>
        <w:rPr>
          <w:rFonts w:hint="eastAsia" w:ascii="宋体" w:hAnsi="宋体" w:eastAsia="宋体" w:cs="宋体"/>
          <w:szCs w:val="24"/>
          <w:lang w:eastAsia="zh-CN"/>
        </w:rPr>
        <w:t xml:space="preserve">  </w:t>
      </w:r>
      <w:r>
        <w:rPr>
          <w:rFonts w:hint="eastAsia" w:ascii="宋体" w:hAnsi="宋体" w:eastAsia="宋体" w:cs="宋体"/>
          <w:szCs w:val="24"/>
          <w:highlight w:val="yellow"/>
          <w:lang w:eastAsia="zh-CN"/>
        </w:rPr>
        <w:t>发包人指定的接收人为：</w:t>
      </w:r>
      <w:r>
        <w:rPr>
          <w:rFonts w:hint="eastAsia" w:ascii="宋体" w:hAnsi="宋体" w:eastAsia="宋体" w:cs="宋体"/>
          <w:szCs w:val="24"/>
          <w:highlight w:val="yellow"/>
          <w:u w:val="single"/>
          <w:lang w:eastAsia="zh-CN"/>
        </w:rPr>
        <w:t xml:space="preserve">     </w:t>
      </w:r>
    </w:p>
    <w:p w14:paraId="5252F875">
      <w:pPr>
        <w:pStyle w:val="3"/>
        <w:tabs>
          <w:tab w:val="left" w:pos="567"/>
        </w:tabs>
        <w:spacing w:line="440" w:lineRule="exact"/>
        <w:ind w:firstLine="420" w:firstLineChars="200"/>
        <w:rPr>
          <w:rFonts w:hint="eastAsia" w:ascii="宋体" w:hAnsi="宋体" w:eastAsia="宋体" w:cs="宋体"/>
          <w:szCs w:val="24"/>
          <w:highlight w:val="yellow"/>
          <w:lang w:eastAsia="zh-CN"/>
        </w:rPr>
      </w:pPr>
      <w:r>
        <w:rPr>
          <w:rFonts w:hint="eastAsia" w:ascii="宋体" w:hAnsi="宋体" w:eastAsia="宋体" w:cs="宋体"/>
          <w:szCs w:val="24"/>
          <w:highlight w:val="yellow"/>
          <w:lang w:eastAsia="zh-CN"/>
        </w:rPr>
        <w:t>（3）监理人指定的接收地点：</w:t>
      </w:r>
      <w:r>
        <w:rPr>
          <w:rFonts w:hint="eastAsia" w:ascii="宋体" w:hAnsi="宋体" w:eastAsia="宋体" w:cs="宋体"/>
          <w:szCs w:val="24"/>
          <w:highlight w:val="yellow"/>
          <w:u w:val="single"/>
          <w:lang w:eastAsia="zh-CN"/>
        </w:rPr>
        <w:t>待定</w:t>
      </w:r>
      <w:r>
        <w:rPr>
          <w:rFonts w:hint="eastAsia" w:ascii="宋体" w:hAnsi="宋体" w:eastAsia="宋体" w:cs="宋体"/>
          <w:szCs w:val="24"/>
          <w:highlight w:val="yellow"/>
          <w:lang w:eastAsia="zh-CN"/>
        </w:rPr>
        <w:t xml:space="preserve">  监理人指定的接收人为：</w:t>
      </w:r>
      <w:r>
        <w:rPr>
          <w:rFonts w:hint="eastAsia" w:ascii="宋体" w:hAnsi="宋体" w:eastAsia="宋体" w:cs="宋体"/>
          <w:szCs w:val="24"/>
          <w:highlight w:val="yellow"/>
          <w:u w:val="single"/>
          <w:lang w:eastAsia="zh-CN"/>
        </w:rPr>
        <w:t>待定</w:t>
      </w:r>
    </w:p>
    <w:p w14:paraId="54127911">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（4）承包人指定的接收地点：</w:t>
      </w:r>
      <w:r>
        <w:rPr>
          <w:rFonts w:hint="eastAsia" w:ascii="宋体" w:hAnsi="宋体" w:eastAsia="宋体" w:cs="宋体"/>
          <w:szCs w:val="24"/>
          <w:u w:val="single"/>
          <w:lang w:eastAsia="zh-CN"/>
        </w:rPr>
        <w:t>承包人项目部</w:t>
      </w:r>
    </w:p>
    <w:p w14:paraId="63BB75D6">
      <w:pPr>
        <w:pStyle w:val="3"/>
        <w:tabs>
          <w:tab w:val="left" w:pos="567"/>
        </w:tabs>
        <w:spacing w:line="440" w:lineRule="exact"/>
        <w:ind w:firstLine="422" w:firstLineChars="200"/>
        <w:outlineLvl w:val="1"/>
        <w:rPr>
          <w:rFonts w:hint="eastAsia" w:ascii="宋体" w:hAnsi="宋体" w:eastAsia="宋体" w:cs="宋体"/>
          <w:b/>
          <w:bCs/>
          <w:sz w:val="28"/>
          <w:szCs w:val="28"/>
          <w:lang w:eastAsia="zh-CN"/>
        </w:rPr>
      </w:pPr>
      <w:bookmarkStart w:id="1007" w:name="_Toc189651548"/>
      <w:r>
        <w:rPr>
          <w:rFonts w:hint="eastAsia" w:ascii="宋体" w:hAnsi="宋体" w:eastAsia="宋体" w:cs="宋体"/>
          <w:b/>
          <w:bCs/>
          <w:szCs w:val="24"/>
          <w:lang w:eastAsia="zh-CN"/>
        </w:rPr>
        <w:t>2.发包人义务</w:t>
      </w:r>
      <w:bookmarkEnd w:id="1007"/>
    </w:p>
    <w:p w14:paraId="29A48BD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2.3 提供施工场地</w:t>
      </w:r>
    </w:p>
    <w:p w14:paraId="28950BE0">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发包人移交施工场地的期限：</w:t>
      </w:r>
      <w:r>
        <w:rPr>
          <w:rFonts w:hint="eastAsia" w:ascii="宋体" w:hAnsi="宋体" w:eastAsia="宋体" w:cs="宋体"/>
          <w:szCs w:val="24"/>
          <w:u w:val="single"/>
          <w:lang w:eastAsia="zh-CN"/>
        </w:rPr>
        <w:t>发包人应当将具备施工条件的施工场地，在监理人发出开工通知中载明的开工日期7天前移交给承包人</w:t>
      </w:r>
      <w:r>
        <w:rPr>
          <w:rFonts w:hint="eastAsia" w:ascii="宋体" w:hAnsi="宋体" w:eastAsia="宋体" w:cs="宋体"/>
          <w:szCs w:val="24"/>
          <w:lang w:eastAsia="zh-CN"/>
        </w:rPr>
        <w:t>。</w:t>
      </w:r>
    </w:p>
    <w:p w14:paraId="78F54B4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2.8 向承包人提交支付担保</w:t>
      </w:r>
    </w:p>
    <w:p w14:paraId="75556710">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发包人向承包人提交支付担保的金额</w:t>
      </w:r>
      <w:r>
        <w:rPr>
          <w:rFonts w:hint="eastAsia" w:ascii="宋体" w:hAnsi="宋体" w:eastAsia="宋体" w:cs="宋体"/>
          <w:szCs w:val="24"/>
          <w:highlight w:val="none"/>
          <w:lang w:eastAsia="zh-CN"/>
        </w:rPr>
        <w:t>：</w:t>
      </w:r>
      <w:r>
        <w:rPr>
          <w:rFonts w:hint="eastAsia" w:ascii="宋体" w:hAnsi="宋体" w:eastAsia="宋体" w:cs="宋体"/>
          <w:szCs w:val="24"/>
          <w:highlight w:val="none"/>
          <w:u w:val="single"/>
          <w:lang w:eastAsia="zh-CN"/>
        </w:rPr>
        <w:t xml:space="preserve">       </w:t>
      </w:r>
      <w:r>
        <w:rPr>
          <w:rFonts w:hint="eastAsia" w:ascii="宋体" w:hAnsi="宋体" w:eastAsia="宋体" w:cs="宋体"/>
          <w:szCs w:val="24"/>
          <w:highlight w:val="none"/>
          <w:u w:val="single"/>
          <w:lang w:val="en-US" w:eastAsia="zh-CN"/>
        </w:rPr>
        <w:t>/</w:t>
      </w:r>
      <w:r>
        <w:rPr>
          <w:rFonts w:hint="eastAsia" w:ascii="宋体" w:hAnsi="宋体" w:eastAsia="宋体" w:cs="宋体"/>
          <w:szCs w:val="24"/>
          <w:highlight w:val="none"/>
          <w:u w:val="single"/>
          <w:lang w:eastAsia="zh-CN"/>
        </w:rPr>
        <w:t xml:space="preserve">       </w:t>
      </w:r>
    </w:p>
    <w:p w14:paraId="685FB849">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2.13 其他义务</w:t>
      </w:r>
    </w:p>
    <w:p w14:paraId="3B2DC2E1">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发包人应当履行的其他义务：</w:t>
      </w:r>
    </w:p>
    <w:p w14:paraId="6599FCF7">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2.13.1 关于扬尘治理义务</w:t>
      </w:r>
    </w:p>
    <w:p w14:paraId="5F8A77A8">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2.13.1.1 发包人负责治理扬尘的整体组织工作，负责制定治理扬尘的质量和总目标，并对工程扬尘治理的决策、实施等环节实行全面管理，总体控制治理情况，进行中间检查验收等。</w:t>
      </w:r>
    </w:p>
    <w:p w14:paraId="5E1D3F65">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2.13.1.2 发包人对承包人治理情况进行评价，按照评价结果并依据合同约定及时支付相应的扬尘治理费用；承包人不能满足合同约定的，发包人有权责令改进并保留索赔权利。</w:t>
      </w:r>
    </w:p>
    <w:p w14:paraId="2315FDF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2.13.1.3 发包人委托工程监理单位对承包人落实文明施工和环境保护措施情况进行现场监理。</w:t>
      </w:r>
    </w:p>
    <w:p w14:paraId="1DBC4193">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2.13.2 保障农民工工资支付的义务（依据《保障农民工工资支付条例》（国务院令第724号摘录）：</w:t>
      </w:r>
    </w:p>
    <w:p w14:paraId="5A2C6643">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2.13.2.1 发包人应按照有关法律、法规、规章及规范性文件规定加强对承包人按时足额支付农民工工资的监督。</w:t>
      </w:r>
    </w:p>
    <w:p w14:paraId="745C0B9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2.13.2.2 发包人应当以项目为单位建立保障农民工工资支付协调机制和工资拖欠预防机制，督促承包人加强劳动用工管理，妥善处理与农民工工资支付相关的矛盾纠纷。发生农民工集体讨薪事件的，发包人应当会同承包人及时处理，并向项目所在地人力资源社会保障行政部门和相关行业工程建设主管部门报告有关情况。</w:t>
      </w:r>
    </w:p>
    <w:p w14:paraId="0A35148C">
      <w:pPr>
        <w:pStyle w:val="3"/>
        <w:tabs>
          <w:tab w:val="left" w:pos="567"/>
        </w:tabs>
        <w:spacing w:line="440" w:lineRule="exact"/>
        <w:ind w:firstLine="422" w:firstLineChars="200"/>
        <w:outlineLvl w:val="1"/>
        <w:rPr>
          <w:rFonts w:hint="eastAsia" w:ascii="宋体" w:hAnsi="宋体" w:eastAsia="宋体" w:cs="宋体"/>
          <w:b/>
          <w:bCs/>
          <w:szCs w:val="24"/>
          <w:lang w:eastAsia="zh-CN"/>
        </w:rPr>
      </w:pPr>
      <w:bookmarkStart w:id="1008" w:name="_Toc189651549"/>
      <w:r>
        <w:rPr>
          <w:rFonts w:hint="eastAsia" w:ascii="宋体" w:hAnsi="宋体" w:eastAsia="宋体" w:cs="宋体"/>
          <w:b/>
          <w:bCs/>
          <w:szCs w:val="24"/>
          <w:lang w:eastAsia="zh-CN"/>
        </w:rPr>
        <w:t>3.监理人</w:t>
      </w:r>
      <w:bookmarkEnd w:id="1008"/>
    </w:p>
    <w:p w14:paraId="3161E201">
      <w:pPr>
        <w:pStyle w:val="3"/>
        <w:tabs>
          <w:tab w:val="left" w:pos="567"/>
        </w:tabs>
        <w:spacing w:line="440" w:lineRule="exact"/>
        <w:ind w:firstLine="422" w:firstLineChars="200"/>
        <w:rPr>
          <w:rFonts w:hint="eastAsia" w:ascii="宋体" w:hAnsi="宋体" w:eastAsia="宋体" w:cs="宋体"/>
          <w:szCs w:val="24"/>
          <w:lang w:eastAsia="zh-CN"/>
        </w:rPr>
      </w:pPr>
      <w:r>
        <w:rPr>
          <w:rFonts w:hint="eastAsia" w:ascii="宋体" w:hAnsi="宋体" w:eastAsia="宋体" w:cs="宋体"/>
          <w:b/>
          <w:bCs/>
          <w:szCs w:val="24"/>
          <w:lang w:eastAsia="zh-CN"/>
        </w:rPr>
        <w:t>3.1 监理人的职责和权力</w:t>
      </w:r>
    </w:p>
    <w:p w14:paraId="1327FB1C">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3.1.1 发包人需批准明确行使的权力：</w:t>
      </w:r>
    </w:p>
    <w:p w14:paraId="7FD9243B">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监理人无权对任何工程合同做出任何性质或内容的修改、变更或解除。所有由监理人发出的通知、批准、证书、指示、要求、请求、同意、意见、确定和决定，只要与本工程的人员、合同、价格、支付、计量、计价、工期、工期延长、质量、建筑使用功能、材料和工程设备审批等有关 ，须事先经过发包人的审核并批准，并由发包人或其合法授权人的签字，方可成为发包人和承包人之间有合同约束力的文件。</w:t>
      </w:r>
    </w:p>
    <w:p w14:paraId="484FDB14">
      <w:pPr>
        <w:pStyle w:val="3"/>
        <w:tabs>
          <w:tab w:val="left" w:pos="567"/>
        </w:tabs>
        <w:spacing w:line="440" w:lineRule="exact"/>
        <w:ind w:left="420" w:leftChars="200"/>
        <w:outlineLvl w:val="1"/>
        <w:rPr>
          <w:rFonts w:hint="eastAsia" w:ascii="宋体" w:hAnsi="宋体" w:eastAsia="宋体" w:cs="宋体"/>
          <w:b/>
          <w:bCs/>
          <w:sz w:val="28"/>
          <w:szCs w:val="28"/>
          <w:lang w:eastAsia="zh-CN"/>
        </w:rPr>
      </w:pPr>
      <w:bookmarkStart w:id="1009" w:name="_Toc189651550"/>
      <w:r>
        <w:rPr>
          <w:rFonts w:hint="eastAsia" w:ascii="宋体" w:hAnsi="宋体" w:eastAsia="宋体" w:cs="宋体"/>
          <w:b/>
          <w:bCs/>
          <w:szCs w:val="24"/>
          <w:lang w:eastAsia="zh-CN"/>
        </w:rPr>
        <w:t>4.承包人</w:t>
      </w:r>
      <w:bookmarkEnd w:id="1009"/>
    </w:p>
    <w:p w14:paraId="3A945A9E">
      <w:pPr>
        <w:pStyle w:val="3"/>
        <w:tabs>
          <w:tab w:val="left" w:pos="567"/>
        </w:tabs>
        <w:spacing w:line="440" w:lineRule="exact"/>
        <w:ind w:firstLine="422" w:firstLineChars="200"/>
        <w:rPr>
          <w:rFonts w:hint="eastAsia" w:ascii="宋体" w:hAnsi="宋体" w:eastAsia="宋体" w:cs="宋体"/>
          <w:szCs w:val="24"/>
          <w:lang w:eastAsia="zh-CN"/>
        </w:rPr>
      </w:pPr>
      <w:r>
        <w:rPr>
          <w:rFonts w:hint="eastAsia" w:ascii="宋体" w:hAnsi="宋体" w:eastAsia="宋体" w:cs="宋体"/>
          <w:b/>
          <w:bCs/>
          <w:szCs w:val="24"/>
          <w:lang w:eastAsia="zh-CN"/>
        </w:rPr>
        <w:t>4.1 承包人的一般义务</w:t>
      </w:r>
    </w:p>
    <w:p w14:paraId="68653CC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4.1.8 为他人提供方便</w:t>
      </w:r>
    </w:p>
    <w:p w14:paraId="0ED8C4C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承包人应当对在施工场地或者附近实施与合同工程有关的其他工作的独立承包人履行管理、协调、配合、照管和服务义务的具体工作内容和要求：</w:t>
      </w:r>
    </w:p>
    <w:p w14:paraId="2D00F7A2">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（1）提供施工现场水源、电源；</w:t>
      </w:r>
    </w:p>
    <w:p w14:paraId="1928BB53">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（2）如果根据工程实际进展情况，承包人需拆除现场已存在的临时设施时，承包人须征得发包人和监理人的认可后方可拆除；</w:t>
      </w:r>
    </w:p>
    <w:p w14:paraId="4AA71ED7">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（3）提供相应的工作场所并负责专业分包人材料/设备的存放等协调工作；</w:t>
      </w:r>
    </w:p>
    <w:p w14:paraId="08570715">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（4）提供足够的和无障碍的工作面；</w:t>
      </w:r>
    </w:p>
    <w:p w14:paraId="0DB77677">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（5）提供正常的临时照明和施工及调试运行所必需的设施；</w:t>
      </w:r>
    </w:p>
    <w:p w14:paraId="524871CB">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（6）负责清理现场垃圾（各专业分包人将其施工所产生的垃圾堆放至承包人指定的合理堆放点后）；</w:t>
      </w:r>
    </w:p>
    <w:p w14:paraId="40426C49">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（7）负责专业分包工程施工进度计划的安排、协调和管理，确保总体工程进度；</w:t>
      </w:r>
    </w:p>
    <w:p w14:paraId="4F4109CE">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（8）负责对专业分包工程的质量进行监督、管理，确保总体工程质量；</w:t>
      </w:r>
    </w:p>
    <w:p w14:paraId="0D220326">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（9）负责对专业分包工程的安全防护、文明施工进行监督、管理，确保总体工程安全，杜绝伤亡事故。如发生事故，及时按照相关规定进行全面救护、上报、处理和善后，尽最大可能降低事故损失；</w:t>
      </w:r>
    </w:p>
    <w:p w14:paraId="6CDF7E14">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（10）负责对已完成并移交给承包人的专业分包工程采取有效的成品保护措施；</w:t>
      </w:r>
    </w:p>
    <w:p w14:paraId="54F4A4B9">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（11）为其他独立承包人在使用施工用地等方面提供方便。</w:t>
      </w:r>
    </w:p>
    <w:p w14:paraId="486036EE">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4.1.10 承包人的设计工作</w:t>
      </w:r>
    </w:p>
    <w:p w14:paraId="2E282D9E">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承包人施工范围内需要专业厂家二次深化设计的内容。</w:t>
      </w:r>
    </w:p>
    <w:p w14:paraId="566AC21E">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4.1.12 其他义务</w:t>
      </w:r>
    </w:p>
    <w:p w14:paraId="58A5C9D2">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4.1.12.1 安全文明施工费由承包人统一管理，承包人对工程安全文明施工负总责。承包人不按分包合同约定支付安全文明施工费，造成分包人不能及时落实安全防护措施导致发生事故的，由承包人负主要责任。</w:t>
      </w:r>
      <w:r>
        <w:rPr>
          <w:rFonts w:hint="eastAsia" w:ascii="宋体" w:hAnsi="宋体" w:eastAsia="宋体" w:cs="宋体"/>
          <w:szCs w:val="24"/>
          <w:u w:val="single"/>
          <w:lang w:eastAsia="zh-Hans"/>
        </w:rPr>
        <w:t>因其他原因，</w:t>
      </w:r>
      <w:r>
        <w:rPr>
          <w:rFonts w:hint="eastAsia" w:ascii="宋体" w:hAnsi="宋体" w:eastAsia="宋体" w:cs="宋体"/>
          <w:szCs w:val="24"/>
          <w:u w:val="single"/>
          <w:lang w:eastAsia="zh-CN"/>
        </w:rPr>
        <w:t>分包人</w:t>
      </w:r>
      <w:r>
        <w:rPr>
          <w:rFonts w:hint="eastAsia" w:ascii="宋体" w:hAnsi="宋体" w:eastAsia="宋体" w:cs="宋体"/>
          <w:szCs w:val="24"/>
          <w:u w:val="single"/>
          <w:lang w:eastAsia="zh-Hans"/>
        </w:rPr>
        <w:t>未</w:t>
      </w:r>
      <w:r>
        <w:rPr>
          <w:rFonts w:hint="eastAsia" w:ascii="宋体" w:hAnsi="宋体" w:eastAsia="宋体" w:cs="宋体"/>
          <w:szCs w:val="24"/>
          <w:u w:val="single"/>
          <w:lang w:eastAsia="zh-CN"/>
        </w:rPr>
        <w:t>能及时落实安全防护措施导致发生事故的，</w:t>
      </w:r>
      <w:r>
        <w:rPr>
          <w:rFonts w:hint="eastAsia" w:ascii="宋体" w:hAnsi="宋体" w:eastAsia="宋体" w:cs="宋体"/>
          <w:szCs w:val="24"/>
          <w:u w:val="single"/>
          <w:lang w:eastAsia="zh-Hans"/>
        </w:rPr>
        <w:t>承包人也应对分包人的责任承担连带责任。</w:t>
      </w:r>
    </w:p>
    <w:p w14:paraId="6B3C5DB8">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4.1.12.2 对于超过一定规模的危大工程（如有），承包人应当组织召开专家论证会对专项施工方案进行论证，并根据专家论证意见对专项方案进行调整，发包人原因造成的专项方案调整，其费用变化由发包人承担。</w:t>
      </w:r>
    </w:p>
    <w:p w14:paraId="05E45349">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4.1.12.3 承包人应履行的其他义务：</w:t>
      </w:r>
    </w:p>
    <w:p w14:paraId="235BB950">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1）承包人为本工程派驻的项目经理应与工程投标时填报的项目经理一致，工程开工后至竣工验收前均不得更换，而且必须保证一周内在施工现场不少于五个工作日。全体管理人员从工程开工到阶段竣工均须在职在岗，若需调整，须报代建（如果有）、监理同意，发包人批准。</w:t>
      </w:r>
      <w:r>
        <w:rPr>
          <w:rFonts w:hint="eastAsia" w:ascii="宋体" w:hAnsi="宋体" w:eastAsia="宋体" w:cs="宋体"/>
          <w:szCs w:val="24"/>
          <w:highlight w:val="yellow"/>
          <w:u w:val="single"/>
          <w:lang w:eastAsia="zh-CN"/>
        </w:rPr>
        <w:commentReference w:id="0"/>
      </w:r>
      <w:r>
        <w:rPr>
          <w:rFonts w:hint="eastAsia" w:ascii="宋体" w:hAnsi="宋体" w:eastAsia="宋体" w:cs="宋体"/>
          <w:szCs w:val="24"/>
          <w:highlight w:val="yellow"/>
          <w:u w:val="single"/>
          <w:lang w:eastAsia="zh-CN"/>
        </w:rPr>
        <w:t>未经发包人书面同意，承包人不得擅自更换项目经理。如承包人未经发包人同意擅自更换项目经理，每更换一次，承包人应向发包人支付</w:t>
      </w:r>
      <w:r>
        <w:rPr>
          <w:rFonts w:hint="eastAsia" w:ascii="宋体" w:hAnsi="宋体" w:eastAsia="宋体" w:cs="宋体"/>
          <w:szCs w:val="24"/>
          <w:highlight w:val="yellow"/>
          <w:u w:val="single"/>
          <w:lang w:val="en-US" w:eastAsia="zh-CN"/>
        </w:rPr>
        <w:t>1</w:t>
      </w:r>
      <w:r>
        <w:rPr>
          <w:rFonts w:hint="default" w:ascii="Arial" w:hAnsi="Arial" w:eastAsia="宋体" w:cs="Arial"/>
          <w:szCs w:val="24"/>
          <w:highlight w:val="yellow"/>
          <w:u w:val="single"/>
          <w:lang w:val="en-US" w:eastAsia="zh-CN"/>
        </w:rPr>
        <w:t>‰</w:t>
      </w:r>
      <w:r>
        <w:rPr>
          <w:rFonts w:hint="eastAsia" w:ascii="宋体" w:hAnsi="宋体" w:eastAsia="宋体" w:cs="宋体"/>
          <w:szCs w:val="24"/>
          <w:highlight w:val="yellow"/>
          <w:u w:val="single"/>
          <w:lang w:eastAsia="zh-CN"/>
        </w:rPr>
        <w:t>的违约金，且发包人有权要求承包人限期改正。限期未改正的，发包人有权解除合同，并要求承包人承担由此造成的全部损失。</w:t>
      </w:r>
    </w:p>
    <w:p w14:paraId="10E108D5">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2）为避免正常施工时产生的噪音、扬尘、震动、占地、通行、光线等因素导致周围的居民和公众对工程进展造成影响，承包人应当严格遵守有关噪声污染防治、扬尘治理等规定，采取多途径防治噪声、减少扬尘，包括但不限于合理安排作业时间、避免夜间高噪声扰民作业，合理选用低噪声的施工机械和先进施工技术；同时及时采取合理措施对施工场地周围的居民和公众进行协调，最大限度的减少对周边毗邻地区和公共区域的干扰，负责协调周边居民和单位的关系，负责办理扰民及民扰相关事宜。</w:t>
      </w:r>
      <w:r>
        <w:rPr>
          <w:rFonts w:hint="eastAsia" w:ascii="宋体" w:hAnsi="宋体" w:eastAsia="宋体" w:cs="宋体"/>
          <w:szCs w:val="24"/>
          <w:highlight w:val="yellow"/>
          <w:u w:val="single"/>
          <w:lang w:eastAsia="zh-CN"/>
        </w:rPr>
        <w:t>在乙方履行本合同过程中，因项目实施质量、服务态度、履约瑕疵等直接引发的12345市民服务热线投诉案件及其他渠道投诉的，或因乙方的不当行为所产生的负面影响，由乙方配合并协助街道开展相关案件处理工作，并全面消除影响。</w:t>
      </w:r>
      <w:r>
        <w:rPr>
          <w:rFonts w:hint="eastAsia" w:ascii="宋体" w:hAnsi="宋体" w:eastAsia="宋体" w:cs="宋体"/>
          <w:highlight w:val="yellow"/>
        </w:rPr>
        <w:commentReference w:id="1"/>
      </w:r>
    </w:p>
    <w:p w14:paraId="241C93E5">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3）本项目在施工进行中，对建筑物内原有的设施、设备或不属于本次工程项目内的其他建筑成品，承包人有对其进行安全保护的义务，使其不受任何损坏。但因承包人原因造成损坏的，则由承包人承担修复损坏所需的一切费用。</w:t>
      </w:r>
      <w:r>
        <w:rPr>
          <w:rFonts w:hint="eastAsia" w:ascii="宋体" w:hAnsi="宋体" w:eastAsia="宋体" w:cs="宋体"/>
          <w:szCs w:val="24"/>
          <w:highlight w:val="yellow"/>
          <w:u w:val="single"/>
          <w:lang w:eastAsia="zh-CN"/>
        </w:rPr>
        <w:t>承包人未履行本协议该条约定的既有设施保护义务，造成损坏的，除承担修复费用外，还应向发包人支付1‰的违约金。</w:t>
      </w:r>
      <w:r>
        <w:rPr>
          <w:rFonts w:hint="eastAsia" w:ascii="宋体" w:hAnsi="宋体" w:eastAsia="宋体" w:cs="宋体"/>
        </w:rPr>
        <w:commentReference w:id="2"/>
      </w:r>
    </w:p>
    <w:p w14:paraId="77627ABA">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4）除非合同文件中另有约定，从工程开工日期起直至颁发整个工程的竣工移交证书日期止，承包人应对工程以及材料和待安装的工程设备等的照管负完全责任。这种照管责任应随工程一起移交给发包人。承包人还应对移交后发生的，由承包人负责的以前的事件引起的损失或损害负责，并承担赔偿责任。</w:t>
      </w:r>
    </w:p>
    <w:p w14:paraId="180B16CD">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（5）负责施工现场的所有施工临时设施、临时道路、临时施工用电的高低压设备及线路、备用发电机、水、电管线的修建安装、维护、运行及安全，保证施工的顺利进行。</w:t>
      </w:r>
    </w:p>
    <w:p w14:paraId="7C76793B">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（6）承包人应承担施工中因承包人原因发生的停工、返工、材料及物件的倒运、机械二次进场等所造成的损失。</w:t>
      </w:r>
    </w:p>
    <w:p w14:paraId="6815C691">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（7）承包人现场的平面布置包括临时用房、临时道路、临时管线、堆料场地等均须报发包人批准，如需上报审批的，还需报有关部门审批。</w:t>
      </w:r>
    </w:p>
    <w:p w14:paraId="266F8584">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（8）施工过程中承包人应积极配合规委、建委、消防局、街道办、城管、环卫、园林等政府部门的检查工作，并按上述部门的要求做好相关的施工部署等工作。</w:t>
      </w:r>
    </w:p>
    <w:p w14:paraId="1F61CE74">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9）承包人按工程进度确定设备、材料的进场及生产周期，要严格检验产品材料质量，在进行设备及相关的辅助设备检验时，应考虑相关设备之间的兼容性及匹配性，由于匹配问题引起的设备费重叠由承包人承担。</w:t>
      </w:r>
    </w:p>
    <w:p w14:paraId="063A0625">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（10）施工中如发现设计错误或严重不合理时，承包人应立即以书面形式通知监理人并经监理人报发包人。</w:t>
      </w:r>
    </w:p>
    <w:p w14:paraId="7B0A7049">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（11）承包人应自觉遵守执行国家及北京市行业主管部门颁布实施的有关安全生产的法规、规章、制度、标准。</w:t>
      </w:r>
    </w:p>
    <w:p w14:paraId="5A829F39">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（12）承包人应当服从发包人现行的施工现场统一管理的规定及有关安全生产法规、规章、制度、标准，严格执行发包人下达的各项安全指令，确保安全施工，并按合同有关条款加强自身管理，履行承包人责任。</w:t>
      </w:r>
    </w:p>
    <w:p w14:paraId="60232D8A">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（13）对于承包人在施工过程中有需要发包人配合完成的工作，承包人应于施工总控制进度计划中明确表述或提前足够的时间通知发包人。</w:t>
      </w:r>
    </w:p>
    <w:p w14:paraId="4096ED2F">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（14）承包人应履行关于扬尘治理的义务：</w:t>
      </w:r>
    </w:p>
    <w:p w14:paraId="79160D0C">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①承包人应通过有效的技术手段和管理措施将施工产生的扬尘控制在相关指标范围内确保工地沙土覆盖、工地路面硬化、出工地车辆冲洗车轮、拆除房屋的工地酒水压尘、垃圾分类密封存放，并保证渣土运输车辆符合相关规定要求。</w:t>
      </w:r>
    </w:p>
    <w:p w14:paraId="5DFF718E">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②承包人应在施工期间加强环保意识、保持工地清洁、控制扬尘、杜绝漏酒材料，使得施工现场及周围无扬尘污染。</w:t>
      </w:r>
    </w:p>
    <w:p w14:paraId="2BB43984">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③执行京建发（2017）390号文的相关要求，PM2.5的排放符合国家和工程所在地相关管理规定，因未达到相关规定要求而引发的相关费用由承包人承担。</w:t>
      </w:r>
    </w:p>
    <w:p w14:paraId="6C487338">
      <w:pPr>
        <w:pStyle w:val="3"/>
        <w:tabs>
          <w:tab w:val="left" w:pos="567"/>
        </w:tabs>
        <w:spacing w:line="440" w:lineRule="exact"/>
        <w:ind w:firstLine="420" w:firstLineChars="200"/>
        <w:rPr>
          <w:rFonts w:hint="eastAsia" w:ascii="宋体" w:hAnsi="宋体" w:eastAsia="宋体" w:cs="宋体"/>
          <w:szCs w:val="24"/>
          <w:highlight w:val="yellow"/>
          <w:u w:val="single"/>
          <w:lang w:eastAsia="zh-CN"/>
        </w:rPr>
      </w:pPr>
      <w:r>
        <w:rPr>
          <w:rFonts w:hint="eastAsia" w:ascii="宋体" w:hAnsi="宋体" w:eastAsia="宋体" w:cs="宋体"/>
        </w:rPr>
        <w:commentReference w:id="3"/>
      </w:r>
      <w:r>
        <w:rPr>
          <w:rFonts w:hint="eastAsia" w:ascii="宋体" w:hAnsi="宋体" w:eastAsia="宋体" w:cs="宋体"/>
          <w:szCs w:val="24"/>
          <w:highlight w:val="yellow"/>
          <w:u w:val="single"/>
          <w:lang w:eastAsia="zh-CN"/>
        </w:rPr>
        <w:t>（15）施工期间，因承包人原因（包括但不限于其员工、分包人、供应商的行为）造成发包人、监理人、现场其他第三方（含独立承包人）的人员伤亡或财产（包括但不限于施工现场内外发包人或其他方的既有建筑物、构筑物、设备、管线、道路、绿化等）损失的，承包人应承担全部赔偿责任及由此引发的行政罚款。发生事故后，承包人应立即采取抢救措施，并通知发包人和监理人。承包人应负责与受害方协商解决赔偿事宜。若因承包人不及时处理或处理不当，导致发包人卷入纠纷或先行赔付的，发包人有权在赔付后向承包人全额追偿，并有权从应付工程款中直接抵扣。</w:t>
      </w:r>
    </w:p>
    <w:p w14:paraId="29C5A72E">
      <w:pPr>
        <w:pStyle w:val="3"/>
        <w:tabs>
          <w:tab w:val="left" w:pos="567"/>
        </w:tabs>
        <w:spacing w:line="440" w:lineRule="exact"/>
        <w:ind w:firstLine="420" w:firstLineChars="200"/>
        <w:rPr>
          <w:rFonts w:hint="eastAsia" w:ascii="宋体" w:hAnsi="宋体" w:eastAsia="宋体" w:cs="宋体"/>
          <w:szCs w:val="24"/>
          <w:highlight w:val="yellow"/>
          <w:u w:val="single"/>
          <w:lang w:eastAsia="zh-CN"/>
        </w:rPr>
      </w:pPr>
      <w:r>
        <w:rPr>
          <w:rFonts w:hint="eastAsia" w:ascii="宋体" w:hAnsi="宋体" w:eastAsia="宋体" w:cs="宋体"/>
          <w:szCs w:val="24"/>
          <w:highlight w:val="yellow"/>
          <w:u w:val="single"/>
          <w:lang w:eastAsia="zh-CN"/>
        </w:rPr>
        <w:t>（16）承包人因侵犯第三方知识产权而引起索赔或诉讼的，承包人应承担全部责任和费用。承包人违反保密约定的，应向发包人支付1‰的违约金，违约金不足以弥补损失的，还应赔偿发包人的全部损失。</w:t>
      </w:r>
    </w:p>
    <w:p w14:paraId="3C0F4A21">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4.2 履约担保</w:t>
      </w:r>
    </w:p>
    <w:p w14:paraId="319BB14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4.2.1 承包人履约担保的格式和金额</w:t>
      </w:r>
    </w:p>
    <w:p w14:paraId="3CECA9B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发包人</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承包人提供承包人履约担保。承包人履约担保的金额为签约合同价的</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w:t>
      </w:r>
    </w:p>
    <w:p w14:paraId="5E38934C">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4.2.2 不利物质条件</w:t>
      </w:r>
    </w:p>
    <w:p w14:paraId="3B77AA1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不利物质条件的范围：包括地下和水文条件（但不包括气候条件和不可抗力）、地下已存在的但未探明的非自然物质障碍和污染物等）。</w:t>
      </w:r>
    </w:p>
    <w:p w14:paraId="43C7E62F">
      <w:pPr>
        <w:keepNext/>
        <w:keepLines/>
        <w:spacing w:line="440" w:lineRule="exact"/>
        <w:ind w:firstLine="420" w:firstLineChars="200"/>
        <w:outlineLvl w:val="9"/>
        <w:rPr>
          <w:rFonts w:hint="eastAsia" w:ascii="宋体" w:hAnsi="宋体" w:eastAsia="宋体" w:cs="宋体"/>
          <w:b/>
          <w:bCs/>
          <w:sz w:val="24"/>
          <w:szCs w:val="24"/>
          <w:lang w:eastAsia="zh-CN"/>
        </w:rPr>
      </w:pPr>
      <w:r>
        <w:rPr>
          <w:rFonts w:hint="eastAsia" w:ascii="宋体" w:hAnsi="宋体" w:eastAsia="宋体" w:cs="宋体"/>
        </w:rPr>
        <w:commentReference w:id="4"/>
      </w:r>
      <w:r>
        <w:rPr>
          <w:rFonts w:hint="eastAsia" w:ascii="宋体" w:hAnsi="宋体" w:eastAsia="宋体" w:cs="宋体"/>
          <w:b/>
          <w:bCs/>
          <w:sz w:val="24"/>
          <w:szCs w:val="24"/>
          <w:lang w:eastAsia="zh-CN"/>
        </w:rPr>
        <w:t>4.3  分包</w:t>
      </w:r>
    </w:p>
    <w:p w14:paraId="00BC5D3A">
      <w:pPr>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w:t>
      </w:r>
      <w:r>
        <w:rPr>
          <w:rFonts w:hint="eastAsia" w:ascii="宋体" w:hAnsi="宋体" w:eastAsia="宋体" w:cs="宋体"/>
          <w:sz w:val="24"/>
          <w:szCs w:val="24"/>
          <w:lang w:val="en-US" w:eastAsia="zh-CN"/>
        </w:rPr>
        <w:t>3.3</w:t>
      </w:r>
      <w:r>
        <w:rPr>
          <w:rFonts w:hint="eastAsia" w:ascii="宋体" w:hAnsi="宋体" w:eastAsia="宋体" w:cs="宋体"/>
          <w:sz w:val="24"/>
          <w:szCs w:val="24"/>
          <w:lang w:eastAsia="zh-CN"/>
        </w:rPr>
        <w:t xml:space="preserve"> 承包人将其承包的全部工程转包，或将工程主体、关键性工作分包，或未经发包人同意进行其他分包的，发包人有权立即解除合同，承包人应向发包人支付</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1</w:t>
      </w:r>
      <w:r>
        <w:rPr>
          <w:rFonts w:hint="default" w:ascii="Arial" w:hAnsi="Arial" w:eastAsia="宋体" w:cs="Arial"/>
          <w:sz w:val="24"/>
          <w:szCs w:val="24"/>
          <w:u w:val="single"/>
          <w:lang w:val="en-US" w:eastAsia="zh-CN"/>
        </w:rPr>
        <w:t>‰</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的违约金，并赔偿发包人因此遭受的全部损失。</w:t>
      </w:r>
    </w:p>
    <w:p w14:paraId="78C437BF">
      <w:pPr>
        <w:pStyle w:val="3"/>
        <w:tabs>
          <w:tab w:val="left" w:pos="567"/>
        </w:tabs>
        <w:spacing w:line="440" w:lineRule="exact"/>
        <w:ind w:firstLine="422" w:firstLineChars="200"/>
        <w:rPr>
          <w:rFonts w:hint="eastAsia" w:ascii="宋体" w:hAnsi="宋体" w:eastAsia="宋体" w:cs="宋体"/>
          <w:b/>
          <w:bCs/>
          <w:sz w:val="28"/>
          <w:szCs w:val="28"/>
          <w:lang w:eastAsia="zh-CN"/>
        </w:rPr>
      </w:pPr>
      <w:r>
        <w:rPr>
          <w:rFonts w:hint="eastAsia" w:ascii="宋体" w:hAnsi="宋体" w:eastAsia="宋体" w:cs="宋体"/>
          <w:b/>
          <w:bCs/>
          <w:szCs w:val="24"/>
          <w:lang w:eastAsia="zh-CN"/>
        </w:rPr>
        <w:t>5.材料和工程设备</w:t>
      </w:r>
    </w:p>
    <w:p w14:paraId="1A9B97F8">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5.1 承包人提供的材料和工程设备</w:t>
      </w:r>
    </w:p>
    <w:p w14:paraId="5E21C90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5.1.2 承包人将由其提供的材料和工程设备的供货人和品种、规格、数量及供货时间等报送监理人审批的期限：承包人应当在相应材料进场前30天将相应材料和工程设备的供货人及采购品种、规格、数量和供货时间等报送监理人审批，监理人应当在7天内提出审批意见。未经监理人和发包人审批确定的该等材料和工程设备不得进入现场 ，否则发包人有权不支付相应的材料和工程设备价款。</w:t>
      </w:r>
    </w:p>
    <w:p w14:paraId="512AEE42">
      <w:pPr>
        <w:pStyle w:val="3"/>
        <w:tabs>
          <w:tab w:val="left" w:pos="567"/>
        </w:tabs>
        <w:spacing w:line="440" w:lineRule="exact"/>
        <w:ind w:firstLine="422" w:firstLineChars="200"/>
        <w:outlineLvl w:val="1"/>
        <w:rPr>
          <w:rFonts w:hint="eastAsia" w:ascii="宋体" w:hAnsi="宋体" w:eastAsia="宋体" w:cs="宋体"/>
          <w:b/>
          <w:bCs/>
          <w:sz w:val="28"/>
          <w:szCs w:val="28"/>
          <w:lang w:eastAsia="zh-CN"/>
        </w:rPr>
      </w:pPr>
      <w:bookmarkStart w:id="1010" w:name="_Toc189651551"/>
      <w:r>
        <w:rPr>
          <w:rFonts w:hint="eastAsia" w:ascii="宋体" w:hAnsi="宋体" w:eastAsia="宋体" w:cs="宋体"/>
          <w:b/>
          <w:bCs/>
          <w:szCs w:val="24"/>
          <w:lang w:eastAsia="zh-CN"/>
        </w:rPr>
        <w:t>6.施工设备和临时设施</w:t>
      </w:r>
      <w:bookmarkEnd w:id="1010"/>
    </w:p>
    <w:p w14:paraId="77034173">
      <w:pPr>
        <w:pStyle w:val="3"/>
        <w:tabs>
          <w:tab w:val="left" w:pos="567"/>
        </w:tabs>
        <w:spacing w:line="440" w:lineRule="exact"/>
        <w:ind w:firstLine="422" w:firstLineChars="200"/>
        <w:rPr>
          <w:rFonts w:hint="eastAsia" w:ascii="宋体" w:hAnsi="宋体" w:eastAsia="宋体" w:cs="宋体"/>
          <w:szCs w:val="24"/>
          <w:lang w:eastAsia="zh-CN"/>
        </w:rPr>
      </w:pPr>
      <w:r>
        <w:rPr>
          <w:rFonts w:hint="eastAsia" w:ascii="宋体" w:hAnsi="宋体" w:eastAsia="宋体" w:cs="宋体"/>
          <w:b/>
          <w:bCs/>
          <w:szCs w:val="24"/>
          <w:lang w:eastAsia="zh-CN"/>
        </w:rPr>
        <w:t>6.1 承包人提供的施工设备和临时设施</w:t>
      </w:r>
    </w:p>
    <w:p w14:paraId="52F2D30F">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6.1.1 承包人承担自行修建临时设施费用的范围：</w:t>
      </w:r>
    </w:p>
    <w:p w14:paraId="4897D112">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承包人须在发包人指定位置或指定范围内搭建临时设施，承包人的临时设施搭建由承包人负责，由此产生的所有费用已包含在承包人报价中，不再另外计取。</w:t>
      </w:r>
    </w:p>
    <w:p w14:paraId="033C8B97">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6.1.2 发包人办理申请手续并承担相关费用的临时占地：</w:t>
      </w:r>
      <w:r>
        <w:rPr>
          <w:rFonts w:hint="eastAsia" w:ascii="宋体" w:hAnsi="宋体" w:eastAsia="宋体" w:cs="宋体"/>
          <w:szCs w:val="24"/>
          <w:u w:val="single"/>
          <w:lang w:eastAsia="zh-CN"/>
        </w:rPr>
        <w:t xml:space="preserve">   /  </w:t>
      </w:r>
    </w:p>
    <w:p w14:paraId="44C3D07C">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6.2 发包人提供的施工设备和临时设施</w:t>
      </w:r>
    </w:p>
    <w:p w14:paraId="2721FA78">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6.2.1 发包人提供的施工设备和临时设施：</w:t>
      </w:r>
      <w:r>
        <w:rPr>
          <w:rFonts w:hint="eastAsia" w:ascii="宋体" w:hAnsi="宋体" w:eastAsia="宋体" w:cs="宋体"/>
          <w:szCs w:val="24"/>
          <w:u w:val="single"/>
          <w:lang w:eastAsia="zh-CN"/>
        </w:rPr>
        <w:t xml:space="preserve">   /   </w:t>
      </w:r>
    </w:p>
    <w:p w14:paraId="5D929AC5">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6.2.2 发包人提供的施工设备和临时设施的运行、维护、拆除、清运费用的承担人：承包人</w:t>
      </w:r>
    </w:p>
    <w:p w14:paraId="5C4854DA">
      <w:pPr>
        <w:pStyle w:val="3"/>
        <w:tabs>
          <w:tab w:val="left" w:pos="567"/>
        </w:tabs>
        <w:spacing w:line="440" w:lineRule="exact"/>
        <w:ind w:left="420" w:leftChars="200"/>
        <w:outlineLvl w:val="1"/>
        <w:rPr>
          <w:rFonts w:hint="eastAsia" w:ascii="宋体" w:hAnsi="宋体" w:eastAsia="宋体" w:cs="宋体"/>
          <w:b/>
          <w:bCs/>
          <w:szCs w:val="24"/>
          <w:lang w:eastAsia="zh-CN"/>
        </w:rPr>
      </w:pPr>
      <w:bookmarkStart w:id="1011" w:name="_Toc189651552"/>
      <w:r>
        <w:rPr>
          <w:rFonts w:hint="eastAsia" w:ascii="宋体" w:hAnsi="宋体" w:eastAsia="宋体" w:cs="宋体"/>
          <w:b/>
          <w:bCs/>
          <w:szCs w:val="24"/>
          <w:lang w:eastAsia="zh-CN"/>
        </w:rPr>
        <w:t>7.交通运输</w:t>
      </w:r>
      <w:bookmarkEnd w:id="1011"/>
    </w:p>
    <w:p w14:paraId="5DEC0E81">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7.1 道路通行权和场外设施</w:t>
      </w:r>
    </w:p>
    <w:p w14:paraId="43F54680">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负责取得道路通行权、场外设施修建权的办理人：</w:t>
      </w:r>
      <w:r>
        <w:rPr>
          <w:rFonts w:hint="eastAsia" w:ascii="宋体" w:hAnsi="宋体" w:eastAsia="宋体" w:cs="宋体"/>
          <w:szCs w:val="24"/>
          <w:u w:val="single"/>
          <w:lang w:eastAsia="zh-CN"/>
        </w:rPr>
        <w:t>承包人，其相关费用由发包人承担</w:t>
      </w:r>
      <w:r>
        <w:rPr>
          <w:rFonts w:hint="eastAsia" w:ascii="宋体" w:hAnsi="宋体" w:eastAsia="宋体" w:cs="宋体"/>
          <w:szCs w:val="24"/>
          <w:lang w:eastAsia="zh-CN"/>
        </w:rPr>
        <w:t>。</w:t>
      </w:r>
    </w:p>
    <w:p w14:paraId="339E7BF6">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7.2 场内施工道路</w:t>
      </w:r>
    </w:p>
    <w:p w14:paraId="62064F93">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施工所需的场内临时道路和交通设施的修建、维护、养护和管理人：</w:t>
      </w:r>
      <w:r>
        <w:rPr>
          <w:rFonts w:hint="eastAsia" w:ascii="宋体" w:hAnsi="宋体" w:eastAsia="宋体" w:cs="宋体"/>
          <w:szCs w:val="24"/>
          <w:u w:val="single"/>
          <w:lang w:eastAsia="zh-CN"/>
        </w:rPr>
        <w:t>承包人，相关费用由承包人承担</w:t>
      </w:r>
      <w:r>
        <w:rPr>
          <w:rFonts w:hint="eastAsia" w:ascii="宋体" w:hAnsi="宋体" w:eastAsia="宋体" w:cs="宋体"/>
          <w:szCs w:val="24"/>
          <w:lang w:eastAsia="zh-CN"/>
        </w:rPr>
        <w:t>。</w:t>
      </w:r>
    </w:p>
    <w:p w14:paraId="2727B7FC">
      <w:pPr>
        <w:pStyle w:val="3"/>
        <w:tabs>
          <w:tab w:val="left" w:pos="567"/>
        </w:tabs>
        <w:spacing w:line="440" w:lineRule="exact"/>
        <w:ind w:firstLine="422" w:firstLineChars="200"/>
        <w:rPr>
          <w:rFonts w:hint="eastAsia" w:ascii="宋体" w:hAnsi="宋体" w:eastAsia="宋体" w:cs="宋体"/>
          <w:szCs w:val="24"/>
          <w:lang w:eastAsia="zh-CN"/>
        </w:rPr>
      </w:pPr>
      <w:r>
        <w:rPr>
          <w:rFonts w:hint="eastAsia" w:ascii="宋体" w:hAnsi="宋体" w:eastAsia="宋体" w:cs="宋体"/>
          <w:b/>
          <w:bCs/>
          <w:szCs w:val="24"/>
          <w:lang w:eastAsia="zh-CN"/>
        </w:rPr>
        <w:t>7.4 超大件和超重件的运输</w:t>
      </w:r>
    </w:p>
    <w:p w14:paraId="39CA028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运输超大件或超重件所需的道路和桥梁临时加固改造等费用的承担人：</w:t>
      </w:r>
      <w:r>
        <w:rPr>
          <w:rFonts w:hint="eastAsia" w:ascii="宋体" w:hAnsi="宋体" w:eastAsia="宋体" w:cs="宋体"/>
          <w:szCs w:val="24"/>
          <w:u w:val="single"/>
          <w:lang w:eastAsia="zh-CN"/>
        </w:rPr>
        <w:t>承包人</w:t>
      </w:r>
      <w:r>
        <w:rPr>
          <w:rFonts w:hint="eastAsia" w:ascii="宋体" w:hAnsi="宋体" w:eastAsia="宋体" w:cs="宋体"/>
          <w:szCs w:val="24"/>
          <w:lang w:eastAsia="zh-CN"/>
        </w:rPr>
        <w:t>。</w:t>
      </w:r>
    </w:p>
    <w:p w14:paraId="15CF0567">
      <w:pPr>
        <w:pStyle w:val="3"/>
        <w:tabs>
          <w:tab w:val="left" w:pos="567"/>
        </w:tabs>
        <w:spacing w:line="440" w:lineRule="exact"/>
        <w:ind w:left="420" w:leftChars="200"/>
        <w:outlineLvl w:val="1"/>
        <w:rPr>
          <w:rFonts w:hint="eastAsia" w:ascii="宋体" w:hAnsi="宋体" w:eastAsia="宋体" w:cs="宋体"/>
          <w:b/>
          <w:bCs/>
          <w:szCs w:val="24"/>
          <w:lang w:eastAsia="zh-CN"/>
        </w:rPr>
      </w:pPr>
      <w:r>
        <w:rPr>
          <w:rFonts w:hint="eastAsia" w:ascii="宋体" w:hAnsi="宋体" w:eastAsia="宋体" w:cs="宋体"/>
          <w:b/>
          <w:bCs/>
          <w:szCs w:val="24"/>
          <w:lang w:eastAsia="zh-CN"/>
        </w:rPr>
        <w:t>8.测量放线</w:t>
      </w:r>
    </w:p>
    <w:p w14:paraId="420F0188">
      <w:pPr>
        <w:pStyle w:val="3"/>
        <w:tabs>
          <w:tab w:val="left" w:pos="567"/>
        </w:tabs>
        <w:spacing w:line="440" w:lineRule="exact"/>
        <w:ind w:firstLine="422" w:firstLineChars="200"/>
        <w:rPr>
          <w:rFonts w:hint="eastAsia" w:ascii="宋体" w:hAnsi="宋体" w:eastAsia="宋体" w:cs="宋体"/>
          <w:szCs w:val="24"/>
          <w:lang w:eastAsia="zh-CN"/>
        </w:rPr>
      </w:pPr>
      <w:r>
        <w:rPr>
          <w:rFonts w:hint="eastAsia" w:ascii="宋体" w:hAnsi="宋体" w:eastAsia="宋体" w:cs="宋体"/>
          <w:b/>
          <w:bCs/>
          <w:szCs w:val="24"/>
          <w:lang w:eastAsia="zh-CN"/>
        </w:rPr>
        <w:t>8.1 施工控制网</w:t>
      </w:r>
    </w:p>
    <w:p w14:paraId="54BA9253">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8.1.1 发包人通过监理人提供测量基准点、基准线和水准点及其书面资料的期限：</w:t>
      </w:r>
      <w:r>
        <w:rPr>
          <w:rFonts w:hint="eastAsia" w:ascii="宋体" w:hAnsi="宋体" w:eastAsia="宋体" w:cs="宋体"/>
          <w:szCs w:val="24"/>
          <w:u w:val="single"/>
          <w:lang w:eastAsia="zh-CN"/>
        </w:rPr>
        <w:t>开工通知书中确定的开工时间前7日内</w:t>
      </w:r>
      <w:r>
        <w:rPr>
          <w:rFonts w:hint="eastAsia" w:ascii="宋体" w:hAnsi="宋体" w:eastAsia="宋体" w:cs="宋体"/>
          <w:szCs w:val="24"/>
          <w:lang w:eastAsia="zh-CN"/>
        </w:rPr>
        <w:t>。</w:t>
      </w:r>
    </w:p>
    <w:p w14:paraId="148C64C7">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8.1.2 承包人测设施工控制网的其他要求：</w:t>
      </w:r>
      <w:r>
        <w:rPr>
          <w:rFonts w:hint="eastAsia" w:ascii="宋体" w:hAnsi="宋体" w:eastAsia="宋体" w:cs="宋体"/>
          <w:szCs w:val="24"/>
          <w:u w:val="single"/>
          <w:lang w:eastAsia="zh-CN"/>
        </w:rPr>
        <w:t>依照国家测绘系统和工程测量技术规范</w:t>
      </w:r>
      <w:r>
        <w:rPr>
          <w:rFonts w:hint="eastAsia" w:ascii="宋体" w:hAnsi="宋体" w:eastAsia="宋体" w:cs="宋体"/>
          <w:szCs w:val="24"/>
          <w:lang w:eastAsia="zh-CN"/>
        </w:rPr>
        <w:t>。</w:t>
      </w:r>
    </w:p>
    <w:p w14:paraId="6902EBF9">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承包人将施工控制网资料报送监理人审批的期限：</w:t>
      </w:r>
      <w:r>
        <w:rPr>
          <w:rFonts w:hint="eastAsia" w:ascii="宋体" w:hAnsi="宋体" w:eastAsia="宋体" w:cs="宋体"/>
          <w:szCs w:val="24"/>
          <w:u w:val="single"/>
          <w:lang w:eastAsia="zh-CN"/>
        </w:rPr>
        <w:t>在收到监理人按照合同条款通用部分第11.1.1项发出的开工通知后7天内</w:t>
      </w:r>
      <w:r>
        <w:rPr>
          <w:rFonts w:hint="eastAsia" w:ascii="宋体" w:hAnsi="宋体" w:eastAsia="宋体" w:cs="宋体"/>
          <w:szCs w:val="24"/>
          <w:lang w:eastAsia="zh-CN"/>
        </w:rPr>
        <w:t>。</w:t>
      </w:r>
    </w:p>
    <w:p w14:paraId="3023ACD0">
      <w:pPr>
        <w:pStyle w:val="3"/>
        <w:tabs>
          <w:tab w:val="left" w:pos="567"/>
        </w:tabs>
        <w:spacing w:line="440" w:lineRule="exact"/>
        <w:ind w:left="420" w:leftChars="200"/>
        <w:outlineLvl w:val="1"/>
        <w:rPr>
          <w:rFonts w:hint="eastAsia" w:ascii="宋体" w:hAnsi="宋体" w:eastAsia="宋体" w:cs="宋体"/>
          <w:b/>
          <w:bCs/>
          <w:szCs w:val="24"/>
          <w:lang w:eastAsia="zh-CN"/>
        </w:rPr>
      </w:pPr>
      <w:r>
        <w:rPr>
          <w:rFonts w:hint="eastAsia" w:ascii="宋体" w:hAnsi="宋体" w:eastAsia="宋体" w:cs="宋体"/>
          <w:b/>
          <w:bCs/>
          <w:szCs w:val="24"/>
          <w:lang w:eastAsia="zh-CN"/>
        </w:rPr>
        <w:t>9.施工安全、治安保卫和环境保护</w:t>
      </w:r>
    </w:p>
    <w:p w14:paraId="63A97CFB">
      <w:pPr>
        <w:pStyle w:val="3"/>
        <w:tabs>
          <w:tab w:val="left" w:pos="567"/>
        </w:tabs>
        <w:spacing w:line="440" w:lineRule="exact"/>
        <w:ind w:firstLine="422" w:firstLineChars="200"/>
        <w:rPr>
          <w:rFonts w:hint="eastAsia" w:ascii="宋体" w:hAnsi="宋体" w:eastAsia="宋体" w:cs="宋体"/>
          <w:szCs w:val="24"/>
          <w:lang w:eastAsia="zh-CN"/>
        </w:rPr>
      </w:pPr>
      <w:r>
        <w:rPr>
          <w:rFonts w:hint="eastAsia" w:ascii="宋体" w:hAnsi="宋体" w:eastAsia="宋体" w:cs="宋体"/>
          <w:b/>
          <w:bCs/>
          <w:szCs w:val="24"/>
          <w:highlight w:val="none"/>
          <w:lang w:eastAsia="zh-CN"/>
        </w:rPr>
        <w:t xml:space="preserve">9.2 </w:t>
      </w:r>
      <w:r>
        <w:rPr>
          <w:rFonts w:hint="eastAsia" w:ascii="宋体" w:hAnsi="宋体" w:eastAsia="宋体" w:cs="宋体"/>
          <w:b/>
          <w:bCs/>
          <w:szCs w:val="24"/>
          <w:lang w:eastAsia="zh-CN"/>
        </w:rPr>
        <w:t>承包人的施工安全责任</w:t>
      </w:r>
    </w:p>
    <w:p w14:paraId="5F12CA3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承包人向监理人报送施工安全措施计划的期限：</w:t>
      </w:r>
      <w:r>
        <w:rPr>
          <w:rFonts w:hint="eastAsia" w:ascii="宋体" w:hAnsi="宋体" w:eastAsia="宋体" w:cs="宋体"/>
          <w:szCs w:val="24"/>
          <w:u w:val="single"/>
          <w:lang w:eastAsia="zh-CN"/>
        </w:rPr>
        <w:t>在收到监理人按照合同条款通用部分第11.1.1项发出的开工通知后7天内 。</w:t>
      </w:r>
    </w:p>
    <w:p w14:paraId="79DDDBE1">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commentReference w:id="5"/>
      </w:r>
      <w:r>
        <w:rPr>
          <w:rFonts w:hint="eastAsia" w:ascii="宋体" w:hAnsi="宋体" w:eastAsia="宋体" w:cs="宋体"/>
          <w:szCs w:val="24"/>
          <w:lang w:val="en-US" w:eastAsia="zh-CN"/>
        </w:rPr>
        <w:t>施工期间发生安全事故的，承包人除应承担全部赔偿责任和行政罚款外，还应向发包人支付</w:t>
      </w:r>
      <w:r>
        <w:rPr>
          <w:rFonts w:hint="eastAsia" w:ascii="宋体" w:hAnsi="宋体" w:eastAsia="宋体" w:cs="宋体"/>
          <w:szCs w:val="24"/>
          <w:u w:val="single"/>
          <w:lang w:val="en-US" w:eastAsia="zh-CN"/>
        </w:rPr>
        <w:t xml:space="preserve"> 1</w:t>
      </w:r>
      <w:r>
        <w:rPr>
          <w:rFonts w:hint="default" w:ascii="Arial" w:hAnsi="Arial" w:eastAsia="宋体" w:cs="Arial"/>
          <w:szCs w:val="24"/>
          <w:u w:val="single"/>
          <w:lang w:val="en-US" w:eastAsia="zh-CN"/>
        </w:rPr>
        <w:t>‰</w:t>
      </w:r>
      <w:r>
        <w:rPr>
          <w:rFonts w:hint="eastAsia" w:ascii="宋体" w:hAnsi="宋体" w:eastAsia="宋体" w:cs="宋体"/>
          <w:szCs w:val="24"/>
          <w:u w:val="single"/>
          <w:lang w:val="en-US" w:eastAsia="zh-CN"/>
        </w:rPr>
        <w:t xml:space="preserve"> </w:t>
      </w:r>
      <w:r>
        <w:rPr>
          <w:rFonts w:hint="eastAsia" w:ascii="宋体" w:hAnsi="宋体" w:eastAsia="宋体" w:cs="宋体"/>
          <w:szCs w:val="24"/>
          <w:lang w:val="en-US" w:eastAsia="zh-CN"/>
        </w:rPr>
        <w:t>的违约金。发包人有权从应付工程款或履约保证金中直接扣除上述违约金。</w:t>
      </w:r>
    </w:p>
    <w:p w14:paraId="6EE3BECC">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9.3 治安保卫</w:t>
      </w:r>
    </w:p>
    <w:p w14:paraId="321B81C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制定施工场地治安管理计划和突发治安事件紧急预案的责任人：</w:t>
      </w:r>
      <w:r>
        <w:rPr>
          <w:rFonts w:hint="eastAsia" w:ascii="宋体" w:hAnsi="宋体" w:eastAsia="宋体" w:cs="宋体"/>
          <w:szCs w:val="24"/>
          <w:u w:val="single"/>
          <w:lang w:eastAsia="zh-CN"/>
        </w:rPr>
        <w:t>承包人</w:t>
      </w:r>
    </w:p>
    <w:p w14:paraId="644DCDCF">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9.4 环境保护</w:t>
      </w:r>
    </w:p>
    <w:p w14:paraId="17DD7257">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施工环保措施计划报送监理人审批的时间：</w:t>
      </w:r>
      <w:r>
        <w:rPr>
          <w:rFonts w:hint="eastAsia" w:ascii="宋体" w:hAnsi="宋体" w:eastAsia="宋体" w:cs="宋体"/>
          <w:szCs w:val="24"/>
          <w:u w:val="single"/>
          <w:lang w:eastAsia="zh-CN"/>
        </w:rPr>
        <w:t>在收到监理人按照合同条款通用部分第11.1,1项发出的开工通知后7天内。监理人收到承包人报送的施工环保措施计划后应当在7天内给予批复。</w:t>
      </w:r>
    </w:p>
    <w:p w14:paraId="25783BEA">
      <w:pPr>
        <w:pStyle w:val="3"/>
        <w:tabs>
          <w:tab w:val="left" w:pos="567"/>
        </w:tabs>
        <w:spacing w:line="440" w:lineRule="exact"/>
        <w:ind w:firstLine="422" w:firstLineChars="200"/>
        <w:rPr>
          <w:rFonts w:hint="eastAsia" w:ascii="宋体" w:hAnsi="宋体" w:eastAsia="宋体" w:cs="宋体"/>
          <w:szCs w:val="24"/>
          <w:lang w:eastAsia="zh-CN"/>
        </w:rPr>
      </w:pPr>
      <w:r>
        <w:rPr>
          <w:rFonts w:hint="eastAsia" w:ascii="宋体" w:hAnsi="宋体" w:eastAsia="宋体" w:cs="宋体"/>
          <w:b/>
          <w:bCs/>
          <w:szCs w:val="24"/>
          <w:lang w:eastAsia="zh-CN"/>
        </w:rPr>
        <w:t>9.6 施工现场安全生产标准化管理目标</w:t>
      </w:r>
    </w:p>
    <w:p w14:paraId="109F3E5A">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9.6.1 由于承包人原因，施工现场安全生产标准化评定、认定等级未达到合同协议书中约定的管理目标等级但“达标（合格）”的，承包人应当向发包人支付未达到合同协议书中约定的安全生产标准化管理目标等级的违约金或损失赔偿金。</w:t>
      </w:r>
    </w:p>
    <w:p w14:paraId="4827BAF7">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未达到合同协议书中约定的安全生产标准化管理目标等级的违约金或损失赔偿金的金额或者计算方法：</w:t>
      </w:r>
    </w:p>
    <w:p w14:paraId="373C7F61">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A=(1－ K1÷K2)×F</w:t>
      </w:r>
    </w:p>
    <w:p w14:paraId="26EF8A6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其中： A—计算的违约损失赔偿金；</w:t>
      </w:r>
    </w:p>
    <w:p w14:paraId="4E9E3770">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K1—标准化考评认定等级对应的标准费率；</w:t>
      </w:r>
    </w:p>
    <w:p w14:paraId="26C1943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K2—合同约定的管理目标等级对应的标准费率；</w:t>
      </w:r>
    </w:p>
    <w:p w14:paraId="6B60A5C0">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F—合同中载明的安全文明施工费总额 ；</w:t>
      </w:r>
    </w:p>
    <w:p w14:paraId="75C39C6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9.6.2 发包人不给予承包人创优奖励。发包人给予承包人创优奖励的，创优奖励金额或者计算方法：</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w:t>
      </w:r>
    </w:p>
    <w:p w14:paraId="6C54EE2B">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9.7 特殊安全文明施工</w:t>
      </w:r>
    </w:p>
    <w:p w14:paraId="1141C91B">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9.7.1 未达到合同约定的特殊安全文明施工要求的违约金或损失赔偿金的金额或者计算方法：</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w:t>
      </w:r>
    </w:p>
    <w:p w14:paraId="23CCD06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9.7.2 发包人不给予承包人创优奖励。发包人给予承包人创优奖励的，创优奖励金额或者计算方法：</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w:t>
      </w:r>
    </w:p>
    <w:p w14:paraId="0364A13F">
      <w:pPr>
        <w:pStyle w:val="3"/>
        <w:tabs>
          <w:tab w:val="left" w:pos="567"/>
        </w:tabs>
        <w:spacing w:line="440" w:lineRule="exact"/>
        <w:ind w:firstLine="422" w:firstLineChars="200"/>
        <w:outlineLvl w:val="1"/>
        <w:rPr>
          <w:rFonts w:hint="eastAsia" w:ascii="宋体" w:hAnsi="宋体" w:eastAsia="宋体" w:cs="宋体"/>
          <w:b/>
          <w:bCs/>
          <w:sz w:val="28"/>
          <w:szCs w:val="28"/>
          <w:lang w:eastAsia="zh-CN"/>
        </w:rPr>
      </w:pPr>
      <w:bookmarkStart w:id="1012" w:name="_Toc189651553"/>
      <w:r>
        <w:rPr>
          <w:rFonts w:hint="eastAsia" w:ascii="宋体" w:hAnsi="宋体" w:eastAsia="宋体" w:cs="宋体"/>
          <w:b/>
          <w:bCs/>
          <w:szCs w:val="24"/>
          <w:lang w:eastAsia="zh-CN"/>
        </w:rPr>
        <w:t>10.进度计划</w:t>
      </w:r>
      <w:bookmarkEnd w:id="1012"/>
    </w:p>
    <w:p w14:paraId="468A917A">
      <w:pPr>
        <w:pStyle w:val="3"/>
        <w:tabs>
          <w:tab w:val="left" w:pos="567"/>
        </w:tabs>
        <w:spacing w:line="440" w:lineRule="exact"/>
        <w:ind w:firstLine="422" w:firstLineChars="200"/>
        <w:rPr>
          <w:rFonts w:hint="eastAsia" w:ascii="宋体" w:hAnsi="宋体" w:eastAsia="宋体" w:cs="宋体"/>
          <w:szCs w:val="24"/>
          <w:lang w:eastAsia="zh-CN"/>
        </w:rPr>
      </w:pPr>
      <w:r>
        <w:rPr>
          <w:rFonts w:hint="eastAsia" w:ascii="宋体" w:hAnsi="宋体" w:eastAsia="宋体" w:cs="宋体"/>
          <w:b/>
          <w:bCs/>
          <w:szCs w:val="24"/>
          <w:lang w:eastAsia="zh-CN"/>
        </w:rPr>
        <w:t>10.1 合同进度计划</w:t>
      </w:r>
    </w:p>
    <w:p w14:paraId="4CFBD9E0">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10.1.1 承包人编制施工进度计划和施工方案说明的内容：</w:t>
      </w:r>
    </w:p>
    <w:p w14:paraId="74E2371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施工进度计划要求:</w:t>
      </w:r>
      <w:r>
        <w:rPr>
          <w:rFonts w:hint="eastAsia" w:ascii="宋体" w:hAnsi="宋体" w:eastAsia="宋体" w:cs="宋体"/>
          <w:szCs w:val="24"/>
          <w:u w:val="single"/>
          <w:lang w:eastAsia="zh-CN"/>
        </w:rPr>
        <w:t>（1）符合国家政策、法律政策和工程管理有关规定，满足项目的进度目标，合理安排施工进度、保证施工质量和施工安全，节约施工成本。（2）施工进度计划要落实施工组织。（3）应准确、全面的表示施工项目中各个单位工程或各分项、分部工程的施工顺序、施工时间之间的衔接关系。（4）以工程项目群体为对象，对整个工地的所有工程施工活动提出时间安排表。（5）编制年度、季度、月、旬（或周）的施工进度计划，并严格按照进度计划施工。（6）其他承包人认为应编制的内容。</w:t>
      </w:r>
    </w:p>
    <w:p w14:paraId="25679F6F">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10.1.2 承包人编制分阶段或分项施工进度计划和施工方案说明的内容及时限要求：</w:t>
      </w:r>
    </w:p>
    <w:p w14:paraId="135C1C6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在上述第10.1.1项合同进度计划的基础上编制分阶段和分项目的进度计划，特别是在合同进度计划关键线路上的单位工程或部分工程，并提交监理人审批，分项施工方案及计划应在专项工程实施前30天报送，周计划在每周一报送，月进度计划在每月1日前报送，季度进度计划在每季度1日前报送。</w:t>
      </w:r>
    </w:p>
    <w:p w14:paraId="4FBA3BF0">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10.1.3 群体工程中有关编制进度计划和施工方案说明的要求：</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w:t>
      </w:r>
    </w:p>
    <w:p w14:paraId="369A3995">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10.2 合同进度计划的修订</w:t>
      </w:r>
    </w:p>
    <w:p w14:paraId="559FE95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10.2.1 承包人报送修订合同进度计划申请报告和相关资料的期限：</w:t>
      </w:r>
      <w:r>
        <w:rPr>
          <w:rFonts w:hint="eastAsia" w:ascii="宋体" w:hAnsi="宋体" w:eastAsia="宋体" w:cs="宋体"/>
          <w:szCs w:val="24"/>
          <w:u w:val="single"/>
          <w:lang w:eastAsia="zh-CN"/>
        </w:rPr>
        <w:t>发生工程的实际进度与第10.1款的合同进度计划不符的情况7天内。</w:t>
      </w:r>
    </w:p>
    <w:p w14:paraId="72C76AC5">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10.2.2 监理人批复修订合同进度计划申请报告的期限：</w:t>
      </w:r>
      <w:r>
        <w:rPr>
          <w:rFonts w:hint="eastAsia" w:ascii="宋体" w:hAnsi="宋体" w:eastAsia="宋体" w:cs="宋体"/>
          <w:szCs w:val="24"/>
          <w:u w:val="single"/>
          <w:lang w:eastAsia="zh-CN"/>
        </w:rPr>
        <w:t>收到承包人报送的修订合同进度计划申请报告和相关资料后7天内。</w:t>
      </w:r>
    </w:p>
    <w:p w14:paraId="6758024C">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10.2.3 监理人批复修订合同进度计划的期限：</w:t>
      </w:r>
      <w:r>
        <w:rPr>
          <w:rFonts w:hint="eastAsia" w:ascii="宋体" w:hAnsi="宋体" w:eastAsia="宋体" w:cs="宋体"/>
          <w:szCs w:val="24"/>
          <w:u w:val="single"/>
          <w:lang w:eastAsia="zh-CN"/>
        </w:rPr>
        <w:t>收到承包人报送的修订合同进度计划申请报告和相关资料后7天内。</w:t>
      </w:r>
    </w:p>
    <w:p w14:paraId="365D0BD4">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10.3 合同进度计划的其他要求</w:t>
      </w:r>
    </w:p>
    <w:p w14:paraId="2A9BA54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10.3.2 施工进度计划管理的人员配置要求：</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w:t>
      </w:r>
    </w:p>
    <w:p w14:paraId="30203F6E">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10.3.3 施工进度计划的计算机应用软件要求：</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w:t>
      </w:r>
    </w:p>
    <w:p w14:paraId="602E1FFF">
      <w:pPr>
        <w:pStyle w:val="3"/>
        <w:tabs>
          <w:tab w:val="left" w:pos="567"/>
        </w:tabs>
        <w:spacing w:line="440" w:lineRule="exact"/>
        <w:ind w:firstLine="422" w:firstLineChars="200"/>
        <w:outlineLvl w:val="1"/>
        <w:rPr>
          <w:rFonts w:hint="eastAsia" w:ascii="宋体" w:hAnsi="宋体" w:eastAsia="宋体" w:cs="宋体"/>
          <w:b/>
          <w:bCs/>
          <w:sz w:val="28"/>
          <w:szCs w:val="28"/>
          <w:lang w:eastAsia="zh-CN"/>
        </w:rPr>
      </w:pPr>
      <w:bookmarkStart w:id="1013" w:name="_Toc189651554"/>
      <w:r>
        <w:rPr>
          <w:rFonts w:hint="eastAsia" w:ascii="宋体" w:hAnsi="宋体" w:eastAsia="宋体" w:cs="宋体"/>
          <w:b/>
          <w:bCs/>
          <w:szCs w:val="24"/>
          <w:lang w:eastAsia="zh-CN"/>
        </w:rPr>
        <w:t>11.开工和竣工</w:t>
      </w:r>
      <w:bookmarkEnd w:id="1013"/>
    </w:p>
    <w:p w14:paraId="648E6CF3">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11.1 开工</w:t>
      </w:r>
    </w:p>
    <w:p w14:paraId="46F69505">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11.1.1 监理人应在开工日期7天前向承包人发出开工通知。监理人在发出开工通知前应获得发包人同意。工期自监理人发出的开工通知中载明的开工日期起计算。承包人应在开工日期后尽快施工。</w:t>
      </w:r>
    </w:p>
    <w:p w14:paraId="7CBFCC7C">
      <w:pPr>
        <w:pStyle w:val="3"/>
        <w:tabs>
          <w:tab w:val="left" w:pos="567"/>
        </w:tabs>
        <w:spacing w:line="440" w:lineRule="exact"/>
        <w:ind w:firstLine="420" w:firstLineChars="200"/>
        <w:rPr>
          <w:rFonts w:hint="eastAsia" w:ascii="宋体" w:hAnsi="宋体" w:eastAsia="宋体" w:cs="宋体"/>
          <w:b/>
          <w:bCs/>
          <w:szCs w:val="24"/>
          <w:lang w:eastAsia="zh-CN"/>
        </w:rPr>
      </w:pPr>
      <w:r>
        <w:rPr>
          <w:rFonts w:hint="eastAsia" w:ascii="宋体" w:hAnsi="宋体" w:eastAsia="宋体" w:cs="宋体"/>
          <w:szCs w:val="24"/>
          <w:lang w:eastAsia="zh-CN"/>
        </w:rPr>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6514B1EC">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11.2  竣工</w:t>
      </w:r>
    </w:p>
    <w:p w14:paraId="65FA94C2">
      <w:pPr>
        <w:pStyle w:val="3"/>
        <w:tabs>
          <w:tab w:val="left" w:pos="567"/>
        </w:tabs>
        <w:spacing w:line="440" w:lineRule="exact"/>
        <w:ind w:firstLine="420" w:firstLineChars="200"/>
        <w:rPr>
          <w:rFonts w:hint="eastAsia" w:ascii="宋体" w:hAnsi="宋体" w:eastAsia="宋体" w:cs="宋体"/>
          <w:b/>
          <w:bCs/>
          <w:szCs w:val="24"/>
          <w:lang w:eastAsia="zh-CN"/>
        </w:rPr>
      </w:pPr>
      <w:r>
        <w:rPr>
          <w:rFonts w:hint="eastAsia" w:ascii="宋体" w:hAnsi="宋体" w:eastAsia="宋体" w:cs="宋体"/>
          <w:szCs w:val="24"/>
          <w:lang w:eastAsia="zh-CN"/>
        </w:rPr>
        <w:t>承包人应在第1.1.4.3目约定的期限内完成合同工程。实际竣工日期在接收证书中写明。</w:t>
      </w:r>
    </w:p>
    <w:p w14:paraId="5929B123">
      <w:pPr>
        <w:pStyle w:val="3"/>
        <w:tabs>
          <w:tab w:val="left" w:pos="567"/>
        </w:tabs>
        <w:spacing w:line="440" w:lineRule="exact"/>
        <w:ind w:firstLine="422" w:firstLineChars="200"/>
        <w:rPr>
          <w:rFonts w:hint="eastAsia" w:ascii="宋体" w:hAnsi="宋体" w:eastAsia="宋体" w:cs="宋体"/>
          <w:szCs w:val="24"/>
          <w:lang w:eastAsia="zh-CN"/>
        </w:rPr>
      </w:pPr>
      <w:r>
        <w:rPr>
          <w:rFonts w:hint="eastAsia" w:ascii="宋体" w:hAnsi="宋体" w:eastAsia="宋体" w:cs="宋体"/>
          <w:b/>
          <w:bCs/>
          <w:szCs w:val="24"/>
          <w:lang w:eastAsia="zh-CN"/>
        </w:rPr>
        <w:t>11.3 发包人的工期延误</w:t>
      </w:r>
    </w:p>
    <w:p w14:paraId="2F7D83A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（8）发包人造成工期延误的其他原因：</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w:t>
      </w:r>
    </w:p>
    <w:p w14:paraId="7D315644">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11.4 异常恶劣的气候条件</w:t>
      </w:r>
    </w:p>
    <w:p w14:paraId="68C76769">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异常恶劣的气候条件的范围和标准：以市级以上人民政府颁布的条件为准。</w:t>
      </w:r>
    </w:p>
    <w:p w14:paraId="44D718F6">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11.5 承包人的工期延误</w:t>
      </w:r>
    </w:p>
    <w:p w14:paraId="0AE56BD7">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11.5.2 逾期竣工违约金的计算标准和计算方法：</w:t>
      </w:r>
    </w:p>
    <w:p w14:paraId="1E66BBBF">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由承包人（含专业分包人）原因造成的总工期延误，每延误一天，承包人应当向发包人赔偿工程结算金额的0.1‰的违约金，不足一天按一天计。逾期累计超过30天，发包人有权单方面解除合同并要求承包人赔偿工程结算金额3%的逾期违约金。</w:t>
      </w:r>
    </w:p>
    <w:p w14:paraId="5702BFAC">
      <w:pPr>
        <w:pStyle w:val="15"/>
        <w:spacing w:line="400" w:lineRule="exact"/>
        <w:rPr>
          <w:rFonts w:hint="eastAsia" w:ascii="宋体" w:hAnsi="宋体" w:eastAsia="宋体" w:cs="宋体"/>
          <w:szCs w:val="24"/>
          <w:lang w:eastAsia="zh-CN"/>
        </w:rPr>
      </w:pPr>
      <w:r>
        <w:rPr>
          <w:rFonts w:hint="eastAsia" w:ascii="宋体" w:hAnsi="宋体" w:eastAsia="宋体" w:cs="宋体"/>
          <w:snapToGrid w:val="0"/>
          <w:color w:val="000000"/>
          <w:sz w:val="21"/>
          <w:szCs w:val="24"/>
          <w:lang w:val="en-US" w:eastAsia="zh-CN" w:bidi="ar-SA"/>
        </w:rPr>
        <w:t>逾期竣工违约金最高限额：</w:t>
      </w:r>
      <w:r>
        <w:rPr>
          <w:rFonts w:hint="eastAsia" w:ascii="宋体" w:hAnsi="宋体" w:eastAsia="宋体" w:cs="宋体"/>
          <w:snapToGrid w:val="0"/>
          <w:color w:val="000000"/>
          <w:sz w:val="21"/>
          <w:szCs w:val="24"/>
          <w:u w:val="single"/>
          <w:lang w:val="en-US" w:eastAsia="zh-CN" w:bidi="ar-SA"/>
        </w:rPr>
        <w:t>最高不超过结算金额的3%。如果发包人提供切实证据，证明承包人按照本条支付给发包人的误期违约金总额不足以弥补因误期竣工给发包人造成的直接损失，并且该损失是承包人在订立合同时预见到或应当预见到的，承包人应当另行向发包人支付赔偿金 。</w:t>
      </w:r>
    </w:p>
    <w:p w14:paraId="5BCEB682">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11.6 发承包双方原因导致的工期延误</w:t>
      </w:r>
    </w:p>
    <w:p w14:paraId="243C905D">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lang w:eastAsia="zh-CN"/>
        </w:rPr>
        <w:t>发承包双方导致工期延误的原因</w:t>
      </w:r>
      <w:r>
        <w:rPr>
          <w:rFonts w:hint="eastAsia" w:ascii="宋体" w:hAnsi="宋体" w:eastAsia="宋体" w:cs="宋体"/>
          <w:szCs w:val="24"/>
          <w:u w:val="single"/>
          <w:lang w:eastAsia="zh-CN"/>
        </w:rPr>
        <w:t>：   /   。</w:t>
      </w:r>
    </w:p>
    <w:p w14:paraId="427B1248">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11.7 非发承包双方原因导致的工期延误</w:t>
      </w:r>
    </w:p>
    <w:p w14:paraId="06792D7A">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非发承包双方导致工期延误的原因：出现不利物质条件和异常恶劣的气候条件等，并且，如出现非发承包双方导致工期延误的原因，应执行专用4.11款、专用11.3款、专用11.4款、专用21款的约定。</w:t>
      </w:r>
    </w:p>
    <w:p w14:paraId="71D24236">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11.8 工期提前</w:t>
      </w:r>
    </w:p>
    <w:p w14:paraId="2A4307DB">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提前竣工的奖励办法：</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w:t>
      </w:r>
    </w:p>
    <w:p w14:paraId="6891284F">
      <w:pPr>
        <w:pStyle w:val="3"/>
        <w:tabs>
          <w:tab w:val="left" w:pos="567"/>
        </w:tabs>
        <w:spacing w:line="440" w:lineRule="exact"/>
        <w:ind w:left="420" w:leftChars="200"/>
        <w:outlineLvl w:val="1"/>
        <w:rPr>
          <w:rFonts w:hint="eastAsia" w:ascii="宋体" w:hAnsi="宋体" w:eastAsia="宋体" w:cs="宋体"/>
          <w:b/>
          <w:bCs/>
          <w:sz w:val="28"/>
          <w:szCs w:val="28"/>
          <w:lang w:eastAsia="zh-CN"/>
        </w:rPr>
      </w:pPr>
      <w:bookmarkStart w:id="1014" w:name="_Toc189651555"/>
      <w:r>
        <w:rPr>
          <w:rFonts w:hint="eastAsia" w:ascii="宋体" w:hAnsi="宋体" w:eastAsia="宋体" w:cs="宋体"/>
          <w:b/>
          <w:bCs/>
          <w:szCs w:val="24"/>
          <w:lang w:eastAsia="zh-CN"/>
        </w:rPr>
        <w:t>12.暂停施工</w:t>
      </w:r>
      <w:bookmarkEnd w:id="1014"/>
    </w:p>
    <w:p w14:paraId="23C4510B">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12.1 承包人暂停施工的责任</w:t>
      </w:r>
    </w:p>
    <w:p w14:paraId="3D65CD8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承包人承担暂停施工责任的其他情形：</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w:t>
      </w:r>
    </w:p>
    <w:p w14:paraId="058A157A">
      <w:pPr>
        <w:pStyle w:val="3"/>
        <w:tabs>
          <w:tab w:val="left" w:pos="567"/>
        </w:tabs>
        <w:spacing w:line="440" w:lineRule="exact"/>
        <w:ind w:firstLine="422" w:firstLineChars="200"/>
        <w:outlineLvl w:val="1"/>
        <w:rPr>
          <w:rFonts w:hint="eastAsia" w:ascii="宋体" w:hAnsi="宋体" w:eastAsia="宋体" w:cs="宋体"/>
          <w:b/>
          <w:bCs/>
          <w:sz w:val="28"/>
          <w:szCs w:val="28"/>
          <w:lang w:eastAsia="zh-CN"/>
        </w:rPr>
      </w:pPr>
      <w:bookmarkStart w:id="1015" w:name="_Toc189651556"/>
      <w:r>
        <w:rPr>
          <w:rFonts w:hint="eastAsia" w:ascii="宋体" w:hAnsi="宋体" w:eastAsia="宋体" w:cs="宋体"/>
          <w:b/>
          <w:bCs/>
          <w:szCs w:val="24"/>
          <w:lang w:eastAsia="zh-CN"/>
        </w:rPr>
        <w:t>13.工程质量</w:t>
      </w:r>
      <w:bookmarkEnd w:id="1015"/>
    </w:p>
    <w:p w14:paraId="1D66989A">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13.2 承包人的质量管理</w:t>
      </w:r>
    </w:p>
    <w:p w14:paraId="03F91707">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lang w:eastAsia="zh-CN"/>
        </w:rPr>
        <w:t>13.2.1 承包人向监理人提交工程质量保证措施文件的期限：</w:t>
      </w:r>
      <w:r>
        <w:rPr>
          <w:rFonts w:hint="eastAsia" w:ascii="宋体" w:hAnsi="宋体" w:eastAsia="宋体" w:cs="宋体"/>
          <w:szCs w:val="24"/>
          <w:u w:val="single"/>
          <w:lang w:eastAsia="zh-CN"/>
        </w:rPr>
        <w:t>签订合同后7天内。</w:t>
      </w:r>
    </w:p>
    <w:p w14:paraId="05F51B2C">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lang w:eastAsia="zh-CN"/>
        </w:rPr>
        <w:t>监理人审批工程质量保证措施文件的期限：</w:t>
      </w:r>
      <w:r>
        <w:rPr>
          <w:rFonts w:hint="eastAsia" w:ascii="宋体" w:hAnsi="宋体" w:eastAsia="宋体" w:cs="宋体"/>
          <w:szCs w:val="24"/>
          <w:u w:val="single"/>
          <w:lang w:eastAsia="zh-CN"/>
        </w:rPr>
        <w:t>收到工程质量保证措施文件后7天内。</w:t>
      </w:r>
    </w:p>
    <w:p w14:paraId="2720203B">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13.3 承包人的质量检查</w:t>
      </w:r>
    </w:p>
    <w:p w14:paraId="16814895">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13.3.1 承包人向监理人报送工程质量报表的期限：</w:t>
      </w:r>
      <w:r>
        <w:rPr>
          <w:rFonts w:hint="eastAsia" w:ascii="宋体" w:hAnsi="宋体" w:eastAsia="宋体" w:cs="宋体"/>
          <w:szCs w:val="24"/>
          <w:u w:val="single"/>
          <w:lang w:eastAsia="zh-CN"/>
        </w:rPr>
        <w:t>每月的25日前以书面形式报送。</w:t>
      </w:r>
    </w:p>
    <w:p w14:paraId="78CA4B1A">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承包人向监理人报送工程质量报表的要求：报表中至少包含：</w:t>
      </w:r>
      <w:r>
        <w:rPr>
          <w:rFonts w:hint="eastAsia" w:ascii="宋体" w:hAnsi="宋体" w:eastAsia="宋体" w:cs="宋体"/>
          <w:szCs w:val="24"/>
          <w:u w:val="single"/>
          <w:lang w:eastAsia="zh-CN"/>
        </w:rPr>
        <w:t>各方责任主体质量行为情况、第三方监测质量行为情况:重要部位、关键工序工程质量存在的主要问题及整改情况；材料进场验收及原材料试验情况。真实、有效、图文并茂、不得编造或篡改报表文件。</w:t>
      </w:r>
    </w:p>
    <w:p w14:paraId="03B00F8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13.3.2 监理人审查工程质量报表的期限：</w:t>
      </w:r>
      <w:r>
        <w:rPr>
          <w:rFonts w:hint="eastAsia" w:ascii="宋体" w:hAnsi="宋体" w:eastAsia="宋体" w:cs="宋体"/>
          <w:szCs w:val="24"/>
          <w:u w:val="single"/>
          <w:lang w:eastAsia="zh-CN"/>
        </w:rPr>
        <w:t>自收到工程质量报表后7天内</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szCs w:val="24"/>
          <w:lang w:eastAsia="zh-CN"/>
        </w:rPr>
        <w:t>。</w:t>
      </w:r>
    </w:p>
    <w:p w14:paraId="14502A86">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13.4 监理人的质量检查</w:t>
      </w:r>
    </w:p>
    <w:p w14:paraId="627C1BE9">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承包人应当为监理人的检查和检验提供方便，监理人可以进行察看和查阅施工原始记录的其他地方包括：</w:t>
      </w:r>
      <w:r>
        <w:rPr>
          <w:rFonts w:hint="eastAsia" w:ascii="宋体" w:hAnsi="宋体" w:eastAsia="宋体" w:cs="宋体"/>
          <w:szCs w:val="24"/>
          <w:u w:val="single"/>
          <w:lang w:eastAsia="zh-CN"/>
        </w:rPr>
        <w:t>承包人的试验场所、承包人的预制构件制作车间或场外加工场地等</w:t>
      </w:r>
      <w:r>
        <w:rPr>
          <w:rFonts w:hint="eastAsia" w:ascii="宋体" w:hAnsi="宋体" w:eastAsia="宋体" w:cs="宋体"/>
          <w:szCs w:val="24"/>
          <w:lang w:eastAsia="zh-CN"/>
        </w:rPr>
        <w:t>。</w:t>
      </w:r>
    </w:p>
    <w:p w14:paraId="4E47B38D">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13.5 工程隐蔽部位覆盖前的检查</w:t>
      </w:r>
    </w:p>
    <w:p w14:paraId="2FC0165E">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13.5.1 监理人对工程隐蔽部位进行检查的期限：</w:t>
      </w:r>
      <w:r>
        <w:rPr>
          <w:rFonts w:hint="eastAsia" w:ascii="宋体" w:hAnsi="宋体" w:eastAsia="宋体" w:cs="宋体"/>
          <w:szCs w:val="24"/>
          <w:u w:val="single"/>
          <w:lang w:eastAsia="zh-CN"/>
        </w:rPr>
        <w:t>收到承包人的检查通知后12小时内</w:t>
      </w:r>
      <w:r>
        <w:rPr>
          <w:rFonts w:hint="eastAsia" w:ascii="宋体" w:hAnsi="宋体" w:eastAsia="宋体" w:cs="宋体"/>
          <w:szCs w:val="24"/>
          <w:lang w:eastAsia="zh-CN"/>
        </w:rPr>
        <w:t>。</w:t>
      </w:r>
    </w:p>
    <w:p w14:paraId="705AAFB1">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rPr>
        <w:commentReference w:id="6"/>
      </w:r>
      <w:r>
        <w:rPr>
          <w:rFonts w:hint="eastAsia" w:ascii="宋体" w:hAnsi="宋体" w:eastAsia="宋体" w:cs="宋体"/>
          <w:b/>
          <w:bCs/>
          <w:szCs w:val="24"/>
          <w:lang w:eastAsia="zh-CN"/>
        </w:rPr>
        <w:t>13.6 质量相关的违约责任</w:t>
      </w:r>
    </w:p>
    <w:p w14:paraId="3DD5D145">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13.6.1 因承包人原因，本工程未能一次性通过竣工验收的，承包人应向发包人支付</w:t>
      </w:r>
      <w:r>
        <w:rPr>
          <w:rFonts w:hint="eastAsia" w:ascii="宋体" w:hAnsi="宋体" w:eastAsia="宋体" w:cs="宋体"/>
          <w:szCs w:val="24"/>
          <w:u w:val="single"/>
          <w:lang w:eastAsia="zh-CN"/>
        </w:rPr>
        <w:t xml:space="preserve"> 1‰ </w:t>
      </w:r>
      <w:r>
        <w:rPr>
          <w:rFonts w:hint="eastAsia" w:ascii="宋体" w:hAnsi="宋体" w:eastAsia="宋体" w:cs="宋体"/>
          <w:szCs w:val="24"/>
          <w:lang w:eastAsia="zh-CN"/>
        </w:rPr>
        <w:t>的违约金，并承担由此产生的返工、复验等全部费用。若因质量原因导致第二次及以后验收仍未通过的，每增加一次，承包人额外支付</w:t>
      </w:r>
      <w:r>
        <w:rPr>
          <w:rFonts w:hint="eastAsia" w:ascii="宋体" w:hAnsi="宋体" w:eastAsia="宋体" w:cs="宋体"/>
          <w:szCs w:val="24"/>
          <w:u w:val="single"/>
          <w:lang w:eastAsia="zh-CN"/>
        </w:rPr>
        <w:t xml:space="preserve"> 1‰ </w:t>
      </w:r>
      <w:r>
        <w:rPr>
          <w:rFonts w:hint="eastAsia" w:ascii="宋体" w:hAnsi="宋体" w:eastAsia="宋体" w:cs="宋体"/>
          <w:szCs w:val="24"/>
          <w:lang w:eastAsia="zh-CN"/>
        </w:rPr>
        <w:t>的违约金。</w:t>
      </w:r>
    </w:p>
    <w:p w14:paraId="1879803C">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13.6.2 承包人使用不合格材料或工程设备的，除应按监理人要求立即更换外，还应向发包人支付 ()的违约金。发包人有权直接从应付工程款中扣除该违约金。</w:t>
      </w:r>
    </w:p>
    <w:p w14:paraId="7726EE6F">
      <w:pPr>
        <w:pStyle w:val="3"/>
        <w:tabs>
          <w:tab w:val="left" w:pos="567"/>
        </w:tabs>
        <w:spacing w:line="440" w:lineRule="exact"/>
        <w:ind w:left="420" w:leftChars="200"/>
        <w:outlineLvl w:val="1"/>
        <w:rPr>
          <w:rFonts w:hint="eastAsia" w:ascii="宋体" w:hAnsi="宋体" w:eastAsia="宋体" w:cs="宋体"/>
          <w:b/>
          <w:bCs/>
          <w:szCs w:val="24"/>
          <w:lang w:eastAsia="zh-CN"/>
        </w:rPr>
      </w:pPr>
      <w:bookmarkStart w:id="1016" w:name="_Toc189651557"/>
      <w:r>
        <w:rPr>
          <w:rFonts w:hint="eastAsia" w:ascii="宋体" w:hAnsi="宋体" w:eastAsia="宋体" w:cs="宋体"/>
          <w:b/>
          <w:bCs/>
          <w:szCs w:val="24"/>
          <w:lang w:eastAsia="zh-CN"/>
        </w:rPr>
        <w:t>15.变更</w:t>
      </w:r>
      <w:bookmarkEnd w:id="1016"/>
    </w:p>
    <w:p w14:paraId="2B9613CF">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15.1 变更的范围和内容</w:t>
      </w:r>
    </w:p>
    <w:p w14:paraId="3782ACDD">
      <w:pPr>
        <w:tabs>
          <w:tab w:val="left" w:pos="2976"/>
        </w:tabs>
        <w:spacing w:line="240" w:lineRule="auto"/>
        <w:ind w:firstLine="420" w:firstLineChars="200"/>
        <w:outlineLvl w:val="9"/>
        <w:rPr>
          <w:rFonts w:hint="eastAsia" w:ascii="宋体" w:hAnsi="宋体" w:eastAsia="宋体" w:cs="宋体"/>
          <w:b w:val="0"/>
          <w:snapToGrid w:val="0"/>
          <w:color w:val="000000"/>
          <w:sz w:val="21"/>
          <w:szCs w:val="24"/>
          <w:lang w:val="en-US" w:eastAsia="zh-CN" w:bidi="ar-SA"/>
        </w:rPr>
      </w:pPr>
      <w:r>
        <w:rPr>
          <w:rFonts w:hint="eastAsia" w:ascii="宋体" w:hAnsi="宋体" w:eastAsia="宋体" w:cs="宋体"/>
          <w:b w:val="0"/>
          <w:snapToGrid w:val="0"/>
          <w:color w:val="000000"/>
          <w:sz w:val="21"/>
          <w:szCs w:val="24"/>
          <w:lang w:val="en-US" w:eastAsia="zh-CN" w:bidi="ar-SA"/>
        </w:rPr>
        <w:t>15.1.1 在履行合同中发生通用条款“15.1变更的范围”情形之一，应按照本条规定进行变更。</w:t>
      </w:r>
    </w:p>
    <w:p w14:paraId="2B2E6AC2">
      <w:pPr>
        <w:tabs>
          <w:tab w:val="left" w:pos="2976"/>
        </w:tabs>
        <w:spacing w:line="240" w:lineRule="auto"/>
        <w:ind w:firstLine="420" w:firstLineChars="200"/>
        <w:outlineLvl w:val="9"/>
        <w:rPr>
          <w:rFonts w:hint="eastAsia" w:ascii="宋体" w:hAnsi="宋体" w:eastAsia="宋体" w:cs="宋体"/>
          <w:b w:val="0"/>
          <w:snapToGrid w:val="0"/>
          <w:color w:val="000000"/>
          <w:sz w:val="21"/>
          <w:szCs w:val="24"/>
          <w:u w:val="single"/>
          <w:lang w:val="en-US" w:eastAsia="zh-CN" w:bidi="ar-SA"/>
        </w:rPr>
      </w:pPr>
      <w:r>
        <w:rPr>
          <w:rFonts w:hint="eastAsia" w:ascii="宋体" w:hAnsi="宋体" w:eastAsia="宋体" w:cs="宋体"/>
          <w:b w:val="0"/>
          <w:snapToGrid w:val="0"/>
          <w:color w:val="000000"/>
          <w:sz w:val="21"/>
          <w:szCs w:val="24"/>
          <w:lang w:val="en-US" w:eastAsia="zh-CN" w:bidi="ar-SA"/>
        </w:rPr>
        <w:t>15.1.2 变更的其他情形：</w:t>
      </w:r>
      <w:r>
        <w:rPr>
          <w:rFonts w:hint="eastAsia" w:ascii="宋体" w:hAnsi="宋体" w:eastAsia="宋体" w:cs="宋体"/>
          <w:b w:val="0"/>
          <w:snapToGrid w:val="0"/>
          <w:color w:val="000000"/>
          <w:sz w:val="21"/>
          <w:szCs w:val="24"/>
          <w:u w:val="single"/>
          <w:lang w:val="en-US" w:eastAsia="zh-CN" w:bidi="ar-SA"/>
        </w:rPr>
        <w:t xml:space="preserve">   /   。</w:t>
      </w:r>
    </w:p>
    <w:p w14:paraId="2EC27177">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15.3 变更程序</w:t>
      </w:r>
    </w:p>
    <w:p w14:paraId="7487A5AA">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15.3.2 变更估价</w:t>
      </w:r>
    </w:p>
    <w:p w14:paraId="12EB56E2">
      <w:pPr>
        <w:pStyle w:val="3"/>
        <w:tabs>
          <w:tab w:val="left" w:pos="567"/>
        </w:tabs>
        <w:spacing w:line="440" w:lineRule="exact"/>
        <w:ind w:firstLine="420" w:firstLineChars="200"/>
        <w:rPr>
          <w:rFonts w:hint="eastAsia" w:ascii="宋体" w:hAnsi="宋体" w:eastAsia="宋体" w:cs="宋体"/>
          <w:lang w:eastAsia="zh-CN"/>
        </w:rPr>
      </w:pPr>
      <w:r>
        <w:rPr>
          <w:rFonts w:hint="eastAsia" w:ascii="宋体" w:hAnsi="宋体" w:eastAsia="宋体" w:cs="宋体"/>
          <w:szCs w:val="24"/>
          <w:lang w:eastAsia="zh-CN"/>
        </w:rPr>
        <w:t>（1）承包人提交变更报价书的期限：</w:t>
      </w:r>
      <w:r>
        <w:rPr>
          <w:rFonts w:hint="eastAsia" w:ascii="宋体" w:hAnsi="宋体" w:eastAsia="宋体" w:cs="宋体"/>
          <w:szCs w:val="24"/>
          <w:u w:val="single"/>
          <w:lang w:eastAsia="zh-CN"/>
        </w:rPr>
        <w:t>承包人在收到变更指示后7天内，提出变更工程价款。</w:t>
      </w:r>
    </w:p>
    <w:p w14:paraId="6970D3C5">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（3） 监理人商定或确定变更价格的期限：</w:t>
      </w:r>
      <w:r>
        <w:rPr>
          <w:rFonts w:hint="eastAsia" w:ascii="宋体" w:hAnsi="宋体" w:eastAsia="宋体" w:cs="宋体"/>
          <w:szCs w:val="24"/>
          <w:u w:val="single"/>
          <w:lang w:eastAsia="zh-CN"/>
        </w:rPr>
        <w:t>监理人收到承包人变更工程价款申请后5天内提供审核意见并移交至发包人。发包人收到监理人审核后的变更工程价款后14天内提供审核意见。承包人不得以发包人和承包人或监理人和承包人之间未能就变更工作的计价达成一致而拒绝实施变更工作，也不得暂停、拖延或终止施工。</w:t>
      </w:r>
    </w:p>
    <w:p w14:paraId="28792B32">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15.4 变更的估价原则</w:t>
      </w:r>
    </w:p>
    <w:p w14:paraId="4B7AF5F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15.4.5 合同协议书约定采用单价合同形式时，因非承包人原因引起已标价工程量清单中列明的工 程量发生增减，且单个子目工程量变化幅度在</w:t>
      </w:r>
      <w:r>
        <w:rPr>
          <w:rFonts w:hint="eastAsia" w:ascii="宋体" w:hAnsi="宋体" w:eastAsia="宋体" w:cs="宋体"/>
          <w:szCs w:val="24"/>
          <w:u w:val="single"/>
          <w:lang w:eastAsia="zh-CN"/>
        </w:rPr>
        <w:t>±15%</w:t>
      </w:r>
      <w:r>
        <w:rPr>
          <w:rFonts w:hint="eastAsia" w:ascii="宋体" w:hAnsi="宋体" w:eastAsia="宋体" w:cs="宋体"/>
          <w:szCs w:val="24"/>
          <w:lang w:eastAsia="zh-CN"/>
        </w:rPr>
        <w:t>以内（含）时，应执行已标价工程量清单中列明的该子目的单价；单个子目工程量变化幅度在</w:t>
      </w:r>
      <w:r>
        <w:rPr>
          <w:rFonts w:hint="eastAsia" w:ascii="宋体" w:hAnsi="宋体" w:eastAsia="宋体" w:cs="宋体"/>
          <w:szCs w:val="24"/>
          <w:u w:val="single"/>
          <w:lang w:eastAsia="zh-CN"/>
        </w:rPr>
        <w:t>±15%</w:t>
      </w:r>
      <w:r>
        <w:rPr>
          <w:rFonts w:hint="eastAsia" w:ascii="宋体" w:hAnsi="宋体" w:eastAsia="宋体" w:cs="宋体"/>
          <w:szCs w:val="24"/>
          <w:lang w:eastAsia="zh-CN"/>
        </w:rPr>
        <w:t>以外（不含），且导致分部分项工程费总额变化幅度超过</w:t>
      </w:r>
      <w:r>
        <w:rPr>
          <w:rFonts w:hint="eastAsia" w:ascii="宋体" w:hAnsi="宋体" w:eastAsia="宋体" w:cs="宋体"/>
          <w:szCs w:val="24"/>
          <w:u w:val="single"/>
          <w:lang w:eastAsia="zh-CN"/>
        </w:rPr>
        <w:t>±2%</w:t>
      </w:r>
      <w:r>
        <w:rPr>
          <w:rFonts w:hint="eastAsia" w:ascii="宋体" w:hAnsi="宋体" w:eastAsia="宋体" w:cs="宋体"/>
          <w:szCs w:val="24"/>
          <w:lang w:eastAsia="zh-CN"/>
        </w:rPr>
        <w:t>时，由承包人提出并由监理人按第3.5款商定或确定新的单价，该子目按修正后的新的单价计价。</w:t>
      </w:r>
    </w:p>
    <w:p w14:paraId="473A74D8">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15.4.6 因变更引起价格调整的其他处理方式：</w:t>
      </w:r>
    </w:p>
    <w:p w14:paraId="28A16F31">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15.4.6.1 设计变更或工程洽商经发包人签署确定后，按照合同约定确实需要调整合同价款的，按以下原则计价:</w:t>
      </w:r>
    </w:p>
    <w:p w14:paraId="543373C8">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（1）合同文件中已有适用于变更工作相同分部分项工程清单综合单价，按照合同文件已有综合单价进行计价；</w:t>
      </w:r>
    </w:p>
    <w:p w14:paraId="54ED9659">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（2）合同文件中只有类似的变更工作的分部分项工程清单综合单价，可以参照类似综合单价执行；</w:t>
      </w:r>
    </w:p>
    <w:p w14:paraId="39ADB43E">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（3）合同文件中没有适用或类似的变更工作的分部分项工程清单综合单价，按下列组价原则进行确定综合单价:</w:t>
      </w:r>
    </w:p>
    <w:p w14:paraId="57E8752E">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①消耗量:已标价的工程量清单组价中已有相同的工序、做法或细项的人工、材料、机械消耗量的，按照已有的执行:如果没有，按照2021《北京市建设工程预算消耗量标准》及2021《北京市房屋修缮工程预算消耗量标准》执行；</w:t>
      </w:r>
    </w:p>
    <w:p w14:paraId="0BE44A91">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②单价:已标价的工程量清单中已有相应的人工、材料和机械单价，按照已有的执行；如果没有，参照施工期的北京市建设工程造价信息价格执行，造价信息上没有的价格，发包人和承包人协商确定价格；</w:t>
      </w:r>
    </w:p>
    <w:p w14:paraId="500D62E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②费率:组价的费率按照承包人已标价工程量清单的参选费率执行。</w:t>
      </w:r>
    </w:p>
    <w:p w14:paraId="2C975983">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4）本项目设计变更、工程洽商、现场签证、清单量差（含错漏项）涉及的措施项目费计价原则:单价措施项目费用的综合单价按原参选综合单价执行，单价措施项目清单工程量据实结算总价措施项目费用为固定总价包干（安全文明施工费除外），合同内外工程所有变化均不导致总价措施项目费用调整（安全文明施工费除外）。</w:t>
      </w:r>
    </w:p>
    <w:p w14:paraId="4551AF29">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15.4.6.2 当单个子目工程量变化幅度在士15%以外（不含），且导致分部分项工程费总额变化幅度超过士2%时，由承包人提出并由监理人按第3.5款商定或确定新的单价，商定或确定新的单价的原则如下:</w:t>
      </w:r>
    </w:p>
    <w:p w14:paraId="69B9970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（1）消耗量可依据现行定额相关项目的消耗量确定。</w:t>
      </w:r>
    </w:p>
    <w:p w14:paraId="0FE4C1CA">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（2）管理费和利润按相应项目原参选费率确定。</w:t>
      </w:r>
    </w:p>
    <w:p w14:paraId="55EB23B8">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（3）按以上原则重新形成的综合单价应符合如下调价方向:"当增加15%以上时，增加部分的工程量的综合单价应当调低；当减少15%以上时，剩余部分的工程量综合单价应当调高"；否则综合单价不需调整。</w:t>
      </w:r>
    </w:p>
    <w:p w14:paraId="38C632AB">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15.5 承包人的合理化建议</w:t>
      </w:r>
    </w:p>
    <w:p w14:paraId="2692A86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对承包人提出合理化建议的奖励方法：</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w:t>
      </w:r>
    </w:p>
    <w:p w14:paraId="63527E68">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15.8 暂估价</w:t>
      </w:r>
    </w:p>
    <w:p w14:paraId="6EC84E9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15.8.1 按合同约定应当由发包人和承包人采用招标方式选择专项供应商或专业分包人的：</w:t>
      </w:r>
    </w:p>
    <w:p w14:paraId="157B1B5F">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（4）承包人报送招标计划期限：承包人启动招标工作前14日历天。</w:t>
      </w:r>
    </w:p>
    <w:p w14:paraId="2ED5C761">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发包人审批招标工作计划时限：收到承包人报送的招标工作计划后7日历天内。</w:t>
      </w:r>
    </w:p>
    <w:p w14:paraId="5A4EB319">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（5）承包人报送相关文件时限：承包人发出相关文件前14日历天。</w:t>
      </w:r>
    </w:p>
    <w:p w14:paraId="18399E4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发包人审批相关文件时限：收到承包人报送的相关文件后14日历天内。</w:t>
      </w:r>
    </w:p>
    <w:p w14:paraId="7579B540">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（10）承包人申报合同文件时限：承包人与专业分包人或供应商订立合同前14天。发包人审批合同文件时限：收到承包人报送的相关文件后7日历天内。</w:t>
      </w:r>
    </w:p>
    <w:p w14:paraId="592B3F93">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承包人报送正式签订合同副本时限：承包人与专业分包人或供应签订合同后7日历天内。</w:t>
      </w:r>
    </w:p>
    <w:p w14:paraId="6B32D6D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15.8.3 发包人在工程量清单中给定暂估价的专业工程不属于依法必须招标的范围或者未达到依法必须招标的规模标准的，其最终价格的估价人为：监理人及发包人或者按照下列约定：/。</w:t>
      </w:r>
    </w:p>
    <w:p w14:paraId="18683020">
      <w:pPr>
        <w:pStyle w:val="3"/>
        <w:tabs>
          <w:tab w:val="left" w:pos="567"/>
        </w:tabs>
        <w:spacing w:line="440" w:lineRule="exact"/>
        <w:ind w:firstLine="422" w:firstLineChars="200"/>
        <w:outlineLvl w:val="1"/>
        <w:rPr>
          <w:rFonts w:hint="eastAsia" w:ascii="宋体" w:hAnsi="宋体" w:eastAsia="宋体" w:cs="宋体"/>
          <w:b/>
          <w:bCs/>
          <w:sz w:val="28"/>
          <w:szCs w:val="28"/>
          <w:lang w:eastAsia="zh-CN"/>
        </w:rPr>
      </w:pPr>
      <w:bookmarkStart w:id="1017" w:name="_Toc189651558"/>
      <w:r>
        <w:rPr>
          <w:rFonts w:hint="eastAsia" w:ascii="宋体" w:hAnsi="宋体" w:eastAsia="宋体" w:cs="宋体"/>
          <w:b/>
          <w:bCs/>
          <w:szCs w:val="24"/>
          <w:lang w:eastAsia="zh-CN"/>
        </w:rPr>
        <w:t>16.价格调整</w:t>
      </w:r>
      <w:bookmarkEnd w:id="1017"/>
    </w:p>
    <w:p w14:paraId="700AFC96">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16.1 物价波动引起的价格调整</w:t>
      </w:r>
    </w:p>
    <w:p w14:paraId="7088F2D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物价波动引起价格调整方法：</w:t>
      </w:r>
      <w:r>
        <w:rPr>
          <w:rFonts w:hint="eastAsia" w:ascii="宋体" w:hAnsi="宋体" w:eastAsia="宋体" w:cs="宋体"/>
          <w:szCs w:val="24"/>
          <w:u w:val="single"/>
          <w:lang w:eastAsia="zh-CN"/>
        </w:rPr>
        <w:t>采用北京市造价信息调整价格差额</w:t>
      </w:r>
      <w:r>
        <w:rPr>
          <w:rFonts w:hint="eastAsia" w:ascii="宋体" w:hAnsi="宋体" w:eastAsia="宋体" w:cs="宋体"/>
          <w:szCs w:val="24"/>
          <w:lang w:eastAsia="zh-CN"/>
        </w:rPr>
        <w:t>。</w:t>
      </w:r>
    </w:p>
    <w:p w14:paraId="50D8EEC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16.1.2 采用造价信息调整价格差额</w:t>
      </w:r>
    </w:p>
    <w:p w14:paraId="2D4C5B6C">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rPr>
        <w:fldChar w:fldCharType="begin"/>
      </w:r>
      <w:r>
        <w:rPr>
          <w:rFonts w:hint="eastAsia" w:ascii="宋体" w:hAnsi="宋体" w:eastAsia="宋体" w:cs="宋体"/>
        </w:rPr>
        <w:instrText xml:space="preserve"> HYPERLINK "file:///E:\\微信文件\\WeChat%20Files\\wxid_3hcjvnl979gw22\\FileStorage\\File\\2025-03\\16.1.2.1" </w:instrText>
      </w:r>
      <w:r>
        <w:rPr>
          <w:rFonts w:hint="eastAsia" w:ascii="宋体" w:hAnsi="宋体" w:eastAsia="宋体" w:cs="宋体"/>
        </w:rPr>
        <w:fldChar w:fldCharType="separate"/>
      </w:r>
      <w:r>
        <w:rPr>
          <w:rFonts w:hint="eastAsia" w:ascii="宋体" w:hAnsi="宋体" w:eastAsia="宋体" w:cs="宋体"/>
          <w:szCs w:val="24"/>
          <w:lang w:eastAsia="zh-CN"/>
        </w:rPr>
        <w:t>16.1.2.1</w:t>
      </w:r>
      <w:r>
        <w:rPr>
          <w:rFonts w:hint="eastAsia" w:ascii="宋体" w:hAnsi="宋体" w:eastAsia="宋体" w:cs="宋体"/>
          <w:szCs w:val="24"/>
          <w:lang w:eastAsia="zh-CN"/>
        </w:rPr>
        <w:fldChar w:fldCharType="end"/>
      </w:r>
      <w:r>
        <w:rPr>
          <w:rFonts w:hint="eastAsia" w:ascii="宋体" w:hAnsi="宋体" w:eastAsia="宋体" w:cs="宋体"/>
          <w:szCs w:val="24"/>
          <w:lang w:eastAsia="zh-CN"/>
        </w:rPr>
        <w:t xml:space="preserve"> 引起价格调整的物价波动风险范围及幅度引起价格调整的物价波动风险范围：</w:t>
      </w:r>
      <w:r>
        <w:rPr>
          <w:rFonts w:hint="eastAsia" w:ascii="宋体" w:hAnsi="宋体" w:eastAsia="宋体" w:cs="宋体"/>
          <w:szCs w:val="24"/>
          <w:u w:val="single"/>
          <w:lang w:eastAsia="zh-CN"/>
        </w:rPr>
        <w:t>（1）人工。（2）钢材（包括钢筋、钢板、型钢、镀锌钢管、焊接钢管、无缝钢管等）、水泥及预拌混凝土、装配式预制构件。（3）铝合金型材、铝单板、玻璃、门窗、电线电缆、沥青及沥青混凝土等单项材料费占签约合同价1%（含）以上的材料。</w:t>
      </w:r>
    </w:p>
    <w:p w14:paraId="655C1AFE">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引起价格调整的物价波动风险幅度：</w:t>
      </w:r>
      <w:r>
        <w:rPr>
          <w:rFonts w:hint="eastAsia" w:ascii="宋体" w:hAnsi="宋体" w:eastAsia="宋体" w:cs="宋体"/>
          <w:szCs w:val="24"/>
          <w:u w:val="single"/>
          <w:lang w:eastAsia="zh-CN"/>
        </w:rPr>
        <w:t>±5%</w:t>
      </w:r>
      <w:r>
        <w:rPr>
          <w:rFonts w:hint="eastAsia" w:ascii="宋体" w:hAnsi="宋体" w:eastAsia="宋体" w:cs="宋体"/>
          <w:szCs w:val="24"/>
          <w:lang w:eastAsia="zh-CN"/>
        </w:rPr>
        <w:t>。</w:t>
      </w:r>
    </w:p>
    <w:p w14:paraId="19847D88">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rPr>
        <w:fldChar w:fldCharType="begin"/>
      </w:r>
      <w:r>
        <w:rPr>
          <w:rFonts w:hint="eastAsia" w:ascii="宋体" w:hAnsi="宋体" w:eastAsia="宋体" w:cs="宋体"/>
        </w:rPr>
        <w:instrText xml:space="preserve"> HYPERLINK "file:///E:\\微信文件\\WeChat%20Files\\wxid_3hcjvnl979gw22\\FileStorage\\File\\2025-03\\16.1.2.2" </w:instrText>
      </w:r>
      <w:r>
        <w:rPr>
          <w:rFonts w:hint="eastAsia" w:ascii="宋体" w:hAnsi="宋体" w:eastAsia="宋体" w:cs="宋体"/>
        </w:rPr>
        <w:fldChar w:fldCharType="separate"/>
      </w:r>
      <w:r>
        <w:rPr>
          <w:rFonts w:hint="eastAsia" w:ascii="宋体" w:hAnsi="宋体" w:eastAsia="宋体" w:cs="宋体"/>
          <w:szCs w:val="24"/>
          <w:lang w:eastAsia="zh-CN"/>
        </w:rPr>
        <w:t>16.1.2.2</w:t>
      </w:r>
      <w:r>
        <w:rPr>
          <w:rFonts w:hint="eastAsia" w:ascii="宋体" w:hAnsi="宋体" w:eastAsia="宋体" w:cs="宋体"/>
          <w:szCs w:val="24"/>
          <w:lang w:eastAsia="zh-CN"/>
        </w:rPr>
        <w:fldChar w:fldCharType="end"/>
      </w:r>
      <w:r>
        <w:rPr>
          <w:rFonts w:hint="eastAsia" w:ascii="宋体" w:hAnsi="宋体" w:eastAsia="宋体" w:cs="宋体"/>
          <w:szCs w:val="24"/>
          <w:lang w:eastAsia="zh-CN"/>
        </w:rPr>
        <w:t xml:space="preserve"> 物价波动引起价格调整的风险幅度的计算方法</w:t>
      </w:r>
    </w:p>
    <w:p w14:paraId="0AD09C88">
      <w:pPr>
        <w:pStyle w:val="3"/>
        <w:numPr>
          <w:ilvl w:val="0"/>
          <w:numId w:val="2"/>
        </w:numPr>
        <w:spacing w:line="440" w:lineRule="exact"/>
        <w:ind w:firstLine="420" w:firstLineChars="200"/>
        <w:rPr>
          <w:rFonts w:hint="eastAsia" w:ascii="宋体" w:hAnsi="宋体" w:eastAsia="宋体" w:cs="宋体"/>
          <w:szCs w:val="24"/>
          <w:highlight w:val="none"/>
          <w:lang w:eastAsia="zh-CN"/>
        </w:rPr>
      </w:pPr>
      <w:r>
        <w:rPr>
          <w:rFonts w:hint="eastAsia" w:ascii="宋体" w:hAnsi="宋体" w:eastAsia="宋体" w:cs="宋体"/>
          <w:szCs w:val="24"/>
          <w:highlight w:val="none"/>
          <w:lang w:eastAsia="zh-CN"/>
        </w:rPr>
        <w:t>投标报价基准期：2026年6月。</w:t>
      </w:r>
    </w:p>
    <w:p w14:paraId="0011C3E2">
      <w:pPr>
        <w:pStyle w:val="3"/>
        <w:numPr>
          <w:ilvl w:val="0"/>
          <w:numId w:val="2"/>
        </w:numPr>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《北京工程造价信息》中工程造价信息价没有的，基准价的确定方法：</w:t>
      </w:r>
      <w:r>
        <w:rPr>
          <w:rFonts w:hint="eastAsia" w:ascii="宋体" w:hAnsi="宋体" w:eastAsia="宋体" w:cs="宋体"/>
          <w:szCs w:val="24"/>
          <w:u w:val="single"/>
          <w:lang w:eastAsia="zh-CN"/>
        </w:rPr>
        <w:t>造价信息价格没有时，应以发包人、承包人共同确认的市场价格为依据确定。</w:t>
      </w:r>
    </w:p>
    <w:p w14:paraId="44946A9A">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（3）合同履行期间价格的确定方法：</w:t>
      </w:r>
      <w:r>
        <w:rPr>
          <w:rFonts w:hint="eastAsia" w:ascii="宋体" w:hAnsi="宋体" w:eastAsia="宋体" w:cs="宋体"/>
          <w:szCs w:val="24"/>
          <w:u w:val="single"/>
          <w:lang w:eastAsia="zh-CN"/>
        </w:rPr>
        <w:t>施工期市场价格应以《北京工程造价信息》（以下简称造价信息）中的施工期市场信息价格为依据确定。造价信息价格中有上、下限的，以下限为准；造价信息价格缺项时，应以发包人、承包人共同确认的施工期价格为准。</w:t>
      </w:r>
    </w:p>
    <w:p w14:paraId="0CCA63F3">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（4）风险幅度的计算方法：</w:t>
      </w:r>
    </w:p>
    <w:p w14:paraId="4B6925C3">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①当承包人参选报价中的单价低于基准价时:物价波动变化幅度（涨幅）=（施工期市场价-基准价）/基准价*100%物价波动变化幅度（跌幅）=（施工期市场价-参选单价）/参选单价*100%</w:t>
      </w:r>
    </w:p>
    <w:p w14:paraId="1BDA846E">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②当承包人参选报价中的单价高于基准价时:物价波动变化幅度（涨幅）=（施工期市场价-参选单价）/参选单价*100%物价波动变化幅度（跌 幅）=（施工期市场价-基准价）/基准价*100%</w:t>
      </w:r>
    </w:p>
    <w:p w14:paraId="29173A97">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③当承包人参选报价中的单价等于基准价时:物价波动变化幅度=（施工期市场价-基准价）/基准价*100%</w:t>
      </w:r>
    </w:p>
    <w:p w14:paraId="7B2F8965">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rPr>
        <w:fldChar w:fldCharType="begin"/>
      </w:r>
      <w:r>
        <w:rPr>
          <w:rFonts w:hint="eastAsia" w:ascii="宋体" w:hAnsi="宋体" w:eastAsia="宋体" w:cs="宋体"/>
        </w:rPr>
        <w:instrText xml:space="preserve"> HYPERLINK "file:///E:\\微信文件\\WeChat%20Files\\wxid_3hcjvnl979gw22\\FileStorage\\File\\2025-03\\16.1.2.3" </w:instrText>
      </w:r>
      <w:r>
        <w:rPr>
          <w:rFonts w:hint="eastAsia" w:ascii="宋体" w:hAnsi="宋体" w:eastAsia="宋体" w:cs="宋体"/>
        </w:rPr>
        <w:fldChar w:fldCharType="separate"/>
      </w:r>
      <w:r>
        <w:rPr>
          <w:rFonts w:hint="eastAsia" w:ascii="宋体" w:hAnsi="宋体" w:eastAsia="宋体" w:cs="宋体"/>
          <w:szCs w:val="24"/>
          <w:lang w:eastAsia="zh-CN"/>
        </w:rPr>
        <w:t>16.1.2.3</w:t>
      </w:r>
      <w:r>
        <w:rPr>
          <w:rFonts w:hint="eastAsia" w:ascii="宋体" w:hAnsi="宋体" w:eastAsia="宋体" w:cs="宋体"/>
          <w:szCs w:val="24"/>
          <w:lang w:eastAsia="zh-CN"/>
        </w:rPr>
        <w:fldChar w:fldCharType="end"/>
      </w:r>
      <w:r>
        <w:rPr>
          <w:rFonts w:hint="eastAsia" w:ascii="宋体" w:hAnsi="宋体" w:eastAsia="宋体" w:cs="宋体"/>
          <w:szCs w:val="24"/>
          <w:lang w:eastAsia="zh-CN"/>
        </w:rPr>
        <w:t xml:space="preserve"> 物价波动引起价格调整的方法</w:t>
      </w:r>
    </w:p>
    <w:p w14:paraId="69B6E00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（1）价格调整方法：算数平均法。</w:t>
      </w:r>
    </w:p>
    <w:p w14:paraId="27BD3B98">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16.1.2.4 其他约定：按相关部位施工期对应《北京工程造价信息》算数平均值计算，相关部位施工期说明如下:</w:t>
      </w:r>
      <w:r>
        <w:rPr>
          <w:rFonts w:hint="eastAsia" w:ascii="宋体" w:hAnsi="宋体" w:eastAsia="宋体" w:cs="宋体"/>
          <w:szCs w:val="24"/>
          <w:u w:val="single"/>
          <w:lang w:eastAsia="zh-CN"/>
        </w:rPr>
        <w:t>开工日期以监理人签发的开工令日期为依据确定。</w:t>
      </w:r>
    </w:p>
    <w:p w14:paraId="21A401E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16.1.3 其他价格调整方法</w:t>
      </w:r>
    </w:p>
    <w:p w14:paraId="2BE99991">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16.1.3.1 因下述原因，导致测算安全文明施工费用的施工措施方案发生变化，可依据施工措施方案的变化情况调整安全文明施工费用:</w:t>
      </w:r>
    </w:p>
    <w:p w14:paraId="3BB50E51">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①超过一定规模的危大工程的专项施工方案根据专家论证意见发生调整并引起费用变化的:</w:t>
      </w:r>
    </w:p>
    <w:p w14:paraId="2BF30D92">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②工程变更导致安全文明施工措施发生较大变化的；</w:t>
      </w:r>
    </w:p>
    <w:p w14:paraId="265C7335">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③按《关于明确安全文明施工费中常态化疫情防控措施费用标准的通知》（京建法（2022）190号文）测算确定安全文明施工费的施工措施,因其他非承包人原因发生调整并引起费用变化的。</w:t>
      </w:r>
    </w:p>
    <w:p w14:paraId="43BC7193">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16.1.3.2 除另有约定外，以项为单位的工程量清单项目（包括但不限于单价措施）固定包死，任何情况下不调整。</w:t>
      </w:r>
    </w:p>
    <w:p w14:paraId="2F5DEC85">
      <w:pPr>
        <w:pStyle w:val="3"/>
        <w:tabs>
          <w:tab w:val="left" w:pos="567"/>
        </w:tabs>
        <w:spacing w:line="440" w:lineRule="exact"/>
        <w:ind w:firstLine="422" w:firstLineChars="200"/>
        <w:outlineLvl w:val="1"/>
        <w:rPr>
          <w:rFonts w:hint="eastAsia" w:ascii="宋体" w:hAnsi="宋体" w:eastAsia="宋体" w:cs="宋体"/>
          <w:b/>
          <w:bCs/>
          <w:sz w:val="28"/>
          <w:szCs w:val="28"/>
          <w:lang w:eastAsia="zh-CN"/>
        </w:rPr>
      </w:pPr>
      <w:bookmarkStart w:id="1018" w:name="_Toc189651559"/>
      <w:r>
        <w:rPr>
          <w:rFonts w:hint="eastAsia" w:ascii="宋体" w:hAnsi="宋体" w:eastAsia="宋体" w:cs="宋体"/>
          <w:b/>
          <w:bCs/>
          <w:szCs w:val="24"/>
          <w:lang w:eastAsia="zh-CN"/>
        </w:rPr>
        <w:t>17.计量与支付</w:t>
      </w:r>
      <w:bookmarkEnd w:id="1018"/>
    </w:p>
    <w:p w14:paraId="4147752C">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17.1 计量</w:t>
      </w:r>
    </w:p>
    <w:p w14:paraId="6D66DE11">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17.1.3 计量周期</w:t>
      </w:r>
    </w:p>
    <w:p w14:paraId="1E621E2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（1）每月</w:t>
      </w:r>
      <w:r>
        <w:rPr>
          <w:rFonts w:hint="eastAsia" w:ascii="宋体" w:hAnsi="宋体" w:eastAsia="宋体" w:cs="宋体"/>
          <w:szCs w:val="24"/>
          <w:u w:val="single"/>
          <w:lang w:eastAsia="zh-CN"/>
        </w:rPr>
        <w:t>25日</w:t>
      </w:r>
      <w:r>
        <w:rPr>
          <w:rFonts w:hint="eastAsia" w:ascii="宋体" w:hAnsi="宋体" w:eastAsia="宋体" w:cs="宋体"/>
          <w:szCs w:val="24"/>
          <w:lang w:eastAsia="zh-CN"/>
        </w:rPr>
        <w:t>为当月计量截止日期（不含当日）和下月计量起始日期（含当日）。</w:t>
      </w:r>
    </w:p>
    <w:p w14:paraId="352B67E7">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（2）本合同</w:t>
      </w:r>
      <w:r>
        <w:rPr>
          <w:rFonts w:hint="eastAsia" w:ascii="宋体" w:hAnsi="宋体" w:eastAsia="宋体" w:cs="宋体"/>
          <w:szCs w:val="24"/>
          <w:u w:val="single"/>
          <w:lang w:eastAsia="zh-CN"/>
        </w:rPr>
        <w:t>执行</w:t>
      </w:r>
      <w:r>
        <w:rPr>
          <w:rFonts w:hint="eastAsia" w:ascii="宋体" w:hAnsi="宋体" w:eastAsia="宋体" w:cs="宋体"/>
          <w:szCs w:val="24"/>
          <w:lang w:eastAsia="zh-CN"/>
        </w:rPr>
        <w:t>（执行（采用单价合同形式时）/不执行（采用总价合同形式时）单价子目已完成工程量按月计量。</w:t>
      </w:r>
    </w:p>
    <w:p w14:paraId="5D3DE96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（3）总价子目计量方式采用按实际完成工程量计量（支付分解报告/按实际完成工程量计量）。</w:t>
      </w:r>
    </w:p>
    <w:p w14:paraId="2B30D2A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17.1.5 总价子目的计量（适用于采用支付分解报告）</w:t>
      </w:r>
    </w:p>
    <w:p w14:paraId="0B0DA177">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采用支付分解报告计量方式的 ，总价子目的价格调整方法：</w:t>
      </w:r>
      <w:r>
        <w:rPr>
          <w:rFonts w:hint="eastAsia" w:ascii="宋体" w:hAnsi="宋体" w:eastAsia="宋体" w:cs="宋体"/>
          <w:szCs w:val="24"/>
          <w:u w:val="single"/>
          <w:lang w:eastAsia="zh-CN"/>
        </w:rPr>
        <w:t xml:space="preserve">   /   </w:t>
      </w:r>
    </w:p>
    <w:p w14:paraId="24F81B70">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总价子目的计量（适用于采用按实际完成工程量计量）</w:t>
      </w:r>
    </w:p>
    <w:p w14:paraId="5D415CEB">
      <w:pPr>
        <w:pStyle w:val="3"/>
        <w:numPr>
          <w:ilvl w:val="0"/>
          <w:numId w:val="3"/>
        </w:numPr>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采用按实际完成工程量计量方式的,总价子目的价格调整方法：总价措施项目清单中的总价措施项目费用（除安全文明施工费外）为固定价格，不再调整。总承包服务费率按承包人的参选费率固定，工程竣工验收合格后，该项费用按最终独立承包人的工程实际结算造价予以调整。</w:t>
      </w:r>
    </w:p>
    <w:p w14:paraId="2F969D48">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17.2 预付款</w:t>
      </w:r>
    </w:p>
    <w:p w14:paraId="401C9AF0">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付款周期</w:t>
      </w:r>
    </w:p>
    <w:p w14:paraId="653E686E">
      <w:pPr>
        <w:pStyle w:val="3"/>
        <w:tabs>
          <w:tab w:val="left" w:pos="567"/>
        </w:tabs>
        <w:spacing w:line="440" w:lineRule="exact"/>
        <w:ind w:firstLine="420" w:firstLineChars="200"/>
        <w:rPr>
          <w:rFonts w:hint="eastAsia" w:ascii="宋体" w:hAnsi="宋体" w:eastAsia="宋体" w:cs="宋体"/>
          <w:szCs w:val="24"/>
          <w:highlight w:val="none"/>
          <w:u w:val="single"/>
          <w:lang w:val="en-US" w:eastAsia="zh-CN"/>
        </w:rPr>
      </w:pPr>
      <w:r>
        <w:rPr>
          <w:rFonts w:hint="eastAsia" w:ascii="宋体" w:hAnsi="宋体" w:eastAsia="宋体" w:cs="宋体"/>
          <w:szCs w:val="24"/>
          <w:highlight w:val="none"/>
          <w:u w:val="single"/>
          <w:lang w:eastAsia="zh-CN"/>
        </w:rPr>
        <w:t>关于付款周期的约定：</w:t>
      </w:r>
      <w:r>
        <w:rPr>
          <w:rFonts w:hint="eastAsia" w:ascii="宋体" w:hAnsi="宋体" w:eastAsia="宋体" w:cs="宋体"/>
          <w:szCs w:val="24"/>
          <w:highlight w:val="none"/>
          <w:u w:val="single"/>
          <w:lang w:val="en-US" w:eastAsia="zh-CN"/>
        </w:rPr>
        <w:t>（1）合同签订后 30 个工作日内支付第一笔进度款：支付合同价款（扣除暂列金额）的50%（含农民工工伤保险费100%，安全文明施工费50%）；安全文明施工费按照17.2.1规定支付。（2）工程竣工验收合格后，支付合同价款至80%；（3）工程结算评审完成后，支付承包人剩余价款至100%，同时向发包人缴纳结算价款的3%为质保金，质保期满后，无工程质量问题付清。</w:t>
      </w:r>
    </w:p>
    <w:p w14:paraId="16DC4F08">
      <w:pPr>
        <w:pStyle w:val="3"/>
        <w:tabs>
          <w:tab w:val="left" w:pos="567"/>
        </w:tabs>
        <w:spacing w:line="440" w:lineRule="exact"/>
        <w:ind w:firstLine="420" w:firstLineChars="200"/>
        <w:rPr>
          <w:rFonts w:hint="eastAsia" w:ascii="宋体" w:hAnsi="宋体" w:eastAsia="宋体" w:cs="宋体"/>
          <w:szCs w:val="24"/>
          <w:highlight w:val="none"/>
          <w:u w:val="single"/>
          <w:lang w:val="en-US" w:eastAsia="zh-CN"/>
        </w:rPr>
      </w:pPr>
      <w:r>
        <w:rPr>
          <w:rFonts w:hint="eastAsia" w:ascii="宋体" w:hAnsi="宋体" w:eastAsia="宋体" w:cs="宋体"/>
          <w:szCs w:val="24"/>
          <w:highlight w:val="none"/>
          <w:u w:val="single"/>
          <w:lang w:val="en-US" w:eastAsia="zh-CN"/>
        </w:rPr>
        <w:t>发包人每期付款前，乙方须提供等额合法有效发票，否则发包人有权拒付任何款项且不承担违约责任。</w:t>
      </w:r>
      <w:r>
        <w:rPr>
          <w:rFonts w:hint="eastAsia" w:ascii="宋体" w:hAnsi="宋体" w:eastAsia="宋体" w:cs="宋体"/>
          <w:szCs w:val="24"/>
          <w:highlight w:val="none"/>
          <w:u w:val="single"/>
          <w:lang w:eastAsia="zh-CN"/>
        </w:rPr>
        <w:t>最终支付金额及时间以财政局拨付到账为准。若因财政资金拨付延迟导致的延迟付款，</w:t>
      </w:r>
      <w:r>
        <w:rPr>
          <w:rFonts w:hint="eastAsia" w:ascii="宋体" w:hAnsi="宋体" w:eastAsia="宋体" w:cs="宋体"/>
          <w:szCs w:val="24"/>
          <w:highlight w:val="none"/>
          <w:u w:val="single"/>
          <w:lang w:val="en-US" w:eastAsia="zh-CN"/>
        </w:rPr>
        <w:t>发包人</w:t>
      </w:r>
      <w:r>
        <w:rPr>
          <w:rFonts w:hint="eastAsia" w:ascii="宋体" w:hAnsi="宋体" w:eastAsia="宋体" w:cs="宋体"/>
          <w:szCs w:val="24"/>
          <w:highlight w:val="none"/>
          <w:u w:val="single"/>
          <w:lang w:eastAsia="zh-CN"/>
        </w:rPr>
        <w:t>应及时通知</w:t>
      </w:r>
      <w:r>
        <w:rPr>
          <w:rFonts w:hint="eastAsia" w:ascii="宋体" w:hAnsi="宋体" w:eastAsia="宋体" w:cs="宋体"/>
          <w:szCs w:val="24"/>
          <w:highlight w:val="none"/>
          <w:u w:val="single"/>
          <w:lang w:val="en-US" w:eastAsia="zh-CN"/>
        </w:rPr>
        <w:t>承包人</w:t>
      </w:r>
      <w:r>
        <w:rPr>
          <w:rFonts w:hint="eastAsia" w:ascii="宋体" w:hAnsi="宋体" w:eastAsia="宋体" w:cs="宋体"/>
          <w:szCs w:val="24"/>
          <w:highlight w:val="none"/>
          <w:u w:val="single"/>
          <w:lang w:eastAsia="zh-CN"/>
        </w:rPr>
        <w:t>，付款期限相应顺延，</w:t>
      </w:r>
      <w:r>
        <w:rPr>
          <w:rFonts w:hint="eastAsia" w:ascii="宋体" w:hAnsi="宋体" w:eastAsia="宋体" w:cs="宋体"/>
          <w:szCs w:val="24"/>
          <w:highlight w:val="none"/>
          <w:u w:val="single"/>
          <w:lang w:val="en-US" w:eastAsia="zh-CN"/>
        </w:rPr>
        <w:t>发包人</w:t>
      </w:r>
      <w:r>
        <w:rPr>
          <w:rFonts w:hint="eastAsia" w:ascii="宋体" w:hAnsi="宋体" w:eastAsia="宋体" w:cs="宋体"/>
          <w:szCs w:val="24"/>
          <w:highlight w:val="none"/>
          <w:u w:val="single"/>
          <w:lang w:eastAsia="zh-CN"/>
        </w:rPr>
        <w:t>不承担违约责任。</w:t>
      </w:r>
      <w:r>
        <w:rPr>
          <w:rFonts w:hint="eastAsia" w:ascii="宋体" w:hAnsi="宋体" w:eastAsia="宋体" w:cs="宋体"/>
          <w:szCs w:val="24"/>
          <w:highlight w:val="none"/>
          <w:u w:val="single"/>
          <w:lang w:eastAsia="zh-CN"/>
        </w:rPr>
        <w:commentReference w:id="7"/>
      </w:r>
    </w:p>
    <w:p w14:paraId="6D3953B6">
      <w:pPr>
        <w:pStyle w:val="3"/>
        <w:tabs>
          <w:tab w:val="left" w:pos="567"/>
        </w:tabs>
        <w:spacing w:line="440" w:lineRule="exact"/>
        <w:ind w:firstLine="422" w:firstLineChars="200"/>
        <w:rPr>
          <w:rFonts w:hint="eastAsia" w:ascii="宋体" w:hAnsi="宋体" w:eastAsia="宋体" w:cs="宋体"/>
          <w:szCs w:val="24"/>
          <w:lang w:eastAsia="zh-CN"/>
        </w:rPr>
      </w:pPr>
      <w:r>
        <w:rPr>
          <w:rFonts w:hint="eastAsia" w:ascii="宋体" w:hAnsi="宋体" w:eastAsia="宋体" w:cs="宋体"/>
          <w:b/>
          <w:bCs/>
          <w:szCs w:val="24"/>
          <w:lang w:eastAsia="zh-CN"/>
        </w:rPr>
        <w:t>17.2.1 预付款</w:t>
      </w:r>
    </w:p>
    <w:p w14:paraId="4B4D63F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（1）预付款额度</w:t>
      </w:r>
    </w:p>
    <w:p w14:paraId="730064C6">
      <w:pPr>
        <w:pStyle w:val="3"/>
        <w:tabs>
          <w:tab w:val="left" w:pos="567"/>
        </w:tabs>
        <w:spacing w:line="440" w:lineRule="exact"/>
        <w:ind w:firstLine="420" w:firstLineChars="200"/>
        <w:rPr>
          <w:rFonts w:hint="eastAsia" w:ascii="宋体" w:hAnsi="宋体" w:eastAsia="宋体" w:cs="宋体"/>
          <w:szCs w:val="24"/>
          <w:highlight w:val="none"/>
          <w:lang w:eastAsia="zh-CN"/>
        </w:rPr>
      </w:pPr>
      <w:r>
        <w:rPr>
          <w:rFonts w:hint="eastAsia" w:ascii="宋体" w:hAnsi="宋体" w:eastAsia="宋体" w:cs="宋体"/>
          <w:szCs w:val="24"/>
          <w:highlight w:val="none"/>
          <w:u w:val="single"/>
          <w:lang w:eastAsia="zh-CN"/>
        </w:rPr>
        <w:t>分部分项工程部分的预付款额度： 发包人预付给承包人合同总价（扣除暂列金额及专业工程暂估价（如果有)、包含农民工工伤保险100%、安全文明施工费50%）的50%的款项作为工程预付款。</w:t>
      </w:r>
      <w:r>
        <w:rPr>
          <w:rFonts w:hint="eastAsia" w:ascii="宋体" w:hAnsi="宋体" w:eastAsia="宋体" w:cs="宋体"/>
          <w:szCs w:val="24"/>
          <w:highlight w:val="none"/>
          <w:lang w:eastAsia="zh-CN"/>
        </w:rPr>
        <w:t xml:space="preserve"> </w:t>
      </w:r>
    </w:p>
    <w:p w14:paraId="7126F7AA">
      <w:pPr>
        <w:pStyle w:val="3"/>
        <w:tabs>
          <w:tab w:val="left" w:pos="567"/>
        </w:tabs>
        <w:spacing w:line="440" w:lineRule="exact"/>
        <w:ind w:firstLine="420" w:firstLineChars="200"/>
        <w:rPr>
          <w:rFonts w:hint="eastAsia" w:ascii="宋体" w:hAnsi="宋体" w:eastAsia="宋体" w:cs="宋体"/>
          <w:szCs w:val="24"/>
          <w:highlight w:val="none"/>
          <w:lang w:eastAsia="zh-CN"/>
        </w:rPr>
      </w:pPr>
      <w:r>
        <w:rPr>
          <w:rFonts w:hint="eastAsia" w:ascii="宋体" w:hAnsi="宋体" w:eastAsia="宋体" w:cs="宋体"/>
          <w:szCs w:val="24"/>
          <w:highlight w:val="none"/>
          <w:lang w:eastAsia="zh-CN"/>
        </w:rPr>
        <w:t>其中：措施项目部分预付款额度：</w:t>
      </w:r>
      <w:r>
        <w:rPr>
          <w:rFonts w:hint="eastAsia" w:ascii="宋体" w:hAnsi="宋体" w:eastAsia="宋体" w:cs="宋体"/>
          <w:szCs w:val="24"/>
          <w:highlight w:val="none"/>
          <w:u w:val="single"/>
          <w:lang w:eastAsia="zh-CN"/>
        </w:rPr>
        <w:t xml:space="preserve"> 100% </w:t>
      </w:r>
    </w:p>
    <w:p w14:paraId="7EF818C9">
      <w:pPr>
        <w:pStyle w:val="3"/>
        <w:tabs>
          <w:tab w:val="left" w:pos="567"/>
        </w:tabs>
        <w:spacing w:line="440" w:lineRule="exact"/>
        <w:ind w:firstLine="420" w:firstLineChars="200"/>
        <w:rPr>
          <w:rFonts w:hint="eastAsia" w:ascii="宋体" w:hAnsi="宋体" w:eastAsia="宋体" w:cs="宋体"/>
          <w:szCs w:val="24"/>
          <w:highlight w:val="none"/>
          <w:lang w:eastAsia="zh-CN"/>
        </w:rPr>
      </w:pPr>
      <w:r>
        <w:rPr>
          <w:rFonts w:hint="eastAsia" w:ascii="宋体" w:hAnsi="宋体" w:eastAsia="宋体" w:cs="宋体"/>
          <w:szCs w:val="24"/>
          <w:highlight w:val="none"/>
          <w:lang w:eastAsia="zh-CN"/>
        </w:rPr>
        <w:t>（2）预付办法</w:t>
      </w:r>
    </w:p>
    <w:p w14:paraId="0EDBC3BE">
      <w:pPr>
        <w:pStyle w:val="3"/>
        <w:tabs>
          <w:tab w:val="left" w:pos="567"/>
        </w:tabs>
        <w:spacing w:line="440" w:lineRule="exact"/>
        <w:ind w:firstLine="420" w:firstLineChars="200"/>
        <w:rPr>
          <w:rFonts w:hint="eastAsia" w:ascii="宋体" w:hAnsi="宋体" w:eastAsia="宋体" w:cs="宋体"/>
          <w:szCs w:val="24"/>
          <w:highlight w:val="none"/>
          <w:lang w:eastAsia="zh-CN"/>
        </w:rPr>
      </w:pPr>
      <w:r>
        <w:rPr>
          <w:rFonts w:hint="eastAsia" w:ascii="宋体" w:hAnsi="宋体" w:eastAsia="宋体" w:cs="宋体"/>
          <w:szCs w:val="24"/>
          <w:highlight w:val="none"/>
          <w:lang w:eastAsia="zh-CN"/>
        </w:rPr>
        <w:t>预付款预付办法：</w:t>
      </w:r>
      <w:r>
        <w:rPr>
          <w:rFonts w:hint="eastAsia" w:ascii="宋体" w:hAnsi="宋体" w:eastAsia="宋体" w:cs="宋体"/>
          <w:szCs w:val="24"/>
          <w:highlight w:val="none"/>
          <w:u w:val="single"/>
          <w:lang w:eastAsia="zh-CN"/>
        </w:rPr>
        <w:t>收到承包人提交的正式发票后，发包人一次性向承包人支付预付款。</w:t>
      </w:r>
    </w:p>
    <w:p w14:paraId="1FF11915">
      <w:pPr>
        <w:pStyle w:val="3"/>
        <w:tabs>
          <w:tab w:val="left" w:pos="567"/>
        </w:tabs>
        <w:spacing w:line="440" w:lineRule="exact"/>
        <w:ind w:firstLine="420" w:firstLineChars="200"/>
        <w:rPr>
          <w:rFonts w:hint="eastAsia" w:ascii="宋体" w:hAnsi="宋体" w:eastAsia="宋体" w:cs="宋体"/>
          <w:szCs w:val="24"/>
          <w:highlight w:val="none"/>
          <w:lang w:eastAsia="zh-CN"/>
        </w:rPr>
      </w:pPr>
      <w:r>
        <w:rPr>
          <w:rFonts w:hint="eastAsia" w:ascii="宋体" w:hAnsi="宋体" w:eastAsia="宋体" w:cs="宋体"/>
          <w:szCs w:val="24"/>
          <w:highlight w:val="none"/>
          <w:lang w:eastAsia="zh-CN"/>
        </w:rPr>
        <w:t>预付款的支付时间：</w:t>
      </w:r>
      <w:r>
        <w:rPr>
          <w:rFonts w:hint="eastAsia" w:ascii="宋体" w:hAnsi="宋体" w:eastAsia="宋体" w:cs="宋体"/>
          <w:szCs w:val="24"/>
          <w:highlight w:val="none"/>
          <w:u w:val="single"/>
          <w:lang w:eastAsia="zh-CN"/>
        </w:rPr>
        <w:t>不迟于开工日期前7天内</w:t>
      </w:r>
      <w:r>
        <w:rPr>
          <w:rFonts w:hint="eastAsia" w:ascii="宋体" w:hAnsi="宋体" w:eastAsia="宋体" w:cs="宋体"/>
          <w:szCs w:val="24"/>
          <w:highlight w:val="none"/>
          <w:lang w:eastAsia="zh-CN"/>
        </w:rPr>
        <w:t>。</w:t>
      </w:r>
    </w:p>
    <w:p w14:paraId="7F5BF1EC">
      <w:pPr>
        <w:pStyle w:val="3"/>
        <w:tabs>
          <w:tab w:val="left" w:pos="567"/>
        </w:tabs>
        <w:spacing w:line="440" w:lineRule="exact"/>
        <w:ind w:firstLine="420" w:firstLineChars="200"/>
        <w:rPr>
          <w:rFonts w:hint="eastAsia" w:ascii="宋体" w:hAnsi="宋体" w:eastAsia="宋体" w:cs="宋体"/>
          <w:szCs w:val="24"/>
          <w:highlight w:val="none"/>
          <w:lang w:eastAsia="zh-CN"/>
        </w:rPr>
      </w:pPr>
      <w:r>
        <w:rPr>
          <w:rFonts w:hint="eastAsia" w:ascii="宋体" w:hAnsi="宋体" w:eastAsia="宋体" w:cs="宋体"/>
          <w:szCs w:val="24"/>
          <w:highlight w:val="none"/>
          <w:lang w:eastAsia="zh-CN"/>
        </w:rPr>
        <w:t>安全文明施工费用的预付不受上述预付办法和支付时间约定的制约，发包人应当在不迟于通用合同条款第11.1.1项约定的开工日期前的7天内将安全文明施工费用的预付款一次性拨付给承包人。</w:t>
      </w:r>
    </w:p>
    <w:p w14:paraId="055CECE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发包人逾期支付合同约定的预付款，除承担通用合同条款第22.2款约定的违约责任外，还应向承包人支付按专用合同条款第17.3.3(2)目约定的标准和方法计算的逾期付款违约金。</w:t>
      </w:r>
    </w:p>
    <w:p w14:paraId="58F8879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（3）安全文明施工费用预付额度及方式：</w:t>
      </w:r>
    </w:p>
    <w:p w14:paraId="5175D457">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安全文明施工费用的预付不受上述预付办法和支付时间约定的制约。安全文明施工费用按以下时间节点和金额进行预付：</w:t>
      </w:r>
    </w:p>
    <w:p w14:paraId="305FE17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（1）发包人应当在不迟于第11.1.1项约定的开工日期前的7天内，将签约合同价中载明的安全文明施工费用总额的50%一次性预付给承包人。</w:t>
      </w:r>
    </w:p>
    <w:p w14:paraId="6958DC6E">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（2）发包人应当在±0.00以下主体结构施工完成或签约合同价中分部分项工程项目的完成价款比例达到30%（两者中以条件先满足的为准）7天内，预付至签约合同价中载明的安全文明施工费用总额的70%。</w:t>
      </w:r>
    </w:p>
    <w:p w14:paraId="110D5822">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（3）发包人应当在安全生产标准化考评、评定达到（含整改后达到）或超过合同约定的安全生产标准化管理目标之日起7天内 ，预付至签约合同价中载明的安全文明施工费用总额的90%。</w:t>
      </w:r>
    </w:p>
    <w:p w14:paraId="47FAC09B">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 xml:space="preserve">（4）发包人应当在工程竣工后，安全生产标准化考评、认定达到或超过合同约定安全生产标准化管理目标并颁发考评证书之日起的7天内，预付至签约合同价中载明的安全文明施工费用总额的100%。 </w:t>
      </w:r>
    </w:p>
    <w:p w14:paraId="79BBD33F">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安全文明施工的预付不抵扣。</w:t>
      </w:r>
    </w:p>
    <w:p w14:paraId="35A40908">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17.2.2 预付款的扣回与预付款的扣</w:t>
      </w:r>
      <w:r>
        <w:rPr>
          <w:rFonts w:hint="eastAsia" w:ascii="宋体" w:hAnsi="宋体" w:eastAsia="宋体" w:cs="宋体"/>
          <w:szCs w:val="24"/>
          <w:highlight w:val="none"/>
          <w:lang w:eastAsia="zh-CN"/>
        </w:rPr>
        <w:t>回办法：</w:t>
      </w:r>
      <w:r>
        <w:rPr>
          <w:rFonts w:hint="eastAsia" w:ascii="宋体" w:hAnsi="宋体" w:eastAsia="宋体" w:cs="宋体"/>
          <w:szCs w:val="24"/>
          <w:highlight w:val="none"/>
          <w:u w:val="single"/>
          <w:lang w:eastAsia="zh-CN"/>
        </w:rPr>
        <w:t>预付款全额抵扣发包人应付进度款</w:t>
      </w:r>
      <w:r>
        <w:rPr>
          <w:rFonts w:hint="eastAsia" w:ascii="宋体" w:hAnsi="宋体" w:eastAsia="宋体" w:cs="宋体"/>
          <w:szCs w:val="24"/>
          <w:highlight w:val="none"/>
          <w:lang w:eastAsia="zh-CN"/>
        </w:rPr>
        <w:t>。</w:t>
      </w:r>
    </w:p>
    <w:p w14:paraId="70FB362B">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17.3 工程进度付款</w:t>
      </w:r>
    </w:p>
    <w:p w14:paraId="705A0DA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17.3.2 进度付款申请单</w:t>
      </w:r>
    </w:p>
    <w:p w14:paraId="49CA8739">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进度付款申请单的份数：一式</w:t>
      </w:r>
      <w:r>
        <w:rPr>
          <w:rFonts w:hint="eastAsia" w:ascii="宋体" w:hAnsi="宋体" w:eastAsia="宋体" w:cs="宋体"/>
          <w:szCs w:val="24"/>
          <w:u w:val="single"/>
          <w:lang w:eastAsia="zh-CN"/>
        </w:rPr>
        <w:t xml:space="preserve"> 肆 </w:t>
      </w:r>
      <w:r>
        <w:rPr>
          <w:rFonts w:hint="eastAsia" w:ascii="宋体" w:hAnsi="宋体" w:eastAsia="宋体" w:cs="宋体"/>
          <w:szCs w:val="24"/>
          <w:lang w:eastAsia="zh-CN"/>
        </w:rPr>
        <w:t>份</w:t>
      </w:r>
    </w:p>
    <w:p w14:paraId="79B28187">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承包人报送监理人的进度付款申请单应包括下列内容：</w:t>
      </w:r>
    </w:p>
    <w:p w14:paraId="5020007E">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（6）根据合同应增加和（或）扣减的其他内容金额：根据合同其他条款约定应增加和（或）扣减的内容 。</w:t>
      </w:r>
    </w:p>
    <w:p w14:paraId="76BFC3B4">
      <w:pPr>
        <w:pStyle w:val="3"/>
        <w:tabs>
          <w:tab w:val="left" w:pos="567"/>
          <w:tab w:val="left" w:pos="890"/>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17.3.3 进度付款证书和支付时间</w:t>
      </w:r>
    </w:p>
    <w:p w14:paraId="35C3B9BE">
      <w:pPr>
        <w:pStyle w:val="3"/>
        <w:tabs>
          <w:tab w:val="left" w:pos="567"/>
          <w:tab w:val="left" w:pos="890"/>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发包人未按专用合同条款第17.2.1(2)目、通用合同条款第17.3.3(2)目、第17.5.2(2)目和第17.6.2(2)目约定的期限支付承包人依合同约定应当得到的款项，应当从应付之日起向承包人支付逾期付款违约金。承包人应当按通用合同条款第23.1（1）目的约定，在最终付款期限到期后28天内，向监理人递交索赔意向通知书,说明有权得到按本款约定的下列标准和方法计算的逾期付款违约金。承包人要求发包人支付逾期付款违约金不影响承包人要求发包人承担通用合同条款第22.2款约定的其他违约责任的权利。</w:t>
      </w:r>
    </w:p>
    <w:p w14:paraId="30B9707C">
      <w:pPr>
        <w:pStyle w:val="3"/>
        <w:tabs>
          <w:tab w:val="left" w:pos="567"/>
          <w:tab w:val="left" w:pos="890"/>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逾期付款违约金的计算标准为：无。</w:t>
      </w:r>
    </w:p>
    <w:p w14:paraId="551D234E">
      <w:pPr>
        <w:pStyle w:val="3"/>
        <w:tabs>
          <w:tab w:val="left" w:pos="567"/>
          <w:tab w:val="left" w:pos="890"/>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逾期付款违约金的计算方法为：无。</w:t>
      </w:r>
    </w:p>
    <w:p w14:paraId="59E05481">
      <w:pPr>
        <w:pStyle w:val="3"/>
        <w:tabs>
          <w:tab w:val="left" w:pos="567"/>
          <w:tab w:val="left" w:pos="890"/>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lang w:eastAsia="zh-CN"/>
        </w:rPr>
        <w:t>（</w:t>
      </w:r>
      <w:r>
        <w:rPr>
          <w:rFonts w:hint="eastAsia" w:ascii="宋体" w:hAnsi="宋体" w:eastAsia="宋体" w:cs="宋体"/>
          <w:szCs w:val="24"/>
          <w:u w:val="single"/>
          <w:lang w:eastAsia="zh-CN"/>
        </w:rPr>
        <w:t>4）进度付款涉及政府性资金的支付方法：工程竣工验收合格后，发包人向承包人支付至合同总价的80%，待竣工结算经评审机构审核完成出具报告并批复后，且承包人完全履行了合同及国家相关法律、法规、规定的责任后，发包人支付至竣工结算价款的100%，同时向发包人缴纳结算价款3%作为质量保证金，保修期内如有返修，若发生费用应在质量保证金内扣除。承包人对工程款的使用应优先支付农民工工资。</w:t>
      </w:r>
    </w:p>
    <w:p w14:paraId="0E16CBA8">
      <w:pPr>
        <w:pStyle w:val="3"/>
        <w:tabs>
          <w:tab w:val="left" w:pos="567"/>
          <w:tab w:val="left" w:pos="890"/>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剩余款项按照区财政实际拨付金额支付。最终结算价以发包人审计部门评审金额为准。</w:t>
      </w:r>
    </w:p>
    <w:p w14:paraId="1B8FAA00">
      <w:pPr>
        <w:pStyle w:val="3"/>
        <w:tabs>
          <w:tab w:val="left" w:pos="567"/>
          <w:tab w:val="left" w:pos="890"/>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拆违项目资金由区拆违办分阶段下拨，具体支付时间以区拆违办下拨到位的资金情况为准，如因政府资金拨付延迟而导致发包人不能按照合同的约定及时向承包人支付合同价款时，不构成发包人的违约行为，承包人不得因此追究发包人违约责任和赔偿责任；承包人也不得因预付款或进度款发生延迟支付的情形，而停止施工或拒绝施工。</w:t>
      </w:r>
    </w:p>
    <w:p w14:paraId="71797DCA">
      <w:pPr>
        <w:pStyle w:val="3"/>
        <w:tabs>
          <w:tab w:val="left" w:pos="567"/>
          <w:tab w:val="left" w:pos="890"/>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u w:val="single"/>
          <w:lang w:eastAsia="zh-CN"/>
        </w:rPr>
        <w:t>发包人支付的工程款包含发包人按照国家政府部门规定承包人发放的农民工工资。关于农民工工资支付其余未尽事宜双方均按照《保障农民工工资支付条例》执行。</w:t>
      </w:r>
    </w:p>
    <w:p w14:paraId="5CDBACA3">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17.4 质量保证金</w:t>
      </w:r>
    </w:p>
    <w:p w14:paraId="727AC599">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17.4.1 质量保证金处理</w:t>
      </w:r>
    </w:p>
    <w:p w14:paraId="6AFB7D5C">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质量保证金形式：</w:t>
      </w:r>
      <w:r>
        <w:rPr>
          <w:rFonts w:hint="eastAsia" w:ascii="宋体" w:hAnsi="宋体" w:eastAsia="宋体" w:cs="宋体"/>
          <w:szCs w:val="24"/>
          <w:u w:val="single"/>
          <w:lang w:eastAsia="zh-CN"/>
        </w:rPr>
        <w:t xml:space="preserve">               </w:t>
      </w:r>
      <w:r>
        <w:rPr>
          <w:rFonts w:hint="eastAsia" w:ascii="宋体" w:hAnsi="宋体" w:eastAsia="宋体" w:cs="宋体"/>
          <w:szCs w:val="24"/>
          <w:lang w:eastAsia="zh-CN"/>
        </w:rPr>
        <w:t>（采用银行保函担保或其他保函担保形式/采用扣留质量保证金）。</w:t>
      </w:r>
    </w:p>
    <w:p w14:paraId="4D05192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质量保证金约定比例：</w:t>
      </w:r>
      <w:r>
        <w:rPr>
          <w:rFonts w:hint="eastAsia" w:ascii="宋体" w:hAnsi="宋体" w:eastAsia="宋体" w:cs="宋体"/>
          <w:szCs w:val="24"/>
          <w:u w:val="single"/>
          <w:lang w:eastAsia="zh-CN"/>
        </w:rPr>
        <w:t>保证金总预留比例不得高于工程价款结算总额的3%。</w:t>
      </w:r>
    </w:p>
    <w:p w14:paraId="57A2A1D7">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17.5 竣工结算</w:t>
      </w:r>
    </w:p>
    <w:p w14:paraId="1527A98C">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17.5.1 过程结算</w:t>
      </w:r>
    </w:p>
    <w:p w14:paraId="2DA01DA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本工程</w:t>
      </w:r>
      <w:r>
        <w:rPr>
          <w:rFonts w:hint="eastAsia" w:ascii="宋体" w:hAnsi="宋体" w:eastAsia="宋体" w:cs="宋体"/>
          <w:szCs w:val="24"/>
          <w:u w:val="single"/>
          <w:lang w:eastAsia="zh-CN"/>
        </w:rPr>
        <w:t>不进行</w:t>
      </w:r>
      <w:r>
        <w:rPr>
          <w:rFonts w:hint="eastAsia" w:ascii="宋体" w:hAnsi="宋体" w:eastAsia="宋体" w:cs="宋体"/>
          <w:szCs w:val="24"/>
          <w:lang w:eastAsia="zh-CN"/>
        </w:rPr>
        <w:t>（进行/不进行）过程结算。过程结算的相关要求：</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w:t>
      </w:r>
    </w:p>
    <w:p w14:paraId="729F4A10">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17.5.2 竣工付款申请单</w:t>
      </w:r>
    </w:p>
    <w:p w14:paraId="63E94E4F">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（1）承包人提交竣工付款申请单的份数：</w:t>
      </w:r>
      <w:r>
        <w:rPr>
          <w:rFonts w:hint="eastAsia" w:ascii="宋体" w:hAnsi="宋体" w:eastAsia="宋体" w:cs="宋体"/>
          <w:szCs w:val="24"/>
          <w:u w:val="single"/>
          <w:lang w:eastAsia="zh-CN"/>
        </w:rPr>
        <w:t>一式五份</w:t>
      </w:r>
      <w:r>
        <w:rPr>
          <w:rFonts w:hint="eastAsia" w:ascii="宋体" w:hAnsi="宋体" w:eastAsia="宋体" w:cs="宋体"/>
          <w:szCs w:val="24"/>
          <w:lang w:eastAsia="zh-CN"/>
        </w:rPr>
        <w:t>。</w:t>
      </w:r>
    </w:p>
    <w:p w14:paraId="086E0857">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承包人提交竣工付款申请单的期限：</w:t>
      </w:r>
      <w:r>
        <w:rPr>
          <w:rFonts w:hint="eastAsia" w:ascii="宋体" w:hAnsi="宋体" w:eastAsia="宋体" w:cs="宋体"/>
          <w:szCs w:val="24"/>
          <w:u w:val="single"/>
          <w:lang w:eastAsia="zh-CN"/>
        </w:rPr>
        <w:t>在工程竣工结算审计完成且承包人按照规定要求将竣工资料移交发包人后1</w:t>
      </w:r>
      <w:r>
        <w:rPr>
          <w:rFonts w:hint="eastAsia" w:ascii="宋体" w:hAnsi="宋体" w:eastAsia="宋体" w:cs="宋体"/>
          <w:szCs w:val="24"/>
          <w:u w:val="single"/>
          <w:lang w:val="en-US" w:eastAsia="zh-CN"/>
        </w:rPr>
        <w:t>4</w:t>
      </w:r>
      <w:r>
        <w:rPr>
          <w:rFonts w:hint="eastAsia" w:ascii="宋体" w:hAnsi="宋体" w:eastAsia="宋体" w:cs="宋体"/>
          <w:szCs w:val="24"/>
          <w:u w:val="single"/>
          <w:lang w:eastAsia="zh-CN"/>
        </w:rPr>
        <w:t>天内。</w:t>
      </w:r>
    </w:p>
    <w:p w14:paraId="0042AAB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（2）竣工付款申请单的其他内容：/</w:t>
      </w:r>
    </w:p>
    <w:p w14:paraId="189B7E9B">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17.6 最终结清</w:t>
      </w:r>
    </w:p>
    <w:p w14:paraId="2054B12A">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17.6.1 最终结清申请单</w:t>
      </w:r>
    </w:p>
    <w:p w14:paraId="6C1D6A95">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承包人提交最终结清申请单的份数：</w:t>
      </w:r>
      <w:r>
        <w:rPr>
          <w:rFonts w:hint="eastAsia" w:ascii="宋体" w:hAnsi="宋体" w:eastAsia="宋体" w:cs="宋体"/>
          <w:szCs w:val="24"/>
          <w:u w:val="single"/>
          <w:lang w:eastAsia="zh-CN"/>
        </w:rPr>
        <w:t>一式五份</w:t>
      </w:r>
      <w:r>
        <w:rPr>
          <w:rFonts w:hint="eastAsia" w:ascii="宋体" w:hAnsi="宋体" w:eastAsia="宋体" w:cs="宋体"/>
          <w:szCs w:val="24"/>
          <w:lang w:eastAsia="zh-CN"/>
        </w:rPr>
        <w:t>。</w:t>
      </w:r>
    </w:p>
    <w:p w14:paraId="3F8ECFB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承包人提交最终结清申请单的期限：</w:t>
      </w:r>
      <w:r>
        <w:rPr>
          <w:rFonts w:hint="eastAsia" w:ascii="宋体" w:hAnsi="宋体" w:eastAsia="宋体" w:cs="宋体"/>
          <w:szCs w:val="24"/>
          <w:u w:val="single"/>
          <w:lang w:eastAsia="zh-CN"/>
        </w:rPr>
        <w:t>在缺陷责任期终止证书颁发后28天内</w:t>
      </w:r>
      <w:r>
        <w:rPr>
          <w:rFonts w:hint="eastAsia" w:ascii="宋体" w:hAnsi="宋体" w:eastAsia="宋体" w:cs="宋体"/>
          <w:szCs w:val="24"/>
          <w:lang w:eastAsia="zh-CN"/>
        </w:rPr>
        <w:t>。</w:t>
      </w:r>
    </w:p>
    <w:p w14:paraId="64C45801">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发包人向承包人不支付（支付/不支付）质量保证金利息。</w:t>
      </w:r>
    </w:p>
    <w:p w14:paraId="5B71101A">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发包人向承包人支付质量保证金利息的 ，利息计算方法：/</w:t>
      </w:r>
    </w:p>
    <w:p w14:paraId="1B83AB4F">
      <w:pPr>
        <w:pStyle w:val="3"/>
        <w:tabs>
          <w:tab w:val="left" w:pos="567"/>
        </w:tabs>
        <w:spacing w:line="440" w:lineRule="exact"/>
        <w:ind w:firstLine="422" w:firstLineChars="200"/>
        <w:rPr>
          <w:rFonts w:hint="eastAsia" w:ascii="宋体" w:hAnsi="宋体" w:eastAsia="宋体" w:cs="宋体"/>
          <w:b/>
          <w:bCs/>
          <w:sz w:val="28"/>
          <w:szCs w:val="28"/>
          <w:lang w:eastAsia="zh-CN"/>
        </w:rPr>
      </w:pPr>
      <w:r>
        <w:rPr>
          <w:rFonts w:hint="eastAsia" w:ascii="宋体" w:hAnsi="宋体" w:eastAsia="宋体" w:cs="宋体"/>
          <w:b/>
          <w:bCs/>
          <w:szCs w:val="24"/>
          <w:lang w:eastAsia="zh-CN"/>
        </w:rPr>
        <w:t>18.竣工验收</w:t>
      </w:r>
    </w:p>
    <w:p w14:paraId="254FC4D3">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18.2 竣工验收申请报告</w:t>
      </w:r>
    </w:p>
    <w:p w14:paraId="003EA54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（2）承包人负责整理和提交的竣工验收资料具体内容：按照有关规定要求。</w:t>
      </w:r>
    </w:p>
    <w:p w14:paraId="7E583BDB">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竣工验收资料的份数：竣工验收合格后14天内承包人需按照北京市的有关规定为发包人及房管部门共编制五套竣工资料（包括竣工图）及电子版竣工图，每套竣工资料以及图纸要保证一致性，与项目竣工情况相符，必须保证符合北京市现行标准及规范的要求，费用由承包人承担。其余部门竣工资料按照有关部门要求进行移交。</w:t>
      </w:r>
    </w:p>
    <w:p w14:paraId="19FD4C4E">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竣工验收资料的费用支付方式：由承包人承担。</w:t>
      </w:r>
    </w:p>
    <w:p w14:paraId="15294B98">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commentReference w:id="8"/>
      </w:r>
      <w:r>
        <w:rPr>
          <w:rFonts w:hint="eastAsia" w:ascii="宋体" w:hAnsi="宋体" w:eastAsia="宋体" w:cs="宋体"/>
          <w:szCs w:val="24"/>
          <w:highlight w:val="yellow"/>
          <w:lang w:eastAsia="zh-CN"/>
        </w:rPr>
        <w:t>承包人未在合同约定的期限内向发包人移交完整、合格的竣工资料（含竣工图）的，每逾期一天，应向发包人支付</w:t>
      </w:r>
      <w:r>
        <w:rPr>
          <w:rFonts w:hint="eastAsia" w:ascii="宋体" w:hAnsi="宋体" w:eastAsia="宋体" w:cs="宋体"/>
          <w:szCs w:val="24"/>
          <w:highlight w:val="yellow"/>
          <w:u w:val="single"/>
          <w:lang w:eastAsia="zh-CN"/>
        </w:rPr>
        <w:t xml:space="preserve"> </w:t>
      </w:r>
      <w:r>
        <w:rPr>
          <w:rFonts w:hint="eastAsia" w:ascii="宋体" w:hAnsi="宋体" w:eastAsia="宋体" w:cs="宋体"/>
          <w:szCs w:val="24"/>
          <w:highlight w:val="yellow"/>
          <w:u w:val="single"/>
          <w:lang w:val="en-US" w:eastAsia="zh-CN"/>
        </w:rPr>
        <w:t>0.1</w:t>
      </w:r>
      <w:r>
        <w:rPr>
          <w:rFonts w:hint="default" w:ascii="Arial" w:hAnsi="Arial" w:eastAsia="宋体" w:cs="Arial"/>
          <w:szCs w:val="24"/>
          <w:highlight w:val="yellow"/>
          <w:u w:val="single"/>
          <w:lang w:val="en-US" w:eastAsia="zh-CN"/>
        </w:rPr>
        <w:t>‰</w:t>
      </w:r>
      <w:r>
        <w:rPr>
          <w:rFonts w:hint="eastAsia" w:ascii="宋体" w:hAnsi="宋体" w:eastAsia="宋体" w:cs="宋体"/>
          <w:szCs w:val="24"/>
          <w:highlight w:val="yellow"/>
          <w:u w:val="single"/>
          <w:lang w:eastAsia="zh-CN"/>
        </w:rPr>
        <w:t xml:space="preserve"> </w:t>
      </w:r>
      <w:r>
        <w:rPr>
          <w:rFonts w:hint="eastAsia" w:ascii="宋体" w:hAnsi="宋体" w:eastAsia="宋体" w:cs="宋体"/>
          <w:szCs w:val="24"/>
          <w:highlight w:val="yellow"/>
          <w:lang w:eastAsia="zh-CN"/>
        </w:rPr>
        <w:t>的违约金。逾期超过</w:t>
      </w:r>
      <w:r>
        <w:rPr>
          <w:rFonts w:hint="eastAsia" w:ascii="宋体" w:hAnsi="宋体" w:eastAsia="宋体" w:cs="宋体"/>
          <w:szCs w:val="24"/>
          <w:highlight w:val="yellow"/>
          <w:u w:val="single"/>
          <w:lang w:eastAsia="zh-CN"/>
        </w:rPr>
        <w:t xml:space="preserve"> </w:t>
      </w:r>
      <w:r>
        <w:rPr>
          <w:rFonts w:hint="eastAsia" w:ascii="宋体" w:hAnsi="宋体" w:eastAsia="宋体" w:cs="宋体"/>
          <w:szCs w:val="24"/>
          <w:highlight w:val="yellow"/>
          <w:u w:val="single"/>
          <w:lang w:val="en-US" w:eastAsia="zh-CN"/>
        </w:rPr>
        <w:t>60</w:t>
      </w:r>
      <w:r>
        <w:rPr>
          <w:rFonts w:hint="eastAsia" w:ascii="宋体" w:hAnsi="宋体" w:eastAsia="宋体" w:cs="宋体"/>
          <w:szCs w:val="24"/>
          <w:highlight w:val="yellow"/>
          <w:u w:val="single"/>
          <w:lang w:eastAsia="zh-CN"/>
        </w:rPr>
        <w:t xml:space="preserve"> </w:t>
      </w:r>
      <w:r>
        <w:rPr>
          <w:rFonts w:hint="eastAsia" w:ascii="宋体" w:hAnsi="宋体" w:eastAsia="宋体" w:cs="宋体"/>
          <w:szCs w:val="24"/>
          <w:highlight w:val="yellow"/>
          <w:lang w:eastAsia="zh-CN"/>
        </w:rPr>
        <w:t>日的，发包人有权暂停支付最后一笔工程款，直至资料移交完毕。</w:t>
      </w:r>
    </w:p>
    <w:p w14:paraId="2565050F">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18.5 施工期运行</w:t>
      </w:r>
    </w:p>
    <w:p w14:paraId="2F7FD72F">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需要施工期运行的单位工程或设备安装工程：</w:t>
      </w:r>
      <w:r>
        <w:rPr>
          <w:rFonts w:hint="eastAsia" w:ascii="宋体" w:hAnsi="宋体" w:eastAsia="宋体" w:cs="宋体"/>
          <w:szCs w:val="24"/>
          <w:u w:val="single"/>
          <w:lang w:eastAsia="zh-CN"/>
        </w:rPr>
        <w:t>无</w:t>
      </w:r>
      <w:r>
        <w:rPr>
          <w:rFonts w:hint="eastAsia" w:ascii="宋体" w:hAnsi="宋体" w:eastAsia="宋体" w:cs="宋体"/>
          <w:szCs w:val="24"/>
          <w:lang w:eastAsia="zh-CN"/>
        </w:rPr>
        <w:t>。</w:t>
      </w:r>
    </w:p>
    <w:p w14:paraId="566EEB88">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18.8 施工队伍的撤离</w:t>
      </w:r>
    </w:p>
    <w:p w14:paraId="784EA8DA">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缺陷责任期满时，承包人在施工场地保留的人员和施工设备最终撤离的期限：</w:t>
      </w:r>
      <w:r>
        <w:rPr>
          <w:rFonts w:hint="eastAsia" w:ascii="宋体" w:hAnsi="宋体" w:eastAsia="宋体" w:cs="宋体"/>
          <w:szCs w:val="24"/>
          <w:u w:val="single"/>
          <w:lang w:eastAsia="zh-CN"/>
        </w:rPr>
        <w:t>根据工程实际情况按照发包人要求</w:t>
      </w:r>
      <w:r>
        <w:rPr>
          <w:rFonts w:hint="eastAsia" w:ascii="宋体" w:hAnsi="宋体" w:eastAsia="宋体" w:cs="宋体"/>
          <w:szCs w:val="24"/>
          <w:lang w:eastAsia="zh-CN"/>
        </w:rPr>
        <w:t>。</w:t>
      </w:r>
    </w:p>
    <w:p w14:paraId="7CB0BB56">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18.9 中间验收</w:t>
      </w:r>
    </w:p>
    <w:p w14:paraId="230FD418">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18.9.1 本工程需要进行中间验收的部位：</w:t>
      </w:r>
      <w:r>
        <w:rPr>
          <w:rFonts w:hint="eastAsia" w:ascii="宋体" w:hAnsi="宋体" w:eastAsia="宋体" w:cs="宋体"/>
          <w:szCs w:val="24"/>
          <w:u w:val="single"/>
          <w:lang w:eastAsia="zh-CN"/>
        </w:rPr>
        <w:t>无</w:t>
      </w:r>
      <w:r>
        <w:rPr>
          <w:rFonts w:hint="eastAsia" w:ascii="宋体" w:hAnsi="宋体" w:eastAsia="宋体" w:cs="宋体"/>
          <w:szCs w:val="24"/>
          <w:lang w:eastAsia="zh-CN"/>
        </w:rPr>
        <w:t>。</w:t>
      </w:r>
    </w:p>
    <w:p w14:paraId="31486E51">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18.9.2 验收不合格的，承包人在7天期限内进行修改后重新验收。</w:t>
      </w:r>
    </w:p>
    <w:p w14:paraId="42BCEBD9">
      <w:pPr>
        <w:pStyle w:val="3"/>
        <w:tabs>
          <w:tab w:val="left" w:pos="567"/>
        </w:tabs>
        <w:spacing w:line="440" w:lineRule="exact"/>
        <w:ind w:firstLine="422" w:firstLineChars="200"/>
        <w:outlineLvl w:val="1"/>
        <w:rPr>
          <w:rFonts w:hint="eastAsia" w:ascii="宋体" w:hAnsi="宋体" w:eastAsia="宋体" w:cs="宋体"/>
          <w:b/>
          <w:bCs/>
          <w:sz w:val="28"/>
          <w:szCs w:val="28"/>
          <w:lang w:eastAsia="zh-CN"/>
        </w:rPr>
      </w:pPr>
      <w:bookmarkStart w:id="1019" w:name="_Toc189651560"/>
      <w:r>
        <w:rPr>
          <w:rFonts w:hint="eastAsia" w:ascii="宋体" w:hAnsi="宋体" w:eastAsia="宋体" w:cs="宋体"/>
          <w:b/>
          <w:bCs/>
          <w:szCs w:val="24"/>
          <w:lang w:eastAsia="zh-CN"/>
        </w:rPr>
        <w:t>19. 缺陷责任与保修责任</w:t>
      </w:r>
      <w:bookmarkEnd w:id="1019"/>
    </w:p>
    <w:p w14:paraId="64B0B62D">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19.7 保修责任</w:t>
      </w:r>
    </w:p>
    <w:p w14:paraId="6A49CE1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19.7.1 工程质量保修范围：</w:t>
      </w:r>
      <w:r>
        <w:rPr>
          <w:rFonts w:hint="eastAsia" w:ascii="宋体" w:hAnsi="宋体" w:eastAsia="宋体" w:cs="宋体"/>
          <w:szCs w:val="24"/>
          <w:u w:val="single"/>
          <w:lang w:eastAsia="zh-CN"/>
        </w:rPr>
        <w:t>合同文件约定的和法律法规规定的应由承包人承担的保修范围。</w:t>
      </w:r>
    </w:p>
    <w:p w14:paraId="2C7417DB">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19.7.2 工程质量保修期限：</w:t>
      </w:r>
      <w:r>
        <w:rPr>
          <w:rFonts w:hint="eastAsia" w:ascii="宋体" w:hAnsi="宋体" w:eastAsia="宋体" w:cs="宋体"/>
          <w:szCs w:val="24"/>
          <w:u w:val="single"/>
          <w:lang w:eastAsia="zh-CN"/>
        </w:rPr>
        <w:t>屋面防水工程、有防水要求的卫生间、房间和外墙面的防渗漏为5年；电气管线、给排水管道、设备安装为2年；装修工程为2年；外窗工程为2年，外窗防渗漏为5年；给排水设施、道路等配套工程为2年；其他项目的保修期限由发包人和承包人约定。</w:t>
      </w:r>
    </w:p>
    <w:p w14:paraId="7CC3FBAE">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工程质量保修责任：</w:t>
      </w:r>
      <w:r>
        <w:rPr>
          <w:rFonts w:hint="eastAsia" w:ascii="宋体" w:hAnsi="宋体" w:eastAsia="宋体" w:cs="宋体"/>
          <w:szCs w:val="24"/>
          <w:u w:val="single"/>
          <w:lang w:eastAsia="zh-CN"/>
        </w:rPr>
        <w:t>在保修范围和保修期限内发生质量问题的，承包人应当履行保修义务，并对造成的损失承担赔偿责任。</w:t>
      </w:r>
    </w:p>
    <w:p w14:paraId="059B3B39">
      <w:pPr>
        <w:pStyle w:val="3"/>
        <w:tabs>
          <w:tab w:val="left" w:pos="567"/>
        </w:tabs>
        <w:spacing w:line="440" w:lineRule="exact"/>
        <w:ind w:firstLine="422" w:firstLineChars="200"/>
        <w:outlineLvl w:val="1"/>
        <w:rPr>
          <w:rFonts w:hint="eastAsia" w:ascii="宋体" w:hAnsi="宋体" w:eastAsia="宋体" w:cs="宋体"/>
          <w:b/>
          <w:bCs/>
          <w:szCs w:val="24"/>
          <w:lang w:eastAsia="zh-CN"/>
        </w:rPr>
      </w:pPr>
      <w:bookmarkStart w:id="1020" w:name="_Toc189651561"/>
      <w:r>
        <w:rPr>
          <w:rFonts w:hint="eastAsia" w:ascii="宋体" w:hAnsi="宋体" w:eastAsia="宋体" w:cs="宋体"/>
          <w:b/>
          <w:bCs/>
          <w:szCs w:val="24"/>
          <w:lang w:eastAsia="zh-CN"/>
        </w:rPr>
        <w:t>20.保险</w:t>
      </w:r>
      <w:bookmarkEnd w:id="1020"/>
    </w:p>
    <w:p w14:paraId="2F3BBAAC">
      <w:pPr>
        <w:pStyle w:val="3"/>
        <w:tabs>
          <w:tab w:val="left" w:pos="567"/>
        </w:tabs>
        <w:spacing w:line="440" w:lineRule="exact"/>
        <w:ind w:firstLine="422" w:firstLineChars="200"/>
        <w:rPr>
          <w:rFonts w:hint="eastAsia" w:ascii="宋体" w:hAnsi="宋体" w:eastAsia="宋体" w:cs="宋体"/>
          <w:szCs w:val="24"/>
          <w:lang w:eastAsia="zh-CN"/>
        </w:rPr>
      </w:pPr>
      <w:r>
        <w:rPr>
          <w:rFonts w:hint="eastAsia" w:ascii="宋体" w:hAnsi="宋体" w:eastAsia="宋体" w:cs="宋体"/>
          <w:b/>
          <w:bCs/>
          <w:szCs w:val="24"/>
          <w:lang w:eastAsia="zh-CN"/>
        </w:rPr>
        <w:t>20.1 工程保险</w:t>
      </w:r>
    </w:p>
    <w:p w14:paraId="21751E78">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本工程</w:t>
      </w:r>
      <w:r>
        <w:rPr>
          <w:rFonts w:hint="eastAsia" w:ascii="宋体" w:hAnsi="宋体" w:eastAsia="宋体" w:cs="宋体"/>
          <w:szCs w:val="24"/>
          <w:u w:val="single"/>
          <w:lang w:eastAsia="zh-CN"/>
        </w:rPr>
        <w:t xml:space="preserve"> 投保  </w:t>
      </w:r>
      <w:r>
        <w:rPr>
          <w:rFonts w:hint="eastAsia" w:ascii="宋体" w:hAnsi="宋体" w:eastAsia="宋体" w:cs="宋体"/>
          <w:szCs w:val="24"/>
          <w:lang w:eastAsia="zh-CN"/>
        </w:rPr>
        <w:t>(投保/不投保)工程保险。投保工程保险时，险种为：</w:t>
      </w:r>
      <w:r>
        <w:rPr>
          <w:rFonts w:hint="eastAsia" w:ascii="宋体" w:hAnsi="宋体" w:eastAsia="宋体" w:cs="宋体"/>
          <w:szCs w:val="24"/>
          <w:u w:val="single"/>
          <w:lang w:eastAsia="zh-CN"/>
        </w:rPr>
        <w:t xml:space="preserve"> 投保建筑工程一切保险 </w:t>
      </w:r>
      <w:r>
        <w:rPr>
          <w:rFonts w:hint="eastAsia" w:ascii="宋体" w:hAnsi="宋体" w:eastAsia="宋体" w:cs="宋体"/>
          <w:szCs w:val="24"/>
          <w:lang w:eastAsia="zh-CN"/>
        </w:rPr>
        <w:t>，并符合以下约定：</w:t>
      </w:r>
    </w:p>
    <w:p w14:paraId="251EAE19">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（1）投保人：</w:t>
      </w:r>
      <w:r>
        <w:rPr>
          <w:rFonts w:hint="eastAsia" w:ascii="宋体" w:hAnsi="宋体" w:eastAsia="宋体" w:cs="宋体"/>
          <w:szCs w:val="24"/>
          <w:u w:val="single"/>
          <w:lang w:eastAsia="zh-CN"/>
        </w:rPr>
        <w:t>承包人</w:t>
      </w:r>
      <w:r>
        <w:rPr>
          <w:rFonts w:hint="eastAsia" w:ascii="宋体" w:hAnsi="宋体" w:eastAsia="宋体" w:cs="宋体"/>
          <w:szCs w:val="24"/>
          <w:lang w:eastAsia="zh-CN"/>
        </w:rPr>
        <w:t>。</w:t>
      </w:r>
    </w:p>
    <w:p w14:paraId="2509BA05">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（2）投保内容：</w:t>
      </w:r>
      <w:r>
        <w:rPr>
          <w:rFonts w:hint="eastAsia" w:ascii="宋体" w:hAnsi="宋体" w:eastAsia="宋体" w:cs="宋体"/>
          <w:szCs w:val="24"/>
          <w:u w:val="single"/>
          <w:lang w:eastAsia="zh-CN"/>
        </w:rPr>
        <w:t>建筑工程</w:t>
      </w:r>
      <w:r>
        <w:rPr>
          <w:rFonts w:hint="eastAsia" w:ascii="宋体" w:hAnsi="宋体" w:eastAsia="宋体" w:cs="宋体"/>
          <w:szCs w:val="24"/>
          <w:lang w:eastAsia="zh-CN"/>
        </w:rPr>
        <w:t>。</w:t>
      </w:r>
    </w:p>
    <w:p w14:paraId="0132097E">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（3）保险费率：由投保人与合同双方同意的保险人商定。</w:t>
      </w:r>
    </w:p>
    <w:p w14:paraId="77A2D8AC">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（4）保险金额：</w:t>
      </w:r>
      <w:r>
        <w:rPr>
          <w:rFonts w:hint="eastAsia" w:ascii="宋体" w:hAnsi="宋体" w:eastAsia="宋体" w:cs="宋体"/>
          <w:szCs w:val="24"/>
          <w:u w:val="single"/>
          <w:lang w:eastAsia="zh-CN"/>
        </w:rPr>
        <w:t xml:space="preserve">  </w:t>
      </w:r>
      <w:r>
        <w:rPr>
          <w:rFonts w:hint="eastAsia" w:ascii="宋体" w:hAnsi="宋体" w:eastAsia="宋体" w:cs="宋体"/>
          <w:szCs w:val="24"/>
          <w:u w:val="single"/>
          <w:lang w:val="en-US" w:eastAsia="zh-CN"/>
        </w:rPr>
        <w:t>/</w:t>
      </w:r>
      <w:r>
        <w:rPr>
          <w:rFonts w:hint="eastAsia" w:ascii="宋体" w:hAnsi="宋体" w:eastAsia="宋体" w:cs="宋体"/>
          <w:szCs w:val="24"/>
          <w:u w:val="single"/>
          <w:lang w:eastAsia="zh-CN"/>
        </w:rPr>
        <w:t xml:space="preserve">  </w:t>
      </w:r>
      <w:r>
        <w:rPr>
          <w:rFonts w:hint="eastAsia" w:ascii="宋体" w:hAnsi="宋体" w:eastAsia="宋体" w:cs="宋体"/>
          <w:szCs w:val="24"/>
          <w:lang w:eastAsia="zh-CN"/>
        </w:rPr>
        <w:t>。</w:t>
      </w:r>
    </w:p>
    <w:p w14:paraId="3D5F3DA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（5）保险期限：</w:t>
      </w:r>
      <w:r>
        <w:rPr>
          <w:rFonts w:hint="eastAsia" w:ascii="宋体" w:hAnsi="宋体" w:eastAsia="宋体" w:cs="宋体"/>
          <w:szCs w:val="24"/>
          <w:u w:val="single"/>
          <w:lang w:eastAsia="zh-CN"/>
        </w:rPr>
        <w:t>合同施工期间</w:t>
      </w:r>
      <w:r>
        <w:rPr>
          <w:rFonts w:hint="eastAsia" w:ascii="宋体" w:hAnsi="宋体" w:eastAsia="宋体" w:cs="宋体"/>
          <w:szCs w:val="24"/>
          <w:lang w:eastAsia="zh-CN"/>
        </w:rPr>
        <w:t>。</w:t>
      </w:r>
    </w:p>
    <w:p w14:paraId="09CC850A">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20.4 第三者责任险</w:t>
      </w:r>
    </w:p>
    <w:p w14:paraId="0618768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20.4.2 保险金额：</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，保险费率由承包人与发包人同意的保险人商定，相关保险费由</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承担。</w:t>
      </w:r>
    </w:p>
    <w:p w14:paraId="7388AF40">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20.5 其他保险</w:t>
      </w:r>
    </w:p>
    <w:p w14:paraId="5DB814A6">
      <w:pPr>
        <w:pStyle w:val="3"/>
        <w:tabs>
          <w:tab w:val="left" w:pos="567"/>
        </w:tabs>
        <w:spacing w:line="440" w:lineRule="exact"/>
        <w:ind w:firstLine="420" w:firstLineChars="200"/>
        <w:rPr>
          <w:rFonts w:hint="eastAsia" w:ascii="宋体" w:hAnsi="宋体" w:eastAsia="宋体" w:cs="宋体"/>
          <w:szCs w:val="24"/>
          <w:u w:val="single"/>
          <w:lang w:eastAsia="zh-CN"/>
        </w:rPr>
      </w:pPr>
      <w:r>
        <w:rPr>
          <w:rFonts w:hint="eastAsia" w:ascii="宋体" w:hAnsi="宋体" w:eastAsia="宋体" w:cs="宋体"/>
          <w:szCs w:val="24"/>
          <w:lang w:eastAsia="zh-CN"/>
        </w:rPr>
        <w:t>承包人应为其施工设备、进场材料和工程设备等办理的保险：</w:t>
      </w:r>
      <w:r>
        <w:rPr>
          <w:rFonts w:hint="eastAsia" w:ascii="宋体" w:hAnsi="宋体" w:eastAsia="宋体" w:cs="宋体"/>
          <w:szCs w:val="24"/>
          <w:u w:val="single"/>
          <w:lang w:eastAsia="zh-CN"/>
        </w:rPr>
        <w:t>如果认为有需要，承包人应当自行购买有关保险。</w:t>
      </w:r>
    </w:p>
    <w:p w14:paraId="79FCFB71">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20.6 对各项保险的一般要求</w:t>
      </w:r>
    </w:p>
    <w:p w14:paraId="794727C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20.6.1 保险凭证</w:t>
      </w:r>
    </w:p>
    <w:p w14:paraId="21EF2CFA">
      <w:pPr>
        <w:spacing w:line="400" w:lineRule="exact"/>
        <w:ind w:firstLine="525"/>
        <w:rPr>
          <w:rFonts w:hint="eastAsia" w:ascii="宋体" w:hAnsi="宋体" w:eastAsia="宋体" w:cs="宋体"/>
          <w:lang w:eastAsia="zh-CN"/>
        </w:rPr>
      </w:pPr>
      <w:r>
        <w:rPr>
          <w:rFonts w:hint="eastAsia" w:ascii="宋体" w:hAnsi="宋体" w:eastAsia="宋体" w:cs="宋体"/>
          <w:szCs w:val="24"/>
          <w:lang w:eastAsia="zh-CN"/>
        </w:rPr>
        <w:t>承包人向发包人提交各项保险生效的证据和保险单副本的期限：</w:t>
      </w:r>
      <w:r>
        <w:rPr>
          <w:rFonts w:hint="eastAsia" w:ascii="宋体" w:hAnsi="宋体" w:eastAsia="宋体" w:cs="宋体"/>
          <w:szCs w:val="24"/>
          <w:u w:val="single"/>
          <w:lang w:eastAsia="zh-CN"/>
        </w:rPr>
        <w:t>各项投保的保险生效后7天内  。</w:t>
      </w:r>
    </w:p>
    <w:p w14:paraId="1C7492D8">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20.6.4 保险金不足的补偿</w:t>
      </w:r>
    </w:p>
    <w:p w14:paraId="3F321846">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保险金不足以补偿损失时，承包人和发包人负责补偿的责任分摊：</w:t>
      </w:r>
      <w:r>
        <w:rPr>
          <w:rFonts w:hint="eastAsia" w:ascii="宋体" w:hAnsi="宋体" w:eastAsia="宋体" w:cs="宋体"/>
          <w:szCs w:val="24"/>
          <w:u w:val="single"/>
          <w:lang w:eastAsia="zh-CN"/>
        </w:rPr>
        <w:t>永久工程、临时工程、施工设备和施工人员损失保险赔偿与实际损失的差额由承包人补偿。</w:t>
      </w:r>
    </w:p>
    <w:p w14:paraId="7FDA0AEB">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21.不可抗力</w:t>
      </w:r>
    </w:p>
    <w:p w14:paraId="6AE1E33D">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21.1 不可抗力的确认</w:t>
      </w:r>
    </w:p>
    <w:p w14:paraId="76D77D63">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21.1.1 合同条款通用部分第21.1.1项约定的不可抗力以外的其他情形：</w:t>
      </w:r>
      <w:r>
        <w:rPr>
          <w:rFonts w:hint="eastAsia" w:ascii="宋体" w:hAnsi="宋体" w:eastAsia="宋体" w:cs="宋体"/>
          <w:szCs w:val="24"/>
          <w:u w:val="single"/>
          <w:lang w:eastAsia="zh-CN"/>
        </w:rPr>
        <w:t xml:space="preserve">  /  </w:t>
      </w:r>
    </w:p>
    <w:p w14:paraId="2DB5736A">
      <w:pPr>
        <w:pStyle w:val="3"/>
        <w:tabs>
          <w:tab w:val="left" w:pos="567"/>
        </w:tabs>
        <w:spacing w:line="440" w:lineRule="exact"/>
        <w:ind w:firstLine="420" w:firstLineChars="200"/>
        <w:rPr>
          <w:rFonts w:hint="eastAsia" w:ascii="宋体" w:hAnsi="宋体" w:eastAsia="宋体" w:cs="宋体"/>
          <w:lang w:eastAsia="zh-CN"/>
        </w:rPr>
      </w:pPr>
      <w:r>
        <w:rPr>
          <w:rFonts w:hint="eastAsia" w:ascii="宋体" w:hAnsi="宋体" w:eastAsia="宋体" w:cs="宋体"/>
          <w:szCs w:val="24"/>
          <w:lang w:eastAsia="zh-CN"/>
        </w:rPr>
        <w:t>21.1.2 不可抗力的等级范围约定：</w:t>
      </w:r>
      <w:r>
        <w:rPr>
          <w:rFonts w:hint="eastAsia" w:ascii="宋体" w:hAnsi="宋体" w:eastAsia="宋体" w:cs="宋体"/>
          <w:szCs w:val="24"/>
          <w:u w:val="single"/>
          <w:lang w:eastAsia="zh-CN"/>
        </w:rPr>
        <w:t>由市级以上有关部门正式发布和认定为不可抗力的意外事故或自然灾害。</w:t>
      </w:r>
    </w:p>
    <w:p w14:paraId="40319D93">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24.争议的解决</w:t>
      </w:r>
    </w:p>
    <w:p w14:paraId="4A76E512">
      <w:pPr>
        <w:pStyle w:val="3"/>
        <w:tabs>
          <w:tab w:val="left" w:pos="567"/>
        </w:tabs>
        <w:spacing w:line="440" w:lineRule="exact"/>
        <w:ind w:firstLine="422" w:firstLineChars="200"/>
        <w:rPr>
          <w:rFonts w:hint="eastAsia" w:ascii="宋体" w:hAnsi="宋体" w:eastAsia="宋体" w:cs="宋体"/>
          <w:b/>
          <w:bCs/>
          <w:szCs w:val="24"/>
          <w:lang w:eastAsia="zh-CN"/>
        </w:rPr>
      </w:pPr>
      <w:r>
        <w:rPr>
          <w:rFonts w:hint="eastAsia" w:ascii="宋体" w:hAnsi="宋体" w:eastAsia="宋体" w:cs="宋体"/>
          <w:b/>
          <w:bCs/>
          <w:szCs w:val="24"/>
          <w:lang w:eastAsia="zh-CN"/>
        </w:rPr>
        <w:t>24.1 争议的解决方式</w:t>
      </w:r>
    </w:p>
    <w:p w14:paraId="4E3EC71E">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因本合同引起的或与本合同有关的任何争议，合同双方友好协商不成、不愿提请争议组评审或者不愿接受争议评审组意见的，选择下列第贰种方式解决：</w:t>
      </w:r>
    </w:p>
    <w:p w14:paraId="5969B319">
      <w:pPr>
        <w:pStyle w:val="3"/>
        <w:tabs>
          <w:tab w:val="left" w:pos="525"/>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24.1.1 提请</w:t>
      </w:r>
      <w:r>
        <w:rPr>
          <w:rFonts w:hint="eastAsia" w:ascii="宋体" w:hAnsi="宋体" w:eastAsia="宋体" w:cs="宋体"/>
          <w:szCs w:val="24"/>
          <w:u w:val="single"/>
          <w:lang w:eastAsia="zh-CN"/>
        </w:rPr>
        <w:t xml:space="preserve">  /  </w:t>
      </w:r>
      <w:r>
        <w:rPr>
          <w:rFonts w:hint="eastAsia" w:ascii="宋体" w:hAnsi="宋体" w:eastAsia="宋体" w:cs="宋体"/>
          <w:szCs w:val="24"/>
          <w:lang w:eastAsia="zh-CN"/>
        </w:rPr>
        <w:t>仲裁委员会按照该会仲裁规则进行仲裁，仲裁裁决是终局的，对合同双方均有约束力。</w:t>
      </w:r>
    </w:p>
    <w:p w14:paraId="4708A0D2">
      <w:pPr>
        <w:pStyle w:val="3"/>
        <w:tabs>
          <w:tab w:val="left" w:pos="525"/>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24.1.2 向工程所在地有管辖权的人民法院提起诉讼。</w:t>
      </w:r>
    </w:p>
    <w:p w14:paraId="310E70DB">
      <w:pPr>
        <w:pStyle w:val="3"/>
        <w:tabs>
          <w:tab w:val="left" w:pos="567"/>
        </w:tabs>
        <w:spacing w:line="440" w:lineRule="exact"/>
        <w:ind w:firstLine="422" w:firstLineChars="200"/>
        <w:rPr>
          <w:rFonts w:hint="eastAsia" w:ascii="宋体" w:hAnsi="宋体" w:eastAsia="宋体" w:cs="宋体"/>
          <w:szCs w:val="24"/>
          <w:lang w:eastAsia="zh-CN"/>
        </w:rPr>
      </w:pPr>
      <w:r>
        <w:rPr>
          <w:rFonts w:hint="eastAsia" w:ascii="宋体" w:hAnsi="宋体" w:eastAsia="宋体" w:cs="宋体"/>
          <w:b/>
          <w:bCs/>
          <w:szCs w:val="24"/>
          <w:lang w:eastAsia="zh-CN"/>
        </w:rPr>
        <w:t>24.3 争议评审</w:t>
      </w:r>
    </w:p>
    <w:p w14:paraId="120C4FDD">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24.3.4 争议评审组邀请合同双方代表人和有关人员举行调查会的期限：收到合同双方报告后的14天内。</w:t>
      </w:r>
    </w:p>
    <w:p w14:paraId="7D607DA4">
      <w:pPr>
        <w:pStyle w:val="3"/>
        <w:tabs>
          <w:tab w:val="left" w:pos="567"/>
        </w:tabs>
        <w:spacing w:line="440" w:lineRule="exact"/>
        <w:ind w:firstLine="420" w:firstLineChars="200"/>
        <w:rPr>
          <w:rFonts w:hint="eastAsia" w:ascii="宋体" w:hAnsi="宋体" w:eastAsia="宋体" w:cs="宋体"/>
          <w:szCs w:val="24"/>
          <w:lang w:eastAsia="zh-CN"/>
        </w:rPr>
      </w:pPr>
      <w:r>
        <w:rPr>
          <w:rFonts w:hint="eastAsia" w:ascii="宋体" w:hAnsi="宋体" w:eastAsia="宋体" w:cs="宋体"/>
          <w:szCs w:val="24"/>
          <w:lang w:eastAsia="zh-CN"/>
        </w:rPr>
        <w:t>24.3.5 争议评审组在调查会后作出争议评审意见的期限：调查会结束后的14天内。</w:t>
      </w:r>
    </w:p>
    <w:p w14:paraId="79C0EACB">
      <w:pPr>
        <w:pStyle w:val="3"/>
        <w:tabs>
          <w:tab w:val="left" w:pos="567"/>
        </w:tabs>
        <w:spacing w:line="440" w:lineRule="exact"/>
        <w:ind w:firstLine="420" w:firstLineChars="200"/>
        <w:rPr>
          <w:rFonts w:hint="eastAsia" w:ascii="宋体" w:hAnsi="宋体" w:eastAsia="宋体" w:cs="宋体"/>
          <w:szCs w:val="24"/>
          <w:lang w:eastAsia="zh-CN"/>
        </w:rPr>
      </w:pPr>
    </w:p>
    <w:p w14:paraId="78FC7570">
      <w:pPr>
        <w:spacing w:line="440" w:lineRule="exact"/>
        <w:ind w:firstLine="643" w:firstLineChars="200"/>
        <w:jc w:val="center"/>
        <w:rPr>
          <w:rFonts w:hint="eastAsia" w:ascii="宋体" w:hAnsi="宋体" w:eastAsia="宋体" w:cs="宋体"/>
          <w:b/>
          <w:bCs/>
          <w:sz w:val="32"/>
          <w:szCs w:val="32"/>
          <w:lang w:eastAsia="zh-CN"/>
        </w:rPr>
      </w:pPr>
    </w:p>
    <w:p w14:paraId="08324818">
      <w:pPr>
        <w:spacing w:line="440" w:lineRule="exact"/>
        <w:ind w:firstLine="643" w:firstLineChars="200"/>
        <w:jc w:val="center"/>
        <w:rPr>
          <w:rFonts w:hint="eastAsia" w:ascii="宋体" w:hAnsi="宋体" w:eastAsia="宋体" w:cs="宋体"/>
          <w:b/>
          <w:bCs/>
          <w:sz w:val="32"/>
          <w:szCs w:val="32"/>
          <w:lang w:eastAsia="zh-CN"/>
        </w:rPr>
      </w:pPr>
    </w:p>
    <w:p w14:paraId="6C59415A">
      <w:pPr>
        <w:spacing w:line="360" w:lineRule="auto"/>
        <w:jc w:val="center"/>
        <w:outlineLvl w:val="0"/>
        <w:rPr>
          <w:rFonts w:hint="eastAsia" w:ascii="宋体" w:hAnsi="宋体" w:eastAsia="宋体" w:cs="宋体"/>
          <w:b/>
          <w:bCs/>
          <w:color w:val="000000" w:themeColor="text1"/>
          <w:sz w:val="32"/>
          <w:szCs w:val="32"/>
          <w:lang w:eastAsia="zh-CN"/>
          <w14:textFill>
            <w14:solidFill>
              <w14:schemeClr w14:val="tx1"/>
            </w14:solidFill>
          </w14:textFill>
        </w:rPr>
      </w:pPr>
      <w:bookmarkStart w:id="1021" w:name="_Toc407609965"/>
      <w:bookmarkStart w:id="1022" w:name="_Toc241459750"/>
      <w:bookmarkStart w:id="1023" w:name="_Toc342296509"/>
      <w:r>
        <w:rPr>
          <w:rFonts w:hint="eastAsia" w:ascii="宋体" w:hAnsi="宋体" w:eastAsia="宋体" w:cs="宋体"/>
          <w:b/>
          <w:bCs/>
          <w:color w:val="000000" w:themeColor="text1"/>
          <w:sz w:val="32"/>
          <w:szCs w:val="32"/>
          <w:lang w:eastAsia="zh-CN"/>
          <w14:textFill>
            <w14:solidFill>
              <w14:schemeClr w14:val="tx1"/>
            </w14:solidFill>
          </w14:textFill>
        </w:rPr>
        <w:t>第三节 合同附件格式</w:t>
      </w:r>
      <w:bookmarkEnd w:id="1021"/>
      <w:bookmarkEnd w:id="1022"/>
      <w:bookmarkEnd w:id="1023"/>
    </w:p>
    <w:p w14:paraId="566A33C5">
      <w:pPr>
        <w:spacing w:line="440" w:lineRule="exact"/>
        <w:jc w:val="both"/>
        <w:outlineLvl w:val="1"/>
        <w:rPr>
          <w:rFonts w:hint="eastAsia" w:ascii="宋体" w:hAnsi="宋体" w:eastAsia="宋体" w:cs="宋体"/>
          <w:b w:val="0"/>
          <w:bCs w:val="0"/>
          <w:sz w:val="24"/>
          <w:szCs w:val="24"/>
          <w:lang w:eastAsia="zh-CN"/>
        </w:rPr>
      </w:pPr>
      <w:bookmarkStart w:id="1024" w:name="_Toc189651562"/>
      <w:r>
        <w:rPr>
          <w:rFonts w:hint="eastAsia" w:ascii="宋体" w:hAnsi="宋体" w:eastAsia="宋体" w:cs="宋体"/>
          <w:b w:val="0"/>
          <w:bCs w:val="0"/>
          <w:sz w:val="24"/>
          <w:szCs w:val="24"/>
          <w:lang w:eastAsia="zh-CN"/>
        </w:rPr>
        <w:t>附件一：承包人承揽工程项目一览表</w:t>
      </w:r>
      <w:bookmarkEnd w:id="1024"/>
    </w:p>
    <w:tbl>
      <w:tblPr>
        <w:tblStyle w:val="20"/>
        <w:tblW w:w="9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83"/>
        <w:gridCol w:w="854"/>
        <w:gridCol w:w="1153"/>
        <w:gridCol w:w="674"/>
        <w:gridCol w:w="674"/>
        <w:gridCol w:w="943"/>
        <w:gridCol w:w="1198"/>
        <w:gridCol w:w="884"/>
        <w:gridCol w:w="824"/>
        <w:gridCol w:w="831"/>
      </w:tblGrid>
      <w:tr w14:paraId="633EE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0" w:hRule="atLeast"/>
          <w:jc w:val="center"/>
        </w:trPr>
        <w:tc>
          <w:tcPr>
            <w:tcW w:w="983" w:type="dxa"/>
            <w:vAlign w:val="center"/>
          </w:tcPr>
          <w:p w14:paraId="4350E67B">
            <w:pPr>
              <w:spacing w:line="280" w:lineRule="exact"/>
              <w:jc w:val="center"/>
              <w:rPr>
                <w:rFonts w:hint="eastAsia" w:ascii="宋体" w:hAnsi="宋体" w:eastAsia="宋体" w:cs="宋体"/>
              </w:rPr>
            </w:pPr>
            <w:r>
              <w:rPr>
                <w:rFonts w:hint="eastAsia" w:ascii="宋体" w:hAnsi="宋体" w:eastAsia="宋体" w:cs="宋体"/>
              </w:rPr>
              <w:t>单位工程名称</w:t>
            </w:r>
          </w:p>
        </w:tc>
        <w:tc>
          <w:tcPr>
            <w:tcW w:w="854" w:type="dxa"/>
            <w:vAlign w:val="center"/>
          </w:tcPr>
          <w:p w14:paraId="11A6D554">
            <w:pPr>
              <w:spacing w:line="280" w:lineRule="exact"/>
              <w:jc w:val="center"/>
              <w:rPr>
                <w:rFonts w:hint="eastAsia" w:ascii="宋体" w:hAnsi="宋体" w:eastAsia="宋体" w:cs="宋体"/>
              </w:rPr>
            </w:pPr>
            <w:r>
              <w:rPr>
                <w:rFonts w:hint="eastAsia" w:ascii="宋体" w:hAnsi="宋体" w:eastAsia="宋体" w:cs="宋体"/>
              </w:rPr>
              <w:t>建设规模</w:t>
            </w:r>
          </w:p>
        </w:tc>
        <w:tc>
          <w:tcPr>
            <w:tcW w:w="1153" w:type="dxa"/>
            <w:vAlign w:val="center"/>
          </w:tcPr>
          <w:p w14:paraId="4852A66C">
            <w:pPr>
              <w:spacing w:line="280" w:lineRule="exact"/>
              <w:jc w:val="center"/>
              <w:rPr>
                <w:rFonts w:hint="eastAsia" w:ascii="宋体" w:hAnsi="宋体" w:eastAsia="宋体" w:cs="宋体"/>
              </w:rPr>
            </w:pPr>
            <w:r>
              <w:rPr>
                <w:rFonts w:hint="eastAsia" w:ascii="宋体" w:hAnsi="宋体" w:eastAsia="宋体" w:cs="宋体"/>
              </w:rPr>
              <w:t>建筑面积</w:t>
            </w:r>
          </w:p>
          <w:p w14:paraId="25C74BD6">
            <w:pPr>
              <w:spacing w:line="280" w:lineRule="exact"/>
              <w:jc w:val="center"/>
              <w:rPr>
                <w:rFonts w:hint="eastAsia" w:ascii="宋体" w:hAnsi="宋体" w:eastAsia="宋体" w:cs="宋体"/>
              </w:rPr>
            </w:pPr>
            <w:r>
              <w:rPr>
                <w:rFonts w:hint="eastAsia" w:ascii="宋体" w:hAnsi="宋体" w:eastAsia="宋体" w:cs="宋体"/>
              </w:rPr>
              <w:t>（平方米）</w:t>
            </w:r>
          </w:p>
        </w:tc>
        <w:tc>
          <w:tcPr>
            <w:tcW w:w="674" w:type="dxa"/>
            <w:vAlign w:val="center"/>
          </w:tcPr>
          <w:p w14:paraId="69B518F9">
            <w:pPr>
              <w:spacing w:line="280" w:lineRule="exact"/>
              <w:jc w:val="center"/>
              <w:rPr>
                <w:rFonts w:hint="eastAsia" w:ascii="宋体" w:hAnsi="宋体" w:eastAsia="宋体" w:cs="宋体"/>
              </w:rPr>
            </w:pPr>
            <w:r>
              <w:rPr>
                <w:rFonts w:hint="eastAsia" w:ascii="宋体" w:hAnsi="宋体" w:eastAsia="宋体" w:cs="宋体"/>
              </w:rPr>
              <w:t>结构</w:t>
            </w:r>
          </w:p>
        </w:tc>
        <w:tc>
          <w:tcPr>
            <w:tcW w:w="674" w:type="dxa"/>
            <w:vAlign w:val="center"/>
          </w:tcPr>
          <w:p w14:paraId="638BE631">
            <w:pPr>
              <w:spacing w:line="280" w:lineRule="exact"/>
              <w:jc w:val="center"/>
              <w:rPr>
                <w:rFonts w:hint="eastAsia" w:ascii="宋体" w:hAnsi="宋体" w:eastAsia="宋体" w:cs="宋体"/>
              </w:rPr>
            </w:pPr>
            <w:r>
              <w:rPr>
                <w:rFonts w:hint="eastAsia" w:ascii="宋体" w:hAnsi="宋体" w:eastAsia="宋体" w:cs="宋体"/>
              </w:rPr>
              <w:t>层数</w:t>
            </w:r>
          </w:p>
        </w:tc>
        <w:tc>
          <w:tcPr>
            <w:tcW w:w="943" w:type="dxa"/>
            <w:vAlign w:val="center"/>
          </w:tcPr>
          <w:p w14:paraId="090AC88F">
            <w:pPr>
              <w:spacing w:line="280" w:lineRule="exact"/>
              <w:jc w:val="center"/>
              <w:rPr>
                <w:rFonts w:hint="eastAsia" w:ascii="宋体" w:hAnsi="宋体" w:eastAsia="宋体" w:cs="宋体"/>
              </w:rPr>
            </w:pPr>
            <w:r>
              <w:rPr>
                <w:rFonts w:hint="eastAsia" w:ascii="宋体" w:hAnsi="宋体" w:eastAsia="宋体" w:cs="宋体"/>
              </w:rPr>
              <w:t>跨度</w:t>
            </w:r>
          </w:p>
          <w:p w14:paraId="7DBCD8DB">
            <w:pPr>
              <w:spacing w:line="280" w:lineRule="exact"/>
              <w:jc w:val="center"/>
              <w:rPr>
                <w:rFonts w:hint="eastAsia" w:ascii="宋体" w:hAnsi="宋体" w:eastAsia="宋体" w:cs="宋体"/>
              </w:rPr>
            </w:pPr>
            <w:r>
              <w:rPr>
                <w:rFonts w:hint="eastAsia" w:ascii="宋体" w:hAnsi="宋体" w:eastAsia="宋体" w:cs="宋体"/>
              </w:rPr>
              <w:t>（米）</w:t>
            </w:r>
          </w:p>
        </w:tc>
        <w:tc>
          <w:tcPr>
            <w:tcW w:w="1198" w:type="dxa"/>
            <w:vAlign w:val="center"/>
          </w:tcPr>
          <w:p w14:paraId="50D851A1">
            <w:pPr>
              <w:spacing w:line="280" w:lineRule="exact"/>
              <w:jc w:val="center"/>
              <w:rPr>
                <w:rFonts w:hint="eastAsia" w:ascii="宋体" w:hAnsi="宋体" w:eastAsia="宋体" w:cs="宋体"/>
              </w:rPr>
            </w:pPr>
            <w:r>
              <w:rPr>
                <w:rFonts w:hint="eastAsia" w:ascii="宋体" w:hAnsi="宋体" w:eastAsia="宋体" w:cs="宋体"/>
              </w:rPr>
              <w:t>设备安装内容</w:t>
            </w:r>
          </w:p>
        </w:tc>
        <w:tc>
          <w:tcPr>
            <w:tcW w:w="884" w:type="dxa"/>
            <w:vAlign w:val="center"/>
          </w:tcPr>
          <w:p w14:paraId="15C061EF">
            <w:pPr>
              <w:spacing w:line="280" w:lineRule="exact"/>
              <w:jc w:val="center"/>
              <w:rPr>
                <w:rFonts w:hint="eastAsia" w:ascii="宋体" w:hAnsi="宋体" w:eastAsia="宋体" w:cs="宋体"/>
              </w:rPr>
            </w:pPr>
            <w:r>
              <w:rPr>
                <w:rFonts w:hint="eastAsia" w:ascii="宋体" w:hAnsi="宋体" w:eastAsia="宋体" w:cs="宋体"/>
              </w:rPr>
              <w:t>工程造价</w:t>
            </w:r>
          </w:p>
          <w:p w14:paraId="1079DC81">
            <w:pPr>
              <w:spacing w:line="280" w:lineRule="exact"/>
              <w:jc w:val="center"/>
              <w:rPr>
                <w:rFonts w:hint="eastAsia" w:ascii="宋体" w:hAnsi="宋体" w:eastAsia="宋体" w:cs="宋体"/>
              </w:rPr>
            </w:pPr>
            <w:r>
              <w:rPr>
                <w:rFonts w:hint="eastAsia" w:ascii="宋体" w:hAnsi="宋体" w:eastAsia="宋体" w:cs="宋体"/>
              </w:rPr>
              <w:t>（元）</w:t>
            </w:r>
          </w:p>
        </w:tc>
        <w:tc>
          <w:tcPr>
            <w:tcW w:w="824" w:type="dxa"/>
            <w:vAlign w:val="center"/>
          </w:tcPr>
          <w:p w14:paraId="2E0CE9B3">
            <w:pPr>
              <w:spacing w:line="280" w:lineRule="exact"/>
              <w:jc w:val="center"/>
              <w:rPr>
                <w:rFonts w:hint="eastAsia" w:ascii="宋体" w:hAnsi="宋体" w:eastAsia="宋体" w:cs="宋体"/>
              </w:rPr>
            </w:pPr>
            <w:r>
              <w:rPr>
                <w:rFonts w:hint="eastAsia" w:ascii="宋体" w:hAnsi="宋体" w:eastAsia="宋体" w:cs="宋体"/>
              </w:rPr>
              <w:t>开工日期</w:t>
            </w:r>
          </w:p>
        </w:tc>
        <w:tc>
          <w:tcPr>
            <w:tcW w:w="831" w:type="dxa"/>
            <w:vAlign w:val="center"/>
          </w:tcPr>
          <w:p w14:paraId="406E51A4">
            <w:pPr>
              <w:spacing w:line="280" w:lineRule="exact"/>
              <w:jc w:val="center"/>
              <w:rPr>
                <w:rFonts w:hint="eastAsia" w:ascii="宋体" w:hAnsi="宋体" w:eastAsia="宋体" w:cs="宋体"/>
              </w:rPr>
            </w:pPr>
            <w:r>
              <w:rPr>
                <w:rFonts w:hint="eastAsia" w:ascii="宋体" w:hAnsi="宋体" w:eastAsia="宋体" w:cs="宋体"/>
              </w:rPr>
              <w:t>竣工日期</w:t>
            </w:r>
          </w:p>
        </w:tc>
      </w:tr>
      <w:tr w14:paraId="2834E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jc w:val="center"/>
        </w:trPr>
        <w:tc>
          <w:tcPr>
            <w:tcW w:w="983" w:type="dxa"/>
            <w:vAlign w:val="center"/>
          </w:tcPr>
          <w:p w14:paraId="7EB27C81">
            <w:pPr>
              <w:pStyle w:val="29"/>
              <w:adjustRightInd/>
              <w:spacing w:line="280" w:lineRule="exact"/>
              <w:ind w:firstLine="480" w:firstLineChars="200"/>
              <w:jc w:val="center"/>
              <w:rPr>
                <w:rFonts w:hint="eastAsia" w:ascii="宋体" w:hAnsi="宋体" w:eastAsia="宋体" w:cs="宋体"/>
                <w:sz w:val="24"/>
                <w:szCs w:val="24"/>
              </w:rPr>
            </w:pPr>
          </w:p>
        </w:tc>
        <w:tc>
          <w:tcPr>
            <w:tcW w:w="854" w:type="dxa"/>
            <w:vAlign w:val="center"/>
          </w:tcPr>
          <w:p w14:paraId="205F5454">
            <w:pPr>
              <w:pStyle w:val="29"/>
              <w:adjustRightInd/>
              <w:spacing w:line="280" w:lineRule="exact"/>
              <w:ind w:firstLine="480" w:firstLineChars="200"/>
              <w:jc w:val="center"/>
              <w:rPr>
                <w:rFonts w:hint="eastAsia" w:ascii="宋体" w:hAnsi="宋体" w:eastAsia="宋体" w:cs="宋体"/>
                <w:sz w:val="24"/>
                <w:szCs w:val="24"/>
              </w:rPr>
            </w:pPr>
          </w:p>
        </w:tc>
        <w:tc>
          <w:tcPr>
            <w:tcW w:w="1153" w:type="dxa"/>
            <w:vAlign w:val="center"/>
          </w:tcPr>
          <w:p w14:paraId="0432F0E9">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3150DEAE">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067B905B">
            <w:pPr>
              <w:pStyle w:val="29"/>
              <w:adjustRightInd/>
              <w:spacing w:line="280" w:lineRule="exact"/>
              <w:ind w:firstLine="480" w:firstLineChars="200"/>
              <w:jc w:val="center"/>
              <w:rPr>
                <w:rFonts w:hint="eastAsia" w:ascii="宋体" w:hAnsi="宋体" w:eastAsia="宋体" w:cs="宋体"/>
                <w:sz w:val="24"/>
                <w:szCs w:val="24"/>
              </w:rPr>
            </w:pPr>
          </w:p>
        </w:tc>
        <w:tc>
          <w:tcPr>
            <w:tcW w:w="943" w:type="dxa"/>
            <w:vAlign w:val="center"/>
          </w:tcPr>
          <w:p w14:paraId="4D5DB00D">
            <w:pPr>
              <w:pStyle w:val="29"/>
              <w:adjustRightInd/>
              <w:spacing w:line="280" w:lineRule="exact"/>
              <w:ind w:firstLine="480" w:firstLineChars="200"/>
              <w:jc w:val="center"/>
              <w:rPr>
                <w:rFonts w:hint="eastAsia" w:ascii="宋体" w:hAnsi="宋体" w:eastAsia="宋体" w:cs="宋体"/>
                <w:sz w:val="24"/>
                <w:szCs w:val="24"/>
              </w:rPr>
            </w:pPr>
          </w:p>
        </w:tc>
        <w:tc>
          <w:tcPr>
            <w:tcW w:w="1198" w:type="dxa"/>
            <w:vAlign w:val="center"/>
          </w:tcPr>
          <w:p w14:paraId="1E37B705">
            <w:pPr>
              <w:pStyle w:val="29"/>
              <w:adjustRightInd/>
              <w:spacing w:line="280" w:lineRule="exact"/>
              <w:ind w:firstLine="480" w:firstLineChars="200"/>
              <w:jc w:val="center"/>
              <w:rPr>
                <w:rFonts w:hint="eastAsia" w:ascii="宋体" w:hAnsi="宋体" w:eastAsia="宋体" w:cs="宋体"/>
                <w:sz w:val="24"/>
                <w:szCs w:val="24"/>
              </w:rPr>
            </w:pPr>
          </w:p>
        </w:tc>
        <w:tc>
          <w:tcPr>
            <w:tcW w:w="884" w:type="dxa"/>
            <w:vAlign w:val="center"/>
          </w:tcPr>
          <w:p w14:paraId="5A74FB8E">
            <w:pPr>
              <w:pStyle w:val="29"/>
              <w:adjustRightInd/>
              <w:spacing w:line="280" w:lineRule="exact"/>
              <w:ind w:firstLine="480" w:firstLineChars="200"/>
              <w:jc w:val="center"/>
              <w:rPr>
                <w:rFonts w:hint="eastAsia" w:ascii="宋体" w:hAnsi="宋体" w:eastAsia="宋体" w:cs="宋体"/>
                <w:sz w:val="24"/>
                <w:szCs w:val="24"/>
              </w:rPr>
            </w:pPr>
          </w:p>
        </w:tc>
        <w:tc>
          <w:tcPr>
            <w:tcW w:w="824" w:type="dxa"/>
            <w:vAlign w:val="center"/>
          </w:tcPr>
          <w:p w14:paraId="54E34E07">
            <w:pPr>
              <w:pStyle w:val="29"/>
              <w:adjustRightInd/>
              <w:spacing w:line="280" w:lineRule="exact"/>
              <w:ind w:firstLine="480" w:firstLineChars="200"/>
              <w:jc w:val="center"/>
              <w:rPr>
                <w:rFonts w:hint="eastAsia" w:ascii="宋体" w:hAnsi="宋体" w:eastAsia="宋体" w:cs="宋体"/>
                <w:sz w:val="24"/>
                <w:szCs w:val="24"/>
              </w:rPr>
            </w:pPr>
          </w:p>
        </w:tc>
        <w:tc>
          <w:tcPr>
            <w:tcW w:w="831" w:type="dxa"/>
            <w:vAlign w:val="center"/>
          </w:tcPr>
          <w:p w14:paraId="2F353B69">
            <w:pPr>
              <w:pStyle w:val="29"/>
              <w:adjustRightInd/>
              <w:spacing w:line="280" w:lineRule="exact"/>
              <w:ind w:firstLine="480" w:firstLineChars="200"/>
              <w:jc w:val="center"/>
              <w:rPr>
                <w:rFonts w:hint="eastAsia" w:ascii="宋体" w:hAnsi="宋体" w:eastAsia="宋体" w:cs="宋体"/>
                <w:sz w:val="24"/>
                <w:szCs w:val="24"/>
              </w:rPr>
            </w:pPr>
          </w:p>
        </w:tc>
      </w:tr>
      <w:tr w14:paraId="26F69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jc w:val="center"/>
        </w:trPr>
        <w:tc>
          <w:tcPr>
            <w:tcW w:w="983" w:type="dxa"/>
            <w:vAlign w:val="center"/>
          </w:tcPr>
          <w:p w14:paraId="11BFEF3E">
            <w:pPr>
              <w:pStyle w:val="29"/>
              <w:adjustRightInd/>
              <w:spacing w:line="280" w:lineRule="exact"/>
              <w:ind w:firstLine="480" w:firstLineChars="200"/>
              <w:jc w:val="center"/>
              <w:rPr>
                <w:rFonts w:hint="eastAsia" w:ascii="宋体" w:hAnsi="宋体" w:eastAsia="宋体" w:cs="宋体"/>
                <w:sz w:val="24"/>
                <w:szCs w:val="24"/>
              </w:rPr>
            </w:pPr>
          </w:p>
        </w:tc>
        <w:tc>
          <w:tcPr>
            <w:tcW w:w="854" w:type="dxa"/>
            <w:vAlign w:val="center"/>
          </w:tcPr>
          <w:p w14:paraId="0B49E6E2">
            <w:pPr>
              <w:pStyle w:val="29"/>
              <w:adjustRightInd/>
              <w:spacing w:line="280" w:lineRule="exact"/>
              <w:ind w:firstLine="480" w:firstLineChars="200"/>
              <w:jc w:val="center"/>
              <w:rPr>
                <w:rFonts w:hint="eastAsia" w:ascii="宋体" w:hAnsi="宋体" w:eastAsia="宋体" w:cs="宋体"/>
                <w:sz w:val="24"/>
                <w:szCs w:val="24"/>
              </w:rPr>
            </w:pPr>
          </w:p>
        </w:tc>
        <w:tc>
          <w:tcPr>
            <w:tcW w:w="1153" w:type="dxa"/>
            <w:vAlign w:val="center"/>
          </w:tcPr>
          <w:p w14:paraId="2D2B18E9">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69676DF2">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3FF1CBCF">
            <w:pPr>
              <w:pStyle w:val="29"/>
              <w:adjustRightInd/>
              <w:spacing w:line="280" w:lineRule="exact"/>
              <w:ind w:firstLine="480" w:firstLineChars="200"/>
              <w:jc w:val="center"/>
              <w:rPr>
                <w:rFonts w:hint="eastAsia" w:ascii="宋体" w:hAnsi="宋体" w:eastAsia="宋体" w:cs="宋体"/>
                <w:sz w:val="24"/>
                <w:szCs w:val="24"/>
              </w:rPr>
            </w:pPr>
          </w:p>
        </w:tc>
        <w:tc>
          <w:tcPr>
            <w:tcW w:w="943" w:type="dxa"/>
            <w:vAlign w:val="center"/>
          </w:tcPr>
          <w:p w14:paraId="3A249772">
            <w:pPr>
              <w:pStyle w:val="29"/>
              <w:adjustRightInd/>
              <w:spacing w:line="280" w:lineRule="exact"/>
              <w:ind w:firstLine="480" w:firstLineChars="200"/>
              <w:jc w:val="center"/>
              <w:rPr>
                <w:rFonts w:hint="eastAsia" w:ascii="宋体" w:hAnsi="宋体" w:eastAsia="宋体" w:cs="宋体"/>
                <w:sz w:val="24"/>
                <w:szCs w:val="24"/>
              </w:rPr>
            </w:pPr>
          </w:p>
        </w:tc>
        <w:tc>
          <w:tcPr>
            <w:tcW w:w="1198" w:type="dxa"/>
            <w:vAlign w:val="center"/>
          </w:tcPr>
          <w:p w14:paraId="28D2C2B0">
            <w:pPr>
              <w:pStyle w:val="29"/>
              <w:adjustRightInd/>
              <w:spacing w:line="280" w:lineRule="exact"/>
              <w:ind w:firstLine="480" w:firstLineChars="200"/>
              <w:jc w:val="center"/>
              <w:rPr>
                <w:rFonts w:hint="eastAsia" w:ascii="宋体" w:hAnsi="宋体" w:eastAsia="宋体" w:cs="宋体"/>
                <w:sz w:val="24"/>
                <w:szCs w:val="24"/>
              </w:rPr>
            </w:pPr>
          </w:p>
        </w:tc>
        <w:tc>
          <w:tcPr>
            <w:tcW w:w="884" w:type="dxa"/>
            <w:vAlign w:val="center"/>
          </w:tcPr>
          <w:p w14:paraId="38839E59">
            <w:pPr>
              <w:pStyle w:val="29"/>
              <w:adjustRightInd/>
              <w:spacing w:line="280" w:lineRule="exact"/>
              <w:ind w:firstLine="480" w:firstLineChars="200"/>
              <w:jc w:val="center"/>
              <w:rPr>
                <w:rFonts w:hint="eastAsia" w:ascii="宋体" w:hAnsi="宋体" w:eastAsia="宋体" w:cs="宋体"/>
                <w:sz w:val="24"/>
                <w:szCs w:val="24"/>
              </w:rPr>
            </w:pPr>
          </w:p>
        </w:tc>
        <w:tc>
          <w:tcPr>
            <w:tcW w:w="824" w:type="dxa"/>
            <w:vAlign w:val="center"/>
          </w:tcPr>
          <w:p w14:paraId="2C5E8FF4">
            <w:pPr>
              <w:pStyle w:val="29"/>
              <w:adjustRightInd/>
              <w:spacing w:line="280" w:lineRule="exact"/>
              <w:ind w:firstLine="480" w:firstLineChars="200"/>
              <w:jc w:val="center"/>
              <w:rPr>
                <w:rFonts w:hint="eastAsia" w:ascii="宋体" w:hAnsi="宋体" w:eastAsia="宋体" w:cs="宋体"/>
                <w:sz w:val="24"/>
                <w:szCs w:val="24"/>
              </w:rPr>
            </w:pPr>
          </w:p>
        </w:tc>
        <w:tc>
          <w:tcPr>
            <w:tcW w:w="831" w:type="dxa"/>
            <w:vAlign w:val="center"/>
          </w:tcPr>
          <w:p w14:paraId="42C55264">
            <w:pPr>
              <w:pStyle w:val="29"/>
              <w:adjustRightInd/>
              <w:spacing w:line="280" w:lineRule="exact"/>
              <w:ind w:firstLine="480" w:firstLineChars="200"/>
              <w:jc w:val="center"/>
              <w:rPr>
                <w:rFonts w:hint="eastAsia" w:ascii="宋体" w:hAnsi="宋体" w:eastAsia="宋体" w:cs="宋体"/>
                <w:sz w:val="24"/>
                <w:szCs w:val="24"/>
              </w:rPr>
            </w:pPr>
          </w:p>
        </w:tc>
      </w:tr>
      <w:tr w14:paraId="3E7DA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jc w:val="center"/>
        </w:trPr>
        <w:tc>
          <w:tcPr>
            <w:tcW w:w="983" w:type="dxa"/>
            <w:vAlign w:val="center"/>
          </w:tcPr>
          <w:p w14:paraId="5DDE89A1">
            <w:pPr>
              <w:pStyle w:val="29"/>
              <w:adjustRightInd/>
              <w:spacing w:line="280" w:lineRule="exact"/>
              <w:ind w:firstLine="480" w:firstLineChars="200"/>
              <w:jc w:val="center"/>
              <w:rPr>
                <w:rFonts w:hint="eastAsia" w:ascii="宋体" w:hAnsi="宋体" w:eastAsia="宋体" w:cs="宋体"/>
                <w:sz w:val="24"/>
                <w:szCs w:val="24"/>
              </w:rPr>
            </w:pPr>
          </w:p>
        </w:tc>
        <w:tc>
          <w:tcPr>
            <w:tcW w:w="854" w:type="dxa"/>
            <w:vAlign w:val="center"/>
          </w:tcPr>
          <w:p w14:paraId="3D52C8FE">
            <w:pPr>
              <w:pStyle w:val="29"/>
              <w:adjustRightInd/>
              <w:spacing w:line="280" w:lineRule="exact"/>
              <w:ind w:firstLine="480" w:firstLineChars="200"/>
              <w:jc w:val="center"/>
              <w:rPr>
                <w:rFonts w:hint="eastAsia" w:ascii="宋体" w:hAnsi="宋体" w:eastAsia="宋体" w:cs="宋体"/>
                <w:sz w:val="24"/>
                <w:szCs w:val="24"/>
              </w:rPr>
            </w:pPr>
          </w:p>
        </w:tc>
        <w:tc>
          <w:tcPr>
            <w:tcW w:w="1153" w:type="dxa"/>
            <w:vAlign w:val="center"/>
          </w:tcPr>
          <w:p w14:paraId="2BF59A82">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083525BA">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79F50265">
            <w:pPr>
              <w:pStyle w:val="29"/>
              <w:adjustRightInd/>
              <w:spacing w:line="280" w:lineRule="exact"/>
              <w:ind w:firstLine="480" w:firstLineChars="200"/>
              <w:jc w:val="center"/>
              <w:rPr>
                <w:rFonts w:hint="eastAsia" w:ascii="宋体" w:hAnsi="宋体" w:eastAsia="宋体" w:cs="宋体"/>
                <w:sz w:val="24"/>
                <w:szCs w:val="24"/>
              </w:rPr>
            </w:pPr>
          </w:p>
        </w:tc>
        <w:tc>
          <w:tcPr>
            <w:tcW w:w="943" w:type="dxa"/>
            <w:vAlign w:val="center"/>
          </w:tcPr>
          <w:p w14:paraId="4769D4E0">
            <w:pPr>
              <w:pStyle w:val="29"/>
              <w:adjustRightInd/>
              <w:spacing w:line="280" w:lineRule="exact"/>
              <w:ind w:firstLine="480" w:firstLineChars="200"/>
              <w:jc w:val="center"/>
              <w:rPr>
                <w:rFonts w:hint="eastAsia" w:ascii="宋体" w:hAnsi="宋体" w:eastAsia="宋体" w:cs="宋体"/>
                <w:sz w:val="24"/>
                <w:szCs w:val="24"/>
              </w:rPr>
            </w:pPr>
          </w:p>
        </w:tc>
        <w:tc>
          <w:tcPr>
            <w:tcW w:w="1198" w:type="dxa"/>
            <w:vAlign w:val="center"/>
          </w:tcPr>
          <w:p w14:paraId="42187CB4">
            <w:pPr>
              <w:pStyle w:val="29"/>
              <w:adjustRightInd/>
              <w:spacing w:line="280" w:lineRule="exact"/>
              <w:ind w:firstLine="480" w:firstLineChars="200"/>
              <w:jc w:val="center"/>
              <w:rPr>
                <w:rFonts w:hint="eastAsia" w:ascii="宋体" w:hAnsi="宋体" w:eastAsia="宋体" w:cs="宋体"/>
                <w:sz w:val="24"/>
                <w:szCs w:val="24"/>
              </w:rPr>
            </w:pPr>
          </w:p>
        </w:tc>
        <w:tc>
          <w:tcPr>
            <w:tcW w:w="884" w:type="dxa"/>
            <w:vAlign w:val="center"/>
          </w:tcPr>
          <w:p w14:paraId="4074CB60">
            <w:pPr>
              <w:pStyle w:val="29"/>
              <w:adjustRightInd/>
              <w:spacing w:line="280" w:lineRule="exact"/>
              <w:ind w:firstLine="480" w:firstLineChars="200"/>
              <w:jc w:val="center"/>
              <w:rPr>
                <w:rFonts w:hint="eastAsia" w:ascii="宋体" w:hAnsi="宋体" w:eastAsia="宋体" w:cs="宋体"/>
                <w:sz w:val="24"/>
                <w:szCs w:val="24"/>
              </w:rPr>
            </w:pPr>
          </w:p>
        </w:tc>
        <w:tc>
          <w:tcPr>
            <w:tcW w:w="824" w:type="dxa"/>
            <w:vAlign w:val="center"/>
          </w:tcPr>
          <w:p w14:paraId="5BAAEE60">
            <w:pPr>
              <w:pStyle w:val="29"/>
              <w:adjustRightInd/>
              <w:spacing w:line="280" w:lineRule="exact"/>
              <w:ind w:firstLine="480" w:firstLineChars="200"/>
              <w:jc w:val="center"/>
              <w:rPr>
                <w:rFonts w:hint="eastAsia" w:ascii="宋体" w:hAnsi="宋体" w:eastAsia="宋体" w:cs="宋体"/>
                <w:sz w:val="24"/>
                <w:szCs w:val="24"/>
              </w:rPr>
            </w:pPr>
          </w:p>
        </w:tc>
        <w:tc>
          <w:tcPr>
            <w:tcW w:w="831" w:type="dxa"/>
            <w:vAlign w:val="center"/>
          </w:tcPr>
          <w:p w14:paraId="4787C42C">
            <w:pPr>
              <w:pStyle w:val="29"/>
              <w:adjustRightInd/>
              <w:spacing w:line="280" w:lineRule="exact"/>
              <w:ind w:firstLine="480" w:firstLineChars="200"/>
              <w:jc w:val="center"/>
              <w:rPr>
                <w:rFonts w:hint="eastAsia" w:ascii="宋体" w:hAnsi="宋体" w:eastAsia="宋体" w:cs="宋体"/>
                <w:sz w:val="24"/>
                <w:szCs w:val="24"/>
              </w:rPr>
            </w:pPr>
          </w:p>
        </w:tc>
      </w:tr>
      <w:tr w14:paraId="1AC22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jc w:val="center"/>
        </w:trPr>
        <w:tc>
          <w:tcPr>
            <w:tcW w:w="983" w:type="dxa"/>
            <w:vAlign w:val="center"/>
          </w:tcPr>
          <w:p w14:paraId="75F05A14">
            <w:pPr>
              <w:pStyle w:val="29"/>
              <w:adjustRightInd/>
              <w:spacing w:line="280" w:lineRule="exact"/>
              <w:ind w:firstLine="480" w:firstLineChars="200"/>
              <w:jc w:val="center"/>
              <w:rPr>
                <w:rFonts w:hint="eastAsia" w:ascii="宋体" w:hAnsi="宋体" w:eastAsia="宋体" w:cs="宋体"/>
                <w:sz w:val="24"/>
                <w:szCs w:val="24"/>
              </w:rPr>
            </w:pPr>
          </w:p>
        </w:tc>
        <w:tc>
          <w:tcPr>
            <w:tcW w:w="854" w:type="dxa"/>
            <w:vAlign w:val="center"/>
          </w:tcPr>
          <w:p w14:paraId="20BCB06C">
            <w:pPr>
              <w:pStyle w:val="29"/>
              <w:adjustRightInd/>
              <w:spacing w:line="280" w:lineRule="exact"/>
              <w:ind w:firstLine="480" w:firstLineChars="200"/>
              <w:jc w:val="center"/>
              <w:rPr>
                <w:rFonts w:hint="eastAsia" w:ascii="宋体" w:hAnsi="宋体" w:eastAsia="宋体" w:cs="宋体"/>
                <w:sz w:val="24"/>
                <w:szCs w:val="24"/>
              </w:rPr>
            </w:pPr>
          </w:p>
        </w:tc>
        <w:tc>
          <w:tcPr>
            <w:tcW w:w="1153" w:type="dxa"/>
            <w:vAlign w:val="center"/>
          </w:tcPr>
          <w:p w14:paraId="01C8DC28">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11B2917F">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0A847A00">
            <w:pPr>
              <w:pStyle w:val="29"/>
              <w:adjustRightInd/>
              <w:spacing w:line="280" w:lineRule="exact"/>
              <w:ind w:firstLine="480" w:firstLineChars="200"/>
              <w:jc w:val="center"/>
              <w:rPr>
                <w:rFonts w:hint="eastAsia" w:ascii="宋体" w:hAnsi="宋体" w:eastAsia="宋体" w:cs="宋体"/>
                <w:sz w:val="24"/>
                <w:szCs w:val="24"/>
              </w:rPr>
            </w:pPr>
          </w:p>
        </w:tc>
        <w:tc>
          <w:tcPr>
            <w:tcW w:w="943" w:type="dxa"/>
            <w:vAlign w:val="center"/>
          </w:tcPr>
          <w:p w14:paraId="174919B6">
            <w:pPr>
              <w:pStyle w:val="29"/>
              <w:adjustRightInd/>
              <w:spacing w:line="280" w:lineRule="exact"/>
              <w:ind w:firstLine="480" w:firstLineChars="200"/>
              <w:jc w:val="center"/>
              <w:rPr>
                <w:rFonts w:hint="eastAsia" w:ascii="宋体" w:hAnsi="宋体" w:eastAsia="宋体" w:cs="宋体"/>
                <w:sz w:val="24"/>
                <w:szCs w:val="24"/>
              </w:rPr>
            </w:pPr>
          </w:p>
        </w:tc>
        <w:tc>
          <w:tcPr>
            <w:tcW w:w="1198" w:type="dxa"/>
            <w:vAlign w:val="center"/>
          </w:tcPr>
          <w:p w14:paraId="6A6C0812">
            <w:pPr>
              <w:pStyle w:val="29"/>
              <w:adjustRightInd/>
              <w:spacing w:line="280" w:lineRule="exact"/>
              <w:ind w:firstLine="480" w:firstLineChars="200"/>
              <w:jc w:val="center"/>
              <w:rPr>
                <w:rFonts w:hint="eastAsia" w:ascii="宋体" w:hAnsi="宋体" w:eastAsia="宋体" w:cs="宋体"/>
                <w:sz w:val="24"/>
                <w:szCs w:val="24"/>
              </w:rPr>
            </w:pPr>
          </w:p>
        </w:tc>
        <w:tc>
          <w:tcPr>
            <w:tcW w:w="884" w:type="dxa"/>
            <w:vAlign w:val="center"/>
          </w:tcPr>
          <w:p w14:paraId="4D7E9A24">
            <w:pPr>
              <w:pStyle w:val="29"/>
              <w:adjustRightInd/>
              <w:spacing w:line="280" w:lineRule="exact"/>
              <w:ind w:firstLine="480" w:firstLineChars="200"/>
              <w:jc w:val="center"/>
              <w:rPr>
                <w:rFonts w:hint="eastAsia" w:ascii="宋体" w:hAnsi="宋体" w:eastAsia="宋体" w:cs="宋体"/>
                <w:sz w:val="24"/>
                <w:szCs w:val="24"/>
              </w:rPr>
            </w:pPr>
          </w:p>
        </w:tc>
        <w:tc>
          <w:tcPr>
            <w:tcW w:w="824" w:type="dxa"/>
            <w:vAlign w:val="center"/>
          </w:tcPr>
          <w:p w14:paraId="0CEC3DBC">
            <w:pPr>
              <w:pStyle w:val="29"/>
              <w:adjustRightInd/>
              <w:spacing w:line="280" w:lineRule="exact"/>
              <w:ind w:firstLine="480" w:firstLineChars="200"/>
              <w:jc w:val="center"/>
              <w:rPr>
                <w:rFonts w:hint="eastAsia" w:ascii="宋体" w:hAnsi="宋体" w:eastAsia="宋体" w:cs="宋体"/>
                <w:sz w:val="24"/>
                <w:szCs w:val="24"/>
              </w:rPr>
            </w:pPr>
          </w:p>
        </w:tc>
        <w:tc>
          <w:tcPr>
            <w:tcW w:w="831" w:type="dxa"/>
            <w:vAlign w:val="center"/>
          </w:tcPr>
          <w:p w14:paraId="5E0902ED">
            <w:pPr>
              <w:pStyle w:val="29"/>
              <w:adjustRightInd/>
              <w:spacing w:line="280" w:lineRule="exact"/>
              <w:ind w:firstLine="480" w:firstLineChars="200"/>
              <w:jc w:val="center"/>
              <w:rPr>
                <w:rFonts w:hint="eastAsia" w:ascii="宋体" w:hAnsi="宋体" w:eastAsia="宋体" w:cs="宋体"/>
                <w:sz w:val="24"/>
                <w:szCs w:val="24"/>
              </w:rPr>
            </w:pPr>
          </w:p>
        </w:tc>
      </w:tr>
      <w:tr w14:paraId="670D0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jc w:val="center"/>
        </w:trPr>
        <w:tc>
          <w:tcPr>
            <w:tcW w:w="983" w:type="dxa"/>
            <w:vAlign w:val="center"/>
          </w:tcPr>
          <w:p w14:paraId="26AC5ADD">
            <w:pPr>
              <w:pStyle w:val="29"/>
              <w:adjustRightInd/>
              <w:spacing w:line="280" w:lineRule="exact"/>
              <w:ind w:firstLine="480" w:firstLineChars="200"/>
              <w:jc w:val="center"/>
              <w:rPr>
                <w:rFonts w:hint="eastAsia" w:ascii="宋体" w:hAnsi="宋体" w:eastAsia="宋体" w:cs="宋体"/>
                <w:sz w:val="24"/>
                <w:szCs w:val="24"/>
              </w:rPr>
            </w:pPr>
          </w:p>
        </w:tc>
        <w:tc>
          <w:tcPr>
            <w:tcW w:w="854" w:type="dxa"/>
            <w:vAlign w:val="center"/>
          </w:tcPr>
          <w:p w14:paraId="3D26A7A7">
            <w:pPr>
              <w:pStyle w:val="29"/>
              <w:adjustRightInd/>
              <w:spacing w:line="280" w:lineRule="exact"/>
              <w:ind w:firstLine="480" w:firstLineChars="200"/>
              <w:jc w:val="center"/>
              <w:rPr>
                <w:rFonts w:hint="eastAsia" w:ascii="宋体" w:hAnsi="宋体" w:eastAsia="宋体" w:cs="宋体"/>
                <w:sz w:val="24"/>
                <w:szCs w:val="24"/>
              </w:rPr>
            </w:pPr>
          </w:p>
        </w:tc>
        <w:tc>
          <w:tcPr>
            <w:tcW w:w="1153" w:type="dxa"/>
            <w:vAlign w:val="center"/>
          </w:tcPr>
          <w:p w14:paraId="0EFA8391">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3B96199C">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0861378A">
            <w:pPr>
              <w:pStyle w:val="29"/>
              <w:adjustRightInd/>
              <w:spacing w:line="280" w:lineRule="exact"/>
              <w:ind w:firstLine="480" w:firstLineChars="200"/>
              <w:jc w:val="center"/>
              <w:rPr>
                <w:rFonts w:hint="eastAsia" w:ascii="宋体" w:hAnsi="宋体" w:eastAsia="宋体" w:cs="宋体"/>
                <w:sz w:val="24"/>
                <w:szCs w:val="24"/>
              </w:rPr>
            </w:pPr>
          </w:p>
        </w:tc>
        <w:tc>
          <w:tcPr>
            <w:tcW w:w="943" w:type="dxa"/>
            <w:vAlign w:val="center"/>
          </w:tcPr>
          <w:p w14:paraId="149C4FA6">
            <w:pPr>
              <w:pStyle w:val="29"/>
              <w:adjustRightInd/>
              <w:spacing w:line="280" w:lineRule="exact"/>
              <w:ind w:firstLine="480" w:firstLineChars="200"/>
              <w:jc w:val="center"/>
              <w:rPr>
                <w:rFonts w:hint="eastAsia" w:ascii="宋体" w:hAnsi="宋体" w:eastAsia="宋体" w:cs="宋体"/>
                <w:sz w:val="24"/>
                <w:szCs w:val="24"/>
              </w:rPr>
            </w:pPr>
          </w:p>
        </w:tc>
        <w:tc>
          <w:tcPr>
            <w:tcW w:w="1198" w:type="dxa"/>
            <w:vAlign w:val="center"/>
          </w:tcPr>
          <w:p w14:paraId="4BA854B7">
            <w:pPr>
              <w:pStyle w:val="29"/>
              <w:adjustRightInd/>
              <w:spacing w:line="280" w:lineRule="exact"/>
              <w:ind w:firstLine="480" w:firstLineChars="200"/>
              <w:jc w:val="center"/>
              <w:rPr>
                <w:rFonts w:hint="eastAsia" w:ascii="宋体" w:hAnsi="宋体" w:eastAsia="宋体" w:cs="宋体"/>
                <w:sz w:val="24"/>
                <w:szCs w:val="24"/>
              </w:rPr>
            </w:pPr>
          </w:p>
        </w:tc>
        <w:tc>
          <w:tcPr>
            <w:tcW w:w="884" w:type="dxa"/>
            <w:vAlign w:val="center"/>
          </w:tcPr>
          <w:p w14:paraId="13C6E047">
            <w:pPr>
              <w:pStyle w:val="29"/>
              <w:adjustRightInd/>
              <w:spacing w:line="280" w:lineRule="exact"/>
              <w:ind w:firstLine="480" w:firstLineChars="200"/>
              <w:jc w:val="center"/>
              <w:rPr>
                <w:rFonts w:hint="eastAsia" w:ascii="宋体" w:hAnsi="宋体" w:eastAsia="宋体" w:cs="宋体"/>
                <w:sz w:val="24"/>
                <w:szCs w:val="24"/>
              </w:rPr>
            </w:pPr>
          </w:p>
        </w:tc>
        <w:tc>
          <w:tcPr>
            <w:tcW w:w="824" w:type="dxa"/>
            <w:vAlign w:val="center"/>
          </w:tcPr>
          <w:p w14:paraId="4F96B791">
            <w:pPr>
              <w:pStyle w:val="29"/>
              <w:adjustRightInd/>
              <w:spacing w:line="280" w:lineRule="exact"/>
              <w:ind w:firstLine="480" w:firstLineChars="200"/>
              <w:jc w:val="center"/>
              <w:rPr>
                <w:rFonts w:hint="eastAsia" w:ascii="宋体" w:hAnsi="宋体" w:eastAsia="宋体" w:cs="宋体"/>
                <w:sz w:val="24"/>
                <w:szCs w:val="24"/>
              </w:rPr>
            </w:pPr>
          </w:p>
        </w:tc>
        <w:tc>
          <w:tcPr>
            <w:tcW w:w="831" w:type="dxa"/>
            <w:vAlign w:val="center"/>
          </w:tcPr>
          <w:p w14:paraId="640D2338">
            <w:pPr>
              <w:pStyle w:val="29"/>
              <w:adjustRightInd/>
              <w:spacing w:line="280" w:lineRule="exact"/>
              <w:ind w:firstLine="480" w:firstLineChars="200"/>
              <w:jc w:val="center"/>
              <w:rPr>
                <w:rFonts w:hint="eastAsia" w:ascii="宋体" w:hAnsi="宋体" w:eastAsia="宋体" w:cs="宋体"/>
                <w:sz w:val="24"/>
                <w:szCs w:val="24"/>
              </w:rPr>
            </w:pPr>
          </w:p>
        </w:tc>
      </w:tr>
      <w:tr w14:paraId="0DF68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jc w:val="center"/>
        </w:trPr>
        <w:tc>
          <w:tcPr>
            <w:tcW w:w="983" w:type="dxa"/>
            <w:vAlign w:val="center"/>
          </w:tcPr>
          <w:p w14:paraId="7A5CF8C1">
            <w:pPr>
              <w:pStyle w:val="29"/>
              <w:adjustRightInd/>
              <w:spacing w:line="280" w:lineRule="exact"/>
              <w:ind w:firstLine="480" w:firstLineChars="200"/>
              <w:jc w:val="center"/>
              <w:rPr>
                <w:rFonts w:hint="eastAsia" w:ascii="宋体" w:hAnsi="宋体" w:eastAsia="宋体" w:cs="宋体"/>
                <w:sz w:val="24"/>
                <w:szCs w:val="24"/>
              </w:rPr>
            </w:pPr>
          </w:p>
        </w:tc>
        <w:tc>
          <w:tcPr>
            <w:tcW w:w="854" w:type="dxa"/>
            <w:vAlign w:val="center"/>
          </w:tcPr>
          <w:p w14:paraId="5BC00E81">
            <w:pPr>
              <w:pStyle w:val="29"/>
              <w:adjustRightInd/>
              <w:spacing w:line="280" w:lineRule="exact"/>
              <w:ind w:firstLine="480" w:firstLineChars="200"/>
              <w:jc w:val="center"/>
              <w:rPr>
                <w:rFonts w:hint="eastAsia" w:ascii="宋体" w:hAnsi="宋体" w:eastAsia="宋体" w:cs="宋体"/>
                <w:sz w:val="24"/>
                <w:szCs w:val="24"/>
              </w:rPr>
            </w:pPr>
          </w:p>
        </w:tc>
        <w:tc>
          <w:tcPr>
            <w:tcW w:w="1153" w:type="dxa"/>
            <w:vAlign w:val="center"/>
          </w:tcPr>
          <w:p w14:paraId="71F95795">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05A1DE7A">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2DE09ECD">
            <w:pPr>
              <w:pStyle w:val="29"/>
              <w:adjustRightInd/>
              <w:spacing w:line="280" w:lineRule="exact"/>
              <w:ind w:firstLine="480" w:firstLineChars="200"/>
              <w:jc w:val="center"/>
              <w:rPr>
                <w:rFonts w:hint="eastAsia" w:ascii="宋体" w:hAnsi="宋体" w:eastAsia="宋体" w:cs="宋体"/>
                <w:sz w:val="24"/>
                <w:szCs w:val="24"/>
              </w:rPr>
            </w:pPr>
          </w:p>
        </w:tc>
        <w:tc>
          <w:tcPr>
            <w:tcW w:w="943" w:type="dxa"/>
            <w:vAlign w:val="center"/>
          </w:tcPr>
          <w:p w14:paraId="1D38E5F5">
            <w:pPr>
              <w:pStyle w:val="29"/>
              <w:adjustRightInd/>
              <w:spacing w:line="280" w:lineRule="exact"/>
              <w:ind w:firstLine="480" w:firstLineChars="200"/>
              <w:jc w:val="center"/>
              <w:rPr>
                <w:rFonts w:hint="eastAsia" w:ascii="宋体" w:hAnsi="宋体" w:eastAsia="宋体" w:cs="宋体"/>
                <w:sz w:val="24"/>
                <w:szCs w:val="24"/>
              </w:rPr>
            </w:pPr>
          </w:p>
        </w:tc>
        <w:tc>
          <w:tcPr>
            <w:tcW w:w="1198" w:type="dxa"/>
            <w:vAlign w:val="center"/>
          </w:tcPr>
          <w:p w14:paraId="2ADAA66C">
            <w:pPr>
              <w:pStyle w:val="29"/>
              <w:adjustRightInd/>
              <w:spacing w:line="280" w:lineRule="exact"/>
              <w:ind w:firstLine="480" w:firstLineChars="200"/>
              <w:jc w:val="center"/>
              <w:rPr>
                <w:rFonts w:hint="eastAsia" w:ascii="宋体" w:hAnsi="宋体" w:eastAsia="宋体" w:cs="宋体"/>
                <w:sz w:val="24"/>
                <w:szCs w:val="24"/>
              </w:rPr>
            </w:pPr>
          </w:p>
        </w:tc>
        <w:tc>
          <w:tcPr>
            <w:tcW w:w="884" w:type="dxa"/>
            <w:vAlign w:val="center"/>
          </w:tcPr>
          <w:p w14:paraId="212F3C7A">
            <w:pPr>
              <w:pStyle w:val="29"/>
              <w:adjustRightInd/>
              <w:spacing w:line="280" w:lineRule="exact"/>
              <w:ind w:firstLine="480" w:firstLineChars="200"/>
              <w:jc w:val="center"/>
              <w:rPr>
                <w:rFonts w:hint="eastAsia" w:ascii="宋体" w:hAnsi="宋体" w:eastAsia="宋体" w:cs="宋体"/>
                <w:sz w:val="24"/>
                <w:szCs w:val="24"/>
              </w:rPr>
            </w:pPr>
          </w:p>
        </w:tc>
        <w:tc>
          <w:tcPr>
            <w:tcW w:w="824" w:type="dxa"/>
            <w:vAlign w:val="center"/>
          </w:tcPr>
          <w:p w14:paraId="2C2FD37D">
            <w:pPr>
              <w:pStyle w:val="29"/>
              <w:adjustRightInd/>
              <w:spacing w:line="280" w:lineRule="exact"/>
              <w:ind w:firstLine="480" w:firstLineChars="200"/>
              <w:jc w:val="center"/>
              <w:rPr>
                <w:rFonts w:hint="eastAsia" w:ascii="宋体" w:hAnsi="宋体" w:eastAsia="宋体" w:cs="宋体"/>
                <w:sz w:val="24"/>
                <w:szCs w:val="24"/>
              </w:rPr>
            </w:pPr>
          </w:p>
        </w:tc>
        <w:tc>
          <w:tcPr>
            <w:tcW w:w="831" w:type="dxa"/>
            <w:vAlign w:val="center"/>
          </w:tcPr>
          <w:p w14:paraId="41D11A9B">
            <w:pPr>
              <w:pStyle w:val="29"/>
              <w:adjustRightInd/>
              <w:spacing w:line="280" w:lineRule="exact"/>
              <w:ind w:firstLine="480" w:firstLineChars="200"/>
              <w:jc w:val="center"/>
              <w:rPr>
                <w:rFonts w:hint="eastAsia" w:ascii="宋体" w:hAnsi="宋体" w:eastAsia="宋体" w:cs="宋体"/>
                <w:sz w:val="24"/>
                <w:szCs w:val="24"/>
              </w:rPr>
            </w:pPr>
          </w:p>
        </w:tc>
      </w:tr>
      <w:tr w14:paraId="365AF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jc w:val="center"/>
        </w:trPr>
        <w:tc>
          <w:tcPr>
            <w:tcW w:w="983" w:type="dxa"/>
            <w:vAlign w:val="center"/>
          </w:tcPr>
          <w:p w14:paraId="46D86237">
            <w:pPr>
              <w:pStyle w:val="29"/>
              <w:adjustRightInd/>
              <w:spacing w:line="280" w:lineRule="exact"/>
              <w:ind w:firstLine="480" w:firstLineChars="200"/>
              <w:jc w:val="center"/>
              <w:rPr>
                <w:rFonts w:hint="eastAsia" w:ascii="宋体" w:hAnsi="宋体" w:eastAsia="宋体" w:cs="宋体"/>
                <w:sz w:val="24"/>
                <w:szCs w:val="24"/>
              </w:rPr>
            </w:pPr>
          </w:p>
        </w:tc>
        <w:tc>
          <w:tcPr>
            <w:tcW w:w="854" w:type="dxa"/>
            <w:vAlign w:val="center"/>
          </w:tcPr>
          <w:p w14:paraId="763CBDCE">
            <w:pPr>
              <w:pStyle w:val="29"/>
              <w:adjustRightInd/>
              <w:spacing w:line="280" w:lineRule="exact"/>
              <w:ind w:firstLine="480" w:firstLineChars="200"/>
              <w:jc w:val="center"/>
              <w:rPr>
                <w:rFonts w:hint="eastAsia" w:ascii="宋体" w:hAnsi="宋体" w:eastAsia="宋体" w:cs="宋体"/>
                <w:sz w:val="24"/>
                <w:szCs w:val="24"/>
              </w:rPr>
            </w:pPr>
          </w:p>
        </w:tc>
        <w:tc>
          <w:tcPr>
            <w:tcW w:w="1153" w:type="dxa"/>
            <w:vAlign w:val="center"/>
          </w:tcPr>
          <w:p w14:paraId="134A8246">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2C74636A">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0816A4E4">
            <w:pPr>
              <w:pStyle w:val="29"/>
              <w:adjustRightInd/>
              <w:spacing w:line="280" w:lineRule="exact"/>
              <w:ind w:firstLine="480" w:firstLineChars="200"/>
              <w:jc w:val="center"/>
              <w:rPr>
                <w:rFonts w:hint="eastAsia" w:ascii="宋体" w:hAnsi="宋体" w:eastAsia="宋体" w:cs="宋体"/>
                <w:sz w:val="24"/>
                <w:szCs w:val="24"/>
              </w:rPr>
            </w:pPr>
          </w:p>
        </w:tc>
        <w:tc>
          <w:tcPr>
            <w:tcW w:w="943" w:type="dxa"/>
            <w:vAlign w:val="center"/>
          </w:tcPr>
          <w:p w14:paraId="67C067F6">
            <w:pPr>
              <w:pStyle w:val="29"/>
              <w:adjustRightInd/>
              <w:spacing w:line="280" w:lineRule="exact"/>
              <w:ind w:firstLine="480" w:firstLineChars="200"/>
              <w:jc w:val="center"/>
              <w:rPr>
                <w:rFonts w:hint="eastAsia" w:ascii="宋体" w:hAnsi="宋体" w:eastAsia="宋体" w:cs="宋体"/>
                <w:sz w:val="24"/>
                <w:szCs w:val="24"/>
              </w:rPr>
            </w:pPr>
          </w:p>
        </w:tc>
        <w:tc>
          <w:tcPr>
            <w:tcW w:w="1198" w:type="dxa"/>
            <w:vAlign w:val="center"/>
          </w:tcPr>
          <w:p w14:paraId="5B613DDA">
            <w:pPr>
              <w:pStyle w:val="29"/>
              <w:adjustRightInd/>
              <w:spacing w:line="280" w:lineRule="exact"/>
              <w:ind w:firstLine="480" w:firstLineChars="200"/>
              <w:jc w:val="center"/>
              <w:rPr>
                <w:rFonts w:hint="eastAsia" w:ascii="宋体" w:hAnsi="宋体" w:eastAsia="宋体" w:cs="宋体"/>
                <w:sz w:val="24"/>
                <w:szCs w:val="24"/>
              </w:rPr>
            </w:pPr>
          </w:p>
        </w:tc>
        <w:tc>
          <w:tcPr>
            <w:tcW w:w="884" w:type="dxa"/>
            <w:vAlign w:val="center"/>
          </w:tcPr>
          <w:p w14:paraId="3C8ECD34">
            <w:pPr>
              <w:pStyle w:val="29"/>
              <w:adjustRightInd/>
              <w:spacing w:line="280" w:lineRule="exact"/>
              <w:ind w:firstLine="480" w:firstLineChars="200"/>
              <w:jc w:val="center"/>
              <w:rPr>
                <w:rFonts w:hint="eastAsia" w:ascii="宋体" w:hAnsi="宋体" w:eastAsia="宋体" w:cs="宋体"/>
                <w:sz w:val="24"/>
                <w:szCs w:val="24"/>
              </w:rPr>
            </w:pPr>
          </w:p>
        </w:tc>
        <w:tc>
          <w:tcPr>
            <w:tcW w:w="824" w:type="dxa"/>
            <w:vAlign w:val="center"/>
          </w:tcPr>
          <w:p w14:paraId="4D632B24">
            <w:pPr>
              <w:pStyle w:val="29"/>
              <w:adjustRightInd/>
              <w:spacing w:line="280" w:lineRule="exact"/>
              <w:ind w:firstLine="480" w:firstLineChars="200"/>
              <w:jc w:val="center"/>
              <w:rPr>
                <w:rFonts w:hint="eastAsia" w:ascii="宋体" w:hAnsi="宋体" w:eastAsia="宋体" w:cs="宋体"/>
                <w:sz w:val="24"/>
                <w:szCs w:val="24"/>
              </w:rPr>
            </w:pPr>
          </w:p>
        </w:tc>
        <w:tc>
          <w:tcPr>
            <w:tcW w:w="831" w:type="dxa"/>
            <w:vAlign w:val="center"/>
          </w:tcPr>
          <w:p w14:paraId="707AE974">
            <w:pPr>
              <w:pStyle w:val="29"/>
              <w:adjustRightInd/>
              <w:spacing w:line="280" w:lineRule="exact"/>
              <w:ind w:firstLine="480" w:firstLineChars="200"/>
              <w:jc w:val="center"/>
              <w:rPr>
                <w:rFonts w:hint="eastAsia" w:ascii="宋体" w:hAnsi="宋体" w:eastAsia="宋体" w:cs="宋体"/>
                <w:sz w:val="24"/>
                <w:szCs w:val="24"/>
              </w:rPr>
            </w:pPr>
          </w:p>
        </w:tc>
      </w:tr>
      <w:tr w14:paraId="4383C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jc w:val="center"/>
        </w:trPr>
        <w:tc>
          <w:tcPr>
            <w:tcW w:w="983" w:type="dxa"/>
            <w:vAlign w:val="center"/>
          </w:tcPr>
          <w:p w14:paraId="5BD3FC8C">
            <w:pPr>
              <w:pStyle w:val="29"/>
              <w:adjustRightInd/>
              <w:spacing w:line="280" w:lineRule="exact"/>
              <w:ind w:firstLine="480" w:firstLineChars="200"/>
              <w:jc w:val="center"/>
              <w:rPr>
                <w:rFonts w:hint="eastAsia" w:ascii="宋体" w:hAnsi="宋体" w:eastAsia="宋体" w:cs="宋体"/>
                <w:sz w:val="24"/>
                <w:szCs w:val="24"/>
              </w:rPr>
            </w:pPr>
          </w:p>
        </w:tc>
        <w:tc>
          <w:tcPr>
            <w:tcW w:w="854" w:type="dxa"/>
            <w:vAlign w:val="center"/>
          </w:tcPr>
          <w:p w14:paraId="6E8C686A">
            <w:pPr>
              <w:pStyle w:val="29"/>
              <w:adjustRightInd/>
              <w:spacing w:line="280" w:lineRule="exact"/>
              <w:ind w:firstLine="480" w:firstLineChars="200"/>
              <w:jc w:val="center"/>
              <w:rPr>
                <w:rFonts w:hint="eastAsia" w:ascii="宋体" w:hAnsi="宋体" w:eastAsia="宋体" w:cs="宋体"/>
                <w:sz w:val="24"/>
                <w:szCs w:val="24"/>
              </w:rPr>
            </w:pPr>
          </w:p>
        </w:tc>
        <w:tc>
          <w:tcPr>
            <w:tcW w:w="1153" w:type="dxa"/>
            <w:vAlign w:val="center"/>
          </w:tcPr>
          <w:p w14:paraId="1B8E9762">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48523B3B">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15B71BDB">
            <w:pPr>
              <w:pStyle w:val="29"/>
              <w:adjustRightInd/>
              <w:spacing w:line="280" w:lineRule="exact"/>
              <w:ind w:firstLine="480" w:firstLineChars="200"/>
              <w:jc w:val="center"/>
              <w:rPr>
                <w:rFonts w:hint="eastAsia" w:ascii="宋体" w:hAnsi="宋体" w:eastAsia="宋体" w:cs="宋体"/>
                <w:sz w:val="24"/>
                <w:szCs w:val="24"/>
              </w:rPr>
            </w:pPr>
          </w:p>
        </w:tc>
        <w:tc>
          <w:tcPr>
            <w:tcW w:w="943" w:type="dxa"/>
            <w:vAlign w:val="center"/>
          </w:tcPr>
          <w:p w14:paraId="2CB456BC">
            <w:pPr>
              <w:pStyle w:val="29"/>
              <w:adjustRightInd/>
              <w:spacing w:line="280" w:lineRule="exact"/>
              <w:ind w:firstLine="480" w:firstLineChars="200"/>
              <w:jc w:val="center"/>
              <w:rPr>
                <w:rFonts w:hint="eastAsia" w:ascii="宋体" w:hAnsi="宋体" w:eastAsia="宋体" w:cs="宋体"/>
                <w:sz w:val="24"/>
                <w:szCs w:val="24"/>
              </w:rPr>
            </w:pPr>
          </w:p>
        </w:tc>
        <w:tc>
          <w:tcPr>
            <w:tcW w:w="1198" w:type="dxa"/>
            <w:vAlign w:val="center"/>
          </w:tcPr>
          <w:p w14:paraId="1D702A4A">
            <w:pPr>
              <w:pStyle w:val="29"/>
              <w:adjustRightInd/>
              <w:spacing w:line="280" w:lineRule="exact"/>
              <w:ind w:firstLine="480" w:firstLineChars="200"/>
              <w:jc w:val="center"/>
              <w:rPr>
                <w:rFonts w:hint="eastAsia" w:ascii="宋体" w:hAnsi="宋体" w:eastAsia="宋体" w:cs="宋体"/>
                <w:sz w:val="24"/>
                <w:szCs w:val="24"/>
              </w:rPr>
            </w:pPr>
          </w:p>
        </w:tc>
        <w:tc>
          <w:tcPr>
            <w:tcW w:w="884" w:type="dxa"/>
            <w:vAlign w:val="center"/>
          </w:tcPr>
          <w:p w14:paraId="73131100">
            <w:pPr>
              <w:pStyle w:val="29"/>
              <w:adjustRightInd/>
              <w:spacing w:line="280" w:lineRule="exact"/>
              <w:ind w:firstLine="480" w:firstLineChars="200"/>
              <w:jc w:val="center"/>
              <w:rPr>
                <w:rFonts w:hint="eastAsia" w:ascii="宋体" w:hAnsi="宋体" w:eastAsia="宋体" w:cs="宋体"/>
                <w:sz w:val="24"/>
                <w:szCs w:val="24"/>
              </w:rPr>
            </w:pPr>
          </w:p>
        </w:tc>
        <w:tc>
          <w:tcPr>
            <w:tcW w:w="824" w:type="dxa"/>
            <w:vAlign w:val="center"/>
          </w:tcPr>
          <w:p w14:paraId="3D802F13">
            <w:pPr>
              <w:pStyle w:val="29"/>
              <w:adjustRightInd/>
              <w:spacing w:line="280" w:lineRule="exact"/>
              <w:ind w:firstLine="480" w:firstLineChars="200"/>
              <w:jc w:val="center"/>
              <w:rPr>
                <w:rFonts w:hint="eastAsia" w:ascii="宋体" w:hAnsi="宋体" w:eastAsia="宋体" w:cs="宋体"/>
                <w:sz w:val="24"/>
                <w:szCs w:val="24"/>
              </w:rPr>
            </w:pPr>
          </w:p>
        </w:tc>
        <w:tc>
          <w:tcPr>
            <w:tcW w:w="831" w:type="dxa"/>
            <w:vAlign w:val="center"/>
          </w:tcPr>
          <w:p w14:paraId="799AD253">
            <w:pPr>
              <w:pStyle w:val="29"/>
              <w:adjustRightInd/>
              <w:spacing w:line="280" w:lineRule="exact"/>
              <w:ind w:firstLine="480" w:firstLineChars="200"/>
              <w:jc w:val="center"/>
              <w:rPr>
                <w:rFonts w:hint="eastAsia" w:ascii="宋体" w:hAnsi="宋体" w:eastAsia="宋体" w:cs="宋体"/>
                <w:sz w:val="24"/>
                <w:szCs w:val="24"/>
              </w:rPr>
            </w:pPr>
          </w:p>
        </w:tc>
      </w:tr>
      <w:tr w14:paraId="2A878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jc w:val="center"/>
        </w:trPr>
        <w:tc>
          <w:tcPr>
            <w:tcW w:w="983" w:type="dxa"/>
            <w:vAlign w:val="center"/>
          </w:tcPr>
          <w:p w14:paraId="314E92D6">
            <w:pPr>
              <w:pStyle w:val="29"/>
              <w:adjustRightInd/>
              <w:spacing w:line="280" w:lineRule="exact"/>
              <w:ind w:firstLine="480" w:firstLineChars="200"/>
              <w:jc w:val="center"/>
              <w:rPr>
                <w:rFonts w:hint="eastAsia" w:ascii="宋体" w:hAnsi="宋体" w:eastAsia="宋体" w:cs="宋体"/>
                <w:sz w:val="24"/>
                <w:szCs w:val="24"/>
              </w:rPr>
            </w:pPr>
          </w:p>
        </w:tc>
        <w:tc>
          <w:tcPr>
            <w:tcW w:w="854" w:type="dxa"/>
            <w:vAlign w:val="center"/>
          </w:tcPr>
          <w:p w14:paraId="2E63EA1E">
            <w:pPr>
              <w:pStyle w:val="29"/>
              <w:adjustRightInd/>
              <w:spacing w:line="280" w:lineRule="exact"/>
              <w:ind w:firstLine="480" w:firstLineChars="200"/>
              <w:jc w:val="center"/>
              <w:rPr>
                <w:rFonts w:hint="eastAsia" w:ascii="宋体" w:hAnsi="宋体" w:eastAsia="宋体" w:cs="宋体"/>
                <w:sz w:val="24"/>
                <w:szCs w:val="24"/>
              </w:rPr>
            </w:pPr>
          </w:p>
        </w:tc>
        <w:tc>
          <w:tcPr>
            <w:tcW w:w="1153" w:type="dxa"/>
            <w:vAlign w:val="center"/>
          </w:tcPr>
          <w:p w14:paraId="4A195A96">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49B51697">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4330807D">
            <w:pPr>
              <w:pStyle w:val="29"/>
              <w:adjustRightInd/>
              <w:spacing w:line="280" w:lineRule="exact"/>
              <w:ind w:firstLine="480" w:firstLineChars="200"/>
              <w:jc w:val="center"/>
              <w:rPr>
                <w:rFonts w:hint="eastAsia" w:ascii="宋体" w:hAnsi="宋体" w:eastAsia="宋体" w:cs="宋体"/>
                <w:sz w:val="24"/>
                <w:szCs w:val="24"/>
              </w:rPr>
            </w:pPr>
          </w:p>
        </w:tc>
        <w:tc>
          <w:tcPr>
            <w:tcW w:w="943" w:type="dxa"/>
            <w:vAlign w:val="center"/>
          </w:tcPr>
          <w:p w14:paraId="36BE08E3">
            <w:pPr>
              <w:pStyle w:val="29"/>
              <w:adjustRightInd/>
              <w:spacing w:line="280" w:lineRule="exact"/>
              <w:ind w:firstLine="480" w:firstLineChars="200"/>
              <w:jc w:val="center"/>
              <w:rPr>
                <w:rFonts w:hint="eastAsia" w:ascii="宋体" w:hAnsi="宋体" w:eastAsia="宋体" w:cs="宋体"/>
                <w:sz w:val="24"/>
                <w:szCs w:val="24"/>
              </w:rPr>
            </w:pPr>
          </w:p>
        </w:tc>
        <w:tc>
          <w:tcPr>
            <w:tcW w:w="1198" w:type="dxa"/>
            <w:vAlign w:val="center"/>
          </w:tcPr>
          <w:p w14:paraId="3367BF43">
            <w:pPr>
              <w:pStyle w:val="29"/>
              <w:adjustRightInd/>
              <w:spacing w:line="280" w:lineRule="exact"/>
              <w:ind w:firstLine="480" w:firstLineChars="200"/>
              <w:jc w:val="center"/>
              <w:rPr>
                <w:rFonts w:hint="eastAsia" w:ascii="宋体" w:hAnsi="宋体" w:eastAsia="宋体" w:cs="宋体"/>
                <w:sz w:val="24"/>
                <w:szCs w:val="24"/>
              </w:rPr>
            </w:pPr>
          </w:p>
        </w:tc>
        <w:tc>
          <w:tcPr>
            <w:tcW w:w="884" w:type="dxa"/>
            <w:vAlign w:val="center"/>
          </w:tcPr>
          <w:p w14:paraId="2E213C2A">
            <w:pPr>
              <w:pStyle w:val="29"/>
              <w:adjustRightInd/>
              <w:spacing w:line="280" w:lineRule="exact"/>
              <w:ind w:firstLine="480" w:firstLineChars="200"/>
              <w:jc w:val="center"/>
              <w:rPr>
                <w:rFonts w:hint="eastAsia" w:ascii="宋体" w:hAnsi="宋体" w:eastAsia="宋体" w:cs="宋体"/>
                <w:sz w:val="24"/>
                <w:szCs w:val="24"/>
              </w:rPr>
            </w:pPr>
          </w:p>
        </w:tc>
        <w:tc>
          <w:tcPr>
            <w:tcW w:w="824" w:type="dxa"/>
            <w:vAlign w:val="center"/>
          </w:tcPr>
          <w:p w14:paraId="4C0DF465">
            <w:pPr>
              <w:pStyle w:val="29"/>
              <w:adjustRightInd/>
              <w:spacing w:line="280" w:lineRule="exact"/>
              <w:ind w:firstLine="480" w:firstLineChars="200"/>
              <w:jc w:val="center"/>
              <w:rPr>
                <w:rFonts w:hint="eastAsia" w:ascii="宋体" w:hAnsi="宋体" w:eastAsia="宋体" w:cs="宋体"/>
                <w:sz w:val="24"/>
                <w:szCs w:val="24"/>
              </w:rPr>
            </w:pPr>
          </w:p>
        </w:tc>
        <w:tc>
          <w:tcPr>
            <w:tcW w:w="831" w:type="dxa"/>
            <w:vAlign w:val="center"/>
          </w:tcPr>
          <w:p w14:paraId="4E659810">
            <w:pPr>
              <w:pStyle w:val="29"/>
              <w:adjustRightInd/>
              <w:spacing w:line="280" w:lineRule="exact"/>
              <w:ind w:firstLine="480" w:firstLineChars="200"/>
              <w:jc w:val="center"/>
              <w:rPr>
                <w:rFonts w:hint="eastAsia" w:ascii="宋体" w:hAnsi="宋体" w:eastAsia="宋体" w:cs="宋体"/>
                <w:sz w:val="24"/>
                <w:szCs w:val="24"/>
              </w:rPr>
            </w:pPr>
          </w:p>
        </w:tc>
      </w:tr>
      <w:tr w14:paraId="29AD7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jc w:val="center"/>
        </w:trPr>
        <w:tc>
          <w:tcPr>
            <w:tcW w:w="983" w:type="dxa"/>
            <w:vAlign w:val="center"/>
          </w:tcPr>
          <w:p w14:paraId="2B874203">
            <w:pPr>
              <w:pStyle w:val="29"/>
              <w:adjustRightInd/>
              <w:spacing w:line="280" w:lineRule="exact"/>
              <w:ind w:firstLine="480" w:firstLineChars="200"/>
              <w:jc w:val="center"/>
              <w:rPr>
                <w:rFonts w:hint="eastAsia" w:ascii="宋体" w:hAnsi="宋体" w:eastAsia="宋体" w:cs="宋体"/>
                <w:sz w:val="24"/>
                <w:szCs w:val="24"/>
              </w:rPr>
            </w:pPr>
          </w:p>
        </w:tc>
        <w:tc>
          <w:tcPr>
            <w:tcW w:w="854" w:type="dxa"/>
            <w:vAlign w:val="center"/>
          </w:tcPr>
          <w:p w14:paraId="7EFC3757">
            <w:pPr>
              <w:pStyle w:val="29"/>
              <w:adjustRightInd/>
              <w:spacing w:line="280" w:lineRule="exact"/>
              <w:ind w:firstLine="480" w:firstLineChars="200"/>
              <w:jc w:val="center"/>
              <w:rPr>
                <w:rFonts w:hint="eastAsia" w:ascii="宋体" w:hAnsi="宋体" w:eastAsia="宋体" w:cs="宋体"/>
                <w:sz w:val="24"/>
                <w:szCs w:val="24"/>
              </w:rPr>
            </w:pPr>
          </w:p>
        </w:tc>
        <w:tc>
          <w:tcPr>
            <w:tcW w:w="1153" w:type="dxa"/>
            <w:vAlign w:val="center"/>
          </w:tcPr>
          <w:p w14:paraId="2CE40509">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42A1EAA2">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58B323D0">
            <w:pPr>
              <w:pStyle w:val="29"/>
              <w:adjustRightInd/>
              <w:spacing w:line="280" w:lineRule="exact"/>
              <w:ind w:firstLine="480" w:firstLineChars="200"/>
              <w:jc w:val="center"/>
              <w:rPr>
                <w:rFonts w:hint="eastAsia" w:ascii="宋体" w:hAnsi="宋体" w:eastAsia="宋体" w:cs="宋体"/>
                <w:sz w:val="24"/>
                <w:szCs w:val="24"/>
              </w:rPr>
            </w:pPr>
          </w:p>
        </w:tc>
        <w:tc>
          <w:tcPr>
            <w:tcW w:w="943" w:type="dxa"/>
            <w:vAlign w:val="center"/>
          </w:tcPr>
          <w:p w14:paraId="6B71D008">
            <w:pPr>
              <w:pStyle w:val="29"/>
              <w:adjustRightInd/>
              <w:spacing w:line="280" w:lineRule="exact"/>
              <w:ind w:firstLine="480" w:firstLineChars="200"/>
              <w:jc w:val="center"/>
              <w:rPr>
                <w:rFonts w:hint="eastAsia" w:ascii="宋体" w:hAnsi="宋体" w:eastAsia="宋体" w:cs="宋体"/>
                <w:sz w:val="24"/>
                <w:szCs w:val="24"/>
              </w:rPr>
            </w:pPr>
          </w:p>
        </w:tc>
        <w:tc>
          <w:tcPr>
            <w:tcW w:w="1198" w:type="dxa"/>
            <w:vAlign w:val="center"/>
          </w:tcPr>
          <w:p w14:paraId="0846AB36">
            <w:pPr>
              <w:pStyle w:val="29"/>
              <w:adjustRightInd/>
              <w:spacing w:line="280" w:lineRule="exact"/>
              <w:ind w:firstLine="480" w:firstLineChars="200"/>
              <w:jc w:val="center"/>
              <w:rPr>
                <w:rFonts w:hint="eastAsia" w:ascii="宋体" w:hAnsi="宋体" w:eastAsia="宋体" w:cs="宋体"/>
                <w:sz w:val="24"/>
                <w:szCs w:val="24"/>
              </w:rPr>
            </w:pPr>
          </w:p>
        </w:tc>
        <w:tc>
          <w:tcPr>
            <w:tcW w:w="884" w:type="dxa"/>
            <w:vAlign w:val="center"/>
          </w:tcPr>
          <w:p w14:paraId="1A22E41A">
            <w:pPr>
              <w:pStyle w:val="29"/>
              <w:adjustRightInd/>
              <w:spacing w:line="280" w:lineRule="exact"/>
              <w:ind w:firstLine="480" w:firstLineChars="200"/>
              <w:jc w:val="center"/>
              <w:rPr>
                <w:rFonts w:hint="eastAsia" w:ascii="宋体" w:hAnsi="宋体" w:eastAsia="宋体" w:cs="宋体"/>
                <w:sz w:val="24"/>
                <w:szCs w:val="24"/>
              </w:rPr>
            </w:pPr>
          </w:p>
        </w:tc>
        <w:tc>
          <w:tcPr>
            <w:tcW w:w="824" w:type="dxa"/>
            <w:vAlign w:val="center"/>
          </w:tcPr>
          <w:p w14:paraId="479576BD">
            <w:pPr>
              <w:pStyle w:val="29"/>
              <w:adjustRightInd/>
              <w:spacing w:line="280" w:lineRule="exact"/>
              <w:ind w:firstLine="480" w:firstLineChars="200"/>
              <w:jc w:val="center"/>
              <w:rPr>
                <w:rFonts w:hint="eastAsia" w:ascii="宋体" w:hAnsi="宋体" w:eastAsia="宋体" w:cs="宋体"/>
                <w:sz w:val="24"/>
                <w:szCs w:val="24"/>
              </w:rPr>
            </w:pPr>
          </w:p>
        </w:tc>
        <w:tc>
          <w:tcPr>
            <w:tcW w:w="831" w:type="dxa"/>
            <w:vAlign w:val="center"/>
          </w:tcPr>
          <w:p w14:paraId="4BF8FA77">
            <w:pPr>
              <w:pStyle w:val="29"/>
              <w:adjustRightInd/>
              <w:spacing w:line="280" w:lineRule="exact"/>
              <w:ind w:firstLine="480" w:firstLineChars="200"/>
              <w:jc w:val="center"/>
              <w:rPr>
                <w:rFonts w:hint="eastAsia" w:ascii="宋体" w:hAnsi="宋体" w:eastAsia="宋体" w:cs="宋体"/>
                <w:sz w:val="24"/>
                <w:szCs w:val="24"/>
              </w:rPr>
            </w:pPr>
          </w:p>
        </w:tc>
      </w:tr>
      <w:tr w14:paraId="13646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jc w:val="center"/>
        </w:trPr>
        <w:tc>
          <w:tcPr>
            <w:tcW w:w="983" w:type="dxa"/>
            <w:vAlign w:val="center"/>
          </w:tcPr>
          <w:p w14:paraId="7FC1C6C5">
            <w:pPr>
              <w:pStyle w:val="29"/>
              <w:adjustRightInd/>
              <w:spacing w:line="280" w:lineRule="exact"/>
              <w:ind w:firstLine="480" w:firstLineChars="200"/>
              <w:jc w:val="center"/>
              <w:rPr>
                <w:rFonts w:hint="eastAsia" w:ascii="宋体" w:hAnsi="宋体" w:eastAsia="宋体" w:cs="宋体"/>
                <w:sz w:val="24"/>
                <w:szCs w:val="24"/>
              </w:rPr>
            </w:pPr>
          </w:p>
        </w:tc>
        <w:tc>
          <w:tcPr>
            <w:tcW w:w="854" w:type="dxa"/>
            <w:vAlign w:val="center"/>
          </w:tcPr>
          <w:p w14:paraId="47F364B5">
            <w:pPr>
              <w:pStyle w:val="29"/>
              <w:adjustRightInd/>
              <w:spacing w:line="280" w:lineRule="exact"/>
              <w:ind w:firstLine="480" w:firstLineChars="200"/>
              <w:jc w:val="center"/>
              <w:rPr>
                <w:rFonts w:hint="eastAsia" w:ascii="宋体" w:hAnsi="宋体" w:eastAsia="宋体" w:cs="宋体"/>
                <w:sz w:val="24"/>
                <w:szCs w:val="24"/>
              </w:rPr>
            </w:pPr>
          </w:p>
        </w:tc>
        <w:tc>
          <w:tcPr>
            <w:tcW w:w="1153" w:type="dxa"/>
            <w:vAlign w:val="center"/>
          </w:tcPr>
          <w:p w14:paraId="5F6B5862">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342A7F45">
            <w:pPr>
              <w:pStyle w:val="29"/>
              <w:adjustRightInd/>
              <w:spacing w:line="280" w:lineRule="exact"/>
              <w:ind w:firstLine="480" w:firstLineChars="200"/>
              <w:jc w:val="center"/>
              <w:rPr>
                <w:rFonts w:hint="eastAsia" w:ascii="宋体" w:hAnsi="宋体" w:eastAsia="宋体" w:cs="宋体"/>
                <w:sz w:val="24"/>
                <w:szCs w:val="24"/>
              </w:rPr>
            </w:pPr>
          </w:p>
        </w:tc>
        <w:tc>
          <w:tcPr>
            <w:tcW w:w="674" w:type="dxa"/>
            <w:vAlign w:val="center"/>
          </w:tcPr>
          <w:p w14:paraId="5D614179">
            <w:pPr>
              <w:pStyle w:val="29"/>
              <w:adjustRightInd/>
              <w:spacing w:line="280" w:lineRule="exact"/>
              <w:ind w:firstLine="480" w:firstLineChars="200"/>
              <w:jc w:val="center"/>
              <w:rPr>
                <w:rFonts w:hint="eastAsia" w:ascii="宋体" w:hAnsi="宋体" w:eastAsia="宋体" w:cs="宋体"/>
                <w:sz w:val="24"/>
                <w:szCs w:val="24"/>
              </w:rPr>
            </w:pPr>
          </w:p>
        </w:tc>
        <w:tc>
          <w:tcPr>
            <w:tcW w:w="943" w:type="dxa"/>
            <w:vAlign w:val="center"/>
          </w:tcPr>
          <w:p w14:paraId="77199CC4">
            <w:pPr>
              <w:pStyle w:val="29"/>
              <w:adjustRightInd/>
              <w:spacing w:line="280" w:lineRule="exact"/>
              <w:ind w:firstLine="480" w:firstLineChars="200"/>
              <w:jc w:val="center"/>
              <w:rPr>
                <w:rFonts w:hint="eastAsia" w:ascii="宋体" w:hAnsi="宋体" w:eastAsia="宋体" w:cs="宋体"/>
                <w:sz w:val="24"/>
                <w:szCs w:val="24"/>
              </w:rPr>
            </w:pPr>
          </w:p>
        </w:tc>
        <w:tc>
          <w:tcPr>
            <w:tcW w:w="1198" w:type="dxa"/>
            <w:vAlign w:val="center"/>
          </w:tcPr>
          <w:p w14:paraId="2C9FF4EE">
            <w:pPr>
              <w:pStyle w:val="29"/>
              <w:adjustRightInd/>
              <w:spacing w:line="280" w:lineRule="exact"/>
              <w:ind w:firstLine="480" w:firstLineChars="200"/>
              <w:jc w:val="center"/>
              <w:rPr>
                <w:rFonts w:hint="eastAsia" w:ascii="宋体" w:hAnsi="宋体" w:eastAsia="宋体" w:cs="宋体"/>
                <w:sz w:val="24"/>
                <w:szCs w:val="24"/>
              </w:rPr>
            </w:pPr>
          </w:p>
        </w:tc>
        <w:tc>
          <w:tcPr>
            <w:tcW w:w="884" w:type="dxa"/>
            <w:vAlign w:val="center"/>
          </w:tcPr>
          <w:p w14:paraId="0F840D54">
            <w:pPr>
              <w:pStyle w:val="29"/>
              <w:adjustRightInd/>
              <w:spacing w:line="280" w:lineRule="exact"/>
              <w:ind w:firstLine="480" w:firstLineChars="200"/>
              <w:jc w:val="center"/>
              <w:rPr>
                <w:rFonts w:hint="eastAsia" w:ascii="宋体" w:hAnsi="宋体" w:eastAsia="宋体" w:cs="宋体"/>
                <w:sz w:val="24"/>
                <w:szCs w:val="24"/>
              </w:rPr>
            </w:pPr>
          </w:p>
        </w:tc>
        <w:tc>
          <w:tcPr>
            <w:tcW w:w="824" w:type="dxa"/>
            <w:vAlign w:val="center"/>
          </w:tcPr>
          <w:p w14:paraId="58001233">
            <w:pPr>
              <w:pStyle w:val="29"/>
              <w:adjustRightInd/>
              <w:spacing w:line="280" w:lineRule="exact"/>
              <w:ind w:firstLine="480" w:firstLineChars="200"/>
              <w:jc w:val="center"/>
              <w:rPr>
                <w:rFonts w:hint="eastAsia" w:ascii="宋体" w:hAnsi="宋体" w:eastAsia="宋体" w:cs="宋体"/>
                <w:sz w:val="24"/>
                <w:szCs w:val="24"/>
              </w:rPr>
            </w:pPr>
          </w:p>
        </w:tc>
        <w:tc>
          <w:tcPr>
            <w:tcW w:w="831" w:type="dxa"/>
            <w:vAlign w:val="center"/>
          </w:tcPr>
          <w:p w14:paraId="15C721B2">
            <w:pPr>
              <w:pStyle w:val="29"/>
              <w:adjustRightInd/>
              <w:spacing w:line="280" w:lineRule="exact"/>
              <w:ind w:firstLine="480" w:firstLineChars="200"/>
              <w:jc w:val="center"/>
              <w:rPr>
                <w:rFonts w:hint="eastAsia" w:ascii="宋体" w:hAnsi="宋体" w:eastAsia="宋体" w:cs="宋体"/>
                <w:sz w:val="24"/>
                <w:szCs w:val="24"/>
              </w:rPr>
            </w:pPr>
          </w:p>
        </w:tc>
      </w:tr>
    </w:tbl>
    <w:p w14:paraId="0D6153BA">
      <w:pPr>
        <w:spacing w:line="440" w:lineRule="exact"/>
        <w:rPr>
          <w:rFonts w:hint="eastAsia" w:ascii="宋体" w:hAnsi="宋体" w:eastAsia="宋体" w:cs="宋体"/>
          <w:b/>
          <w:bCs/>
          <w:sz w:val="32"/>
          <w:szCs w:val="32"/>
        </w:rPr>
      </w:pPr>
    </w:p>
    <w:p w14:paraId="69D5B9F8">
      <w:pPr>
        <w:spacing w:line="440" w:lineRule="exact"/>
        <w:rPr>
          <w:rFonts w:hint="eastAsia" w:ascii="宋体" w:hAnsi="宋体" w:eastAsia="宋体" w:cs="宋体"/>
          <w:b/>
          <w:bCs/>
          <w:sz w:val="32"/>
          <w:szCs w:val="32"/>
        </w:rPr>
      </w:pPr>
    </w:p>
    <w:p w14:paraId="474C5029">
      <w:pPr>
        <w:spacing w:line="440" w:lineRule="exact"/>
        <w:rPr>
          <w:rFonts w:hint="eastAsia" w:ascii="宋体" w:hAnsi="宋体" w:eastAsia="宋体" w:cs="宋体"/>
          <w:b/>
          <w:bCs/>
          <w:sz w:val="32"/>
          <w:szCs w:val="32"/>
        </w:rPr>
      </w:pPr>
    </w:p>
    <w:p w14:paraId="55AC1267">
      <w:pPr>
        <w:spacing w:line="440" w:lineRule="exact"/>
        <w:rPr>
          <w:rFonts w:hint="eastAsia" w:ascii="宋体" w:hAnsi="宋体" w:eastAsia="宋体" w:cs="宋体"/>
          <w:b/>
          <w:bCs/>
          <w:sz w:val="32"/>
          <w:szCs w:val="32"/>
        </w:rPr>
      </w:pPr>
    </w:p>
    <w:p w14:paraId="454AEDA2">
      <w:pPr>
        <w:spacing w:line="440" w:lineRule="exact"/>
        <w:rPr>
          <w:rFonts w:hint="eastAsia" w:ascii="宋体" w:hAnsi="宋体" w:eastAsia="宋体" w:cs="宋体"/>
          <w:b/>
          <w:bCs/>
          <w:sz w:val="32"/>
          <w:szCs w:val="32"/>
        </w:rPr>
      </w:pPr>
    </w:p>
    <w:p w14:paraId="668B2F20">
      <w:pPr>
        <w:spacing w:line="440" w:lineRule="exact"/>
        <w:rPr>
          <w:rFonts w:hint="eastAsia" w:ascii="宋体" w:hAnsi="宋体" w:eastAsia="宋体" w:cs="宋体"/>
          <w:b/>
          <w:bCs/>
          <w:sz w:val="32"/>
          <w:szCs w:val="32"/>
        </w:rPr>
      </w:pPr>
    </w:p>
    <w:p w14:paraId="049BBF36">
      <w:pPr>
        <w:spacing w:line="440" w:lineRule="exact"/>
        <w:rPr>
          <w:rFonts w:hint="eastAsia" w:ascii="宋体" w:hAnsi="宋体" w:eastAsia="宋体" w:cs="宋体"/>
          <w:b/>
          <w:bCs/>
          <w:sz w:val="32"/>
          <w:szCs w:val="32"/>
        </w:rPr>
      </w:pPr>
    </w:p>
    <w:p w14:paraId="66033343">
      <w:pPr>
        <w:spacing w:line="440" w:lineRule="exact"/>
        <w:rPr>
          <w:rFonts w:hint="eastAsia" w:ascii="宋体" w:hAnsi="宋体" w:eastAsia="宋体" w:cs="宋体"/>
          <w:b/>
          <w:bCs/>
          <w:sz w:val="32"/>
          <w:szCs w:val="32"/>
        </w:rPr>
      </w:pPr>
    </w:p>
    <w:p w14:paraId="296C3EED">
      <w:pPr>
        <w:spacing w:line="440" w:lineRule="exact"/>
        <w:rPr>
          <w:rFonts w:hint="eastAsia" w:ascii="宋体" w:hAnsi="宋体" w:eastAsia="宋体" w:cs="宋体"/>
          <w:b/>
          <w:bCs/>
          <w:sz w:val="32"/>
          <w:szCs w:val="32"/>
        </w:rPr>
      </w:pPr>
    </w:p>
    <w:p w14:paraId="46529434">
      <w:pPr>
        <w:spacing w:line="440" w:lineRule="exact"/>
        <w:rPr>
          <w:rFonts w:hint="eastAsia" w:ascii="宋体" w:hAnsi="宋体" w:eastAsia="宋体" w:cs="宋体"/>
          <w:b/>
          <w:bCs/>
          <w:sz w:val="32"/>
          <w:szCs w:val="32"/>
        </w:rPr>
      </w:pPr>
    </w:p>
    <w:p w14:paraId="2A99124B">
      <w:pPr>
        <w:spacing w:line="440" w:lineRule="exact"/>
        <w:rPr>
          <w:rFonts w:hint="eastAsia" w:ascii="宋体" w:hAnsi="宋体" w:eastAsia="宋体" w:cs="宋体"/>
          <w:b/>
          <w:bCs/>
          <w:sz w:val="32"/>
          <w:szCs w:val="32"/>
        </w:rPr>
      </w:pPr>
    </w:p>
    <w:p w14:paraId="382EEC27">
      <w:pPr>
        <w:spacing w:line="440" w:lineRule="exact"/>
        <w:rPr>
          <w:rFonts w:hint="eastAsia" w:ascii="宋体" w:hAnsi="宋体" w:eastAsia="宋体" w:cs="宋体"/>
          <w:b/>
          <w:bCs/>
          <w:sz w:val="32"/>
          <w:szCs w:val="32"/>
        </w:rPr>
      </w:pPr>
    </w:p>
    <w:p w14:paraId="07EF0920">
      <w:pPr>
        <w:spacing w:line="440" w:lineRule="exact"/>
        <w:rPr>
          <w:rFonts w:hint="eastAsia" w:ascii="宋体" w:hAnsi="宋体" w:eastAsia="宋体" w:cs="宋体"/>
          <w:b/>
          <w:bCs/>
          <w:sz w:val="32"/>
          <w:szCs w:val="32"/>
        </w:rPr>
      </w:pPr>
    </w:p>
    <w:p w14:paraId="025CBD1B">
      <w:pPr>
        <w:spacing w:line="440" w:lineRule="exact"/>
        <w:rPr>
          <w:rFonts w:hint="eastAsia" w:ascii="宋体" w:hAnsi="宋体" w:eastAsia="宋体" w:cs="宋体"/>
          <w:b/>
          <w:bCs/>
          <w:sz w:val="32"/>
          <w:szCs w:val="32"/>
        </w:rPr>
      </w:pPr>
    </w:p>
    <w:p w14:paraId="23D27778">
      <w:pPr>
        <w:spacing w:line="440" w:lineRule="exact"/>
        <w:rPr>
          <w:rFonts w:hint="eastAsia" w:ascii="宋体" w:hAnsi="宋体" w:eastAsia="宋体" w:cs="宋体"/>
          <w:b/>
          <w:bCs/>
          <w:sz w:val="32"/>
          <w:szCs w:val="32"/>
        </w:rPr>
      </w:pPr>
    </w:p>
    <w:p w14:paraId="5C3E002C">
      <w:pPr>
        <w:spacing w:line="440" w:lineRule="exact"/>
        <w:rPr>
          <w:rFonts w:hint="eastAsia" w:ascii="宋体" w:hAnsi="宋体" w:eastAsia="宋体" w:cs="宋体"/>
          <w:b/>
          <w:bCs/>
          <w:sz w:val="32"/>
          <w:szCs w:val="32"/>
        </w:rPr>
      </w:pPr>
    </w:p>
    <w:p w14:paraId="3D55E812">
      <w:pPr>
        <w:spacing w:line="440" w:lineRule="exact"/>
        <w:rPr>
          <w:rFonts w:hint="eastAsia" w:ascii="宋体" w:hAnsi="宋体" w:eastAsia="宋体" w:cs="宋体"/>
          <w:b/>
          <w:bCs/>
          <w:sz w:val="32"/>
          <w:szCs w:val="32"/>
        </w:rPr>
      </w:pPr>
    </w:p>
    <w:p w14:paraId="52A5F911">
      <w:pPr>
        <w:spacing w:line="440" w:lineRule="exact"/>
        <w:outlineLvl w:val="1"/>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附件二：</w:t>
      </w:r>
      <w:bookmarkStart w:id="1025" w:name="_Toc189651563"/>
      <w:r>
        <w:rPr>
          <w:rFonts w:hint="eastAsia" w:ascii="宋体" w:hAnsi="宋体" w:eastAsia="宋体" w:cs="宋体"/>
          <w:b w:val="0"/>
          <w:bCs w:val="0"/>
          <w:sz w:val="24"/>
          <w:szCs w:val="24"/>
          <w:lang w:eastAsia="zh-CN"/>
        </w:rPr>
        <w:t>承包人提供的材料和工程设备一览表</w:t>
      </w:r>
      <w:bookmarkEnd w:id="1025"/>
    </w:p>
    <w:tbl>
      <w:tblPr>
        <w:tblStyle w:val="20"/>
        <w:tblW w:w="90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01"/>
        <w:gridCol w:w="1095"/>
        <w:gridCol w:w="1183"/>
        <w:gridCol w:w="809"/>
        <w:gridCol w:w="719"/>
        <w:gridCol w:w="914"/>
        <w:gridCol w:w="1003"/>
        <w:gridCol w:w="1003"/>
        <w:gridCol w:w="914"/>
        <w:gridCol w:w="778"/>
      </w:tblGrid>
      <w:tr w14:paraId="17082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0" w:hRule="atLeast"/>
          <w:jc w:val="center"/>
        </w:trPr>
        <w:tc>
          <w:tcPr>
            <w:tcW w:w="601" w:type="dxa"/>
            <w:vAlign w:val="center"/>
          </w:tcPr>
          <w:p w14:paraId="4450F1A5">
            <w:pPr>
              <w:spacing w:line="280" w:lineRule="exact"/>
              <w:jc w:val="center"/>
              <w:rPr>
                <w:rFonts w:hint="eastAsia" w:ascii="宋体" w:hAnsi="宋体" w:eastAsia="宋体" w:cs="宋体"/>
              </w:rPr>
            </w:pPr>
            <w:r>
              <w:rPr>
                <w:rFonts w:hint="eastAsia" w:ascii="宋体" w:hAnsi="宋体" w:eastAsia="宋体" w:cs="宋体"/>
              </w:rPr>
              <w:t>序号</w:t>
            </w:r>
          </w:p>
        </w:tc>
        <w:tc>
          <w:tcPr>
            <w:tcW w:w="1095" w:type="dxa"/>
            <w:vAlign w:val="center"/>
          </w:tcPr>
          <w:p w14:paraId="70531311">
            <w:pPr>
              <w:spacing w:line="280" w:lineRule="exact"/>
              <w:jc w:val="center"/>
              <w:rPr>
                <w:rFonts w:hint="eastAsia" w:ascii="宋体" w:hAnsi="宋体" w:eastAsia="宋体" w:cs="宋体"/>
              </w:rPr>
            </w:pPr>
            <w:r>
              <w:rPr>
                <w:rFonts w:hint="eastAsia" w:ascii="宋体" w:hAnsi="宋体" w:eastAsia="宋体" w:cs="宋体"/>
              </w:rPr>
              <w:t>材料设备名称</w:t>
            </w:r>
          </w:p>
        </w:tc>
        <w:tc>
          <w:tcPr>
            <w:tcW w:w="1183" w:type="dxa"/>
            <w:vAlign w:val="center"/>
          </w:tcPr>
          <w:p w14:paraId="3E0F61FF">
            <w:pPr>
              <w:spacing w:line="280" w:lineRule="exact"/>
              <w:jc w:val="center"/>
              <w:rPr>
                <w:rFonts w:hint="eastAsia" w:ascii="宋体" w:hAnsi="宋体" w:eastAsia="宋体" w:cs="宋体"/>
              </w:rPr>
            </w:pPr>
            <w:r>
              <w:rPr>
                <w:rFonts w:hint="eastAsia" w:ascii="宋体" w:hAnsi="宋体" w:eastAsia="宋体" w:cs="宋体"/>
              </w:rPr>
              <w:t>规格型号</w:t>
            </w:r>
          </w:p>
        </w:tc>
        <w:tc>
          <w:tcPr>
            <w:tcW w:w="809" w:type="dxa"/>
            <w:vAlign w:val="center"/>
          </w:tcPr>
          <w:p w14:paraId="6F2F3FFC">
            <w:pPr>
              <w:spacing w:line="280" w:lineRule="exact"/>
              <w:jc w:val="center"/>
              <w:rPr>
                <w:rFonts w:hint="eastAsia" w:ascii="宋体" w:hAnsi="宋体" w:eastAsia="宋体" w:cs="宋体"/>
              </w:rPr>
            </w:pPr>
            <w:r>
              <w:rPr>
                <w:rFonts w:hint="eastAsia" w:ascii="宋体" w:hAnsi="宋体" w:eastAsia="宋体" w:cs="宋体"/>
              </w:rPr>
              <w:t>单位</w:t>
            </w:r>
          </w:p>
        </w:tc>
        <w:tc>
          <w:tcPr>
            <w:tcW w:w="719" w:type="dxa"/>
            <w:vAlign w:val="center"/>
          </w:tcPr>
          <w:p w14:paraId="02B6AA46">
            <w:pPr>
              <w:spacing w:line="280" w:lineRule="exact"/>
              <w:jc w:val="center"/>
              <w:rPr>
                <w:rFonts w:hint="eastAsia" w:ascii="宋体" w:hAnsi="宋体" w:eastAsia="宋体" w:cs="宋体"/>
              </w:rPr>
            </w:pPr>
            <w:r>
              <w:rPr>
                <w:rFonts w:hint="eastAsia" w:ascii="宋体" w:hAnsi="宋体" w:eastAsia="宋体" w:cs="宋体"/>
              </w:rPr>
              <w:t>数量</w:t>
            </w:r>
          </w:p>
        </w:tc>
        <w:tc>
          <w:tcPr>
            <w:tcW w:w="914" w:type="dxa"/>
            <w:vAlign w:val="center"/>
          </w:tcPr>
          <w:p w14:paraId="34AEFF7F">
            <w:pPr>
              <w:spacing w:line="280" w:lineRule="exact"/>
              <w:jc w:val="center"/>
              <w:rPr>
                <w:rFonts w:hint="eastAsia" w:ascii="宋体" w:hAnsi="宋体" w:eastAsia="宋体" w:cs="宋体"/>
              </w:rPr>
            </w:pPr>
            <w:r>
              <w:rPr>
                <w:rFonts w:hint="eastAsia" w:ascii="宋体" w:hAnsi="宋体" w:eastAsia="宋体" w:cs="宋体"/>
              </w:rPr>
              <w:t>单价</w:t>
            </w:r>
          </w:p>
        </w:tc>
        <w:tc>
          <w:tcPr>
            <w:tcW w:w="1003" w:type="dxa"/>
            <w:vAlign w:val="center"/>
          </w:tcPr>
          <w:p w14:paraId="388C6A3B">
            <w:pPr>
              <w:spacing w:line="280" w:lineRule="exact"/>
              <w:jc w:val="center"/>
              <w:rPr>
                <w:rFonts w:hint="eastAsia" w:ascii="宋体" w:hAnsi="宋体" w:eastAsia="宋体" w:cs="宋体"/>
              </w:rPr>
            </w:pPr>
            <w:r>
              <w:rPr>
                <w:rFonts w:hint="eastAsia" w:ascii="宋体" w:hAnsi="宋体" w:eastAsia="宋体" w:cs="宋体"/>
              </w:rPr>
              <w:t>交货方式</w:t>
            </w:r>
          </w:p>
        </w:tc>
        <w:tc>
          <w:tcPr>
            <w:tcW w:w="1003" w:type="dxa"/>
            <w:vAlign w:val="center"/>
          </w:tcPr>
          <w:p w14:paraId="7DD421A9">
            <w:pPr>
              <w:spacing w:line="280" w:lineRule="exact"/>
              <w:jc w:val="center"/>
              <w:rPr>
                <w:rFonts w:hint="eastAsia" w:ascii="宋体" w:hAnsi="宋体" w:eastAsia="宋体" w:cs="宋体"/>
              </w:rPr>
            </w:pPr>
            <w:r>
              <w:rPr>
                <w:rFonts w:hint="eastAsia" w:ascii="宋体" w:hAnsi="宋体" w:eastAsia="宋体" w:cs="宋体"/>
              </w:rPr>
              <w:t>交货地点</w:t>
            </w:r>
          </w:p>
        </w:tc>
        <w:tc>
          <w:tcPr>
            <w:tcW w:w="914" w:type="dxa"/>
            <w:vAlign w:val="center"/>
          </w:tcPr>
          <w:p w14:paraId="4E1C547E">
            <w:pPr>
              <w:spacing w:line="280" w:lineRule="exact"/>
              <w:jc w:val="center"/>
              <w:rPr>
                <w:rFonts w:hint="eastAsia" w:ascii="宋体" w:hAnsi="宋体" w:eastAsia="宋体" w:cs="宋体"/>
              </w:rPr>
            </w:pPr>
            <w:r>
              <w:rPr>
                <w:rFonts w:hint="eastAsia" w:ascii="宋体" w:hAnsi="宋体" w:eastAsia="宋体" w:cs="宋体"/>
              </w:rPr>
              <w:t>计划交货时间</w:t>
            </w:r>
          </w:p>
        </w:tc>
        <w:tc>
          <w:tcPr>
            <w:tcW w:w="778" w:type="dxa"/>
            <w:vAlign w:val="center"/>
          </w:tcPr>
          <w:p w14:paraId="2FE2489B">
            <w:pPr>
              <w:spacing w:line="280" w:lineRule="exact"/>
              <w:jc w:val="center"/>
              <w:rPr>
                <w:rFonts w:hint="eastAsia" w:ascii="宋体" w:hAnsi="宋体" w:eastAsia="宋体" w:cs="宋体"/>
              </w:rPr>
            </w:pPr>
            <w:r>
              <w:rPr>
                <w:rFonts w:hint="eastAsia" w:ascii="宋体" w:hAnsi="宋体" w:eastAsia="宋体" w:cs="宋体"/>
              </w:rPr>
              <w:t>备注</w:t>
            </w:r>
          </w:p>
        </w:tc>
      </w:tr>
      <w:tr w14:paraId="7AFEE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01" w:type="dxa"/>
            <w:vAlign w:val="center"/>
          </w:tcPr>
          <w:p w14:paraId="2F940B06">
            <w:pPr>
              <w:spacing w:line="280" w:lineRule="exact"/>
              <w:jc w:val="center"/>
              <w:rPr>
                <w:rFonts w:hint="eastAsia" w:ascii="宋体" w:hAnsi="宋体" w:eastAsia="宋体" w:cs="宋体"/>
              </w:rPr>
            </w:pPr>
          </w:p>
        </w:tc>
        <w:tc>
          <w:tcPr>
            <w:tcW w:w="1095" w:type="dxa"/>
            <w:vAlign w:val="center"/>
          </w:tcPr>
          <w:p w14:paraId="5D77B9FF">
            <w:pPr>
              <w:spacing w:line="280" w:lineRule="exact"/>
              <w:jc w:val="center"/>
              <w:rPr>
                <w:rFonts w:hint="eastAsia" w:ascii="宋体" w:hAnsi="宋体" w:eastAsia="宋体" w:cs="宋体"/>
              </w:rPr>
            </w:pPr>
          </w:p>
        </w:tc>
        <w:tc>
          <w:tcPr>
            <w:tcW w:w="1183" w:type="dxa"/>
            <w:vAlign w:val="center"/>
          </w:tcPr>
          <w:p w14:paraId="55275D27">
            <w:pPr>
              <w:spacing w:line="280" w:lineRule="exact"/>
              <w:jc w:val="center"/>
              <w:rPr>
                <w:rFonts w:hint="eastAsia" w:ascii="宋体" w:hAnsi="宋体" w:eastAsia="宋体" w:cs="宋体"/>
              </w:rPr>
            </w:pPr>
          </w:p>
        </w:tc>
        <w:tc>
          <w:tcPr>
            <w:tcW w:w="809" w:type="dxa"/>
            <w:vAlign w:val="center"/>
          </w:tcPr>
          <w:p w14:paraId="622D8220">
            <w:pPr>
              <w:spacing w:line="280" w:lineRule="exact"/>
              <w:jc w:val="center"/>
              <w:rPr>
                <w:rFonts w:hint="eastAsia" w:ascii="宋体" w:hAnsi="宋体" w:eastAsia="宋体" w:cs="宋体"/>
              </w:rPr>
            </w:pPr>
          </w:p>
        </w:tc>
        <w:tc>
          <w:tcPr>
            <w:tcW w:w="719" w:type="dxa"/>
            <w:vAlign w:val="center"/>
          </w:tcPr>
          <w:p w14:paraId="06E5E11E">
            <w:pPr>
              <w:spacing w:line="280" w:lineRule="exact"/>
              <w:jc w:val="center"/>
              <w:rPr>
                <w:rFonts w:hint="eastAsia" w:ascii="宋体" w:hAnsi="宋体" w:eastAsia="宋体" w:cs="宋体"/>
              </w:rPr>
            </w:pPr>
          </w:p>
        </w:tc>
        <w:tc>
          <w:tcPr>
            <w:tcW w:w="914" w:type="dxa"/>
            <w:vAlign w:val="center"/>
          </w:tcPr>
          <w:p w14:paraId="3BF9E70F">
            <w:pPr>
              <w:spacing w:line="280" w:lineRule="exact"/>
              <w:jc w:val="center"/>
              <w:rPr>
                <w:rFonts w:hint="eastAsia" w:ascii="宋体" w:hAnsi="宋体" w:eastAsia="宋体" w:cs="宋体"/>
              </w:rPr>
            </w:pPr>
          </w:p>
        </w:tc>
        <w:tc>
          <w:tcPr>
            <w:tcW w:w="1003" w:type="dxa"/>
            <w:vAlign w:val="center"/>
          </w:tcPr>
          <w:p w14:paraId="7D21F5E6">
            <w:pPr>
              <w:spacing w:line="280" w:lineRule="exact"/>
              <w:jc w:val="center"/>
              <w:rPr>
                <w:rFonts w:hint="eastAsia" w:ascii="宋体" w:hAnsi="宋体" w:eastAsia="宋体" w:cs="宋体"/>
              </w:rPr>
            </w:pPr>
          </w:p>
        </w:tc>
        <w:tc>
          <w:tcPr>
            <w:tcW w:w="1003" w:type="dxa"/>
            <w:vAlign w:val="center"/>
          </w:tcPr>
          <w:p w14:paraId="1AE37563">
            <w:pPr>
              <w:spacing w:line="280" w:lineRule="exact"/>
              <w:jc w:val="center"/>
              <w:rPr>
                <w:rFonts w:hint="eastAsia" w:ascii="宋体" w:hAnsi="宋体" w:eastAsia="宋体" w:cs="宋体"/>
              </w:rPr>
            </w:pPr>
          </w:p>
        </w:tc>
        <w:tc>
          <w:tcPr>
            <w:tcW w:w="914" w:type="dxa"/>
            <w:vAlign w:val="center"/>
          </w:tcPr>
          <w:p w14:paraId="231B221F">
            <w:pPr>
              <w:spacing w:line="280" w:lineRule="exact"/>
              <w:jc w:val="center"/>
              <w:rPr>
                <w:rFonts w:hint="eastAsia" w:ascii="宋体" w:hAnsi="宋体" w:eastAsia="宋体" w:cs="宋体"/>
              </w:rPr>
            </w:pPr>
          </w:p>
        </w:tc>
        <w:tc>
          <w:tcPr>
            <w:tcW w:w="778" w:type="dxa"/>
            <w:vAlign w:val="center"/>
          </w:tcPr>
          <w:p w14:paraId="62F8B9DB">
            <w:pPr>
              <w:spacing w:line="280" w:lineRule="exact"/>
              <w:jc w:val="center"/>
              <w:rPr>
                <w:rFonts w:hint="eastAsia" w:ascii="宋体" w:hAnsi="宋体" w:eastAsia="宋体" w:cs="宋体"/>
              </w:rPr>
            </w:pPr>
          </w:p>
        </w:tc>
      </w:tr>
      <w:tr w14:paraId="0FD4D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01" w:type="dxa"/>
            <w:vAlign w:val="center"/>
          </w:tcPr>
          <w:p w14:paraId="1F32B7E2">
            <w:pPr>
              <w:spacing w:line="280" w:lineRule="exact"/>
              <w:jc w:val="center"/>
              <w:rPr>
                <w:rFonts w:hint="eastAsia" w:ascii="宋体" w:hAnsi="宋体" w:eastAsia="宋体" w:cs="宋体"/>
              </w:rPr>
            </w:pPr>
          </w:p>
        </w:tc>
        <w:tc>
          <w:tcPr>
            <w:tcW w:w="1095" w:type="dxa"/>
            <w:vAlign w:val="center"/>
          </w:tcPr>
          <w:p w14:paraId="77C5248D">
            <w:pPr>
              <w:spacing w:line="280" w:lineRule="exact"/>
              <w:jc w:val="center"/>
              <w:rPr>
                <w:rFonts w:hint="eastAsia" w:ascii="宋体" w:hAnsi="宋体" w:eastAsia="宋体" w:cs="宋体"/>
              </w:rPr>
            </w:pPr>
          </w:p>
        </w:tc>
        <w:tc>
          <w:tcPr>
            <w:tcW w:w="1183" w:type="dxa"/>
            <w:vAlign w:val="center"/>
          </w:tcPr>
          <w:p w14:paraId="6118320D">
            <w:pPr>
              <w:spacing w:line="280" w:lineRule="exact"/>
              <w:jc w:val="center"/>
              <w:rPr>
                <w:rFonts w:hint="eastAsia" w:ascii="宋体" w:hAnsi="宋体" w:eastAsia="宋体" w:cs="宋体"/>
              </w:rPr>
            </w:pPr>
          </w:p>
        </w:tc>
        <w:tc>
          <w:tcPr>
            <w:tcW w:w="809" w:type="dxa"/>
            <w:vAlign w:val="center"/>
          </w:tcPr>
          <w:p w14:paraId="78450E3C">
            <w:pPr>
              <w:spacing w:line="280" w:lineRule="exact"/>
              <w:jc w:val="center"/>
              <w:rPr>
                <w:rFonts w:hint="eastAsia" w:ascii="宋体" w:hAnsi="宋体" w:eastAsia="宋体" w:cs="宋体"/>
              </w:rPr>
            </w:pPr>
          </w:p>
        </w:tc>
        <w:tc>
          <w:tcPr>
            <w:tcW w:w="719" w:type="dxa"/>
            <w:vAlign w:val="center"/>
          </w:tcPr>
          <w:p w14:paraId="0C401B1F">
            <w:pPr>
              <w:spacing w:line="280" w:lineRule="exact"/>
              <w:jc w:val="center"/>
              <w:rPr>
                <w:rFonts w:hint="eastAsia" w:ascii="宋体" w:hAnsi="宋体" w:eastAsia="宋体" w:cs="宋体"/>
              </w:rPr>
            </w:pPr>
          </w:p>
        </w:tc>
        <w:tc>
          <w:tcPr>
            <w:tcW w:w="914" w:type="dxa"/>
            <w:vAlign w:val="center"/>
          </w:tcPr>
          <w:p w14:paraId="125D298A">
            <w:pPr>
              <w:spacing w:line="280" w:lineRule="exact"/>
              <w:jc w:val="center"/>
              <w:rPr>
                <w:rFonts w:hint="eastAsia" w:ascii="宋体" w:hAnsi="宋体" w:eastAsia="宋体" w:cs="宋体"/>
              </w:rPr>
            </w:pPr>
          </w:p>
        </w:tc>
        <w:tc>
          <w:tcPr>
            <w:tcW w:w="1003" w:type="dxa"/>
            <w:vAlign w:val="center"/>
          </w:tcPr>
          <w:p w14:paraId="1B0F4C3B">
            <w:pPr>
              <w:spacing w:line="280" w:lineRule="exact"/>
              <w:jc w:val="center"/>
              <w:rPr>
                <w:rFonts w:hint="eastAsia" w:ascii="宋体" w:hAnsi="宋体" w:eastAsia="宋体" w:cs="宋体"/>
              </w:rPr>
            </w:pPr>
          </w:p>
        </w:tc>
        <w:tc>
          <w:tcPr>
            <w:tcW w:w="1003" w:type="dxa"/>
            <w:vAlign w:val="center"/>
          </w:tcPr>
          <w:p w14:paraId="34EC36A5">
            <w:pPr>
              <w:spacing w:line="280" w:lineRule="exact"/>
              <w:jc w:val="center"/>
              <w:rPr>
                <w:rFonts w:hint="eastAsia" w:ascii="宋体" w:hAnsi="宋体" w:eastAsia="宋体" w:cs="宋体"/>
              </w:rPr>
            </w:pPr>
          </w:p>
        </w:tc>
        <w:tc>
          <w:tcPr>
            <w:tcW w:w="914" w:type="dxa"/>
            <w:vAlign w:val="center"/>
          </w:tcPr>
          <w:p w14:paraId="64F92F28">
            <w:pPr>
              <w:spacing w:line="280" w:lineRule="exact"/>
              <w:jc w:val="center"/>
              <w:rPr>
                <w:rFonts w:hint="eastAsia" w:ascii="宋体" w:hAnsi="宋体" w:eastAsia="宋体" w:cs="宋体"/>
              </w:rPr>
            </w:pPr>
          </w:p>
        </w:tc>
        <w:tc>
          <w:tcPr>
            <w:tcW w:w="778" w:type="dxa"/>
            <w:vAlign w:val="center"/>
          </w:tcPr>
          <w:p w14:paraId="4692FBDB">
            <w:pPr>
              <w:spacing w:line="280" w:lineRule="exact"/>
              <w:jc w:val="center"/>
              <w:rPr>
                <w:rFonts w:hint="eastAsia" w:ascii="宋体" w:hAnsi="宋体" w:eastAsia="宋体" w:cs="宋体"/>
              </w:rPr>
            </w:pPr>
          </w:p>
        </w:tc>
      </w:tr>
      <w:tr w14:paraId="7B163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01" w:type="dxa"/>
            <w:vAlign w:val="center"/>
          </w:tcPr>
          <w:p w14:paraId="72587D68">
            <w:pPr>
              <w:spacing w:line="280" w:lineRule="exact"/>
              <w:jc w:val="center"/>
              <w:rPr>
                <w:rFonts w:hint="eastAsia" w:ascii="宋体" w:hAnsi="宋体" w:eastAsia="宋体" w:cs="宋体"/>
              </w:rPr>
            </w:pPr>
          </w:p>
        </w:tc>
        <w:tc>
          <w:tcPr>
            <w:tcW w:w="1095" w:type="dxa"/>
            <w:vAlign w:val="center"/>
          </w:tcPr>
          <w:p w14:paraId="47CFF910">
            <w:pPr>
              <w:spacing w:line="280" w:lineRule="exact"/>
              <w:jc w:val="center"/>
              <w:rPr>
                <w:rFonts w:hint="eastAsia" w:ascii="宋体" w:hAnsi="宋体" w:eastAsia="宋体" w:cs="宋体"/>
              </w:rPr>
            </w:pPr>
          </w:p>
        </w:tc>
        <w:tc>
          <w:tcPr>
            <w:tcW w:w="1183" w:type="dxa"/>
            <w:vAlign w:val="center"/>
          </w:tcPr>
          <w:p w14:paraId="1092C570">
            <w:pPr>
              <w:spacing w:line="280" w:lineRule="exact"/>
              <w:jc w:val="center"/>
              <w:rPr>
                <w:rFonts w:hint="eastAsia" w:ascii="宋体" w:hAnsi="宋体" w:eastAsia="宋体" w:cs="宋体"/>
              </w:rPr>
            </w:pPr>
          </w:p>
        </w:tc>
        <w:tc>
          <w:tcPr>
            <w:tcW w:w="809" w:type="dxa"/>
            <w:vAlign w:val="center"/>
          </w:tcPr>
          <w:p w14:paraId="69AD1F5E">
            <w:pPr>
              <w:spacing w:line="280" w:lineRule="exact"/>
              <w:jc w:val="center"/>
              <w:rPr>
                <w:rFonts w:hint="eastAsia" w:ascii="宋体" w:hAnsi="宋体" w:eastAsia="宋体" w:cs="宋体"/>
              </w:rPr>
            </w:pPr>
          </w:p>
        </w:tc>
        <w:tc>
          <w:tcPr>
            <w:tcW w:w="719" w:type="dxa"/>
            <w:vAlign w:val="center"/>
          </w:tcPr>
          <w:p w14:paraId="31995681">
            <w:pPr>
              <w:spacing w:line="280" w:lineRule="exact"/>
              <w:jc w:val="center"/>
              <w:rPr>
                <w:rFonts w:hint="eastAsia" w:ascii="宋体" w:hAnsi="宋体" w:eastAsia="宋体" w:cs="宋体"/>
              </w:rPr>
            </w:pPr>
          </w:p>
        </w:tc>
        <w:tc>
          <w:tcPr>
            <w:tcW w:w="914" w:type="dxa"/>
            <w:vAlign w:val="center"/>
          </w:tcPr>
          <w:p w14:paraId="62986848">
            <w:pPr>
              <w:spacing w:line="280" w:lineRule="exact"/>
              <w:jc w:val="center"/>
              <w:rPr>
                <w:rFonts w:hint="eastAsia" w:ascii="宋体" w:hAnsi="宋体" w:eastAsia="宋体" w:cs="宋体"/>
              </w:rPr>
            </w:pPr>
          </w:p>
        </w:tc>
        <w:tc>
          <w:tcPr>
            <w:tcW w:w="1003" w:type="dxa"/>
            <w:vAlign w:val="center"/>
          </w:tcPr>
          <w:p w14:paraId="0BE56EB2">
            <w:pPr>
              <w:spacing w:line="280" w:lineRule="exact"/>
              <w:jc w:val="center"/>
              <w:rPr>
                <w:rFonts w:hint="eastAsia" w:ascii="宋体" w:hAnsi="宋体" w:eastAsia="宋体" w:cs="宋体"/>
              </w:rPr>
            </w:pPr>
          </w:p>
        </w:tc>
        <w:tc>
          <w:tcPr>
            <w:tcW w:w="1003" w:type="dxa"/>
            <w:vAlign w:val="center"/>
          </w:tcPr>
          <w:p w14:paraId="7BD462A6">
            <w:pPr>
              <w:spacing w:line="280" w:lineRule="exact"/>
              <w:jc w:val="center"/>
              <w:rPr>
                <w:rFonts w:hint="eastAsia" w:ascii="宋体" w:hAnsi="宋体" w:eastAsia="宋体" w:cs="宋体"/>
              </w:rPr>
            </w:pPr>
          </w:p>
        </w:tc>
        <w:tc>
          <w:tcPr>
            <w:tcW w:w="914" w:type="dxa"/>
            <w:vAlign w:val="center"/>
          </w:tcPr>
          <w:p w14:paraId="1DD97F28">
            <w:pPr>
              <w:spacing w:line="280" w:lineRule="exact"/>
              <w:jc w:val="center"/>
              <w:rPr>
                <w:rFonts w:hint="eastAsia" w:ascii="宋体" w:hAnsi="宋体" w:eastAsia="宋体" w:cs="宋体"/>
              </w:rPr>
            </w:pPr>
          </w:p>
        </w:tc>
        <w:tc>
          <w:tcPr>
            <w:tcW w:w="778" w:type="dxa"/>
            <w:vAlign w:val="center"/>
          </w:tcPr>
          <w:p w14:paraId="3BEFD6F5">
            <w:pPr>
              <w:spacing w:line="280" w:lineRule="exact"/>
              <w:jc w:val="center"/>
              <w:rPr>
                <w:rFonts w:hint="eastAsia" w:ascii="宋体" w:hAnsi="宋体" w:eastAsia="宋体" w:cs="宋体"/>
              </w:rPr>
            </w:pPr>
          </w:p>
        </w:tc>
      </w:tr>
      <w:tr w14:paraId="056F1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01" w:type="dxa"/>
            <w:vAlign w:val="center"/>
          </w:tcPr>
          <w:p w14:paraId="1F0A069B">
            <w:pPr>
              <w:spacing w:line="280" w:lineRule="exact"/>
              <w:jc w:val="center"/>
              <w:rPr>
                <w:rFonts w:hint="eastAsia" w:ascii="宋体" w:hAnsi="宋体" w:eastAsia="宋体" w:cs="宋体"/>
              </w:rPr>
            </w:pPr>
          </w:p>
        </w:tc>
        <w:tc>
          <w:tcPr>
            <w:tcW w:w="1095" w:type="dxa"/>
            <w:vAlign w:val="center"/>
          </w:tcPr>
          <w:p w14:paraId="5EAC19FC">
            <w:pPr>
              <w:spacing w:line="280" w:lineRule="exact"/>
              <w:jc w:val="center"/>
              <w:rPr>
                <w:rFonts w:hint="eastAsia" w:ascii="宋体" w:hAnsi="宋体" w:eastAsia="宋体" w:cs="宋体"/>
              </w:rPr>
            </w:pPr>
          </w:p>
        </w:tc>
        <w:tc>
          <w:tcPr>
            <w:tcW w:w="1183" w:type="dxa"/>
            <w:vAlign w:val="center"/>
          </w:tcPr>
          <w:p w14:paraId="0B6DC2CC">
            <w:pPr>
              <w:spacing w:line="280" w:lineRule="exact"/>
              <w:jc w:val="center"/>
              <w:rPr>
                <w:rFonts w:hint="eastAsia" w:ascii="宋体" w:hAnsi="宋体" w:eastAsia="宋体" w:cs="宋体"/>
              </w:rPr>
            </w:pPr>
          </w:p>
        </w:tc>
        <w:tc>
          <w:tcPr>
            <w:tcW w:w="809" w:type="dxa"/>
            <w:vAlign w:val="center"/>
          </w:tcPr>
          <w:p w14:paraId="0CD6D551">
            <w:pPr>
              <w:spacing w:line="280" w:lineRule="exact"/>
              <w:jc w:val="center"/>
              <w:rPr>
                <w:rFonts w:hint="eastAsia" w:ascii="宋体" w:hAnsi="宋体" w:eastAsia="宋体" w:cs="宋体"/>
              </w:rPr>
            </w:pPr>
          </w:p>
        </w:tc>
        <w:tc>
          <w:tcPr>
            <w:tcW w:w="719" w:type="dxa"/>
            <w:vAlign w:val="center"/>
          </w:tcPr>
          <w:p w14:paraId="28C249A9">
            <w:pPr>
              <w:spacing w:line="280" w:lineRule="exact"/>
              <w:jc w:val="center"/>
              <w:rPr>
                <w:rFonts w:hint="eastAsia" w:ascii="宋体" w:hAnsi="宋体" w:eastAsia="宋体" w:cs="宋体"/>
              </w:rPr>
            </w:pPr>
          </w:p>
        </w:tc>
        <w:tc>
          <w:tcPr>
            <w:tcW w:w="914" w:type="dxa"/>
            <w:vAlign w:val="center"/>
          </w:tcPr>
          <w:p w14:paraId="4090ABF1">
            <w:pPr>
              <w:spacing w:line="280" w:lineRule="exact"/>
              <w:jc w:val="center"/>
              <w:rPr>
                <w:rFonts w:hint="eastAsia" w:ascii="宋体" w:hAnsi="宋体" w:eastAsia="宋体" w:cs="宋体"/>
              </w:rPr>
            </w:pPr>
          </w:p>
        </w:tc>
        <w:tc>
          <w:tcPr>
            <w:tcW w:w="1003" w:type="dxa"/>
            <w:vAlign w:val="center"/>
          </w:tcPr>
          <w:p w14:paraId="09210456">
            <w:pPr>
              <w:spacing w:line="280" w:lineRule="exact"/>
              <w:jc w:val="center"/>
              <w:rPr>
                <w:rFonts w:hint="eastAsia" w:ascii="宋体" w:hAnsi="宋体" w:eastAsia="宋体" w:cs="宋体"/>
              </w:rPr>
            </w:pPr>
          </w:p>
        </w:tc>
        <w:tc>
          <w:tcPr>
            <w:tcW w:w="1003" w:type="dxa"/>
            <w:vAlign w:val="center"/>
          </w:tcPr>
          <w:p w14:paraId="52B00B2B">
            <w:pPr>
              <w:spacing w:line="280" w:lineRule="exact"/>
              <w:jc w:val="center"/>
              <w:rPr>
                <w:rFonts w:hint="eastAsia" w:ascii="宋体" w:hAnsi="宋体" w:eastAsia="宋体" w:cs="宋体"/>
              </w:rPr>
            </w:pPr>
          </w:p>
        </w:tc>
        <w:tc>
          <w:tcPr>
            <w:tcW w:w="914" w:type="dxa"/>
            <w:vAlign w:val="center"/>
          </w:tcPr>
          <w:p w14:paraId="46A945BD">
            <w:pPr>
              <w:spacing w:line="280" w:lineRule="exact"/>
              <w:jc w:val="center"/>
              <w:rPr>
                <w:rFonts w:hint="eastAsia" w:ascii="宋体" w:hAnsi="宋体" w:eastAsia="宋体" w:cs="宋体"/>
              </w:rPr>
            </w:pPr>
          </w:p>
        </w:tc>
        <w:tc>
          <w:tcPr>
            <w:tcW w:w="778" w:type="dxa"/>
            <w:vAlign w:val="center"/>
          </w:tcPr>
          <w:p w14:paraId="66E54AAF">
            <w:pPr>
              <w:spacing w:line="280" w:lineRule="exact"/>
              <w:jc w:val="center"/>
              <w:rPr>
                <w:rFonts w:hint="eastAsia" w:ascii="宋体" w:hAnsi="宋体" w:eastAsia="宋体" w:cs="宋体"/>
              </w:rPr>
            </w:pPr>
          </w:p>
        </w:tc>
      </w:tr>
      <w:tr w14:paraId="580E1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01" w:type="dxa"/>
            <w:vAlign w:val="center"/>
          </w:tcPr>
          <w:p w14:paraId="11222322">
            <w:pPr>
              <w:spacing w:line="280" w:lineRule="exact"/>
              <w:jc w:val="center"/>
              <w:rPr>
                <w:rFonts w:hint="eastAsia" w:ascii="宋体" w:hAnsi="宋体" w:eastAsia="宋体" w:cs="宋体"/>
              </w:rPr>
            </w:pPr>
          </w:p>
        </w:tc>
        <w:tc>
          <w:tcPr>
            <w:tcW w:w="1095" w:type="dxa"/>
            <w:vAlign w:val="center"/>
          </w:tcPr>
          <w:p w14:paraId="65AA92C9">
            <w:pPr>
              <w:spacing w:line="280" w:lineRule="exact"/>
              <w:jc w:val="center"/>
              <w:rPr>
                <w:rFonts w:hint="eastAsia" w:ascii="宋体" w:hAnsi="宋体" w:eastAsia="宋体" w:cs="宋体"/>
              </w:rPr>
            </w:pPr>
          </w:p>
        </w:tc>
        <w:tc>
          <w:tcPr>
            <w:tcW w:w="1183" w:type="dxa"/>
            <w:vAlign w:val="center"/>
          </w:tcPr>
          <w:p w14:paraId="5BCE1524">
            <w:pPr>
              <w:spacing w:line="280" w:lineRule="exact"/>
              <w:jc w:val="center"/>
              <w:rPr>
                <w:rFonts w:hint="eastAsia" w:ascii="宋体" w:hAnsi="宋体" w:eastAsia="宋体" w:cs="宋体"/>
              </w:rPr>
            </w:pPr>
          </w:p>
        </w:tc>
        <w:tc>
          <w:tcPr>
            <w:tcW w:w="809" w:type="dxa"/>
            <w:vAlign w:val="center"/>
          </w:tcPr>
          <w:p w14:paraId="0C0DE40B">
            <w:pPr>
              <w:spacing w:line="280" w:lineRule="exact"/>
              <w:jc w:val="center"/>
              <w:rPr>
                <w:rFonts w:hint="eastAsia" w:ascii="宋体" w:hAnsi="宋体" w:eastAsia="宋体" w:cs="宋体"/>
              </w:rPr>
            </w:pPr>
          </w:p>
        </w:tc>
        <w:tc>
          <w:tcPr>
            <w:tcW w:w="719" w:type="dxa"/>
            <w:vAlign w:val="center"/>
          </w:tcPr>
          <w:p w14:paraId="0BF224EF">
            <w:pPr>
              <w:spacing w:line="280" w:lineRule="exact"/>
              <w:jc w:val="center"/>
              <w:rPr>
                <w:rFonts w:hint="eastAsia" w:ascii="宋体" w:hAnsi="宋体" w:eastAsia="宋体" w:cs="宋体"/>
              </w:rPr>
            </w:pPr>
          </w:p>
        </w:tc>
        <w:tc>
          <w:tcPr>
            <w:tcW w:w="914" w:type="dxa"/>
            <w:vAlign w:val="center"/>
          </w:tcPr>
          <w:p w14:paraId="637F9B5F">
            <w:pPr>
              <w:spacing w:line="280" w:lineRule="exact"/>
              <w:jc w:val="center"/>
              <w:rPr>
                <w:rFonts w:hint="eastAsia" w:ascii="宋体" w:hAnsi="宋体" w:eastAsia="宋体" w:cs="宋体"/>
              </w:rPr>
            </w:pPr>
          </w:p>
        </w:tc>
        <w:tc>
          <w:tcPr>
            <w:tcW w:w="1003" w:type="dxa"/>
            <w:vAlign w:val="center"/>
          </w:tcPr>
          <w:p w14:paraId="31786E58">
            <w:pPr>
              <w:spacing w:line="280" w:lineRule="exact"/>
              <w:jc w:val="center"/>
              <w:rPr>
                <w:rFonts w:hint="eastAsia" w:ascii="宋体" w:hAnsi="宋体" w:eastAsia="宋体" w:cs="宋体"/>
              </w:rPr>
            </w:pPr>
          </w:p>
        </w:tc>
        <w:tc>
          <w:tcPr>
            <w:tcW w:w="1003" w:type="dxa"/>
            <w:vAlign w:val="center"/>
          </w:tcPr>
          <w:p w14:paraId="742DEFD8">
            <w:pPr>
              <w:spacing w:line="280" w:lineRule="exact"/>
              <w:jc w:val="center"/>
              <w:rPr>
                <w:rFonts w:hint="eastAsia" w:ascii="宋体" w:hAnsi="宋体" w:eastAsia="宋体" w:cs="宋体"/>
              </w:rPr>
            </w:pPr>
          </w:p>
        </w:tc>
        <w:tc>
          <w:tcPr>
            <w:tcW w:w="914" w:type="dxa"/>
            <w:vAlign w:val="center"/>
          </w:tcPr>
          <w:p w14:paraId="2157356B">
            <w:pPr>
              <w:spacing w:line="280" w:lineRule="exact"/>
              <w:jc w:val="center"/>
              <w:rPr>
                <w:rFonts w:hint="eastAsia" w:ascii="宋体" w:hAnsi="宋体" w:eastAsia="宋体" w:cs="宋体"/>
              </w:rPr>
            </w:pPr>
          </w:p>
        </w:tc>
        <w:tc>
          <w:tcPr>
            <w:tcW w:w="778" w:type="dxa"/>
            <w:vAlign w:val="center"/>
          </w:tcPr>
          <w:p w14:paraId="29A91EC4">
            <w:pPr>
              <w:spacing w:line="280" w:lineRule="exact"/>
              <w:jc w:val="center"/>
              <w:rPr>
                <w:rFonts w:hint="eastAsia" w:ascii="宋体" w:hAnsi="宋体" w:eastAsia="宋体" w:cs="宋体"/>
              </w:rPr>
            </w:pPr>
          </w:p>
        </w:tc>
      </w:tr>
      <w:tr w14:paraId="46C93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01" w:type="dxa"/>
            <w:vAlign w:val="center"/>
          </w:tcPr>
          <w:p w14:paraId="2FA1A7FD">
            <w:pPr>
              <w:spacing w:line="280" w:lineRule="exact"/>
              <w:jc w:val="center"/>
              <w:rPr>
                <w:rFonts w:hint="eastAsia" w:ascii="宋体" w:hAnsi="宋体" w:eastAsia="宋体" w:cs="宋体"/>
              </w:rPr>
            </w:pPr>
          </w:p>
        </w:tc>
        <w:tc>
          <w:tcPr>
            <w:tcW w:w="1095" w:type="dxa"/>
            <w:vAlign w:val="center"/>
          </w:tcPr>
          <w:p w14:paraId="67B670C5">
            <w:pPr>
              <w:spacing w:line="280" w:lineRule="exact"/>
              <w:jc w:val="center"/>
              <w:rPr>
                <w:rFonts w:hint="eastAsia" w:ascii="宋体" w:hAnsi="宋体" w:eastAsia="宋体" w:cs="宋体"/>
              </w:rPr>
            </w:pPr>
          </w:p>
        </w:tc>
        <w:tc>
          <w:tcPr>
            <w:tcW w:w="1183" w:type="dxa"/>
            <w:vAlign w:val="center"/>
          </w:tcPr>
          <w:p w14:paraId="5D1129EE">
            <w:pPr>
              <w:spacing w:line="280" w:lineRule="exact"/>
              <w:jc w:val="center"/>
              <w:rPr>
                <w:rFonts w:hint="eastAsia" w:ascii="宋体" w:hAnsi="宋体" w:eastAsia="宋体" w:cs="宋体"/>
              </w:rPr>
            </w:pPr>
          </w:p>
        </w:tc>
        <w:tc>
          <w:tcPr>
            <w:tcW w:w="809" w:type="dxa"/>
            <w:vAlign w:val="center"/>
          </w:tcPr>
          <w:p w14:paraId="76826CAB">
            <w:pPr>
              <w:spacing w:line="280" w:lineRule="exact"/>
              <w:jc w:val="center"/>
              <w:rPr>
                <w:rFonts w:hint="eastAsia" w:ascii="宋体" w:hAnsi="宋体" w:eastAsia="宋体" w:cs="宋体"/>
              </w:rPr>
            </w:pPr>
          </w:p>
        </w:tc>
        <w:tc>
          <w:tcPr>
            <w:tcW w:w="719" w:type="dxa"/>
            <w:vAlign w:val="center"/>
          </w:tcPr>
          <w:p w14:paraId="048FDAD4">
            <w:pPr>
              <w:spacing w:line="280" w:lineRule="exact"/>
              <w:jc w:val="center"/>
              <w:rPr>
                <w:rFonts w:hint="eastAsia" w:ascii="宋体" w:hAnsi="宋体" w:eastAsia="宋体" w:cs="宋体"/>
              </w:rPr>
            </w:pPr>
          </w:p>
        </w:tc>
        <w:tc>
          <w:tcPr>
            <w:tcW w:w="914" w:type="dxa"/>
            <w:vAlign w:val="center"/>
          </w:tcPr>
          <w:p w14:paraId="1DCAB07D">
            <w:pPr>
              <w:spacing w:line="280" w:lineRule="exact"/>
              <w:jc w:val="center"/>
              <w:rPr>
                <w:rFonts w:hint="eastAsia" w:ascii="宋体" w:hAnsi="宋体" w:eastAsia="宋体" w:cs="宋体"/>
              </w:rPr>
            </w:pPr>
          </w:p>
        </w:tc>
        <w:tc>
          <w:tcPr>
            <w:tcW w:w="1003" w:type="dxa"/>
            <w:vAlign w:val="center"/>
          </w:tcPr>
          <w:p w14:paraId="03E16B1A">
            <w:pPr>
              <w:spacing w:line="280" w:lineRule="exact"/>
              <w:jc w:val="center"/>
              <w:rPr>
                <w:rFonts w:hint="eastAsia" w:ascii="宋体" w:hAnsi="宋体" w:eastAsia="宋体" w:cs="宋体"/>
              </w:rPr>
            </w:pPr>
          </w:p>
        </w:tc>
        <w:tc>
          <w:tcPr>
            <w:tcW w:w="1003" w:type="dxa"/>
            <w:vAlign w:val="center"/>
          </w:tcPr>
          <w:p w14:paraId="79D6870E">
            <w:pPr>
              <w:spacing w:line="280" w:lineRule="exact"/>
              <w:jc w:val="center"/>
              <w:rPr>
                <w:rFonts w:hint="eastAsia" w:ascii="宋体" w:hAnsi="宋体" w:eastAsia="宋体" w:cs="宋体"/>
              </w:rPr>
            </w:pPr>
          </w:p>
        </w:tc>
        <w:tc>
          <w:tcPr>
            <w:tcW w:w="914" w:type="dxa"/>
            <w:vAlign w:val="center"/>
          </w:tcPr>
          <w:p w14:paraId="36081049">
            <w:pPr>
              <w:spacing w:line="280" w:lineRule="exact"/>
              <w:jc w:val="center"/>
              <w:rPr>
                <w:rFonts w:hint="eastAsia" w:ascii="宋体" w:hAnsi="宋体" w:eastAsia="宋体" w:cs="宋体"/>
              </w:rPr>
            </w:pPr>
          </w:p>
        </w:tc>
        <w:tc>
          <w:tcPr>
            <w:tcW w:w="778" w:type="dxa"/>
            <w:vAlign w:val="center"/>
          </w:tcPr>
          <w:p w14:paraId="6E657F15">
            <w:pPr>
              <w:spacing w:line="280" w:lineRule="exact"/>
              <w:jc w:val="center"/>
              <w:rPr>
                <w:rFonts w:hint="eastAsia" w:ascii="宋体" w:hAnsi="宋体" w:eastAsia="宋体" w:cs="宋体"/>
              </w:rPr>
            </w:pPr>
          </w:p>
        </w:tc>
      </w:tr>
      <w:tr w14:paraId="18A89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01" w:type="dxa"/>
            <w:vAlign w:val="center"/>
          </w:tcPr>
          <w:p w14:paraId="31161B0F">
            <w:pPr>
              <w:spacing w:line="280" w:lineRule="exact"/>
              <w:jc w:val="center"/>
              <w:rPr>
                <w:rFonts w:hint="eastAsia" w:ascii="宋体" w:hAnsi="宋体" w:eastAsia="宋体" w:cs="宋体"/>
              </w:rPr>
            </w:pPr>
          </w:p>
        </w:tc>
        <w:tc>
          <w:tcPr>
            <w:tcW w:w="1095" w:type="dxa"/>
            <w:vAlign w:val="center"/>
          </w:tcPr>
          <w:p w14:paraId="3818D555">
            <w:pPr>
              <w:spacing w:line="280" w:lineRule="exact"/>
              <w:jc w:val="center"/>
              <w:rPr>
                <w:rFonts w:hint="eastAsia" w:ascii="宋体" w:hAnsi="宋体" w:eastAsia="宋体" w:cs="宋体"/>
              </w:rPr>
            </w:pPr>
          </w:p>
        </w:tc>
        <w:tc>
          <w:tcPr>
            <w:tcW w:w="1183" w:type="dxa"/>
            <w:vAlign w:val="center"/>
          </w:tcPr>
          <w:p w14:paraId="2BBCF147">
            <w:pPr>
              <w:spacing w:line="280" w:lineRule="exact"/>
              <w:jc w:val="center"/>
              <w:rPr>
                <w:rFonts w:hint="eastAsia" w:ascii="宋体" w:hAnsi="宋体" w:eastAsia="宋体" w:cs="宋体"/>
              </w:rPr>
            </w:pPr>
          </w:p>
        </w:tc>
        <w:tc>
          <w:tcPr>
            <w:tcW w:w="809" w:type="dxa"/>
            <w:vAlign w:val="center"/>
          </w:tcPr>
          <w:p w14:paraId="0A80EAA4">
            <w:pPr>
              <w:spacing w:line="280" w:lineRule="exact"/>
              <w:jc w:val="center"/>
              <w:rPr>
                <w:rFonts w:hint="eastAsia" w:ascii="宋体" w:hAnsi="宋体" w:eastAsia="宋体" w:cs="宋体"/>
              </w:rPr>
            </w:pPr>
          </w:p>
        </w:tc>
        <w:tc>
          <w:tcPr>
            <w:tcW w:w="719" w:type="dxa"/>
            <w:vAlign w:val="center"/>
          </w:tcPr>
          <w:p w14:paraId="0EB651C0">
            <w:pPr>
              <w:spacing w:line="280" w:lineRule="exact"/>
              <w:jc w:val="center"/>
              <w:rPr>
                <w:rFonts w:hint="eastAsia" w:ascii="宋体" w:hAnsi="宋体" w:eastAsia="宋体" w:cs="宋体"/>
              </w:rPr>
            </w:pPr>
          </w:p>
        </w:tc>
        <w:tc>
          <w:tcPr>
            <w:tcW w:w="914" w:type="dxa"/>
            <w:vAlign w:val="center"/>
          </w:tcPr>
          <w:p w14:paraId="036AE0C3">
            <w:pPr>
              <w:spacing w:line="280" w:lineRule="exact"/>
              <w:jc w:val="center"/>
              <w:rPr>
                <w:rFonts w:hint="eastAsia" w:ascii="宋体" w:hAnsi="宋体" w:eastAsia="宋体" w:cs="宋体"/>
              </w:rPr>
            </w:pPr>
          </w:p>
        </w:tc>
        <w:tc>
          <w:tcPr>
            <w:tcW w:w="1003" w:type="dxa"/>
            <w:vAlign w:val="center"/>
          </w:tcPr>
          <w:p w14:paraId="363D3A2F">
            <w:pPr>
              <w:spacing w:line="280" w:lineRule="exact"/>
              <w:jc w:val="center"/>
              <w:rPr>
                <w:rFonts w:hint="eastAsia" w:ascii="宋体" w:hAnsi="宋体" w:eastAsia="宋体" w:cs="宋体"/>
              </w:rPr>
            </w:pPr>
          </w:p>
        </w:tc>
        <w:tc>
          <w:tcPr>
            <w:tcW w:w="1003" w:type="dxa"/>
            <w:vAlign w:val="center"/>
          </w:tcPr>
          <w:p w14:paraId="65EDF064">
            <w:pPr>
              <w:spacing w:line="280" w:lineRule="exact"/>
              <w:jc w:val="center"/>
              <w:rPr>
                <w:rFonts w:hint="eastAsia" w:ascii="宋体" w:hAnsi="宋体" w:eastAsia="宋体" w:cs="宋体"/>
              </w:rPr>
            </w:pPr>
          </w:p>
        </w:tc>
        <w:tc>
          <w:tcPr>
            <w:tcW w:w="914" w:type="dxa"/>
            <w:vAlign w:val="center"/>
          </w:tcPr>
          <w:p w14:paraId="742C2BEE">
            <w:pPr>
              <w:spacing w:line="280" w:lineRule="exact"/>
              <w:jc w:val="center"/>
              <w:rPr>
                <w:rFonts w:hint="eastAsia" w:ascii="宋体" w:hAnsi="宋体" w:eastAsia="宋体" w:cs="宋体"/>
              </w:rPr>
            </w:pPr>
          </w:p>
        </w:tc>
        <w:tc>
          <w:tcPr>
            <w:tcW w:w="778" w:type="dxa"/>
            <w:vAlign w:val="center"/>
          </w:tcPr>
          <w:p w14:paraId="5D9E301C">
            <w:pPr>
              <w:spacing w:line="280" w:lineRule="exact"/>
              <w:jc w:val="center"/>
              <w:rPr>
                <w:rFonts w:hint="eastAsia" w:ascii="宋体" w:hAnsi="宋体" w:eastAsia="宋体" w:cs="宋体"/>
              </w:rPr>
            </w:pPr>
          </w:p>
        </w:tc>
      </w:tr>
      <w:tr w14:paraId="19CF0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01" w:type="dxa"/>
            <w:vAlign w:val="center"/>
          </w:tcPr>
          <w:p w14:paraId="178F9861">
            <w:pPr>
              <w:spacing w:line="280" w:lineRule="exact"/>
              <w:jc w:val="center"/>
              <w:rPr>
                <w:rFonts w:hint="eastAsia" w:ascii="宋体" w:hAnsi="宋体" w:eastAsia="宋体" w:cs="宋体"/>
              </w:rPr>
            </w:pPr>
          </w:p>
        </w:tc>
        <w:tc>
          <w:tcPr>
            <w:tcW w:w="1095" w:type="dxa"/>
            <w:vAlign w:val="center"/>
          </w:tcPr>
          <w:p w14:paraId="7AD57A8E">
            <w:pPr>
              <w:spacing w:line="280" w:lineRule="exact"/>
              <w:jc w:val="center"/>
              <w:rPr>
                <w:rFonts w:hint="eastAsia" w:ascii="宋体" w:hAnsi="宋体" w:eastAsia="宋体" w:cs="宋体"/>
              </w:rPr>
            </w:pPr>
          </w:p>
        </w:tc>
        <w:tc>
          <w:tcPr>
            <w:tcW w:w="1183" w:type="dxa"/>
            <w:vAlign w:val="center"/>
          </w:tcPr>
          <w:p w14:paraId="6ACB9810">
            <w:pPr>
              <w:spacing w:line="280" w:lineRule="exact"/>
              <w:jc w:val="center"/>
              <w:rPr>
                <w:rFonts w:hint="eastAsia" w:ascii="宋体" w:hAnsi="宋体" w:eastAsia="宋体" w:cs="宋体"/>
              </w:rPr>
            </w:pPr>
          </w:p>
        </w:tc>
        <w:tc>
          <w:tcPr>
            <w:tcW w:w="809" w:type="dxa"/>
            <w:vAlign w:val="center"/>
          </w:tcPr>
          <w:p w14:paraId="1F958F08">
            <w:pPr>
              <w:spacing w:line="280" w:lineRule="exact"/>
              <w:jc w:val="center"/>
              <w:rPr>
                <w:rFonts w:hint="eastAsia" w:ascii="宋体" w:hAnsi="宋体" w:eastAsia="宋体" w:cs="宋体"/>
              </w:rPr>
            </w:pPr>
          </w:p>
        </w:tc>
        <w:tc>
          <w:tcPr>
            <w:tcW w:w="719" w:type="dxa"/>
            <w:vAlign w:val="center"/>
          </w:tcPr>
          <w:p w14:paraId="479CEB11">
            <w:pPr>
              <w:spacing w:line="280" w:lineRule="exact"/>
              <w:jc w:val="center"/>
              <w:rPr>
                <w:rFonts w:hint="eastAsia" w:ascii="宋体" w:hAnsi="宋体" w:eastAsia="宋体" w:cs="宋体"/>
              </w:rPr>
            </w:pPr>
          </w:p>
        </w:tc>
        <w:tc>
          <w:tcPr>
            <w:tcW w:w="914" w:type="dxa"/>
            <w:vAlign w:val="center"/>
          </w:tcPr>
          <w:p w14:paraId="69F2B7C0">
            <w:pPr>
              <w:spacing w:line="280" w:lineRule="exact"/>
              <w:jc w:val="center"/>
              <w:rPr>
                <w:rFonts w:hint="eastAsia" w:ascii="宋体" w:hAnsi="宋体" w:eastAsia="宋体" w:cs="宋体"/>
              </w:rPr>
            </w:pPr>
          </w:p>
        </w:tc>
        <w:tc>
          <w:tcPr>
            <w:tcW w:w="1003" w:type="dxa"/>
            <w:vAlign w:val="center"/>
          </w:tcPr>
          <w:p w14:paraId="1F803305">
            <w:pPr>
              <w:spacing w:line="280" w:lineRule="exact"/>
              <w:jc w:val="center"/>
              <w:rPr>
                <w:rFonts w:hint="eastAsia" w:ascii="宋体" w:hAnsi="宋体" w:eastAsia="宋体" w:cs="宋体"/>
              </w:rPr>
            </w:pPr>
          </w:p>
        </w:tc>
        <w:tc>
          <w:tcPr>
            <w:tcW w:w="1003" w:type="dxa"/>
            <w:vAlign w:val="center"/>
          </w:tcPr>
          <w:p w14:paraId="1431FA5F">
            <w:pPr>
              <w:spacing w:line="280" w:lineRule="exact"/>
              <w:jc w:val="center"/>
              <w:rPr>
                <w:rFonts w:hint="eastAsia" w:ascii="宋体" w:hAnsi="宋体" w:eastAsia="宋体" w:cs="宋体"/>
              </w:rPr>
            </w:pPr>
          </w:p>
        </w:tc>
        <w:tc>
          <w:tcPr>
            <w:tcW w:w="914" w:type="dxa"/>
            <w:vAlign w:val="center"/>
          </w:tcPr>
          <w:p w14:paraId="5C5EC0CA">
            <w:pPr>
              <w:spacing w:line="280" w:lineRule="exact"/>
              <w:jc w:val="center"/>
              <w:rPr>
                <w:rFonts w:hint="eastAsia" w:ascii="宋体" w:hAnsi="宋体" w:eastAsia="宋体" w:cs="宋体"/>
              </w:rPr>
            </w:pPr>
          </w:p>
        </w:tc>
        <w:tc>
          <w:tcPr>
            <w:tcW w:w="778" w:type="dxa"/>
            <w:vAlign w:val="center"/>
          </w:tcPr>
          <w:p w14:paraId="3A16DAA7">
            <w:pPr>
              <w:spacing w:line="280" w:lineRule="exact"/>
              <w:jc w:val="center"/>
              <w:rPr>
                <w:rFonts w:hint="eastAsia" w:ascii="宋体" w:hAnsi="宋体" w:eastAsia="宋体" w:cs="宋体"/>
              </w:rPr>
            </w:pPr>
          </w:p>
        </w:tc>
      </w:tr>
      <w:tr w14:paraId="4B5E8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01" w:type="dxa"/>
            <w:vAlign w:val="center"/>
          </w:tcPr>
          <w:p w14:paraId="3656AA4C">
            <w:pPr>
              <w:spacing w:line="280" w:lineRule="exact"/>
              <w:jc w:val="center"/>
              <w:rPr>
                <w:rFonts w:hint="eastAsia" w:ascii="宋体" w:hAnsi="宋体" w:eastAsia="宋体" w:cs="宋体"/>
              </w:rPr>
            </w:pPr>
          </w:p>
        </w:tc>
        <w:tc>
          <w:tcPr>
            <w:tcW w:w="1095" w:type="dxa"/>
            <w:vAlign w:val="center"/>
          </w:tcPr>
          <w:p w14:paraId="35D00358">
            <w:pPr>
              <w:spacing w:line="280" w:lineRule="exact"/>
              <w:jc w:val="center"/>
              <w:rPr>
                <w:rFonts w:hint="eastAsia" w:ascii="宋体" w:hAnsi="宋体" w:eastAsia="宋体" w:cs="宋体"/>
              </w:rPr>
            </w:pPr>
          </w:p>
        </w:tc>
        <w:tc>
          <w:tcPr>
            <w:tcW w:w="1183" w:type="dxa"/>
            <w:vAlign w:val="center"/>
          </w:tcPr>
          <w:p w14:paraId="081D29BA">
            <w:pPr>
              <w:spacing w:line="280" w:lineRule="exact"/>
              <w:jc w:val="center"/>
              <w:rPr>
                <w:rFonts w:hint="eastAsia" w:ascii="宋体" w:hAnsi="宋体" w:eastAsia="宋体" w:cs="宋体"/>
              </w:rPr>
            </w:pPr>
          </w:p>
        </w:tc>
        <w:tc>
          <w:tcPr>
            <w:tcW w:w="809" w:type="dxa"/>
            <w:vAlign w:val="center"/>
          </w:tcPr>
          <w:p w14:paraId="61D6877B">
            <w:pPr>
              <w:spacing w:line="280" w:lineRule="exact"/>
              <w:jc w:val="center"/>
              <w:rPr>
                <w:rFonts w:hint="eastAsia" w:ascii="宋体" w:hAnsi="宋体" w:eastAsia="宋体" w:cs="宋体"/>
              </w:rPr>
            </w:pPr>
          </w:p>
        </w:tc>
        <w:tc>
          <w:tcPr>
            <w:tcW w:w="719" w:type="dxa"/>
            <w:vAlign w:val="center"/>
          </w:tcPr>
          <w:p w14:paraId="7E185B63">
            <w:pPr>
              <w:spacing w:line="280" w:lineRule="exact"/>
              <w:jc w:val="center"/>
              <w:rPr>
                <w:rFonts w:hint="eastAsia" w:ascii="宋体" w:hAnsi="宋体" w:eastAsia="宋体" w:cs="宋体"/>
              </w:rPr>
            </w:pPr>
          </w:p>
        </w:tc>
        <w:tc>
          <w:tcPr>
            <w:tcW w:w="914" w:type="dxa"/>
            <w:vAlign w:val="center"/>
          </w:tcPr>
          <w:p w14:paraId="0776DFC7">
            <w:pPr>
              <w:spacing w:line="280" w:lineRule="exact"/>
              <w:jc w:val="center"/>
              <w:rPr>
                <w:rFonts w:hint="eastAsia" w:ascii="宋体" w:hAnsi="宋体" w:eastAsia="宋体" w:cs="宋体"/>
              </w:rPr>
            </w:pPr>
          </w:p>
        </w:tc>
        <w:tc>
          <w:tcPr>
            <w:tcW w:w="1003" w:type="dxa"/>
            <w:vAlign w:val="center"/>
          </w:tcPr>
          <w:p w14:paraId="76737DAD">
            <w:pPr>
              <w:spacing w:line="280" w:lineRule="exact"/>
              <w:jc w:val="center"/>
              <w:rPr>
                <w:rFonts w:hint="eastAsia" w:ascii="宋体" w:hAnsi="宋体" w:eastAsia="宋体" w:cs="宋体"/>
              </w:rPr>
            </w:pPr>
          </w:p>
        </w:tc>
        <w:tc>
          <w:tcPr>
            <w:tcW w:w="1003" w:type="dxa"/>
            <w:vAlign w:val="center"/>
          </w:tcPr>
          <w:p w14:paraId="47A95261">
            <w:pPr>
              <w:spacing w:line="280" w:lineRule="exact"/>
              <w:jc w:val="center"/>
              <w:rPr>
                <w:rFonts w:hint="eastAsia" w:ascii="宋体" w:hAnsi="宋体" w:eastAsia="宋体" w:cs="宋体"/>
              </w:rPr>
            </w:pPr>
          </w:p>
        </w:tc>
        <w:tc>
          <w:tcPr>
            <w:tcW w:w="914" w:type="dxa"/>
            <w:vAlign w:val="center"/>
          </w:tcPr>
          <w:p w14:paraId="45CA28E2">
            <w:pPr>
              <w:spacing w:line="280" w:lineRule="exact"/>
              <w:jc w:val="center"/>
              <w:rPr>
                <w:rFonts w:hint="eastAsia" w:ascii="宋体" w:hAnsi="宋体" w:eastAsia="宋体" w:cs="宋体"/>
              </w:rPr>
            </w:pPr>
          </w:p>
        </w:tc>
        <w:tc>
          <w:tcPr>
            <w:tcW w:w="778" w:type="dxa"/>
            <w:vAlign w:val="center"/>
          </w:tcPr>
          <w:p w14:paraId="778F312D">
            <w:pPr>
              <w:spacing w:line="280" w:lineRule="exact"/>
              <w:jc w:val="center"/>
              <w:rPr>
                <w:rFonts w:hint="eastAsia" w:ascii="宋体" w:hAnsi="宋体" w:eastAsia="宋体" w:cs="宋体"/>
              </w:rPr>
            </w:pPr>
          </w:p>
        </w:tc>
      </w:tr>
      <w:tr w14:paraId="1A0C7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01" w:type="dxa"/>
            <w:vAlign w:val="center"/>
          </w:tcPr>
          <w:p w14:paraId="052231B7">
            <w:pPr>
              <w:spacing w:line="280" w:lineRule="exact"/>
              <w:jc w:val="center"/>
              <w:rPr>
                <w:rFonts w:hint="eastAsia" w:ascii="宋体" w:hAnsi="宋体" w:eastAsia="宋体" w:cs="宋体"/>
              </w:rPr>
            </w:pPr>
          </w:p>
        </w:tc>
        <w:tc>
          <w:tcPr>
            <w:tcW w:w="1095" w:type="dxa"/>
            <w:vAlign w:val="center"/>
          </w:tcPr>
          <w:p w14:paraId="0BD9EB3D">
            <w:pPr>
              <w:spacing w:line="280" w:lineRule="exact"/>
              <w:jc w:val="center"/>
              <w:rPr>
                <w:rFonts w:hint="eastAsia" w:ascii="宋体" w:hAnsi="宋体" w:eastAsia="宋体" w:cs="宋体"/>
              </w:rPr>
            </w:pPr>
          </w:p>
        </w:tc>
        <w:tc>
          <w:tcPr>
            <w:tcW w:w="1183" w:type="dxa"/>
            <w:vAlign w:val="center"/>
          </w:tcPr>
          <w:p w14:paraId="422227A7">
            <w:pPr>
              <w:spacing w:line="280" w:lineRule="exact"/>
              <w:jc w:val="center"/>
              <w:rPr>
                <w:rFonts w:hint="eastAsia" w:ascii="宋体" w:hAnsi="宋体" w:eastAsia="宋体" w:cs="宋体"/>
              </w:rPr>
            </w:pPr>
          </w:p>
        </w:tc>
        <w:tc>
          <w:tcPr>
            <w:tcW w:w="809" w:type="dxa"/>
            <w:vAlign w:val="center"/>
          </w:tcPr>
          <w:p w14:paraId="3357F6C1">
            <w:pPr>
              <w:spacing w:line="280" w:lineRule="exact"/>
              <w:jc w:val="center"/>
              <w:rPr>
                <w:rFonts w:hint="eastAsia" w:ascii="宋体" w:hAnsi="宋体" w:eastAsia="宋体" w:cs="宋体"/>
              </w:rPr>
            </w:pPr>
          </w:p>
        </w:tc>
        <w:tc>
          <w:tcPr>
            <w:tcW w:w="719" w:type="dxa"/>
            <w:vAlign w:val="center"/>
          </w:tcPr>
          <w:p w14:paraId="50A20FB9">
            <w:pPr>
              <w:spacing w:line="280" w:lineRule="exact"/>
              <w:jc w:val="center"/>
              <w:rPr>
                <w:rFonts w:hint="eastAsia" w:ascii="宋体" w:hAnsi="宋体" w:eastAsia="宋体" w:cs="宋体"/>
              </w:rPr>
            </w:pPr>
          </w:p>
        </w:tc>
        <w:tc>
          <w:tcPr>
            <w:tcW w:w="914" w:type="dxa"/>
            <w:vAlign w:val="center"/>
          </w:tcPr>
          <w:p w14:paraId="7441FC3A">
            <w:pPr>
              <w:spacing w:line="280" w:lineRule="exact"/>
              <w:jc w:val="center"/>
              <w:rPr>
                <w:rFonts w:hint="eastAsia" w:ascii="宋体" w:hAnsi="宋体" w:eastAsia="宋体" w:cs="宋体"/>
              </w:rPr>
            </w:pPr>
          </w:p>
        </w:tc>
        <w:tc>
          <w:tcPr>
            <w:tcW w:w="1003" w:type="dxa"/>
            <w:vAlign w:val="center"/>
          </w:tcPr>
          <w:p w14:paraId="22763CFA">
            <w:pPr>
              <w:spacing w:line="280" w:lineRule="exact"/>
              <w:jc w:val="center"/>
              <w:rPr>
                <w:rFonts w:hint="eastAsia" w:ascii="宋体" w:hAnsi="宋体" w:eastAsia="宋体" w:cs="宋体"/>
              </w:rPr>
            </w:pPr>
          </w:p>
        </w:tc>
        <w:tc>
          <w:tcPr>
            <w:tcW w:w="1003" w:type="dxa"/>
            <w:vAlign w:val="center"/>
          </w:tcPr>
          <w:p w14:paraId="2D0DF8B2">
            <w:pPr>
              <w:spacing w:line="280" w:lineRule="exact"/>
              <w:jc w:val="center"/>
              <w:rPr>
                <w:rFonts w:hint="eastAsia" w:ascii="宋体" w:hAnsi="宋体" w:eastAsia="宋体" w:cs="宋体"/>
              </w:rPr>
            </w:pPr>
          </w:p>
        </w:tc>
        <w:tc>
          <w:tcPr>
            <w:tcW w:w="914" w:type="dxa"/>
            <w:vAlign w:val="center"/>
          </w:tcPr>
          <w:p w14:paraId="0C0A8F25">
            <w:pPr>
              <w:spacing w:line="280" w:lineRule="exact"/>
              <w:jc w:val="center"/>
              <w:rPr>
                <w:rFonts w:hint="eastAsia" w:ascii="宋体" w:hAnsi="宋体" w:eastAsia="宋体" w:cs="宋体"/>
              </w:rPr>
            </w:pPr>
          </w:p>
        </w:tc>
        <w:tc>
          <w:tcPr>
            <w:tcW w:w="778" w:type="dxa"/>
            <w:vAlign w:val="center"/>
          </w:tcPr>
          <w:p w14:paraId="0C22470D">
            <w:pPr>
              <w:spacing w:line="280" w:lineRule="exact"/>
              <w:jc w:val="center"/>
              <w:rPr>
                <w:rFonts w:hint="eastAsia" w:ascii="宋体" w:hAnsi="宋体" w:eastAsia="宋体" w:cs="宋体"/>
              </w:rPr>
            </w:pPr>
          </w:p>
        </w:tc>
      </w:tr>
    </w:tbl>
    <w:p w14:paraId="6A6DE28D">
      <w:pPr>
        <w:spacing w:line="440" w:lineRule="exact"/>
        <w:ind w:firstLine="643" w:firstLineChars="200"/>
        <w:jc w:val="center"/>
        <w:rPr>
          <w:rFonts w:hint="eastAsia" w:ascii="宋体" w:hAnsi="宋体" w:eastAsia="宋体" w:cs="宋体"/>
          <w:b/>
          <w:bCs/>
          <w:sz w:val="32"/>
          <w:szCs w:val="32"/>
        </w:rPr>
      </w:pPr>
    </w:p>
    <w:p w14:paraId="14992660">
      <w:pPr>
        <w:spacing w:line="440" w:lineRule="exact"/>
        <w:ind w:firstLine="643" w:firstLineChars="200"/>
        <w:jc w:val="center"/>
        <w:rPr>
          <w:rFonts w:hint="eastAsia" w:ascii="宋体" w:hAnsi="宋体" w:eastAsia="宋体" w:cs="宋体"/>
          <w:b/>
          <w:bCs/>
          <w:sz w:val="32"/>
          <w:szCs w:val="32"/>
        </w:rPr>
      </w:pPr>
    </w:p>
    <w:p w14:paraId="5261DA9C">
      <w:pPr>
        <w:spacing w:line="440" w:lineRule="exact"/>
        <w:ind w:firstLine="643" w:firstLineChars="200"/>
        <w:jc w:val="center"/>
        <w:rPr>
          <w:rFonts w:hint="eastAsia" w:ascii="宋体" w:hAnsi="宋体" w:eastAsia="宋体" w:cs="宋体"/>
          <w:b/>
          <w:bCs/>
          <w:sz w:val="32"/>
          <w:szCs w:val="32"/>
        </w:rPr>
      </w:pPr>
    </w:p>
    <w:p w14:paraId="0F0C732F">
      <w:pPr>
        <w:spacing w:line="440" w:lineRule="exact"/>
        <w:ind w:firstLine="643" w:firstLineChars="200"/>
        <w:jc w:val="center"/>
        <w:rPr>
          <w:rFonts w:hint="eastAsia" w:ascii="宋体" w:hAnsi="宋体" w:eastAsia="宋体" w:cs="宋体"/>
          <w:b/>
          <w:bCs/>
          <w:sz w:val="32"/>
          <w:szCs w:val="32"/>
        </w:rPr>
      </w:pPr>
    </w:p>
    <w:p w14:paraId="6BAB83C0">
      <w:pPr>
        <w:spacing w:line="440" w:lineRule="exact"/>
        <w:ind w:firstLine="643" w:firstLineChars="200"/>
        <w:jc w:val="center"/>
        <w:rPr>
          <w:rFonts w:hint="eastAsia" w:ascii="宋体" w:hAnsi="宋体" w:eastAsia="宋体" w:cs="宋体"/>
          <w:b/>
          <w:bCs/>
          <w:sz w:val="32"/>
          <w:szCs w:val="32"/>
        </w:rPr>
      </w:pPr>
    </w:p>
    <w:p w14:paraId="3E01E9D2">
      <w:pPr>
        <w:pStyle w:val="4"/>
        <w:rPr>
          <w:rFonts w:hint="eastAsia" w:ascii="宋体" w:hAnsi="宋体" w:eastAsia="宋体" w:cs="宋体"/>
          <w:b/>
          <w:bCs/>
          <w:sz w:val="32"/>
          <w:szCs w:val="32"/>
        </w:rPr>
      </w:pPr>
    </w:p>
    <w:p w14:paraId="48D0959C">
      <w:pPr>
        <w:pStyle w:val="4"/>
        <w:rPr>
          <w:rFonts w:hint="eastAsia" w:ascii="宋体" w:hAnsi="宋体" w:eastAsia="宋体" w:cs="宋体"/>
          <w:b/>
          <w:bCs/>
          <w:sz w:val="32"/>
          <w:szCs w:val="32"/>
        </w:rPr>
      </w:pPr>
    </w:p>
    <w:p w14:paraId="452FCD68">
      <w:pPr>
        <w:pStyle w:val="4"/>
        <w:rPr>
          <w:rFonts w:hint="eastAsia" w:ascii="宋体" w:hAnsi="宋体" w:eastAsia="宋体" w:cs="宋体"/>
          <w:b/>
          <w:bCs/>
          <w:sz w:val="32"/>
          <w:szCs w:val="32"/>
        </w:rPr>
      </w:pPr>
    </w:p>
    <w:p w14:paraId="2E603DF0">
      <w:pPr>
        <w:pStyle w:val="4"/>
        <w:rPr>
          <w:rFonts w:hint="eastAsia" w:ascii="宋体" w:hAnsi="宋体" w:eastAsia="宋体" w:cs="宋体"/>
          <w:b/>
          <w:bCs/>
          <w:sz w:val="32"/>
          <w:szCs w:val="32"/>
        </w:rPr>
      </w:pPr>
    </w:p>
    <w:p w14:paraId="2DEA4700">
      <w:pPr>
        <w:spacing w:line="440" w:lineRule="exact"/>
        <w:ind w:firstLine="643" w:firstLineChars="200"/>
        <w:jc w:val="center"/>
        <w:rPr>
          <w:rFonts w:hint="eastAsia" w:ascii="宋体" w:hAnsi="宋体" w:eastAsia="宋体" w:cs="宋体"/>
          <w:b/>
          <w:bCs/>
          <w:sz w:val="32"/>
          <w:szCs w:val="32"/>
        </w:rPr>
      </w:pPr>
    </w:p>
    <w:p w14:paraId="0FB2945C">
      <w:pPr>
        <w:spacing w:line="440" w:lineRule="exact"/>
        <w:ind w:firstLine="643" w:firstLineChars="200"/>
        <w:jc w:val="center"/>
        <w:rPr>
          <w:rFonts w:hint="eastAsia" w:ascii="宋体" w:hAnsi="宋体" w:eastAsia="宋体" w:cs="宋体"/>
          <w:b/>
          <w:bCs/>
          <w:sz w:val="32"/>
          <w:szCs w:val="32"/>
        </w:rPr>
      </w:pPr>
    </w:p>
    <w:p w14:paraId="50F23A3A">
      <w:pPr>
        <w:spacing w:line="440" w:lineRule="exact"/>
        <w:ind w:firstLine="643" w:firstLineChars="200"/>
        <w:jc w:val="center"/>
        <w:rPr>
          <w:rFonts w:hint="eastAsia" w:ascii="宋体" w:hAnsi="宋体" w:eastAsia="宋体" w:cs="宋体"/>
          <w:b/>
          <w:bCs/>
          <w:sz w:val="32"/>
          <w:szCs w:val="32"/>
        </w:rPr>
      </w:pPr>
    </w:p>
    <w:p w14:paraId="77B0B4BC">
      <w:pPr>
        <w:spacing w:line="440" w:lineRule="exact"/>
        <w:ind w:firstLine="643" w:firstLineChars="200"/>
        <w:jc w:val="center"/>
        <w:rPr>
          <w:rFonts w:hint="eastAsia" w:ascii="宋体" w:hAnsi="宋体" w:eastAsia="宋体" w:cs="宋体"/>
          <w:b/>
          <w:bCs/>
          <w:sz w:val="32"/>
          <w:szCs w:val="32"/>
        </w:rPr>
      </w:pPr>
    </w:p>
    <w:p w14:paraId="51127F31">
      <w:pPr>
        <w:spacing w:line="440" w:lineRule="exact"/>
        <w:ind w:firstLine="643" w:firstLineChars="200"/>
        <w:jc w:val="center"/>
        <w:rPr>
          <w:rFonts w:hint="eastAsia" w:ascii="宋体" w:hAnsi="宋体" w:eastAsia="宋体" w:cs="宋体"/>
          <w:b/>
          <w:bCs/>
          <w:sz w:val="32"/>
          <w:szCs w:val="32"/>
        </w:rPr>
      </w:pPr>
    </w:p>
    <w:p w14:paraId="0C11AF44">
      <w:pPr>
        <w:spacing w:line="440" w:lineRule="exact"/>
        <w:jc w:val="both"/>
        <w:rPr>
          <w:rFonts w:hint="eastAsia" w:ascii="宋体" w:hAnsi="宋体" w:eastAsia="宋体" w:cs="宋体"/>
          <w:b/>
          <w:bCs/>
          <w:sz w:val="32"/>
          <w:szCs w:val="32"/>
        </w:rPr>
      </w:pPr>
    </w:p>
    <w:p w14:paraId="706369C5">
      <w:pPr>
        <w:spacing w:line="440" w:lineRule="exact"/>
        <w:outlineLvl w:val="1"/>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附件三：</w:t>
      </w:r>
      <w:bookmarkStart w:id="1026" w:name="_Toc189651564"/>
      <w:r>
        <w:rPr>
          <w:rFonts w:hint="eastAsia" w:ascii="宋体" w:hAnsi="宋体" w:eastAsia="宋体" w:cs="宋体"/>
          <w:b w:val="0"/>
          <w:bCs w:val="0"/>
          <w:sz w:val="24"/>
          <w:szCs w:val="24"/>
          <w:lang w:eastAsia="zh-CN"/>
        </w:rPr>
        <w:t>发包人提供的材料和工程设备一览表</w:t>
      </w:r>
      <w:bookmarkEnd w:id="1026"/>
    </w:p>
    <w:tbl>
      <w:tblPr>
        <w:tblStyle w:val="20"/>
        <w:tblW w:w="906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66"/>
        <w:gridCol w:w="1125"/>
        <w:gridCol w:w="1361"/>
        <w:gridCol w:w="809"/>
        <w:gridCol w:w="719"/>
        <w:gridCol w:w="914"/>
        <w:gridCol w:w="1003"/>
        <w:gridCol w:w="1003"/>
        <w:gridCol w:w="914"/>
        <w:gridCol w:w="552"/>
      </w:tblGrid>
      <w:tr w14:paraId="247B0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9" w:hRule="atLeast"/>
          <w:jc w:val="center"/>
        </w:trPr>
        <w:tc>
          <w:tcPr>
            <w:tcW w:w="666" w:type="dxa"/>
            <w:vAlign w:val="center"/>
          </w:tcPr>
          <w:p w14:paraId="30DDA17B">
            <w:pPr>
              <w:spacing w:line="280" w:lineRule="exact"/>
              <w:jc w:val="center"/>
              <w:rPr>
                <w:rFonts w:hint="eastAsia" w:ascii="宋体" w:hAnsi="宋体" w:eastAsia="宋体" w:cs="宋体"/>
              </w:rPr>
            </w:pPr>
            <w:r>
              <w:rPr>
                <w:rFonts w:hint="eastAsia" w:ascii="宋体" w:hAnsi="宋体" w:eastAsia="宋体" w:cs="宋体"/>
              </w:rPr>
              <w:t>序号</w:t>
            </w:r>
          </w:p>
        </w:tc>
        <w:tc>
          <w:tcPr>
            <w:tcW w:w="1125" w:type="dxa"/>
            <w:vAlign w:val="center"/>
          </w:tcPr>
          <w:p w14:paraId="4188A95A">
            <w:pPr>
              <w:spacing w:line="280" w:lineRule="exact"/>
              <w:jc w:val="center"/>
              <w:rPr>
                <w:rFonts w:hint="eastAsia" w:ascii="宋体" w:hAnsi="宋体" w:eastAsia="宋体" w:cs="宋体"/>
              </w:rPr>
            </w:pPr>
            <w:r>
              <w:rPr>
                <w:rFonts w:hint="eastAsia" w:ascii="宋体" w:hAnsi="宋体" w:eastAsia="宋体" w:cs="宋体"/>
              </w:rPr>
              <w:t>材料设备名称</w:t>
            </w:r>
          </w:p>
        </w:tc>
        <w:tc>
          <w:tcPr>
            <w:tcW w:w="1361" w:type="dxa"/>
            <w:vAlign w:val="center"/>
          </w:tcPr>
          <w:p w14:paraId="32D5A7FB">
            <w:pPr>
              <w:spacing w:line="280" w:lineRule="exact"/>
              <w:jc w:val="center"/>
              <w:rPr>
                <w:rFonts w:hint="eastAsia" w:ascii="宋体" w:hAnsi="宋体" w:eastAsia="宋体" w:cs="宋体"/>
              </w:rPr>
            </w:pPr>
            <w:r>
              <w:rPr>
                <w:rFonts w:hint="eastAsia" w:ascii="宋体" w:hAnsi="宋体" w:eastAsia="宋体" w:cs="宋体"/>
              </w:rPr>
              <w:t>规格型号</w:t>
            </w:r>
          </w:p>
        </w:tc>
        <w:tc>
          <w:tcPr>
            <w:tcW w:w="809" w:type="dxa"/>
            <w:vAlign w:val="center"/>
          </w:tcPr>
          <w:p w14:paraId="499A0A32">
            <w:pPr>
              <w:spacing w:line="280" w:lineRule="exact"/>
              <w:jc w:val="center"/>
              <w:rPr>
                <w:rFonts w:hint="eastAsia" w:ascii="宋体" w:hAnsi="宋体" w:eastAsia="宋体" w:cs="宋体"/>
              </w:rPr>
            </w:pPr>
            <w:r>
              <w:rPr>
                <w:rFonts w:hint="eastAsia" w:ascii="宋体" w:hAnsi="宋体" w:eastAsia="宋体" w:cs="宋体"/>
              </w:rPr>
              <w:t>单位</w:t>
            </w:r>
          </w:p>
        </w:tc>
        <w:tc>
          <w:tcPr>
            <w:tcW w:w="719" w:type="dxa"/>
            <w:vAlign w:val="center"/>
          </w:tcPr>
          <w:p w14:paraId="3585FAFA">
            <w:pPr>
              <w:spacing w:line="280" w:lineRule="exact"/>
              <w:jc w:val="center"/>
              <w:rPr>
                <w:rFonts w:hint="eastAsia" w:ascii="宋体" w:hAnsi="宋体" w:eastAsia="宋体" w:cs="宋体"/>
              </w:rPr>
            </w:pPr>
            <w:r>
              <w:rPr>
                <w:rFonts w:hint="eastAsia" w:ascii="宋体" w:hAnsi="宋体" w:eastAsia="宋体" w:cs="宋体"/>
              </w:rPr>
              <w:t>数量</w:t>
            </w:r>
          </w:p>
        </w:tc>
        <w:tc>
          <w:tcPr>
            <w:tcW w:w="914" w:type="dxa"/>
            <w:vAlign w:val="center"/>
          </w:tcPr>
          <w:p w14:paraId="6FFA285A">
            <w:pPr>
              <w:spacing w:line="280" w:lineRule="exact"/>
              <w:jc w:val="center"/>
              <w:rPr>
                <w:rFonts w:hint="eastAsia" w:ascii="宋体" w:hAnsi="宋体" w:eastAsia="宋体" w:cs="宋体"/>
              </w:rPr>
            </w:pPr>
            <w:r>
              <w:rPr>
                <w:rFonts w:hint="eastAsia" w:ascii="宋体" w:hAnsi="宋体" w:eastAsia="宋体" w:cs="宋体"/>
              </w:rPr>
              <w:t>单价</w:t>
            </w:r>
          </w:p>
        </w:tc>
        <w:tc>
          <w:tcPr>
            <w:tcW w:w="1003" w:type="dxa"/>
            <w:vAlign w:val="center"/>
          </w:tcPr>
          <w:p w14:paraId="6AEAF53C">
            <w:pPr>
              <w:spacing w:line="280" w:lineRule="exact"/>
              <w:jc w:val="center"/>
              <w:rPr>
                <w:rFonts w:hint="eastAsia" w:ascii="宋体" w:hAnsi="宋体" w:eastAsia="宋体" w:cs="宋体"/>
              </w:rPr>
            </w:pPr>
            <w:r>
              <w:rPr>
                <w:rFonts w:hint="eastAsia" w:ascii="宋体" w:hAnsi="宋体" w:eastAsia="宋体" w:cs="宋体"/>
              </w:rPr>
              <w:t>交货方式</w:t>
            </w:r>
          </w:p>
        </w:tc>
        <w:tc>
          <w:tcPr>
            <w:tcW w:w="1003" w:type="dxa"/>
            <w:vAlign w:val="center"/>
          </w:tcPr>
          <w:p w14:paraId="52CEF868">
            <w:pPr>
              <w:spacing w:line="280" w:lineRule="exact"/>
              <w:jc w:val="center"/>
              <w:rPr>
                <w:rFonts w:hint="eastAsia" w:ascii="宋体" w:hAnsi="宋体" w:eastAsia="宋体" w:cs="宋体"/>
              </w:rPr>
            </w:pPr>
            <w:r>
              <w:rPr>
                <w:rFonts w:hint="eastAsia" w:ascii="宋体" w:hAnsi="宋体" w:eastAsia="宋体" w:cs="宋体"/>
              </w:rPr>
              <w:t>交货地点</w:t>
            </w:r>
          </w:p>
        </w:tc>
        <w:tc>
          <w:tcPr>
            <w:tcW w:w="914" w:type="dxa"/>
            <w:vAlign w:val="center"/>
          </w:tcPr>
          <w:p w14:paraId="691C8020">
            <w:pPr>
              <w:spacing w:line="280" w:lineRule="exact"/>
              <w:jc w:val="center"/>
              <w:rPr>
                <w:rFonts w:hint="eastAsia" w:ascii="宋体" w:hAnsi="宋体" w:eastAsia="宋体" w:cs="宋体"/>
              </w:rPr>
            </w:pPr>
            <w:r>
              <w:rPr>
                <w:rFonts w:hint="eastAsia" w:ascii="宋体" w:hAnsi="宋体" w:eastAsia="宋体" w:cs="宋体"/>
              </w:rPr>
              <w:t>计划交货时间</w:t>
            </w:r>
          </w:p>
        </w:tc>
        <w:tc>
          <w:tcPr>
            <w:tcW w:w="552" w:type="dxa"/>
            <w:vAlign w:val="center"/>
          </w:tcPr>
          <w:p w14:paraId="056C3D5F">
            <w:pPr>
              <w:spacing w:line="280" w:lineRule="exact"/>
              <w:jc w:val="center"/>
              <w:rPr>
                <w:rFonts w:hint="eastAsia" w:ascii="宋体" w:hAnsi="宋体" w:eastAsia="宋体" w:cs="宋体"/>
              </w:rPr>
            </w:pPr>
            <w:r>
              <w:rPr>
                <w:rFonts w:hint="eastAsia" w:ascii="宋体" w:hAnsi="宋体" w:eastAsia="宋体" w:cs="宋体"/>
              </w:rPr>
              <w:t>备注</w:t>
            </w:r>
          </w:p>
        </w:tc>
      </w:tr>
      <w:tr w14:paraId="6B2F2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66" w:type="dxa"/>
            <w:vAlign w:val="center"/>
          </w:tcPr>
          <w:p w14:paraId="1FEDC56E">
            <w:pPr>
              <w:spacing w:line="280" w:lineRule="exact"/>
              <w:jc w:val="center"/>
              <w:rPr>
                <w:rFonts w:hint="eastAsia" w:ascii="宋体" w:hAnsi="宋体" w:eastAsia="宋体" w:cs="宋体"/>
              </w:rPr>
            </w:pPr>
          </w:p>
        </w:tc>
        <w:tc>
          <w:tcPr>
            <w:tcW w:w="1125" w:type="dxa"/>
            <w:vAlign w:val="center"/>
          </w:tcPr>
          <w:p w14:paraId="7FBBDF9A">
            <w:pPr>
              <w:spacing w:line="280" w:lineRule="exact"/>
              <w:jc w:val="center"/>
              <w:rPr>
                <w:rFonts w:hint="eastAsia" w:ascii="宋体" w:hAnsi="宋体" w:eastAsia="宋体" w:cs="宋体"/>
              </w:rPr>
            </w:pPr>
          </w:p>
        </w:tc>
        <w:tc>
          <w:tcPr>
            <w:tcW w:w="1361" w:type="dxa"/>
            <w:vAlign w:val="center"/>
          </w:tcPr>
          <w:p w14:paraId="657E248F">
            <w:pPr>
              <w:spacing w:line="280" w:lineRule="exact"/>
              <w:jc w:val="center"/>
              <w:rPr>
                <w:rFonts w:hint="eastAsia" w:ascii="宋体" w:hAnsi="宋体" w:eastAsia="宋体" w:cs="宋体"/>
              </w:rPr>
            </w:pPr>
          </w:p>
        </w:tc>
        <w:tc>
          <w:tcPr>
            <w:tcW w:w="809" w:type="dxa"/>
            <w:vAlign w:val="center"/>
          </w:tcPr>
          <w:p w14:paraId="334D677A">
            <w:pPr>
              <w:spacing w:line="280" w:lineRule="exact"/>
              <w:jc w:val="center"/>
              <w:rPr>
                <w:rFonts w:hint="eastAsia" w:ascii="宋体" w:hAnsi="宋体" w:eastAsia="宋体" w:cs="宋体"/>
              </w:rPr>
            </w:pPr>
          </w:p>
        </w:tc>
        <w:tc>
          <w:tcPr>
            <w:tcW w:w="719" w:type="dxa"/>
            <w:vAlign w:val="center"/>
          </w:tcPr>
          <w:p w14:paraId="3B8791E1">
            <w:pPr>
              <w:spacing w:line="280" w:lineRule="exact"/>
              <w:jc w:val="center"/>
              <w:rPr>
                <w:rFonts w:hint="eastAsia" w:ascii="宋体" w:hAnsi="宋体" w:eastAsia="宋体" w:cs="宋体"/>
              </w:rPr>
            </w:pPr>
          </w:p>
        </w:tc>
        <w:tc>
          <w:tcPr>
            <w:tcW w:w="914" w:type="dxa"/>
            <w:vAlign w:val="center"/>
          </w:tcPr>
          <w:p w14:paraId="5AF4476B">
            <w:pPr>
              <w:spacing w:line="280" w:lineRule="exact"/>
              <w:jc w:val="center"/>
              <w:rPr>
                <w:rFonts w:hint="eastAsia" w:ascii="宋体" w:hAnsi="宋体" w:eastAsia="宋体" w:cs="宋体"/>
              </w:rPr>
            </w:pPr>
          </w:p>
        </w:tc>
        <w:tc>
          <w:tcPr>
            <w:tcW w:w="1003" w:type="dxa"/>
            <w:vAlign w:val="center"/>
          </w:tcPr>
          <w:p w14:paraId="6864B62D">
            <w:pPr>
              <w:spacing w:line="280" w:lineRule="exact"/>
              <w:jc w:val="center"/>
              <w:rPr>
                <w:rFonts w:hint="eastAsia" w:ascii="宋体" w:hAnsi="宋体" w:eastAsia="宋体" w:cs="宋体"/>
              </w:rPr>
            </w:pPr>
          </w:p>
        </w:tc>
        <w:tc>
          <w:tcPr>
            <w:tcW w:w="1003" w:type="dxa"/>
            <w:vAlign w:val="center"/>
          </w:tcPr>
          <w:p w14:paraId="7AADC22C">
            <w:pPr>
              <w:spacing w:line="280" w:lineRule="exact"/>
              <w:jc w:val="center"/>
              <w:rPr>
                <w:rFonts w:hint="eastAsia" w:ascii="宋体" w:hAnsi="宋体" w:eastAsia="宋体" w:cs="宋体"/>
              </w:rPr>
            </w:pPr>
          </w:p>
        </w:tc>
        <w:tc>
          <w:tcPr>
            <w:tcW w:w="914" w:type="dxa"/>
            <w:vAlign w:val="center"/>
          </w:tcPr>
          <w:p w14:paraId="76FF0C6A">
            <w:pPr>
              <w:spacing w:line="280" w:lineRule="exact"/>
              <w:jc w:val="center"/>
              <w:rPr>
                <w:rFonts w:hint="eastAsia" w:ascii="宋体" w:hAnsi="宋体" w:eastAsia="宋体" w:cs="宋体"/>
              </w:rPr>
            </w:pPr>
          </w:p>
        </w:tc>
        <w:tc>
          <w:tcPr>
            <w:tcW w:w="552" w:type="dxa"/>
            <w:vAlign w:val="center"/>
          </w:tcPr>
          <w:p w14:paraId="318C3738">
            <w:pPr>
              <w:spacing w:line="280" w:lineRule="exact"/>
              <w:jc w:val="center"/>
              <w:rPr>
                <w:rFonts w:hint="eastAsia" w:ascii="宋体" w:hAnsi="宋体" w:eastAsia="宋体" w:cs="宋体"/>
              </w:rPr>
            </w:pPr>
          </w:p>
        </w:tc>
      </w:tr>
      <w:tr w14:paraId="29324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66" w:type="dxa"/>
            <w:vAlign w:val="center"/>
          </w:tcPr>
          <w:p w14:paraId="0B89AA95">
            <w:pPr>
              <w:spacing w:line="280" w:lineRule="exact"/>
              <w:jc w:val="center"/>
              <w:rPr>
                <w:rFonts w:hint="eastAsia" w:ascii="宋体" w:hAnsi="宋体" w:eastAsia="宋体" w:cs="宋体"/>
              </w:rPr>
            </w:pPr>
          </w:p>
        </w:tc>
        <w:tc>
          <w:tcPr>
            <w:tcW w:w="1125" w:type="dxa"/>
            <w:vAlign w:val="center"/>
          </w:tcPr>
          <w:p w14:paraId="3B61BAEB">
            <w:pPr>
              <w:spacing w:line="280" w:lineRule="exact"/>
              <w:jc w:val="center"/>
              <w:rPr>
                <w:rFonts w:hint="eastAsia" w:ascii="宋体" w:hAnsi="宋体" w:eastAsia="宋体" w:cs="宋体"/>
              </w:rPr>
            </w:pPr>
          </w:p>
        </w:tc>
        <w:tc>
          <w:tcPr>
            <w:tcW w:w="1361" w:type="dxa"/>
            <w:vAlign w:val="center"/>
          </w:tcPr>
          <w:p w14:paraId="2F4CAA54">
            <w:pPr>
              <w:spacing w:line="280" w:lineRule="exact"/>
              <w:jc w:val="center"/>
              <w:rPr>
                <w:rFonts w:hint="eastAsia" w:ascii="宋体" w:hAnsi="宋体" w:eastAsia="宋体" w:cs="宋体"/>
              </w:rPr>
            </w:pPr>
          </w:p>
        </w:tc>
        <w:tc>
          <w:tcPr>
            <w:tcW w:w="809" w:type="dxa"/>
            <w:vAlign w:val="center"/>
          </w:tcPr>
          <w:p w14:paraId="2B2F3401">
            <w:pPr>
              <w:spacing w:line="280" w:lineRule="exact"/>
              <w:jc w:val="center"/>
              <w:rPr>
                <w:rFonts w:hint="eastAsia" w:ascii="宋体" w:hAnsi="宋体" w:eastAsia="宋体" w:cs="宋体"/>
              </w:rPr>
            </w:pPr>
          </w:p>
        </w:tc>
        <w:tc>
          <w:tcPr>
            <w:tcW w:w="719" w:type="dxa"/>
            <w:vAlign w:val="center"/>
          </w:tcPr>
          <w:p w14:paraId="4CEADBE3">
            <w:pPr>
              <w:spacing w:line="280" w:lineRule="exact"/>
              <w:jc w:val="center"/>
              <w:rPr>
                <w:rFonts w:hint="eastAsia" w:ascii="宋体" w:hAnsi="宋体" w:eastAsia="宋体" w:cs="宋体"/>
              </w:rPr>
            </w:pPr>
          </w:p>
        </w:tc>
        <w:tc>
          <w:tcPr>
            <w:tcW w:w="914" w:type="dxa"/>
            <w:vAlign w:val="center"/>
          </w:tcPr>
          <w:p w14:paraId="69025EEA">
            <w:pPr>
              <w:spacing w:line="280" w:lineRule="exact"/>
              <w:jc w:val="center"/>
              <w:rPr>
                <w:rFonts w:hint="eastAsia" w:ascii="宋体" w:hAnsi="宋体" w:eastAsia="宋体" w:cs="宋体"/>
              </w:rPr>
            </w:pPr>
          </w:p>
        </w:tc>
        <w:tc>
          <w:tcPr>
            <w:tcW w:w="1003" w:type="dxa"/>
            <w:vAlign w:val="center"/>
          </w:tcPr>
          <w:p w14:paraId="1B0033D7">
            <w:pPr>
              <w:spacing w:line="280" w:lineRule="exact"/>
              <w:jc w:val="center"/>
              <w:rPr>
                <w:rFonts w:hint="eastAsia" w:ascii="宋体" w:hAnsi="宋体" w:eastAsia="宋体" w:cs="宋体"/>
              </w:rPr>
            </w:pPr>
          </w:p>
        </w:tc>
        <w:tc>
          <w:tcPr>
            <w:tcW w:w="1003" w:type="dxa"/>
            <w:vAlign w:val="center"/>
          </w:tcPr>
          <w:p w14:paraId="71D18A1B">
            <w:pPr>
              <w:spacing w:line="280" w:lineRule="exact"/>
              <w:jc w:val="center"/>
              <w:rPr>
                <w:rFonts w:hint="eastAsia" w:ascii="宋体" w:hAnsi="宋体" w:eastAsia="宋体" w:cs="宋体"/>
              </w:rPr>
            </w:pPr>
          </w:p>
        </w:tc>
        <w:tc>
          <w:tcPr>
            <w:tcW w:w="914" w:type="dxa"/>
            <w:vAlign w:val="center"/>
          </w:tcPr>
          <w:p w14:paraId="0EAC2732">
            <w:pPr>
              <w:spacing w:line="280" w:lineRule="exact"/>
              <w:jc w:val="center"/>
              <w:rPr>
                <w:rFonts w:hint="eastAsia" w:ascii="宋体" w:hAnsi="宋体" w:eastAsia="宋体" w:cs="宋体"/>
              </w:rPr>
            </w:pPr>
          </w:p>
        </w:tc>
        <w:tc>
          <w:tcPr>
            <w:tcW w:w="552" w:type="dxa"/>
            <w:vAlign w:val="center"/>
          </w:tcPr>
          <w:p w14:paraId="7D686687">
            <w:pPr>
              <w:spacing w:line="280" w:lineRule="exact"/>
              <w:jc w:val="center"/>
              <w:rPr>
                <w:rFonts w:hint="eastAsia" w:ascii="宋体" w:hAnsi="宋体" w:eastAsia="宋体" w:cs="宋体"/>
              </w:rPr>
            </w:pPr>
          </w:p>
        </w:tc>
      </w:tr>
      <w:tr w14:paraId="7C190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66" w:type="dxa"/>
            <w:vAlign w:val="center"/>
          </w:tcPr>
          <w:p w14:paraId="07D4F75C">
            <w:pPr>
              <w:spacing w:line="280" w:lineRule="exact"/>
              <w:jc w:val="center"/>
              <w:rPr>
                <w:rFonts w:hint="eastAsia" w:ascii="宋体" w:hAnsi="宋体" w:eastAsia="宋体" w:cs="宋体"/>
              </w:rPr>
            </w:pPr>
          </w:p>
        </w:tc>
        <w:tc>
          <w:tcPr>
            <w:tcW w:w="1125" w:type="dxa"/>
            <w:vAlign w:val="center"/>
          </w:tcPr>
          <w:p w14:paraId="10224550">
            <w:pPr>
              <w:spacing w:line="280" w:lineRule="exact"/>
              <w:jc w:val="center"/>
              <w:rPr>
                <w:rFonts w:hint="eastAsia" w:ascii="宋体" w:hAnsi="宋体" w:eastAsia="宋体" w:cs="宋体"/>
              </w:rPr>
            </w:pPr>
          </w:p>
        </w:tc>
        <w:tc>
          <w:tcPr>
            <w:tcW w:w="1361" w:type="dxa"/>
            <w:vAlign w:val="center"/>
          </w:tcPr>
          <w:p w14:paraId="0DC9CD15">
            <w:pPr>
              <w:spacing w:line="280" w:lineRule="exact"/>
              <w:jc w:val="center"/>
              <w:rPr>
                <w:rFonts w:hint="eastAsia" w:ascii="宋体" w:hAnsi="宋体" w:eastAsia="宋体" w:cs="宋体"/>
              </w:rPr>
            </w:pPr>
          </w:p>
        </w:tc>
        <w:tc>
          <w:tcPr>
            <w:tcW w:w="809" w:type="dxa"/>
            <w:vAlign w:val="center"/>
          </w:tcPr>
          <w:p w14:paraId="11CD48E4">
            <w:pPr>
              <w:spacing w:line="280" w:lineRule="exact"/>
              <w:jc w:val="center"/>
              <w:rPr>
                <w:rFonts w:hint="eastAsia" w:ascii="宋体" w:hAnsi="宋体" w:eastAsia="宋体" w:cs="宋体"/>
              </w:rPr>
            </w:pPr>
          </w:p>
        </w:tc>
        <w:tc>
          <w:tcPr>
            <w:tcW w:w="719" w:type="dxa"/>
            <w:vAlign w:val="center"/>
          </w:tcPr>
          <w:p w14:paraId="0B721764">
            <w:pPr>
              <w:spacing w:line="280" w:lineRule="exact"/>
              <w:jc w:val="center"/>
              <w:rPr>
                <w:rFonts w:hint="eastAsia" w:ascii="宋体" w:hAnsi="宋体" w:eastAsia="宋体" w:cs="宋体"/>
              </w:rPr>
            </w:pPr>
          </w:p>
        </w:tc>
        <w:tc>
          <w:tcPr>
            <w:tcW w:w="914" w:type="dxa"/>
            <w:vAlign w:val="center"/>
          </w:tcPr>
          <w:p w14:paraId="32F81286">
            <w:pPr>
              <w:spacing w:line="280" w:lineRule="exact"/>
              <w:jc w:val="center"/>
              <w:rPr>
                <w:rFonts w:hint="eastAsia" w:ascii="宋体" w:hAnsi="宋体" w:eastAsia="宋体" w:cs="宋体"/>
              </w:rPr>
            </w:pPr>
          </w:p>
        </w:tc>
        <w:tc>
          <w:tcPr>
            <w:tcW w:w="1003" w:type="dxa"/>
            <w:vAlign w:val="center"/>
          </w:tcPr>
          <w:p w14:paraId="71EB652F">
            <w:pPr>
              <w:spacing w:line="280" w:lineRule="exact"/>
              <w:jc w:val="center"/>
              <w:rPr>
                <w:rFonts w:hint="eastAsia" w:ascii="宋体" w:hAnsi="宋体" w:eastAsia="宋体" w:cs="宋体"/>
              </w:rPr>
            </w:pPr>
          </w:p>
        </w:tc>
        <w:tc>
          <w:tcPr>
            <w:tcW w:w="1003" w:type="dxa"/>
            <w:vAlign w:val="center"/>
          </w:tcPr>
          <w:p w14:paraId="6E95B95A">
            <w:pPr>
              <w:spacing w:line="280" w:lineRule="exact"/>
              <w:jc w:val="center"/>
              <w:rPr>
                <w:rFonts w:hint="eastAsia" w:ascii="宋体" w:hAnsi="宋体" w:eastAsia="宋体" w:cs="宋体"/>
              </w:rPr>
            </w:pPr>
          </w:p>
        </w:tc>
        <w:tc>
          <w:tcPr>
            <w:tcW w:w="914" w:type="dxa"/>
            <w:vAlign w:val="center"/>
          </w:tcPr>
          <w:p w14:paraId="00F4A683">
            <w:pPr>
              <w:spacing w:line="280" w:lineRule="exact"/>
              <w:jc w:val="center"/>
              <w:rPr>
                <w:rFonts w:hint="eastAsia" w:ascii="宋体" w:hAnsi="宋体" w:eastAsia="宋体" w:cs="宋体"/>
              </w:rPr>
            </w:pPr>
          </w:p>
        </w:tc>
        <w:tc>
          <w:tcPr>
            <w:tcW w:w="552" w:type="dxa"/>
            <w:vAlign w:val="center"/>
          </w:tcPr>
          <w:p w14:paraId="44A4A9F6">
            <w:pPr>
              <w:spacing w:line="280" w:lineRule="exact"/>
              <w:jc w:val="center"/>
              <w:rPr>
                <w:rFonts w:hint="eastAsia" w:ascii="宋体" w:hAnsi="宋体" w:eastAsia="宋体" w:cs="宋体"/>
              </w:rPr>
            </w:pPr>
          </w:p>
        </w:tc>
      </w:tr>
      <w:tr w14:paraId="70436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66" w:type="dxa"/>
            <w:vAlign w:val="center"/>
          </w:tcPr>
          <w:p w14:paraId="67793BA0">
            <w:pPr>
              <w:spacing w:line="280" w:lineRule="exact"/>
              <w:jc w:val="center"/>
              <w:rPr>
                <w:rFonts w:hint="eastAsia" w:ascii="宋体" w:hAnsi="宋体" w:eastAsia="宋体" w:cs="宋体"/>
              </w:rPr>
            </w:pPr>
          </w:p>
        </w:tc>
        <w:tc>
          <w:tcPr>
            <w:tcW w:w="1125" w:type="dxa"/>
            <w:vAlign w:val="center"/>
          </w:tcPr>
          <w:p w14:paraId="30F151F3">
            <w:pPr>
              <w:spacing w:line="280" w:lineRule="exact"/>
              <w:jc w:val="center"/>
              <w:rPr>
                <w:rFonts w:hint="eastAsia" w:ascii="宋体" w:hAnsi="宋体" w:eastAsia="宋体" w:cs="宋体"/>
              </w:rPr>
            </w:pPr>
          </w:p>
        </w:tc>
        <w:tc>
          <w:tcPr>
            <w:tcW w:w="1361" w:type="dxa"/>
            <w:vAlign w:val="center"/>
          </w:tcPr>
          <w:p w14:paraId="34E1B58A">
            <w:pPr>
              <w:spacing w:line="280" w:lineRule="exact"/>
              <w:jc w:val="center"/>
              <w:rPr>
                <w:rFonts w:hint="eastAsia" w:ascii="宋体" w:hAnsi="宋体" w:eastAsia="宋体" w:cs="宋体"/>
              </w:rPr>
            </w:pPr>
          </w:p>
        </w:tc>
        <w:tc>
          <w:tcPr>
            <w:tcW w:w="809" w:type="dxa"/>
            <w:vAlign w:val="center"/>
          </w:tcPr>
          <w:p w14:paraId="51FE35F0">
            <w:pPr>
              <w:spacing w:line="280" w:lineRule="exact"/>
              <w:jc w:val="center"/>
              <w:rPr>
                <w:rFonts w:hint="eastAsia" w:ascii="宋体" w:hAnsi="宋体" w:eastAsia="宋体" w:cs="宋体"/>
              </w:rPr>
            </w:pPr>
          </w:p>
        </w:tc>
        <w:tc>
          <w:tcPr>
            <w:tcW w:w="719" w:type="dxa"/>
            <w:vAlign w:val="center"/>
          </w:tcPr>
          <w:p w14:paraId="20682AFB">
            <w:pPr>
              <w:spacing w:line="280" w:lineRule="exact"/>
              <w:jc w:val="center"/>
              <w:rPr>
                <w:rFonts w:hint="eastAsia" w:ascii="宋体" w:hAnsi="宋体" w:eastAsia="宋体" w:cs="宋体"/>
              </w:rPr>
            </w:pPr>
          </w:p>
        </w:tc>
        <w:tc>
          <w:tcPr>
            <w:tcW w:w="914" w:type="dxa"/>
            <w:vAlign w:val="center"/>
          </w:tcPr>
          <w:p w14:paraId="57459D26">
            <w:pPr>
              <w:spacing w:line="280" w:lineRule="exact"/>
              <w:jc w:val="center"/>
              <w:rPr>
                <w:rFonts w:hint="eastAsia" w:ascii="宋体" w:hAnsi="宋体" w:eastAsia="宋体" w:cs="宋体"/>
              </w:rPr>
            </w:pPr>
          </w:p>
        </w:tc>
        <w:tc>
          <w:tcPr>
            <w:tcW w:w="1003" w:type="dxa"/>
            <w:vAlign w:val="center"/>
          </w:tcPr>
          <w:p w14:paraId="24AA9CF6">
            <w:pPr>
              <w:spacing w:line="280" w:lineRule="exact"/>
              <w:jc w:val="center"/>
              <w:rPr>
                <w:rFonts w:hint="eastAsia" w:ascii="宋体" w:hAnsi="宋体" w:eastAsia="宋体" w:cs="宋体"/>
              </w:rPr>
            </w:pPr>
          </w:p>
        </w:tc>
        <w:tc>
          <w:tcPr>
            <w:tcW w:w="1003" w:type="dxa"/>
            <w:vAlign w:val="center"/>
          </w:tcPr>
          <w:p w14:paraId="40546142">
            <w:pPr>
              <w:spacing w:line="280" w:lineRule="exact"/>
              <w:jc w:val="center"/>
              <w:rPr>
                <w:rFonts w:hint="eastAsia" w:ascii="宋体" w:hAnsi="宋体" w:eastAsia="宋体" w:cs="宋体"/>
              </w:rPr>
            </w:pPr>
          </w:p>
        </w:tc>
        <w:tc>
          <w:tcPr>
            <w:tcW w:w="914" w:type="dxa"/>
            <w:vAlign w:val="center"/>
          </w:tcPr>
          <w:p w14:paraId="0023FD4B">
            <w:pPr>
              <w:spacing w:line="280" w:lineRule="exact"/>
              <w:jc w:val="center"/>
              <w:rPr>
                <w:rFonts w:hint="eastAsia" w:ascii="宋体" w:hAnsi="宋体" w:eastAsia="宋体" w:cs="宋体"/>
              </w:rPr>
            </w:pPr>
          </w:p>
        </w:tc>
        <w:tc>
          <w:tcPr>
            <w:tcW w:w="552" w:type="dxa"/>
            <w:vAlign w:val="center"/>
          </w:tcPr>
          <w:p w14:paraId="7FB8D154">
            <w:pPr>
              <w:spacing w:line="280" w:lineRule="exact"/>
              <w:jc w:val="center"/>
              <w:rPr>
                <w:rFonts w:hint="eastAsia" w:ascii="宋体" w:hAnsi="宋体" w:eastAsia="宋体" w:cs="宋体"/>
              </w:rPr>
            </w:pPr>
          </w:p>
        </w:tc>
      </w:tr>
      <w:tr w14:paraId="0104B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66" w:type="dxa"/>
            <w:vAlign w:val="center"/>
          </w:tcPr>
          <w:p w14:paraId="65EDCEC2">
            <w:pPr>
              <w:spacing w:line="280" w:lineRule="exact"/>
              <w:jc w:val="center"/>
              <w:rPr>
                <w:rFonts w:hint="eastAsia" w:ascii="宋体" w:hAnsi="宋体" w:eastAsia="宋体" w:cs="宋体"/>
              </w:rPr>
            </w:pPr>
          </w:p>
        </w:tc>
        <w:tc>
          <w:tcPr>
            <w:tcW w:w="1125" w:type="dxa"/>
            <w:vAlign w:val="center"/>
          </w:tcPr>
          <w:p w14:paraId="6F21D4BF">
            <w:pPr>
              <w:spacing w:line="280" w:lineRule="exact"/>
              <w:jc w:val="center"/>
              <w:rPr>
                <w:rFonts w:hint="eastAsia" w:ascii="宋体" w:hAnsi="宋体" w:eastAsia="宋体" w:cs="宋体"/>
              </w:rPr>
            </w:pPr>
          </w:p>
        </w:tc>
        <w:tc>
          <w:tcPr>
            <w:tcW w:w="1361" w:type="dxa"/>
            <w:vAlign w:val="center"/>
          </w:tcPr>
          <w:p w14:paraId="7FEB8F48">
            <w:pPr>
              <w:spacing w:line="280" w:lineRule="exact"/>
              <w:jc w:val="center"/>
              <w:rPr>
                <w:rFonts w:hint="eastAsia" w:ascii="宋体" w:hAnsi="宋体" w:eastAsia="宋体" w:cs="宋体"/>
              </w:rPr>
            </w:pPr>
          </w:p>
        </w:tc>
        <w:tc>
          <w:tcPr>
            <w:tcW w:w="809" w:type="dxa"/>
            <w:vAlign w:val="center"/>
          </w:tcPr>
          <w:p w14:paraId="0AE4AC94">
            <w:pPr>
              <w:spacing w:line="280" w:lineRule="exact"/>
              <w:jc w:val="center"/>
              <w:rPr>
                <w:rFonts w:hint="eastAsia" w:ascii="宋体" w:hAnsi="宋体" w:eastAsia="宋体" w:cs="宋体"/>
              </w:rPr>
            </w:pPr>
          </w:p>
        </w:tc>
        <w:tc>
          <w:tcPr>
            <w:tcW w:w="719" w:type="dxa"/>
            <w:vAlign w:val="center"/>
          </w:tcPr>
          <w:p w14:paraId="01BD6124">
            <w:pPr>
              <w:spacing w:line="280" w:lineRule="exact"/>
              <w:jc w:val="center"/>
              <w:rPr>
                <w:rFonts w:hint="eastAsia" w:ascii="宋体" w:hAnsi="宋体" w:eastAsia="宋体" w:cs="宋体"/>
              </w:rPr>
            </w:pPr>
          </w:p>
        </w:tc>
        <w:tc>
          <w:tcPr>
            <w:tcW w:w="914" w:type="dxa"/>
            <w:vAlign w:val="center"/>
          </w:tcPr>
          <w:p w14:paraId="59445E78">
            <w:pPr>
              <w:spacing w:line="280" w:lineRule="exact"/>
              <w:jc w:val="center"/>
              <w:rPr>
                <w:rFonts w:hint="eastAsia" w:ascii="宋体" w:hAnsi="宋体" w:eastAsia="宋体" w:cs="宋体"/>
              </w:rPr>
            </w:pPr>
          </w:p>
        </w:tc>
        <w:tc>
          <w:tcPr>
            <w:tcW w:w="1003" w:type="dxa"/>
            <w:vAlign w:val="center"/>
          </w:tcPr>
          <w:p w14:paraId="2EE90ADF">
            <w:pPr>
              <w:spacing w:line="280" w:lineRule="exact"/>
              <w:jc w:val="center"/>
              <w:rPr>
                <w:rFonts w:hint="eastAsia" w:ascii="宋体" w:hAnsi="宋体" w:eastAsia="宋体" w:cs="宋体"/>
              </w:rPr>
            </w:pPr>
          </w:p>
        </w:tc>
        <w:tc>
          <w:tcPr>
            <w:tcW w:w="1003" w:type="dxa"/>
            <w:vAlign w:val="center"/>
          </w:tcPr>
          <w:p w14:paraId="3D52DF5C">
            <w:pPr>
              <w:spacing w:line="280" w:lineRule="exact"/>
              <w:jc w:val="center"/>
              <w:rPr>
                <w:rFonts w:hint="eastAsia" w:ascii="宋体" w:hAnsi="宋体" w:eastAsia="宋体" w:cs="宋体"/>
              </w:rPr>
            </w:pPr>
          </w:p>
        </w:tc>
        <w:tc>
          <w:tcPr>
            <w:tcW w:w="914" w:type="dxa"/>
            <w:vAlign w:val="center"/>
          </w:tcPr>
          <w:p w14:paraId="2F4F97CD">
            <w:pPr>
              <w:spacing w:line="280" w:lineRule="exact"/>
              <w:jc w:val="center"/>
              <w:rPr>
                <w:rFonts w:hint="eastAsia" w:ascii="宋体" w:hAnsi="宋体" w:eastAsia="宋体" w:cs="宋体"/>
              </w:rPr>
            </w:pPr>
          </w:p>
        </w:tc>
        <w:tc>
          <w:tcPr>
            <w:tcW w:w="552" w:type="dxa"/>
            <w:vAlign w:val="center"/>
          </w:tcPr>
          <w:p w14:paraId="1B7F62F9">
            <w:pPr>
              <w:spacing w:line="280" w:lineRule="exact"/>
              <w:jc w:val="center"/>
              <w:rPr>
                <w:rFonts w:hint="eastAsia" w:ascii="宋体" w:hAnsi="宋体" w:eastAsia="宋体" w:cs="宋体"/>
              </w:rPr>
            </w:pPr>
          </w:p>
        </w:tc>
      </w:tr>
      <w:tr w14:paraId="64D73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66" w:type="dxa"/>
            <w:vAlign w:val="center"/>
          </w:tcPr>
          <w:p w14:paraId="2D505BC7">
            <w:pPr>
              <w:spacing w:line="280" w:lineRule="exact"/>
              <w:jc w:val="center"/>
              <w:rPr>
                <w:rFonts w:hint="eastAsia" w:ascii="宋体" w:hAnsi="宋体" w:eastAsia="宋体" w:cs="宋体"/>
              </w:rPr>
            </w:pPr>
          </w:p>
        </w:tc>
        <w:tc>
          <w:tcPr>
            <w:tcW w:w="1125" w:type="dxa"/>
            <w:vAlign w:val="center"/>
          </w:tcPr>
          <w:p w14:paraId="7EDDA22E">
            <w:pPr>
              <w:spacing w:line="280" w:lineRule="exact"/>
              <w:jc w:val="center"/>
              <w:rPr>
                <w:rFonts w:hint="eastAsia" w:ascii="宋体" w:hAnsi="宋体" w:eastAsia="宋体" w:cs="宋体"/>
              </w:rPr>
            </w:pPr>
          </w:p>
        </w:tc>
        <w:tc>
          <w:tcPr>
            <w:tcW w:w="1361" w:type="dxa"/>
            <w:vAlign w:val="center"/>
          </w:tcPr>
          <w:p w14:paraId="17A3AF98">
            <w:pPr>
              <w:spacing w:line="280" w:lineRule="exact"/>
              <w:jc w:val="center"/>
              <w:rPr>
                <w:rFonts w:hint="eastAsia" w:ascii="宋体" w:hAnsi="宋体" w:eastAsia="宋体" w:cs="宋体"/>
              </w:rPr>
            </w:pPr>
          </w:p>
        </w:tc>
        <w:tc>
          <w:tcPr>
            <w:tcW w:w="809" w:type="dxa"/>
            <w:vAlign w:val="center"/>
          </w:tcPr>
          <w:p w14:paraId="7D94133C">
            <w:pPr>
              <w:spacing w:line="280" w:lineRule="exact"/>
              <w:jc w:val="center"/>
              <w:rPr>
                <w:rFonts w:hint="eastAsia" w:ascii="宋体" w:hAnsi="宋体" w:eastAsia="宋体" w:cs="宋体"/>
              </w:rPr>
            </w:pPr>
          </w:p>
        </w:tc>
        <w:tc>
          <w:tcPr>
            <w:tcW w:w="719" w:type="dxa"/>
            <w:vAlign w:val="center"/>
          </w:tcPr>
          <w:p w14:paraId="34B2EDC4">
            <w:pPr>
              <w:spacing w:line="280" w:lineRule="exact"/>
              <w:jc w:val="center"/>
              <w:rPr>
                <w:rFonts w:hint="eastAsia" w:ascii="宋体" w:hAnsi="宋体" w:eastAsia="宋体" w:cs="宋体"/>
              </w:rPr>
            </w:pPr>
          </w:p>
        </w:tc>
        <w:tc>
          <w:tcPr>
            <w:tcW w:w="914" w:type="dxa"/>
            <w:vAlign w:val="center"/>
          </w:tcPr>
          <w:p w14:paraId="4F58538A">
            <w:pPr>
              <w:spacing w:line="280" w:lineRule="exact"/>
              <w:jc w:val="center"/>
              <w:rPr>
                <w:rFonts w:hint="eastAsia" w:ascii="宋体" w:hAnsi="宋体" w:eastAsia="宋体" w:cs="宋体"/>
              </w:rPr>
            </w:pPr>
          </w:p>
        </w:tc>
        <w:tc>
          <w:tcPr>
            <w:tcW w:w="1003" w:type="dxa"/>
            <w:vAlign w:val="center"/>
          </w:tcPr>
          <w:p w14:paraId="0A89BF16">
            <w:pPr>
              <w:spacing w:line="280" w:lineRule="exact"/>
              <w:jc w:val="center"/>
              <w:rPr>
                <w:rFonts w:hint="eastAsia" w:ascii="宋体" w:hAnsi="宋体" w:eastAsia="宋体" w:cs="宋体"/>
              </w:rPr>
            </w:pPr>
          </w:p>
        </w:tc>
        <w:tc>
          <w:tcPr>
            <w:tcW w:w="1003" w:type="dxa"/>
            <w:vAlign w:val="center"/>
          </w:tcPr>
          <w:p w14:paraId="61745C52">
            <w:pPr>
              <w:spacing w:line="280" w:lineRule="exact"/>
              <w:jc w:val="center"/>
              <w:rPr>
                <w:rFonts w:hint="eastAsia" w:ascii="宋体" w:hAnsi="宋体" w:eastAsia="宋体" w:cs="宋体"/>
              </w:rPr>
            </w:pPr>
          </w:p>
        </w:tc>
        <w:tc>
          <w:tcPr>
            <w:tcW w:w="914" w:type="dxa"/>
            <w:vAlign w:val="center"/>
          </w:tcPr>
          <w:p w14:paraId="4806B1DF">
            <w:pPr>
              <w:spacing w:line="280" w:lineRule="exact"/>
              <w:jc w:val="center"/>
              <w:rPr>
                <w:rFonts w:hint="eastAsia" w:ascii="宋体" w:hAnsi="宋体" w:eastAsia="宋体" w:cs="宋体"/>
              </w:rPr>
            </w:pPr>
          </w:p>
        </w:tc>
        <w:tc>
          <w:tcPr>
            <w:tcW w:w="552" w:type="dxa"/>
            <w:vAlign w:val="center"/>
          </w:tcPr>
          <w:p w14:paraId="43E28A0F">
            <w:pPr>
              <w:spacing w:line="280" w:lineRule="exact"/>
              <w:jc w:val="center"/>
              <w:rPr>
                <w:rFonts w:hint="eastAsia" w:ascii="宋体" w:hAnsi="宋体" w:eastAsia="宋体" w:cs="宋体"/>
              </w:rPr>
            </w:pPr>
          </w:p>
        </w:tc>
      </w:tr>
      <w:tr w14:paraId="706C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66" w:type="dxa"/>
            <w:vAlign w:val="center"/>
          </w:tcPr>
          <w:p w14:paraId="2F71FE69">
            <w:pPr>
              <w:spacing w:line="280" w:lineRule="exact"/>
              <w:jc w:val="center"/>
              <w:rPr>
                <w:rFonts w:hint="eastAsia" w:ascii="宋体" w:hAnsi="宋体" w:eastAsia="宋体" w:cs="宋体"/>
              </w:rPr>
            </w:pPr>
          </w:p>
        </w:tc>
        <w:tc>
          <w:tcPr>
            <w:tcW w:w="1125" w:type="dxa"/>
            <w:vAlign w:val="center"/>
          </w:tcPr>
          <w:p w14:paraId="4339CFC5">
            <w:pPr>
              <w:spacing w:line="280" w:lineRule="exact"/>
              <w:jc w:val="center"/>
              <w:rPr>
                <w:rFonts w:hint="eastAsia" w:ascii="宋体" w:hAnsi="宋体" w:eastAsia="宋体" w:cs="宋体"/>
              </w:rPr>
            </w:pPr>
          </w:p>
        </w:tc>
        <w:tc>
          <w:tcPr>
            <w:tcW w:w="1361" w:type="dxa"/>
            <w:vAlign w:val="center"/>
          </w:tcPr>
          <w:p w14:paraId="1BE4994D">
            <w:pPr>
              <w:spacing w:line="280" w:lineRule="exact"/>
              <w:jc w:val="center"/>
              <w:rPr>
                <w:rFonts w:hint="eastAsia" w:ascii="宋体" w:hAnsi="宋体" w:eastAsia="宋体" w:cs="宋体"/>
              </w:rPr>
            </w:pPr>
          </w:p>
        </w:tc>
        <w:tc>
          <w:tcPr>
            <w:tcW w:w="809" w:type="dxa"/>
            <w:vAlign w:val="center"/>
          </w:tcPr>
          <w:p w14:paraId="2BD9E58F">
            <w:pPr>
              <w:spacing w:line="280" w:lineRule="exact"/>
              <w:jc w:val="center"/>
              <w:rPr>
                <w:rFonts w:hint="eastAsia" w:ascii="宋体" w:hAnsi="宋体" w:eastAsia="宋体" w:cs="宋体"/>
              </w:rPr>
            </w:pPr>
          </w:p>
        </w:tc>
        <w:tc>
          <w:tcPr>
            <w:tcW w:w="719" w:type="dxa"/>
            <w:vAlign w:val="center"/>
          </w:tcPr>
          <w:p w14:paraId="61485678">
            <w:pPr>
              <w:spacing w:line="280" w:lineRule="exact"/>
              <w:jc w:val="center"/>
              <w:rPr>
                <w:rFonts w:hint="eastAsia" w:ascii="宋体" w:hAnsi="宋体" w:eastAsia="宋体" w:cs="宋体"/>
              </w:rPr>
            </w:pPr>
          </w:p>
        </w:tc>
        <w:tc>
          <w:tcPr>
            <w:tcW w:w="914" w:type="dxa"/>
            <w:vAlign w:val="center"/>
          </w:tcPr>
          <w:p w14:paraId="2F2A2A4A">
            <w:pPr>
              <w:spacing w:line="280" w:lineRule="exact"/>
              <w:jc w:val="center"/>
              <w:rPr>
                <w:rFonts w:hint="eastAsia" w:ascii="宋体" w:hAnsi="宋体" w:eastAsia="宋体" w:cs="宋体"/>
              </w:rPr>
            </w:pPr>
          </w:p>
        </w:tc>
        <w:tc>
          <w:tcPr>
            <w:tcW w:w="1003" w:type="dxa"/>
            <w:vAlign w:val="center"/>
          </w:tcPr>
          <w:p w14:paraId="7FA5138C">
            <w:pPr>
              <w:spacing w:line="280" w:lineRule="exact"/>
              <w:jc w:val="center"/>
              <w:rPr>
                <w:rFonts w:hint="eastAsia" w:ascii="宋体" w:hAnsi="宋体" w:eastAsia="宋体" w:cs="宋体"/>
              </w:rPr>
            </w:pPr>
          </w:p>
        </w:tc>
        <w:tc>
          <w:tcPr>
            <w:tcW w:w="1003" w:type="dxa"/>
            <w:vAlign w:val="center"/>
          </w:tcPr>
          <w:p w14:paraId="7AEBEAAD">
            <w:pPr>
              <w:spacing w:line="280" w:lineRule="exact"/>
              <w:jc w:val="center"/>
              <w:rPr>
                <w:rFonts w:hint="eastAsia" w:ascii="宋体" w:hAnsi="宋体" w:eastAsia="宋体" w:cs="宋体"/>
              </w:rPr>
            </w:pPr>
          </w:p>
        </w:tc>
        <w:tc>
          <w:tcPr>
            <w:tcW w:w="914" w:type="dxa"/>
            <w:vAlign w:val="center"/>
          </w:tcPr>
          <w:p w14:paraId="4796E2C3">
            <w:pPr>
              <w:spacing w:line="280" w:lineRule="exact"/>
              <w:jc w:val="center"/>
              <w:rPr>
                <w:rFonts w:hint="eastAsia" w:ascii="宋体" w:hAnsi="宋体" w:eastAsia="宋体" w:cs="宋体"/>
              </w:rPr>
            </w:pPr>
          </w:p>
        </w:tc>
        <w:tc>
          <w:tcPr>
            <w:tcW w:w="552" w:type="dxa"/>
            <w:vAlign w:val="center"/>
          </w:tcPr>
          <w:p w14:paraId="02862CAF">
            <w:pPr>
              <w:spacing w:line="280" w:lineRule="exact"/>
              <w:jc w:val="center"/>
              <w:rPr>
                <w:rFonts w:hint="eastAsia" w:ascii="宋体" w:hAnsi="宋体" w:eastAsia="宋体" w:cs="宋体"/>
              </w:rPr>
            </w:pPr>
          </w:p>
        </w:tc>
      </w:tr>
      <w:tr w14:paraId="3051B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jc w:val="center"/>
        </w:trPr>
        <w:tc>
          <w:tcPr>
            <w:tcW w:w="666" w:type="dxa"/>
            <w:vAlign w:val="center"/>
          </w:tcPr>
          <w:p w14:paraId="1BFC177F">
            <w:pPr>
              <w:spacing w:line="280" w:lineRule="exact"/>
              <w:jc w:val="center"/>
              <w:rPr>
                <w:rFonts w:hint="eastAsia" w:ascii="宋体" w:hAnsi="宋体" w:eastAsia="宋体" w:cs="宋体"/>
              </w:rPr>
            </w:pPr>
          </w:p>
        </w:tc>
        <w:tc>
          <w:tcPr>
            <w:tcW w:w="1125" w:type="dxa"/>
            <w:vAlign w:val="center"/>
          </w:tcPr>
          <w:p w14:paraId="311E2201">
            <w:pPr>
              <w:spacing w:line="280" w:lineRule="exact"/>
              <w:jc w:val="center"/>
              <w:rPr>
                <w:rFonts w:hint="eastAsia" w:ascii="宋体" w:hAnsi="宋体" w:eastAsia="宋体" w:cs="宋体"/>
              </w:rPr>
            </w:pPr>
          </w:p>
        </w:tc>
        <w:tc>
          <w:tcPr>
            <w:tcW w:w="1361" w:type="dxa"/>
            <w:vAlign w:val="center"/>
          </w:tcPr>
          <w:p w14:paraId="6C0B430C">
            <w:pPr>
              <w:spacing w:line="280" w:lineRule="exact"/>
              <w:jc w:val="center"/>
              <w:rPr>
                <w:rFonts w:hint="eastAsia" w:ascii="宋体" w:hAnsi="宋体" w:eastAsia="宋体" w:cs="宋体"/>
              </w:rPr>
            </w:pPr>
          </w:p>
        </w:tc>
        <w:tc>
          <w:tcPr>
            <w:tcW w:w="809" w:type="dxa"/>
            <w:vAlign w:val="center"/>
          </w:tcPr>
          <w:p w14:paraId="07181687">
            <w:pPr>
              <w:spacing w:line="280" w:lineRule="exact"/>
              <w:jc w:val="center"/>
              <w:rPr>
                <w:rFonts w:hint="eastAsia" w:ascii="宋体" w:hAnsi="宋体" w:eastAsia="宋体" w:cs="宋体"/>
              </w:rPr>
            </w:pPr>
          </w:p>
        </w:tc>
        <w:tc>
          <w:tcPr>
            <w:tcW w:w="719" w:type="dxa"/>
            <w:vAlign w:val="center"/>
          </w:tcPr>
          <w:p w14:paraId="4224F390">
            <w:pPr>
              <w:spacing w:line="280" w:lineRule="exact"/>
              <w:jc w:val="center"/>
              <w:rPr>
                <w:rFonts w:hint="eastAsia" w:ascii="宋体" w:hAnsi="宋体" w:eastAsia="宋体" w:cs="宋体"/>
              </w:rPr>
            </w:pPr>
          </w:p>
        </w:tc>
        <w:tc>
          <w:tcPr>
            <w:tcW w:w="914" w:type="dxa"/>
            <w:vAlign w:val="center"/>
          </w:tcPr>
          <w:p w14:paraId="1EA0AFD5">
            <w:pPr>
              <w:spacing w:line="280" w:lineRule="exact"/>
              <w:jc w:val="center"/>
              <w:rPr>
                <w:rFonts w:hint="eastAsia" w:ascii="宋体" w:hAnsi="宋体" w:eastAsia="宋体" w:cs="宋体"/>
              </w:rPr>
            </w:pPr>
          </w:p>
        </w:tc>
        <w:tc>
          <w:tcPr>
            <w:tcW w:w="1003" w:type="dxa"/>
            <w:vAlign w:val="center"/>
          </w:tcPr>
          <w:p w14:paraId="15865406">
            <w:pPr>
              <w:spacing w:line="280" w:lineRule="exact"/>
              <w:jc w:val="center"/>
              <w:rPr>
                <w:rFonts w:hint="eastAsia" w:ascii="宋体" w:hAnsi="宋体" w:eastAsia="宋体" w:cs="宋体"/>
              </w:rPr>
            </w:pPr>
          </w:p>
        </w:tc>
        <w:tc>
          <w:tcPr>
            <w:tcW w:w="1003" w:type="dxa"/>
            <w:vAlign w:val="center"/>
          </w:tcPr>
          <w:p w14:paraId="5D523542">
            <w:pPr>
              <w:spacing w:line="280" w:lineRule="exact"/>
              <w:jc w:val="center"/>
              <w:rPr>
                <w:rFonts w:hint="eastAsia" w:ascii="宋体" w:hAnsi="宋体" w:eastAsia="宋体" w:cs="宋体"/>
              </w:rPr>
            </w:pPr>
          </w:p>
        </w:tc>
        <w:tc>
          <w:tcPr>
            <w:tcW w:w="914" w:type="dxa"/>
            <w:vAlign w:val="center"/>
          </w:tcPr>
          <w:p w14:paraId="35D1FEF7">
            <w:pPr>
              <w:spacing w:line="280" w:lineRule="exact"/>
              <w:jc w:val="center"/>
              <w:rPr>
                <w:rFonts w:hint="eastAsia" w:ascii="宋体" w:hAnsi="宋体" w:eastAsia="宋体" w:cs="宋体"/>
              </w:rPr>
            </w:pPr>
          </w:p>
        </w:tc>
        <w:tc>
          <w:tcPr>
            <w:tcW w:w="552" w:type="dxa"/>
            <w:vAlign w:val="center"/>
          </w:tcPr>
          <w:p w14:paraId="542F2957">
            <w:pPr>
              <w:spacing w:line="280" w:lineRule="exact"/>
              <w:jc w:val="center"/>
              <w:rPr>
                <w:rFonts w:hint="eastAsia" w:ascii="宋体" w:hAnsi="宋体" w:eastAsia="宋体" w:cs="宋体"/>
              </w:rPr>
            </w:pPr>
          </w:p>
        </w:tc>
      </w:tr>
    </w:tbl>
    <w:p w14:paraId="4B361E16">
      <w:pPr>
        <w:pStyle w:val="3"/>
        <w:tabs>
          <w:tab w:val="left" w:pos="567"/>
        </w:tabs>
        <w:spacing w:line="440" w:lineRule="exact"/>
        <w:ind w:firstLine="420" w:firstLineChars="200"/>
        <w:rPr>
          <w:rFonts w:hint="eastAsia" w:ascii="宋体" w:hAnsi="宋体" w:eastAsia="宋体" w:cs="宋体"/>
          <w:szCs w:val="24"/>
          <w:lang w:eastAsia="zh-CN"/>
        </w:rPr>
        <w:sectPr>
          <w:headerReference r:id="rId10" w:type="default"/>
          <w:footerReference r:id="rId11" w:type="default"/>
          <w:pgSz w:w="11900" w:h="16840"/>
          <w:pgMar w:top="1417" w:right="1304" w:bottom="1417" w:left="1531" w:header="850" w:footer="850" w:gutter="0"/>
          <w:pgNumType w:fmt="decimal"/>
          <w:cols w:space="0" w:num="1"/>
          <w:rtlGutter w:val="0"/>
          <w:docGrid w:linePitch="299" w:charSpace="0"/>
        </w:sectPr>
      </w:pPr>
      <w:r>
        <w:rPr>
          <w:rFonts w:hint="eastAsia" w:ascii="宋体" w:hAnsi="宋体" w:eastAsia="宋体" w:cs="宋体"/>
          <w:szCs w:val="24"/>
          <w:lang w:eastAsia="zh-CN"/>
        </w:rPr>
        <w:t>备注：除合同另有约定外，本表所列发包人供应材料和工程设备的数量不考虑施工损耗，施工损耗被认为已经包括在承包人的参选价格中</w:t>
      </w:r>
    </w:p>
    <w:p w14:paraId="3BC0DE4E">
      <w:pPr>
        <w:spacing w:line="440" w:lineRule="exact"/>
        <w:outlineLvl w:val="1"/>
        <w:rPr>
          <w:rFonts w:hint="eastAsia" w:ascii="宋体" w:hAnsi="宋体" w:eastAsia="宋体" w:cs="宋体"/>
          <w:b w:val="0"/>
          <w:bCs w:val="0"/>
          <w:sz w:val="24"/>
          <w:szCs w:val="24"/>
          <w:lang w:eastAsia="zh-CN"/>
        </w:rPr>
      </w:pPr>
      <w:bookmarkStart w:id="1027" w:name="_Toc189651566"/>
      <w:r>
        <w:rPr>
          <w:rFonts w:hint="eastAsia" w:ascii="宋体" w:hAnsi="宋体" w:eastAsia="宋体" w:cs="宋体"/>
          <w:b w:val="0"/>
          <w:bCs w:val="0"/>
          <w:sz w:val="24"/>
          <w:szCs w:val="24"/>
          <w:lang w:eastAsia="zh-CN"/>
        </w:rPr>
        <w:t>附件四：房屋建筑工程质量保修书</w:t>
      </w:r>
      <w:bookmarkEnd w:id="1027"/>
    </w:p>
    <w:p w14:paraId="64D59BE0">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440" w:lineRule="exact"/>
        <w:jc w:val="center"/>
        <w:textAlignment w:val="baseline"/>
        <w:outlineLvl w:val="9"/>
        <w:rPr>
          <w:rFonts w:hint="eastAsia" w:ascii="宋体" w:hAnsi="宋体" w:eastAsia="宋体" w:cs="宋体"/>
          <w:b w:val="0"/>
          <w:bCs w:val="0"/>
          <w:sz w:val="24"/>
          <w:szCs w:val="24"/>
          <w:lang w:eastAsia="zh-CN"/>
        </w:rPr>
      </w:pPr>
      <w:r>
        <w:rPr>
          <w:rFonts w:hint="eastAsia" w:ascii="宋体" w:hAnsi="宋体" w:eastAsia="宋体" w:cs="宋体"/>
          <w:b/>
          <w:bCs/>
          <w:sz w:val="28"/>
          <w:szCs w:val="28"/>
          <w:lang w:eastAsia="zh-CN"/>
        </w:rPr>
        <w:t>房屋建筑工程质量保修书</w:t>
      </w:r>
    </w:p>
    <w:p w14:paraId="711D3AF6">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发包人：</w:t>
      </w:r>
      <w:r>
        <w:rPr>
          <w:rFonts w:hint="eastAsia" w:ascii="宋体" w:hAnsi="宋体" w:eastAsia="宋体" w:cs="宋体"/>
          <w:sz w:val="24"/>
          <w:szCs w:val="24"/>
          <w:u w:val="single"/>
          <w:lang w:val="en-US" w:eastAsia="zh-CN"/>
        </w:rPr>
        <w:t>北京市东城区人民政府崇文门外街道办事处</w:t>
      </w:r>
    </w:p>
    <w:p w14:paraId="096BED66">
      <w:pPr>
        <w:pStyle w:val="3"/>
        <w:tabs>
          <w:tab w:val="left" w:pos="567"/>
        </w:tabs>
        <w:spacing w:line="440" w:lineRule="exact"/>
        <w:ind w:firstLine="480" w:firstLineChars="200"/>
        <w:rPr>
          <w:rFonts w:hint="eastAsia" w:ascii="宋体" w:hAnsi="宋体" w:eastAsia="宋体" w:cs="宋体"/>
          <w:szCs w:val="24"/>
          <w:lang w:eastAsia="zh-CN"/>
        </w:rPr>
      </w:pPr>
      <w:r>
        <w:rPr>
          <w:rFonts w:hint="eastAsia" w:ascii="宋体" w:hAnsi="宋体" w:eastAsia="宋体" w:cs="宋体"/>
          <w:sz w:val="24"/>
          <w:szCs w:val="24"/>
          <w:lang w:eastAsia="zh-CN"/>
        </w:rPr>
        <w:t>承包人：</w:t>
      </w:r>
      <w:r>
        <w:rPr>
          <w:rFonts w:hint="eastAsia" w:ascii="宋体" w:hAnsi="宋体" w:eastAsia="宋体" w:cs="宋体"/>
          <w:sz w:val="24"/>
          <w:szCs w:val="24"/>
          <w:u w:val="single"/>
          <w:lang w:val="en-US" w:eastAsia="zh-CN"/>
        </w:rPr>
        <w:t>北京市佳恒致远建筑工程有限公司</w:t>
      </w:r>
    </w:p>
    <w:p w14:paraId="0C7F299D">
      <w:pPr>
        <w:spacing w:line="440" w:lineRule="exact"/>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发包人、承包人根据《中华人民共和国建筑法》《建设工程质量管理条例》和《房屋建筑工程质量保修办法》，经协商一致，对</w:t>
      </w:r>
      <w:r>
        <w:rPr>
          <w:rFonts w:hint="eastAsia" w:ascii="宋体" w:hAnsi="宋体" w:eastAsia="宋体" w:cs="宋体"/>
          <w:kern w:val="2"/>
          <w:sz w:val="24"/>
          <w:szCs w:val="24"/>
          <w:u w:val="single"/>
          <w:lang w:val="en-US" w:eastAsia="zh-CN"/>
        </w:rPr>
        <w:t xml:space="preserve"> 两广路（东城段）区域环境整治提升项目-崇文门外街道建筑风貌提升工程 </w:t>
      </w:r>
      <w:r>
        <w:rPr>
          <w:rFonts w:hint="eastAsia" w:ascii="宋体" w:hAnsi="宋体" w:eastAsia="宋体" w:cs="宋体"/>
          <w:kern w:val="2"/>
          <w:sz w:val="24"/>
          <w:szCs w:val="24"/>
          <w:lang w:eastAsia="zh-CN"/>
        </w:rPr>
        <w:t>（工程名称）签订保修书。</w:t>
      </w:r>
    </w:p>
    <w:p w14:paraId="056C316C">
      <w:pPr>
        <w:pStyle w:val="3"/>
        <w:tabs>
          <w:tab w:val="left" w:pos="567"/>
        </w:tabs>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一、工程保修范围和内容</w:t>
      </w:r>
    </w:p>
    <w:p w14:paraId="22B0B75B">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承包人在保修期内，按照有关法律、法规、规章的管理规定和双方约定，承担本工程保修责任。</w:t>
      </w:r>
    </w:p>
    <w:p w14:paraId="7076DD98">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保修责任范围包括地基基础工程、主体结构工程，屋面防水工程、有防水要求的卫生间、房间和外墙面的防渗漏，供热与供冷系统，电气管线、给排水管道、设备安装和装修工程，以及双方约定的其他项目。具体保修的内容 ，双方约定如下：</w:t>
      </w:r>
    </w:p>
    <w:p w14:paraId="06A45CD6">
      <w:pPr>
        <w:pStyle w:val="3"/>
        <w:tabs>
          <w:tab w:val="left" w:pos="567"/>
        </w:tabs>
        <w:spacing w:line="440" w:lineRule="exact"/>
        <w:ind w:firstLine="480" w:firstLineChars="200"/>
        <w:rPr>
          <w:rFonts w:hint="eastAsia" w:ascii="宋体" w:hAnsi="宋体" w:eastAsia="宋体" w:cs="宋体"/>
          <w:sz w:val="24"/>
          <w:szCs w:val="24"/>
          <w:u w:val="single"/>
          <w:lang w:val="en-US" w:eastAsia="zh-CN"/>
        </w:rPr>
      </w:pPr>
      <w:r>
        <w:rPr>
          <w:rFonts w:hint="eastAsia" w:ascii="宋体" w:hAnsi="宋体" w:eastAsia="宋体" w:cs="宋体"/>
          <w:sz w:val="24"/>
          <w:szCs w:val="24"/>
          <w:lang w:eastAsia="zh-CN"/>
        </w:rPr>
        <w:t>包括但不限于</w:t>
      </w:r>
      <w:r>
        <w:rPr>
          <w:rFonts w:hint="eastAsia" w:ascii="宋体" w:hAnsi="宋体" w:eastAsia="宋体" w:cs="宋体"/>
          <w:sz w:val="24"/>
          <w:szCs w:val="24"/>
          <w:u w:val="none"/>
          <w:lang w:eastAsia="zh-CN"/>
        </w:rPr>
        <w:t>：</w:t>
      </w:r>
      <w:r>
        <w:rPr>
          <w:rFonts w:hint="eastAsia" w:ascii="宋体" w:hAnsi="宋体" w:eastAsia="宋体" w:cs="宋体"/>
          <w:sz w:val="24"/>
          <w:szCs w:val="24"/>
          <w:u w:val="single"/>
          <w:lang w:val="en-US" w:eastAsia="zh-CN"/>
        </w:rPr>
        <w:t>图纸范围内包括北京市东城区西花市南里西区9号楼-新景家园9号楼拆除工程、改造工程；北京市东城区西花市南里西区15号楼-新景家园15号楼拆除工程、改造工程；北京市东城区西花市南里西区16号楼-新景家园16号楼拆除工程、改造工程；崇文门外大街地铁口改造工程；崇外街道拆除工程、改造工程，具体详见工程量清单。</w:t>
      </w:r>
    </w:p>
    <w:p w14:paraId="3850CEEA">
      <w:pPr>
        <w:pStyle w:val="3"/>
        <w:tabs>
          <w:tab w:val="left" w:pos="567"/>
        </w:tabs>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二、保修期</w:t>
      </w:r>
    </w:p>
    <w:p w14:paraId="4ACAD0B9">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双方根据《建设工程质量管理条例》及有关规定 ，约定本工程的保修期如下：</w:t>
      </w:r>
    </w:p>
    <w:p w14:paraId="0F1EABCC">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地基基础工程和主体结构工程为设计文件规定的该工程合理使用年限；</w:t>
      </w:r>
    </w:p>
    <w:p w14:paraId="26B15AD9">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屋面防水工程、有防水要求的卫生间、房间和外墙面的防渗漏为</w:t>
      </w:r>
      <w:r>
        <w:rPr>
          <w:rFonts w:hint="eastAsia" w:ascii="宋体" w:hAnsi="宋体" w:eastAsia="宋体" w:cs="宋体"/>
          <w:sz w:val="24"/>
          <w:szCs w:val="24"/>
          <w:u w:val="single"/>
          <w:lang w:eastAsia="zh-CN"/>
        </w:rPr>
        <w:t xml:space="preserve">  5    </w:t>
      </w:r>
      <w:r>
        <w:rPr>
          <w:rFonts w:hint="eastAsia" w:ascii="宋体" w:hAnsi="宋体" w:eastAsia="宋体" w:cs="宋体"/>
          <w:sz w:val="24"/>
          <w:szCs w:val="24"/>
          <w:lang w:eastAsia="zh-CN"/>
        </w:rPr>
        <w:t>年；</w:t>
      </w:r>
    </w:p>
    <w:p w14:paraId="7CF6F0F9">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外窗工程为</w:t>
      </w:r>
      <w:r>
        <w:rPr>
          <w:rFonts w:hint="eastAsia" w:ascii="宋体" w:hAnsi="宋体" w:eastAsia="宋体" w:cs="宋体"/>
          <w:sz w:val="24"/>
          <w:szCs w:val="24"/>
          <w:u w:val="single"/>
          <w:lang w:eastAsia="zh-CN"/>
        </w:rPr>
        <w:t xml:space="preserve">  2    </w:t>
      </w:r>
      <w:r>
        <w:rPr>
          <w:rFonts w:hint="eastAsia" w:ascii="宋体" w:hAnsi="宋体" w:eastAsia="宋体" w:cs="宋体"/>
          <w:sz w:val="24"/>
          <w:szCs w:val="24"/>
          <w:lang w:eastAsia="zh-CN"/>
        </w:rPr>
        <w:t>年 ，外窗防渗漏为</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highlight w:val="none"/>
          <w:u w:val="single"/>
          <w:lang w:eastAsia="zh-CN"/>
        </w:rPr>
        <w:t xml:space="preserve"> 5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年；</w:t>
      </w:r>
    </w:p>
    <w:p w14:paraId="28877EDD">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装修工程为</w:t>
      </w:r>
      <w:r>
        <w:rPr>
          <w:rFonts w:hint="eastAsia" w:ascii="宋体" w:hAnsi="宋体" w:eastAsia="宋体" w:cs="宋体"/>
          <w:sz w:val="24"/>
          <w:szCs w:val="24"/>
          <w:u w:val="single"/>
          <w:lang w:eastAsia="zh-CN"/>
        </w:rPr>
        <w:t xml:space="preserve">  2    </w:t>
      </w:r>
      <w:r>
        <w:rPr>
          <w:rFonts w:hint="eastAsia" w:ascii="宋体" w:hAnsi="宋体" w:eastAsia="宋体" w:cs="宋体"/>
          <w:sz w:val="24"/>
          <w:szCs w:val="24"/>
          <w:lang w:eastAsia="zh-CN"/>
        </w:rPr>
        <w:t>年；</w:t>
      </w:r>
    </w:p>
    <w:p w14:paraId="711AA83E">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电气管线、给排水管道、设备安装工程为</w:t>
      </w:r>
      <w:r>
        <w:rPr>
          <w:rFonts w:hint="eastAsia" w:ascii="宋体" w:hAnsi="宋体" w:eastAsia="宋体" w:cs="宋体"/>
          <w:sz w:val="24"/>
          <w:szCs w:val="24"/>
          <w:u w:val="single"/>
          <w:lang w:eastAsia="zh-CN"/>
        </w:rPr>
        <w:t xml:space="preserve">    2  </w:t>
      </w:r>
      <w:r>
        <w:rPr>
          <w:rFonts w:hint="eastAsia" w:ascii="宋体" w:hAnsi="宋体" w:eastAsia="宋体" w:cs="宋体"/>
          <w:sz w:val="24"/>
          <w:szCs w:val="24"/>
          <w:lang w:eastAsia="zh-CN"/>
        </w:rPr>
        <w:t>年；</w:t>
      </w:r>
    </w:p>
    <w:p w14:paraId="26B54910">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供热与供冷系统为</w:t>
      </w:r>
      <w:r>
        <w:rPr>
          <w:rFonts w:hint="eastAsia" w:ascii="宋体" w:hAnsi="宋体" w:eastAsia="宋体" w:cs="宋体"/>
          <w:sz w:val="24"/>
          <w:szCs w:val="24"/>
          <w:u w:val="single"/>
          <w:lang w:eastAsia="zh-CN"/>
        </w:rPr>
        <w:t xml:space="preserve">  2    </w:t>
      </w:r>
      <w:r>
        <w:rPr>
          <w:rFonts w:hint="eastAsia" w:ascii="宋体" w:hAnsi="宋体" w:eastAsia="宋体" w:cs="宋体"/>
          <w:sz w:val="24"/>
          <w:szCs w:val="24"/>
          <w:lang w:eastAsia="zh-CN"/>
        </w:rPr>
        <w:t>个采暖期、供冷期；</w:t>
      </w:r>
    </w:p>
    <w:p w14:paraId="13C0AC14">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住宅小区内的给排水设施、道路等配套工程为</w:t>
      </w:r>
      <w:r>
        <w:rPr>
          <w:rFonts w:hint="eastAsia" w:ascii="宋体" w:hAnsi="宋体" w:eastAsia="宋体" w:cs="宋体"/>
          <w:sz w:val="24"/>
          <w:szCs w:val="24"/>
          <w:u w:val="single"/>
          <w:lang w:eastAsia="zh-CN"/>
        </w:rPr>
        <w:t xml:space="preserve">    2  </w:t>
      </w:r>
      <w:r>
        <w:rPr>
          <w:rFonts w:hint="eastAsia" w:ascii="宋体" w:hAnsi="宋体" w:eastAsia="宋体" w:cs="宋体"/>
          <w:sz w:val="24"/>
          <w:szCs w:val="24"/>
          <w:lang w:eastAsia="zh-CN"/>
        </w:rPr>
        <w:t>年；</w:t>
      </w:r>
    </w:p>
    <w:p w14:paraId="619636C2">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其他项目保修期限约定如下：</w:t>
      </w:r>
      <w:r>
        <w:rPr>
          <w:rFonts w:hint="eastAsia" w:ascii="宋体" w:hAnsi="宋体" w:eastAsia="宋体" w:cs="宋体"/>
          <w:sz w:val="24"/>
          <w:szCs w:val="24"/>
          <w:u w:val="single"/>
          <w:lang w:eastAsia="zh-CN"/>
        </w:rPr>
        <w:t xml:space="preserve">   /   </w:t>
      </w:r>
      <w:r>
        <w:rPr>
          <w:rFonts w:hint="eastAsia" w:ascii="宋体" w:hAnsi="宋体" w:eastAsia="宋体" w:cs="宋体"/>
          <w:sz w:val="24"/>
          <w:szCs w:val="24"/>
          <w:lang w:eastAsia="zh-CN"/>
        </w:rPr>
        <w:t>。</w:t>
      </w:r>
    </w:p>
    <w:p w14:paraId="5ABF92DB">
      <w:pPr>
        <w:pStyle w:val="3"/>
        <w:tabs>
          <w:tab w:val="left" w:pos="567"/>
        </w:tabs>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三、保修责任</w:t>
      </w:r>
    </w:p>
    <w:p w14:paraId="0271C85C">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1.属于责任范围、内容的项目，承包人应当在接到保修通知之日起7天内派人保修。承包人未在约定的时间内进行修理，或修理后仍未达到合格标准的，发包人可以自行或委托第三方进行修理，费用由承包人承担。</w:t>
      </w:r>
    </w:p>
    <w:p w14:paraId="62201B01">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2.发生紧急抢修事故的，承包人在接到事故通知后，应当立即到达事故现场抢修。</w:t>
      </w:r>
    </w:p>
    <w:p w14:paraId="04B8EE4E">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3.对于涉及结构安全的质量问题，应当按照《房屋建筑工程质量保修办法》的规定 ，立即向当地建设行政主管部门报告，采取安全防范措施；由原设计人或者具有相应资质等级的设计人提出保修方案，承包人实施保修。</w:t>
      </w:r>
    </w:p>
    <w:p w14:paraId="459AD0E5">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4.质量保修完成后，由发包人组织验收。</w:t>
      </w:r>
    </w:p>
    <w:p w14:paraId="5F4CC19F">
      <w:pPr>
        <w:pStyle w:val="3"/>
        <w:tabs>
          <w:tab w:val="left" w:pos="567"/>
        </w:tabs>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四、保修费用</w:t>
      </w:r>
    </w:p>
    <w:p w14:paraId="1EACE833">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保修费用由造成质量缺陷的责任方承担。</w:t>
      </w:r>
    </w:p>
    <w:p w14:paraId="6A54B488">
      <w:pPr>
        <w:pStyle w:val="3"/>
        <w:tabs>
          <w:tab w:val="left" w:pos="567"/>
        </w:tabs>
        <w:spacing w:line="44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五、其他</w:t>
      </w:r>
    </w:p>
    <w:p w14:paraId="4E9EB499">
      <w:pPr>
        <w:pStyle w:val="3"/>
        <w:tabs>
          <w:tab w:val="left" w:pos="567"/>
          <w:tab w:val="left" w:pos="7050"/>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双方约定的其他工程保修责任事项： / 。</w:t>
      </w:r>
    </w:p>
    <w:p w14:paraId="398340B4">
      <w:pPr>
        <w:pStyle w:val="3"/>
        <w:tabs>
          <w:tab w:val="left" w:pos="567"/>
        </w:tabs>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本工程保修书，由施工合同发包人、承包人双方在竣工验收前共同签署，作为施工合同附件，其有效期限至保修期满。</w:t>
      </w:r>
    </w:p>
    <w:p w14:paraId="3141F6EE">
      <w:pPr>
        <w:rPr>
          <w:rFonts w:hint="eastAsia" w:ascii="宋体" w:hAnsi="宋体" w:eastAsia="宋体" w:cs="宋体"/>
          <w:sz w:val="24"/>
          <w:szCs w:val="24"/>
          <w:lang w:eastAsia="zh-CN"/>
        </w:rPr>
      </w:pPr>
    </w:p>
    <w:p w14:paraId="5B1440C6">
      <w:pPr>
        <w:pStyle w:val="2"/>
        <w:rPr>
          <w:rFonts w:hint="eastAsia"/>
          <w:lang w:eastAsia="zh-CN"/>
        </w:rPr>
      </w:pPr>
    </w:p>
    <w:tbl>
      <w:tblPr>
        <w:tblStyle w:val="21"/>
        <w:tblW w:w="0" w:type="auto"/>
        <w:tblInd w:w="13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72"/>
        <w:gridCol w:w="4365"/>
      </w:tblGrid>
      <w:tr w14:paraId="1ECF1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4" w:hRule="atLeast"/>
        </w:trPr>
        <w:tc>
          <w:tcPr>
            <w:tcW w:w="4672" w:type="dxa"/>
            <w:vAlign w:val="top"/>
          </w:tcPr>
          <w:p w14:paraId="2C91D99F">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highlight w:val="yellow"/>
              </w:rPr>
            </w:pPr>
            <w:r>
              <w:rPr>
                <w:rFonts w:hint="eastAsia" w:ascii="宋体" w:hAnsi="宋体" w:eastAsia="宋体" w:cs="宋体"/>
                <w:sz w:val="24"/>
                <w:szCs w:val="24"/>
                <w:highlight w:val="yellow"/>
              </w:rPr>
              <w:t>发包人：</w:t>
            </w:r>
            <w:r>
              <w:rPr>
                <w:rFonts w:hint="eastAsia" w:ascii="宋体" w:hAnsi="宋体" w:eastAsia="宋体" w:cs="宋体"/>
                <w:sz w:val="24"/>
                <w:szCs w:val="24"/>
                <w:highlight w:val="yellow"/>
                <w:lang w:eastAsia="zh-CN"/>
              </w:rPr>
              <w:t>北京市东城区人民政府崇文门外街道办事处</w:t>
            </w:r>
            <w:r>
              <w:rPr>
                <w:rFonts w:hint="eastAsia" w:ascii="宋体" w:hAnsi="宋体" w:eastAsia="宋体" w:cs="宋体"/>
                <w:sz w:val="24"/>
                <w:szCs w:val="24"/>
                <w:highlight w:val="yellow"/>
              </w:rPr>
              <w:t>（公章）</w:t>
            </w:r>
          </w:p>
        </w:tc>
        <w:tc>
          <w:tcPr>
            <w:tcW w:w="4365" w:type="dxa"/>
            <w:vAlign w:val="top"/>
          </w:tcPr>
          <w:p w14:paraId="78D50288">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rPr>
            </w:pPr>
            <w:r>
              <w:rPr>
                <w:rFonts w:hint="eastAsia" w:ascii="宋体" w:hAnsi="宋体" w:eastAsia="宋体" w:cs="宋体"/>
                <w:sz w:val="24"/>
                <w:szCs w:val="24"/>
              </w:rPr>
              <w:t>承包人：</w:t>
            </w:r>
            <w:r>
              <w:rPr>
                <w:rFonts w:hint="eastAsia" w:ascii="宋体" w:hAnsi="宋体" w:eastAsia="宋体" w:cs="宋体"/>
                <w:sz w:val="24"/>
                <w:szCs w:val="24"/>
                <w:u w:val="single"/>
                <w:lang w:eastAsia="zh-CN"/>
              </w:rPr>
              <w:t>北京市佳恒致远建筑工程有限公司</w:t>
            </w:r>
            <w:r>
              <w:rPr>
                <w:rFonts w:hint="eastAsia" w:ascii="宋体" w:hAnsi="宋体" w:eastAsia="宋体" w:cs="宋体"/>
                <w:sz w:val="24"/>
                <w:szCs w:val="24"/>
              </w:rPr>
              <w:t>（公章）</w:t>
            </w:r>
          </w:p>
        </w:tc>
      </w:tr>
      <w:tr w14:paraId="3073C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vAlign w:val="top"/>
          </w:tcPr>
          <w:p w14:paraId="0A5781F1">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highlight w:val="yellow"/>
              </w:rPr>
            </w:pPr>
            <w:r>
              <w:rPr>
                <w:rFonts w:hint="eastAsia" w:ascii="宋体" w:hAnsi="宋体" w:eastAsia="宋体" w:cs="宋体"/>
                <w:sz w:val="24"/>
                <w:szCs w:val="24"/>
                <w:highlight w:val="yellow"/>
              </w:rPr>
              <w:t>法定地址：</w:t>
            </w:r>
            <w:r>
              <w:rPr>
                <w:rFonts w:hint="eastAsia" w:ascii="宋体" w:hAnsi="宋体" w:eastAsia="宋体" w:cs="宋体"/>
                <w:sz w:val="24"/>
                <w:szCs w:val="24"/>
                <w:u w:val="single"/>
                <w:lang w:val="en-US" w:eastAsia="zh-CN"/>
              </w:rPr>
              <w:t xml:space="preserve">      </w:t>
            </w:r>
          </w:p>
        </w:tc>
        <w:tc>
          <w:tcPr>
            <w:tcW w:w="4365" w:type="dxa"/>
            <w:vAlign w:val="top"/>
          </w:tcPr>
          <w:p w14:paraId="5A209EAA">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法定地址：</w:t>
            </w:r>
            <w:r>
              <w:rPr>
                <w:rFonts w:hint="eastAsia" w:ascii="宋体" w:hAnsi="宋体" w:eastAsia="宋体" w:cs="宋体"/>
                <w:sz w:val="24"/>
                <w:szCs w:val="24"/>
                <w:u w:val="single"/>
              </w:rPr>
              <w:t>北京市东城区天坛东里中区6楼迤西</w:t>
            </w:r>
          </w:p>
        </w:tc>
      </w:tr>
      <w:tr w14:paraId="746ED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vAlign w:val="top"/>
          </w:tcPr>
          <w:p w14:paraId="65CE8FC8">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highlight w:val="yellow"/>
                <w:lang w:eastAsia="zh-CN"/>
              </w:rPr>
            </w:pPr>
            <w:r>
              <w:rPr>
                <w:rFonts w:hint="eastAsia" w:ascii="宋体" w:hAnsi="宋体" w:eastAsia="宋体" w:cs="宋体"/>
                <w:sz w:val="24"/>
                <w:szCs w:val="24"/>
                <w:highlight w:val="yellow"/>
                <w:lang w:eastAsia="zh-CN"/>
              </w:rPr>
              <w:t>法定代表人或其</w:t>
            </w:r>
          </w:p>
          <w:p w14:paraId="406EE02C">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highlight w:val="yellow"/>
                <w:lang w:eastAsia="zh-CN"/>
              </w:rPr>
            </w:pPr>
            <w:r>
              <w:rPr>
                <w:rFonts w:hint="eastAsia" w:ascii="宋体" w:hAnsi="宋体" w:eastAsia="宋体" w:cs="宋体"/>
                <w:sz w:val="24"/>
                <w:szCs w:val="24"/>
                <w:highlight w:val="yellow"/>
                <w:lang w:eastAsia="zh-CN"/>
              </w:rPr>
              <w:t>委托代理人：</w:t>
            </w:r>
            <w:r>
              <w:rPr>
                <w:rFonts w:hint="eastAsia" w:ascii="宋体" w:hAnsi="宋体" w:eastAsia="宋体" w:cs="宋体"/>
                <w:sz w:val="24"/>
                <w:szCs w:val="24"/>
                <w:highlight w:val="yellow"/>
                <w:u w:val="single"/>
                <w:lang w:eastAsia="zh-CN"/>
              </w:rPr>
              <w:t xml:space="preserve">             </w:t>
            </w:r>
            <w:r>
              <w:rPr>
                <w:rFonts w:hint="eastAsia" w:ascii="宋体" w:hAnsi="宋体" w:eastAsia="宋体" w:cs="宋体"/>
                <w:sz w:val="24"/>
                <w:szCs w:val="24"/>
                <w:highlight w:val="yellow"/>
                <w:lang w:eastAsia="zh-CN"/>
              </w:rPr>
              <w:t>（签字）</w:t>
            </w:r>
          </w:p>
        </w:tc>
        <w:tc>
          <w:tcPr>
            <w:tcW w:w="4365" w:type="dxa"/>
            <w:vAlign w:val="top"/>
          </w:tcPr>
          <w:p w14:paraId="789ABCC4">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法定代表人或其</w:t>
            </w:r>
          </w:p>
          <w:p w14:paraId="6348A1AA">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委托代理人：</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（签字）</w:t>
            </w:r>
          </w:p>
        </w:tc>
      </w:tr>
      <w:tr w14:paraId="723E0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vAlign w:val="top"/>
          </w:tcPr>
          <w:p w14:paraId="5B48039D">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highlight w:val="yellow"/>
              </w:rPr>
            </w:pPr>
            <w:r>
              <w:rPr>
                <w:rFonts w:hint="eastAsia" w:ascii="宋体" w:hAnsi="宋体" w:eastAsia="宋体" w:cs="宋体"/>
                <w:sz w:val="24"/>
                <w:szCs w:val="24"/>
                <w:highlight w:val="yellow"/>
              </w:rPr>
              <w:t>电话：</w:t>
            </w:r>
            <w:r>
              <w:rPr>
                <w:rFonts w:hint="eastAsia" w:ascii="宋体" w:hAnsi="宋体" w:eastAsia="宋体" w:cs="宋体"/>
                <w:sz w:val="24"/>
                <w:szCs w:val="24"/>
                <w:u w:val="single"/>
                <w:lang w:val="en-US" w:eastAsia="zh-CN"/>
              </w:rPr>
              <w:t xml:space="preserve">      </w:t>
            </w:r>
          </w:p>
        </w:tc>
        <w:tc>
          <w:tcPr>
            <w:tcW w:w="4365" w:type="dxa"/>
            <w:vAlign w:val="top"/>
          </w:tcPr>
          <w:p w14:paraId="74BF8429">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rPr>
            </w:pPr>
            <w:r>
              <w:rPr>
                <w:rFonts w:hint="eastAsia" w:ascii="宋体" w:hAnsi="宋体" w:eastAsia="宋体" w:cs="宋体"/>
                <w:sz w:val="24"/>
                <w:szCs w:val="24"/>
              </w:rPr>
              <w:t>电话：</w:t>
            </w:r>
            <w:r>
              <w:rPr>
                <w:rFonts w:hint="eastAsia" w:ascii="宋体" w:hAnsi="宋体" w:eastAsia="宋体" w:cs="宋体"/>
                <w:sz w:val="24"/>
                <w:szCs w:val="24"/>
                <w:u w:val="single"/>
              </w:rPr>
              <w:t>010-67029866-8002</w:t>
            </w:r>
          </w:p>
        </w:tc>
      </w:tr>
      <w:tr w14:paraId="0179F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vAlign w:val="top"/>
          </w:tcPr>
          <w:p w14:paraId="50E5E1F7">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highlight w:val="yellow"/>
              </w:rPr>
            </w:pPr>
            <w:r>
              <w:rPr>
                <w:rFonts w:hint="eastAsia" w:ascii="宋体" w:hAnsi="宋体" w:eastAsia="宋体" w:cs="宋体"/>
                <w:sz w:val="24"/>
                <w:szCs w:val="24"/>
                <w:highlight w:val="yellow"/>
              </w:rPr>
              <w:t>传真：</w:t>
            </w:r>
            <w:r>
              <w:rPr>
                <w:rFonts w:hint="eastAsia" w:ascii="宋体" w:hAnsi="宋体" w:eastAsia="宋体" w:cs="宋体"/>
                <w:sz w:val="24"/>
                <w:szCs w:val="24"/>
                <w:u w:val="single"/>
                <w:lang w:val="en-US" w:eastAsia="zh-CN"/>
              </w:rPr>
              <w:t xml:space="preserve">      </w:t>
            </w:r>
          </w:p>
        </w:tc>
        <w:tc>
          <w:tcPr>
            <w:tcW w:w="4365" w:type="dxa"/>
            <w:vAlign w:val="top"/>
          </w:tcPr>
          <w:p w14:paraId="1E1AB40C">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rPr>
            </w:pPr>
            <w:r>
              <w:rPr>
                <w:rFonts w:hint="eastAsia" w:ascii="宋体" w:hAnsi="宋体" w:eastAsia="宋体" w:cs="宋体"/>
                <w:sz w:val="24"/>
                <w:szCs w:val="24"/>
              </w:rPr>
              <w:t>传真：</w:t>
            </w:r>
            <w:r>
              <w:rPr>
                <w:rFonts w:hint="eastAsia" w:ascii="宋体" w:hAnsi="宋体" w:eastAsia="宋体" w:cs="宋体"/>
                <w:sz w:val="24"/>
                <w:szCs w:val="24"/>
                <w:u w:val="single"/>
              </w:rPr>
              <w:t>010-67010766</w:t>
            </w:r>
          </w:p>
        </w:tc>
      </w:tr>
      <w:tr w14:paraId="011B5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vAlign w:val="top"/>
          </w:tcPr>
          <w:p w14:paraId="3F48565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highlight w:val="yellow"/>
              </w:rPr>
            </w:pPr>
            <w:r>
              <w:rPr>
                <w:rFonts w:hint="eastAsia" w:ascii="宋体" w:hAnsi="宋体" w:eastAsia="宋体" w:cs="宋体"/>
                <w:sz w:val="24"/>
                <w:szCs w:val="24"/>
                <w:highlight w:val="yellow"/>
              </w:rPr>
              <w:t>电子邮箱：</w:t>
            </w:r>
            <w:r>
              <w:rPr>
                <w:rFonts w:hint="eastAsia" w:ascii="宋体" w:hAnsi="宋体" w:eastAsia="宋体" w:cs="宋体"/>
                <w:sz w:val="24"/>
                <w:szCs w:val="24"/>
                <w:u w:val="single"/>
                <w:lang w:val="en-US" w:eastAsia="zh-CN"/>
              </w:rPr>
              <w:t xml:space="preserve">      </w:t>
            </w:r>
          </w:p>
        </w:tc>
        <w:tc>
          <w:tcPr>
            <w:tcW w:w="4365" w:type="dxa"/>
            <w:vAlign w:val="top"/>
          </w:tcPr>
          <w:p w14:paraId="5524D564">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rPr>
            </w:pPr>
            <w:r>
              <w:rPr>
                <w:rFonts w:hint="eastAsia" w:ascii="宋体" w:hAnsi="宋体" w:eastAsia="宋体" w:cs="宋体"/>
                <w:sz w:val="24"/>
                <w:szCs w:val="24"/>
              </w:rPr>
              <w:t>电子邮箱：</w:t>
            </w:r>
            <w:r>
              <w:rPr>
                <w:rFonts w:hint="eastAsia" w:ascii="宋体" w:hAnsi="宋体" w:eastAsia="宋体" w:cs="宋体"/>
                <w:sz w:val="24"/>
                <w:szCs w:val="24"/>
                <w:u w:val="single"/>
              </w:rPr>
              <w:t>30530305@qq.com</w:t>
            </w:r>
          </w:p>
        </w:tc>
      </w:tr>
      <w:tr w14:paraId="5C3F8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vAlign w:val="top"/>
          </w:tcPr>
          <w:p w14:paraId="1044EE93">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highlight w:val="yellow"/>
              </w:rPr>
            </w:pPr>
            <w:r>
              <w:rPr>
                <w:rFonts w:hint="eastAsia" w:ascii="宋体" w:hAnsi="宋体" w:eastAsia="宋体" w:cs="宋体"/>
                <w:sz w:val="24"/>
                <w:szCs w:val="24"/>
                <w:highlight w:val="yellow"/>
              </w:rPr>
              <w:t>开户银行：</w:t>
            </w:r>
            <w:r>
              <w:rPr>
                <w:rFonts w:hint="eastAsia" w:ascii="宋体" w:hAnsi="宋体" w:eastAsia="宋体" w:cs="宋体"/>
                <w:sz w:val="24"/>
                <w:szCs w:val="24"/>
                <w:u w:val="single"/>
                <w:lang w:val="en-US" w:eastAsia="zh-CN"/>
              </w:rPr>
              <w:t xml:space="preserve">      </w:t>
            </w:r>
          </w:p>
        </w:tc>
        <w:tc>
          <w:tcPr>
            <w:tcW w:w="4365" w:type="dxa"/>
            <w:vAlign w:val="top"/>
          </w:tcPr>
          <w:p w14:paraId="3F813E4B">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firstLine="0" w:firstLineChars="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开户银行：</w:t>
            </w:r>
            <w:r>
              <w:rPr>
                <w:rFonts w:hint="eastAsia" w:ascii="宋体" w:hAnsi="宋体" w:eastAsia="宋体" w:cs="宋体"/>
                <w:sz w:val="24"/>
                <w:szCs w:val="24"/>
                <w:u w:val="single"/>
              </w:rPr>
              <w:t>中国工商银行股份有限公司北京天坛东路支行</w:t>
            </w:r>
          </w:p>
        </w:tc>
      </w:tr>
      <w:tr w14:paraId="2BF3A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vAlign w:val="top"/>
          </w:tcPr>
          <w:p w14:paraId="0D2E5127">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highlight w:val="yellow"/>
              </w:rPr>
            </w:pPr>
            <w:r>
              <w:rPr>
                <w:rFonts w:hint="eastAsia" w:ascii="宋体" w:hAnsi="宋体" w:eastAsia="宋体" w:cs="宋体"/>
                <w:sz w:val="24"/>
                <w:szCs w:val="24"/>
                <w:highlight w:val="yellow"/>
              </w:rPr>
              <w:t>账号：</w:t>
            </w:r>
            <w:r>
              <w:rPr>
                <w:rFonts w:hint="eastAsia" w:ascii="宋体" w:hAnsi="宋体" w:eastAsia="宋体" w:cs="宋体"/>
                <w:sz w:val="24"/>
                <w:szCs w:val="24"/>
                <w:u w:val="single"/>
                <w:lang w:val="en-US" w:eastAsia="zh-CN"/>
              </w:rPr>
              <w:t xml:space="preserve">      </w:t>
            </w:r>
          </w:p>
        </w:tc>
        <w:tc>
          <w:tcPr>
            <w:tcW w:w="4365" w:type="dxa"/>
            <w:vAlign w:val="top"/>
          </w:tcPr>
          <w:p w14:paraId="44EBFA71">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账号：</w:t>
            </w:r>
            <w:r>
              <w:rPr>
                <w:rFonts w:hint="eastAsia" w:ascii="宋体" w:hAnsi="宋体" w:eastAsia="宋体" w:cs="宋体"/>
                <w:sz w:val="24"/>
                <w:szCs w:val="24"/>
                <w:u w:val="single"/>
              </w:rPr>
              <w:t>0200212609024506494</w:t>
            </w:r>
          </w:p>
        </w:tc>
      </w:tr>
      <w:tr w14:paraId="5438E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4672" w:type="dxa"/>
            <w:vAlign w:val="top"/>
          </w:tcPr>
          <w:p w14:paraId="3C6184CD">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highlight w:val="yellow"/>
              </w:rPr>
            </w:pPr>
            <w:r>
              <w:rPr>
                <w:rFonts w:hint="eastAsia" w:ascii="宋体" w:hAnsi="宋体" w:eastAsia="宋体" w:cs="宋体"/>
                <w:sz w:val="24"/>
                <w:szCs w:val="24"/>
                <w:highlight w:val="yellow"/>
              </w:rPr>
              <w:t>邮政编码：</w:t>
            </w:r>
            <w:r>
              <w:rPr>
                <w:rFonts w:hint="eastAsia" w:ascii="宋体" w:hAnsi="宋体" w:eastAsia="宋体" w:cs="宋体"/>
                <w:sz w:val="24"/>
                <w:szCs w:val="24"/>
                <w:u w:val="single"/>
                <w:lang w:val="en-US" w:eastAsia="zh-CN"/>
              </w:rPr>
              <w:t xml:space="preserve">      </w:t>
            </w:r>
          </w:p>
        </w:tc>
        <w:tc>
          <w:tcPr>
            <w:tcW w:w="4365" w:type="dxa"/>
            <w:vAlign w:val="top"/>
          </w:tcPr>
          <w:p w14:paraId="043083B1">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邮政编码：</w:t>
            </w:r>
            <w:r>
              <w:rPr>
                <w:rFonts w:hint="eastAsia" w:ascii="宋体" w:hAnsi="宋体" w:eastAsia="宋体" w:cs="宋体"/>
                <w:sz w:val="24"/>
                <w:szCs w:val="24"/>
                <w:u w:val="single"/>
                <w:lang w:eastAsia="zh-CN"/>
              </w:rPr>
              <w:t>100061</w:t>
            </w:r>
          </w:p>
        </w:tc>
      </w:tr>
    </w:tbl>
    <w:p w14:paraId="25269784">
      <w:pPr>
        <w:pStyle w:val="49"/>
        <w:spacing w:before="0" w:after="120" w:afterLines="50" w:line="300" w:lineRule="auto"/>
        <w:jc w:val="center"/>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Cs w:val="24"/>
        </w:rPr>
        <w:br w:type="page"/>
      </w:r>
    </w:p>
    <w:p w14:paraId="548F6411">
      <w:pPr>
        <w:spacing w:line="440" w:lineRule="exact"/>
        <w:outlineLvl w:val="1"/>
        <w:rPr>
          <w:rFonts w:hint="eastAsia" w:ascii="宋体" w:hAnsi="宋体" w:eastAsia="宋体" w:cs="宋体"/>
          <w:b w:val="0"/>
          <w:bCs w:val="0"/>
          <w:sz w:val="24"/>
          <w:szCs w:val="24"/>
          <w:lang w:eastAsia="zh-CN"/>
        </w:rPr>
      </w:pPr>
      <w:bookmarkStart w:id="1028" w:name="_Toc241459758"/>
      <w:bookmarkStart w:id="1029" w:name="_Toc342296517"/>
      <w:bookmarkStart w:id="1030" w:name="_Toc407610007"/>
      <w:bookmarkStart w:id="1031" w:name="_Toc111445503"/>
      <w:r>
        <w:rPr>
          <w:rFonts w:hint="eastAsia" w:ascii="宋体" w:hAnsi="宋体" w:eastAsia="宋体" w:cs="宋体"/>
          <w:b w:val="0"/>
          <w:bCs w:val="0"/>
          <w:sz w:val="24"/>
          <w:szCs w:val="24"/>
          <w:lang w:eastAsia="zh-CN"/>
        </w:rPr>
        <w:t>附件五：廉政责任书格式</w:t>
      </w:r>
      <w:bookmarkEnd w:id="1028"/>
      <w:bookmarkEnd w:id="1029"/>
      <w:bookmarkEnd w:id="1030"/>
    </w:p>
    <w:p w14:paraId="154FE758">
      <w:pPr>
        <w:keepNext w:val="0"/>
        <w:keepLines w:val="0"/>
        <w:pageBreakBefore w:val="0"/>
        <w:widowControl/>
        <w:kinsoku w:val="0"/>
        <w:wordWrap/>
        <w:overflowPunct/>
        <w:topLinePunct w:val="0"/>
        <w:autoSpaceDE w:val="0"/>
        <w:autoSpaceDN w:val="0"/>
        <w:bidi w:val="0"/>
        <w:adjustRightInd w:val="0"/>
        <w:snapToGrid w:val="0"/>
        <w:spacing w:before="0" w:beforeLines="100" w:after="0" w:afterLines="100" w:line="440" w:lineRule="exact"/>
        <w:jc w:val="center"/>
        <w:textAlignment w:val="baseline"/>
        <w:outlineLvl w:val="9"/>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建设工程廉政责任书</w:t>
      </w:r>
      <w:bookmarkEnd w:id="1031"/>
    </w:p>
    <w:p w14:paraId="356AE0A7">
      <w:pPr>
        <w:spacing w:line="360" w:lineRule="auto"/>
        <w:ind w:firstLine="480" w:firstLineChars="200"/>
        <w:outlineLvl w:val="9"/>
        <w:rPr>
          <w:rFonts w:hint="eastAsia" w:ascii="宋体" w:hAnsi="宋体" w:eastAsia="宋体" w:cs="宋体"/>
          <w:color w:val="000000" w:themeColor="text1"/>
          <w:sz w:val="24"/>
          <w:u w:val="single"/>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发包人：</w:t>
      </w:r>
      <w:r>
        <w:rPr>
          <w:rFonts w:hint="eastAsia" w:ascii="宋体" w:hAnsi="宋体" w:eastAsia="宋体" w:cs="宋体"/>
          <w:color w:val="000000" w:themeColor="text1"/>
          <w:sz w:val="24"/>
          <w:u w:val="single"/>
          <w:lang w:eastAsia="zh-CN"/>
          <w14:textFill>
            <w14:solidFill>
              <w14:schemeClr w14:val="tx1"/>
            </w14:solidFill>
          </w14:textFill>
        </w:rPr>
        <w:t>北京市东城区人民政府崇文门外街道办事处</w:t>
      </w:r>
    </w:p>
    <w:p w14:paraId="60393DA8">
      <w:pPr>
        <w:spacing w:line="360" w:lineRule="auto"/>
        <w:ind w:firstLine="480" w:firstLineChars="200"/>
        <w:outlineLvl w:val="9"/>
        <w:rPr>
          <w:rFonts w:hint="eastAsia" w:ascii="宋体" w:hAnsi="宋体" w:eastAsia="宋体" w:cs="宋体"/>
          <w:color w:val="000000" w:themeColor="text1"/>
          <w:sz w:val="24"/>
          <w:u w:val="single"/>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承包人：</w:t>
      </w:r>
      <w:r>
        <w:rPr>
          <w:rFonts w:hint="eastAsia" w:ascii="宋体" w:hAnsi="宋体" w:eastAsia="宋体" w:cs="宋体"/>
          <w:color w:val="000000" w:themeColor="text1"/>
          <w:sz w:val="24"/>
          <w:u w:val="single"/>
          <w:lang w:eastAsia="zh-CN"/>
          <w14:textFill>
            <w14:solidFill>
              <w14:schemeClr w14:val="tx1"/>
            </w14:solidFill>
          </w14:textFill>
        </w:rPr>
        <w:t>北京市佳恒致远建筑工程有限公司</w:t>
      </w:r>
    </w:p>
    <w:p w14:paraId="2C2AE65C">
      <w:pPr>
        <w:pStyle w:val="2"/>
        <w:rPr>
          <w:rFonts w:hint="eastAsia"/>
          <w:lang w:eastAsia="zh-CN"/>
        </w:rPr>
      </w:pPr>
    </w:p>
    <w:p w14:paraId="0EFF51D1">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73F27519">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bookmarkStart w:id="1032" w:name="_Toc407610008"/>
      <w:bookmarkStart w:id="1033" w:name="_Toc407181347"/>
      <w:bookmarkStart w:id="1034" w:name="_Toc111445504"/>
      <w:bookmarkStart w:id="1035" w:name="_Toc32003"/>
      <w:bookmarkStart w:id="1036" w:name="_Toc407290614"/>
      <w:bookmarkStart w:id="1037" w:name="_Toc406754059"/>
      <w:r>
        <w:rPr>
          <w:rFonts w:hint="eastAsia" w:ascii="宋体" w:hAnsi="宋体" w:eastAsia="宋体" w:cs="宋体"/>
          <w:color w:val="000000" w:themeColor="text1"/>
          <w:sz w:val="24"/>
          <w:lang w:eastAsia="zh-CN"/>
          <w14:textFill>
            <w14:solidFill>
              <w14:schemeClr w14:val="tx1"/>
            </w14:solidFill>
          </w14:textFill>
        </w:rPr>
        <w:t>一、双方的责任</w:t>
      </w:r>
      <w:bookmarkEnd w:id="1032"/>
      <w:bookmarkEnd w:id="1033"/>
      <w:bookmarkEnd w:id="1034"/>
      <w:bookmarkEnd w:id="1035"/>
      <w:bookmarkEnd w:id="1036"/>
      <w:bookmarkEnd w:id="1037"/>
    </w:p>
    <w:p w14:paraId="3783266F">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1.1 应严格遵守国家关于建设工程的有关法律、法规，相关政策，以及廉政建设的各项规定。</w:t>
      </w:r>
    </w:p>
    <w:p w14:paraId="3D664EF6">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1.2 严格执行建设工程合同文件，自觉按合同办事。</w:t>
      </w:r>
    </w:p>
    <w:p w14:paraId="18EFF6A8">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1.3 各项活动必须坚持公开、公平、公正、诚信、透明的原则（除法律法规另有规定者外），不得为获取不正当的利益，损害国家、集体和对方利益，不得违反建设工程管理的规章制度。</w:t>
      </w:r>
    </w:p>
    <w:p w14:paraId="48D642DA">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1.4 发现对方在业务活动中有违规、违纪、违法行为的，应及时提醒对方，情节严重的，应向其上级主管部门或纪检监察、司法等有关机关举报。</w:t>
      </w:r>
    </w:p>
    <w:p w14:paraId="5ECF8B65">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bookmarkStart w:id="1038" w:name="_Toc111445505"/>
      <w:bookmarkStart w:id="1039" w:name="_Toc406754060"/>
      <w:bookmarkStart w:id="1040" w:name="_Toc407610009"/>
      <w:bookmarkStart w:id="1041" w:name="_Toc407181348"/>
      <w:bookmarkStart w:id="1042" w:name="_Toc18860"/>
      <w:bookmarkStart w:id="1043" w:name="_Toc407290615"/>
      <w:r>
        <w:rPr>
          <w:rFonts w:hint="eastAsia" w:ascii="宋体" w:hAnsi="宋体" w:eastAsia="宋体" w:cs="宋体"/>
          <w:color w:val="000000" w:themeColor="text1"/>
          <w:sz w:val="24"/>
          <w:lang w:eastAsia="zh-CN"/>
          <w14:textFill>
            <w14:solidFill>
              <w14:schemeClr w14:val="tx1"/>
            </w14:solidFill>
          </w14:textFill>
        </w:rPr>
        <w:t>二、发包人责任</w:t>
      </w:r>
      <w:bookmarkEnd w:id="1038"/>
      <w:bookmarkEnd w:id="1039"/>
      <w:bookmarkEnd w:id="1040"/>
      <w:bookmarkEnd w:id="1041"/>
      <w:bookmarkEnd w:id="1042"/>
      <w:bookmarkEnd w:id="1043"/>
    </w:p>
    <w:p w14:paraId="5B23989A">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发包人的领导和从事该建设工程项目的工作人员，在工程建设的事前、事中、事后应遵守以下规定：</w:t>
      </w:r>
    </w:p>
    <w:p w14:paraId="7FA22FE5">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2.1不得向承包人和相关单位索要或接受回扣、礼金、有价证券、贵重物品和好处费、感谢费等。</w:t>
      </w:r>
    </w:p>
    <w:p w14:paraId="0C14703C">
      <w:pPr>
        <w:spacing w:line="360" w:lineRule="auto"/>
        <w:outlineLvl w:val="9"/>
        <w:rPr>
          <w:rFonts w:hint="eastAsia" w:ascii="宋体" w:hAnsi="宋体" w:eastAsia="宋体" w:cs="宋体"/>
          <w:color w:val="000000" w:themeColor="text1"/>
          <w:sz w:val="24"/>
          <w:lang w:eastAsia="zh-CN"/>
          <w14:textFill>
            <w14:solidFill>
              <w14:schemeClr w14:val="tx1"/>
            </w14:solidFill>
          </w14:textFill>
        </w:rPr>
      </w:pPr>
      <w:bookmarkStart w:id="1044" w:name="_Toc407290616"/>
      <w:bookmarkStart w:id="1045" w:name="_Toc15687"/>
      <w:bookmarkStart w:id="1046" w:name="_Toc407181349"/>
      <w:bookmarkStart w:id="1047" w:name="_Toc407610010"/>
      <w:bookmarkStart w:id="1048" w:name="_Toc406754061"/>
      <w:r>
        <w:rPr>
          <w:rFonts w:hint="eastAsia" w:ascii="宋体" w:hAnsi="宋体" w:eastAsia="宋体" w:cs="宋体"/>
          <w:color w:val="000000" w:themeColor="text1"/>
          <w:sz w:val="24"/>
          <w:lang w:eastAsia="zh-CN"/>
          <w14:textFill>
            <w14:solidFill>
              <w14:schemeClr w14:val="tx1"/>
            </w14:solidFill>
          </w14:textFill>
        </w:rPr>
        <w:t>2.2 不得在承包人和相关单位报销任何应由发包人或个人支付的费用。</w:t>
      </w:r>
      <w:bookmarkEnd w:id="1044"/>
      <w:bookmarkEnd w:id="1045"/>
      <w:bookmarkEnd w:id="1046"/>
      <w:bookmarkEnd w:id="1047"/>
      <w:bookmarkEnd w:id="1048"/>
    </w:p>
    <w:p w14:paraId="07227402">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2.3 不得要求、暗示或接受承包人和相关单位为个人装修住房、婚丧嫁娶、配偶子女的工作安排以及出国（境）、旅游等提供方便。</w:t>
      </w:r>
    </w:p>
    <w:p w14:paraId="4FC92BC5">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2.4 不得参加有可能影响公正执行公务的承包人和相关单位的宴请、健身、娱乐等活动。</w:t>
      </w:r>
    </w:p>
    <w:p w14:paraId="73A1037F">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2.5 不得向承包人和相关单位介绍或为配偶、子女、亲属参与同发包人工程建设管理合同有关的业务活动；不得以任何理由要求承包人和相关单位使用某种产品、材料和设备。</w:t>
      </w:r>
    </w:p>
    <w:p w14:paraId="031024AA">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bookmarkStart w:id="1049" w:name="_Toc19045"/>
      <w:bookmarkStart w:id="1050" w:name="_Toc407181350"/>
      <w:bookmarkStart w:id="1051" w:name="_Toc111445506"/>
      <w:bookmarkStart w:id="1052" w:name="_Toc407290617"/>
      <w:bookmarkStart w:id="1053" w:name="_Toc407610011"/>
      <w:bookmarkStart w:id="1054" w:name="_Toc406754062"/>
      <w:r>
        <w:rPr>
          <w:rFonts w:hint="eastAsia" w:ascii="宋体" w:hAnsi="宋体" w:eastAsia="宋体" w:cs="宋体"/>
          <w:color w:val="000000" w:themeColor="text1"/>
          <w:sz w:val="24"/>
          <w:lang w:eastAsia="zh-CN"/>
          <w14:textFill>
            <w14:solidFill>
              <w14:schemeClr w14:val="tx1"/>
            </w14:solidFill>
          </w14:textFill>
        </w:rPr>
        <w:t>三、承包人责任</w:t>
      </w:r>
      <w:bookmarkEnd w:id="1049"/>
      <w:bookmarkEnd w:id="1050"/>
      <w:bookmarkEnd w:id="1051"/>
      <w:bookmarkEnd w:id="1052"/>
      <w:bookmarkEnd w:id="1053"/>
      <w:bookmarkEnd w:id="1054"/>
    </w:p>
    <w:p w14:paraId="1D5B353F">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应与发包人保持正常的业务交往，按照有关法律法规和程序开展业务工作，严格执行工程建设的有关方针、政策，执行工程建设强制性标准，并遵守以下规定：</w:t>
      </w:r>
    </w:p>
    <w:p w14:paraId="4F16812A">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3.1 不得以任何理由向发包人及其工作人员索要、接受或赠送礼金、有价证券、贵重物品及回扣、好处费、感谢费等。</w:t>
      </w:r>
    </w:p>
    <w:p w14:paraId="2D65F97B">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3.2不得以任何理由为发包人和相关单位报销应由对方或个人支付的费用。</w:t>
      </w:r>
    </w:p>
    <w:p w14:paraId="3C20B9A0">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3.3不得接受或暗示为发包人、相关单位或个人装修住房、婚丧嫁娶、配偶子女的工作安排以及出国（境）、旅游等提供方便。</w:t>
      </w:r>
    </w:p>
    <w:p w14:paraId="4E7E1613">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3.4不得以任何理由为发包人、相关单位或个人组织有可能影响公正执行公务的宴请、健身、娱乐等活动。</w:t>
      </w:r>
    </w:p>
    <w:p w14:paraId="5621C6C5">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bookmarkStart w:id="1055" w:name="_Toc407610012"/>
      <w:bookmarkStart w:id="1056" w:name="_Toc24738"/>
      <w:bookmarkStart w:id="1057" w:name="_Toc111445507"/>
      <w:bookmarkStart w:id="1058" w:name="_Toc407290618"/>
      <w:bookmarkStart w:id="1059" w:name="_Toc406754063"/>
      <w:bookmarkStart w:id="1060" w:name="_Toc407181351"/>
      <w:r>
        <w:rPr>
          <w:rFonts w:hint="eastAsia" w:ascii="宋体" w:hAnsi="宋体" w:eastAsia="宋体" w:cs="宋体"/>
          <w:color w:val="000000" w:themeColor="text1"/>
          <w:sz w:val="24"/>
          <w:lang w:eastAsia="zh-CN"/>
          <w14:textFill>
            <w14:solidFill>
              <w14:schemeClr w14:val="tx1"/>
            </w14:solidFill>
          </w14:textFill>
        </w:rPr>
        <w:t>四、违约责任</w:t>
      </w:r>
      <w:bookmarkEnd w:id="1055"/>
      <w:bookmarkEnd w:id="1056"/>
      <w:bookmarkEnd w:id="1057"/>
      <w:bookmarkEnd w:id="1058"/>
      <w:bookmarkEnd w:id="1059"/>
      <w:bookmarkEnd w:id="1060"/>
    </w:p>
    <w:p w14:paraId="68D354AC">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4.1发包人工作人员有违反本责任书第一、二条责任行为的，依据有关法律、法规给予处理；涉嫌犯罪的，移交司法机关追究刑事责任；给承包人单位造成经济损失的，应予以赔偿。</w:t>
      </w:r>
    </w:p>
    <w:p w14:paraId="0E6433E9">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4.2 承包人工作人员有违反本责任书第一、三条责任行为的，依据有关法律法规处理；涉嫌犯罪的，移交司法机关追究刑事责任；给发包人单位造成经济损失的，应予以赔偿。</w:t>
      </w:r>
    </w:p>
    <w:p w14:paraId="35283AED">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4.3 本责任书作为建设工程合同的组成部分，与建设工程合同具有同等法律效力。经双方签署后立即生效。</w:t>
      </w:r>
    </w:p>
    <w:p w14:paraId="6369624C">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bookmarkStart w:id="1061" w:name="_Toc407610013"/>
      <w:bookmarkStart w:id="1062" w:name="_Toc407181352"/>
      <w:bookmarkStart w:id="1063" w:name="_Toc111445508"/>
      <w:bookmarkStart w:id="1064" w:name="_Toc17481"/>
      <w:bookmarkStart w:id="1065" w:name="_Toc406754064"/>
      <w:bookmarkStart w:id="1066" w:name="_Toc407290619"/>
      <w:r>
        <w:rPr>
          <w:rFonts w:hint="eastAsia" w:ascii="宋体" w:hAnsi="宋体" w:eastAsia="宋体" w:cs="宋体"/>
          <w:color w:val="000000" w:themeColor="text1"/>
          <w:sz w:val="24"/>
          <w:lang w:eastAsia="zh-CN"/>
          <w14:textFill>
            <w14:solidFill>
              <w14:schemeClr w14:val="tx1"/>
            </w14:solidFill>
          </w14:textFill>
        </w:rPr>
        <w:t>五、责任书有效期</w:t>
      </w:r>
      <w:bookmarkEnd w:id="1061"/>
      <w:bookmarkEnd w:id="1062"/>
      <w:bookmarkEnd w:id="1063"/>
      <w:bookmarkEnd w:id="1064"/>
      <w:bookmarkEnd w:id="1065"/>
      <w:bookmarkEnd w:id="1066"/>
    </w:p>
    <w:p w14:paraId="5CECF365">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本责任书的有效期为双方签署之日起至该工程项目竣工验收合格时止。</w:t>
      </w:r>
    </w:p>
    <w:p w14:paraId="09425837">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bookmarkStart w:id="1067" w:name="_Toc406754065"/>
      <w:bookmarkStart w:id="1068" w:name="_Toc10992"/>
      <w:bookmarkStart w:id="1069" w:name="_Toc407290620"/>
      <w:bookmarkStart w:id="1070" w:name="_Toc111445509"/>
      <w:bookmarkStart w:id="1071" w:name="_Toc407181353"/>
      <w:bookmarkStart w:id="1072" w:name="_Toc407610014"/>
      <w:r>
        <w:rPr>
          <w:rFonts w:hint="eastAsia" w:ascii="宋体" w:hAnsi="宋体" w:eastAsia="宋体" w:cs="宋体"/>
          <w:color w:val="000000" w:themeColor="text1"/>
          <w:sz w:val="24"/>
          <w:lang w:eastAsia="zh-CN"/>
          <w14:textFill>
            <w14:solidFill>
              <w14:schemeClr w14:val="tx1"/>
            </w14:solidFill>
          </w14:textFill>
        </w:rPr>
        <w:t>六、责任书份数</w:t>
      </w:r>
      <w:bookmarkEnd w:id="1067"/>
      <w:bookmarkEnd w:id="1068"/>
      <w:bookmarkEnd w:id="1069"/>
      <w:bookmarkEnd w:id="1070"/>
      <w:bookmarkEnd w:id="1071"/>
      <w:bookmarkEnd w:id="1072"/>
    </w:p>
    <w:p w14:paraId="513EE662">
      <w:pPr>
        <w:spacing w:line="360" w:lineRule="auto"/>
        <w:ind w:firstLine="480" w:firstLineChars="200"/>
        <w:outlineLvl w:val="9"/>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本责任书一式二份，发包人承包人各执一份，具有同等效力。</w:t>
      </w:r>
    </w:p>
    <w:p w14:paraId="17F13D1F">
      <w:pPr>
        <w:spacing w:line="480" w:lineRule="auto"/>
        <w:ind w:firstLine="480" w:firstLineChars="200"/>
        <w:rPr>
          <w:rFonts w:hint="eastAsia" w:ascii="宋体" w:hAnsi="宋体" w:eastAsia="宋体" w:cs="宋体"/>
          <w:color w:val="000000" w:themeColor="text1"/>
          <w:sz w:val="24"/>
          <w:lang w:eastAsia="zh-CN"/>
          <w14:textFill>
            <w14:solidFill>
              <w14:schemeClr w14:val="tx1"/>
            </w14:solidFill>
          </w14:textFill>
        </w:rPr>
      </w:pPr>
    </w:p>
    <w:p w14:paraId="003FBD67">
      <w:pPr>
        <w:pStyle w:val="2"/>
        <w:rPr>
          <w:rFonts w:hint="eastAsia" w:ascii="宋体" w:hAnsi="宋体" w:eastAsia="宋体" w:cs="宋体"/>
          <w:color w:val="000000" w:themeColor="text1"/>
          <w:sz w:val="24"/>
          <w:lang w:eastAsia="zh-CN"/>
          <w14:textFill>
            <w14:solidFill>
              <w14:schemeClr w14:val="tx1"/>
            </w14:solidFill>
          </w14:textFill>
        </w:rPr>
      </w:pPr>
    </w:p>
    <w:p w14:paraId="56B297AE">
      <w:pPr>
        <w:pStyle w:val="4"/>
        <w:rPr>
          <w:rFonts w:hint="eastAsia"/>
          <w:lang w:eastAsia="zh-CN"/>
        </w:rPr>
      </w:pPr>
    </w:p>
    <w:tbl>
      <w:tblPr>
        <w:tblStyle w:val="21"/>
        <w:tblW w:w="0" w:type="auto"/>
        <w:tblInd w:w="13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72"/>
        <w:gridCol w:w="4365"/>
      </w:tblGrid>
      <w:tr w14:paraId="3C582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4" w:hRule="atLeast"/>
        </w:trPr>
        <w:tc>
          <w:tcPr>
            <w:tcW w:w="4672" w:type="dxa"/>
            <w:vAlign w:val="top"/>
          </w:tcPr>
          <w:p w14:paraId="713FFBC8">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rPr>
            </w:pPr>
            <w:r>
              <w:rPr>
                <w:rFonts w:hint="eastAsia" w:ascii="宋体" w:hAnsi="宋体" w:eastAsia="宋体" w:cs="宋体"/>
                <w:sz w:val="24"/>
                <w:szCs w:val="24"/>
              </w:rPr>
              <w:t>发包人：</w:t>
            </w:r>
            <w:r>
              <w:rPr>
                <w:rFonts w:hint="eastAsia" w:ascii="宋体" w:hAnsi="宋体" w:eastAsia="宋体" w:cs="宋体"/>
                <w:sz w:val="24"/>
                <w:szCs w:val="24"/>
                <w:u w:val="single"/>
                <w:lang w:eastAsia="zh-CN"/>
              </w:rPr>
              <w:t>北京市东城区人民政府崇文门外街道办事处</w:t>
            </w:r>
            <w:r>
              <w:rPr>
                <w:rFonts w:hint="eastAsia" w:ascii="宋体" w:hAnsi="宋体" w:eastAsia="宋体" w:cs="宋体"/>
                <w:sz w:val="24"/>
                <w:szCs w:val="24"/>
              </w:rPr>
              <w:t>（公章）</w:t>
            </w:r>
          </w:p>
        </w:tc>
        <w:tc>
          <w:tcPr>
            <w:tcW w:w="4365" w:type="dxa"/>
            <w:vAlign w:val="top"/>
          </w:tcPr>
          <w:p w14:paraId="199D4B83">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rPr>
            </w:pPr>
            <w:r>
              <w:rPr>
                <w:rFonts w:hint="eastAsia" w:ascii="宋体" w:hAnsi="宋体" w:eastAsia="宋体" w:cs="宋体"/>
                <w:sz w:val="24"/>
                <w:szCs w:val="24"/>
              </w:rPr>
              <w:t>承包人：</w:t>
            </w:r>
            <w:r>
              <w:rPr>
                <w:rFonts w:hint="eastAsia" w:ascii="宋体" w:hAnsi="宋体" w:eastAsia="宋体" w:cs="宋体"/>
                <w:sz w:val="24"/>
                <w:szCs w:val="24"/>
                <w:u w:val="single"/>
                <w:lang w:eastAsia="zh-CN"/>
              </w:rPr>
              <w:t>北京市佳恒致远建筑工程有限公司</w:t>
            </w:r>
            <w:r>
              <w:rPr>
                <w:rFonts w:hint="eastAsia" w:ascii="宋体" w:hAnsi="宋体" w:eastAsia="宋体" w:cs="宋体"/>
                <w:sz w:val="24"/>
                <w:szCs w:val="24"/>
              </w:rPr>
              <w:t>（公章）</w:t>
            </w:r>
          </w:p>
        </w:tc>
      </w:tr>
      <w:tr w14:paraId="35E71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vAlign w:val="top"/>
          </w:tcPr>
          <w:p w14:paraId="62F137A7">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t>法定地址：</w:t>
            </w:r>
            <w:r>
              <w:rPr>
                <w:rFonts w:hint="eastAsia" w:ascii="宋体" w:hAnsi="宋体" w:eastAsia="宋体" w:cs="宋体"/>
                <w:sz w:val="24"/>
                <w:szCs w:val="24"/>
                <w:u w:val="single"/>
                <w:lang w:val="en-US" w:eastAsia="zh-CN"/>
              </w:rPr>
              <w:t xml:space="preserve">      </w:t>
            </w:r>
          </w:p>
        </w:tc>
        <w:tc>
          <w:tcPr>
            <w:tcW w:w="4365" w:type="dxa"/>
            <w:vAlign w:val="top"/>
          </w:tcPr>
          <w:p w14:paraId="7FE153CB">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法定地址：</w:t>
            </w:r>
            <w:r>
              <w:rPr>
                <w:rFonts w:hint="eastAsia" w:ascii="宋体" w:hAnsi="宋体" w:eastAsia="宋体" w:cs="宋体"/>
                <w:sz w:val="24"/>
                <w:szCs w:val="24"/>
                <w:u w:val="single"/>
              </w:rPr>
              <w:t>北京市东城区天坛东里中区6楼迤西</w:t>
            </w:r>
          </w:p>
        </w:tc>
      </w:tr>
      <w:tr w14:paraId="28019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vAlign w:val="top"/>
          </w:tcPr>
          <w:p w14:paraId="557F3072">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法定代表人或其</w:t>
            </w:r>
          </w:p>
          <w:p w14:paraId="23B5209A">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委托代理人：</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（签字）</w:t>
            </w:r>
          </w:p>
        </w:tc>
        <w:tc>
          <w:tcPr>
            <w:tcW w:w="4365" w:type="dxa"/>
            <w:vAlign w:val="top"/>
          </w:tcPr>
          <w:p w14:paraId="44C0585A">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法定代表人或其</w:t>
            </w:r>
          </w:p>
          <w:p w14:paraId="3C5134E0">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委托代理人：</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（签字）</w:t>
            </w:r>
          </w:p>
        </w:tc>
      </w:tr>
      <w:tr w14:paraId="36260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vAlign w:val="top"/>
          </w:tcPr>
          <w:p w14:paraId="4443CA6D">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rPr>
            </w:pPr>
            <w:r>
              <w:rPr>
                <w:rFonts w:hint="eastAsia" w:ascii="宋体" w:hAnsi="宋体" w:eastAsia="宋体" w:cs="宋体"/>
                <w:sz w:val="24"/>
                <w:szCs w:val="24"/>
              </w:rPr>
              <w:t>电话：</w:t>
            </w:r>
            <w:r>
              <w:rPr>
                <w:rFonts w:hint="eastAsia" w:ascii="宋体" w:hAnsi="宋体" w:eastAsia="宋体" w:cs="宋体"/>
                <w:sz w:val="24"/>
                <w:szCs w:val="24"/>
                <w:u w:val="single"/>
                <w:lang w:val="en-US" w:eastAsia="zh-CN"/>
              </w:rPr>
              <w:t xml:space="preserve">      </w:t>
            </w:r>
          </w:p>
        </w:tc>
        <w:tc>
          <w:tcPr>
            <w:tcW w:w="4365" w:type="dxa"/>
            <w:vAlign w:val="top"/>
          </w:tcPr>
          <w:p w14:paraId="0DEAF3E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rPr>
            </w:pPr>
            <w:r>
              <w:rPr>
                <w:rFonts w:hint="eastAsia" w:ascii="宋体" w:hAnsi="宋体" w:eastAsia="宋体" w:cs="宋体"/>
                <w:sz w:val="24"/>
                <w:szCs w:val="24"/>
              </w:rPr>
              <w:t>电话：</w:t>
            </w:r>
            <w:r>
              <w:rPr>
                <w:rFonts w:hint="eastAsia" w:ascii="宋体" w:hAnsi="宋体" w:eastAsia="宋体" w:cs="宋体"/>
                <w:sz w:val="24"/>
                <w:szCs w:val="24"/>
                <w:u w:val="single"/>
              </w:rPr>
              <w:t>010-67029866-8002</w:t>
            </w:r>
          </w:p>
        </w:tc>
      </w:tr>
      <w:tr w14:paraId="32DA7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vAlign w:val="top"/>
          </w:tcPr>
          <w:p w14:paraId="0ED58CD6">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rPr>
            </w:pPr>
            <w:r>
              <w:rPr>
                <w:rFonts w:hint="eastAsia" w:ascii="宋体" w:hAnsi="宋体" w:eastAsia="宋体" w:cs="宋体"/>
                <w:sz w:val="24"/>
                <w:szCs w:val="24"/>
              </w:rPr>
              <w:t>传真：</w:t>
            </w:r>
            <w:r>
              <w:rPr>
                <w:rFonts w:hint="eastAsia" w:ascii="宋体" w:hAnsi="宋体" w:eastAsia="宋体" w:cs="宋体"/>
                <w:sz w:val="24"/>
                <w:szCs w:val="24"/>
                <w:u w:val="single"/>
                <w:lang w:val="en-US" w:eastAsia="zh-CN"/>
              </w:rPr>
              <w:t xml:space="preserve">      </w:t>
            </w:r>
          </w:p>
        </w:tc>
        <w:tc>
          <w:tcPr>
            <w:tcW w:w="4365" w:type="dxa"/>
            <w:vAlign w:val="top"/>
          </w:tcPr>
          <w:p w14:paraId="6E8024A4">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rPr>
            </w:pPr>
            <w:r>
              <w:rPr>
                <w:rFonts w:hint="eastAsia" w:ascii="宋体" w:hAnsi="宋体" w:eastAsia="宋体" w:cs="宋体"/>
                <w:sz w:val="24"/>
                <w:szCs w:val="24"/>
              </w:rPr>
              <w:t>传真：</w:t>
            </w:r>
            <w:r>
              <w:rPr>
                <w:rFonts w:hint="eastAsia" w:ascii="宋体" w:hAnsi="宋体" w:eastAsia="宋体" w:cs="宋体"/>
                <w:sz w:val="24"/>
                <w:szCs w:val="24"/>
                <w:u w:val="single"/>
              </w:rPr>
              <w:t>010-67010766</w:t>
            </w:r>
          </w:p>
        </w:tc>
      </w:tr>
      <w:tr w14:paraId="03268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vAlign w:val="top"/>
          </w:tcPr>
          <w:p w14:paraId="1BA132CE">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rPr>
            </w:pPr>
            <w:r>
              <w:rPr>
                <w:rFonts w:hint="eastAsia" w:ascii="宋体" w:hAnsi="宋体" w:eastAsia="宋体" w:cs="宋体"/>
                <w:sz w:val="24"/>
                <w:szCs w:val="24"/>
              </w:rPr>
              <w:t>电子邮箱：</w:t>
            </w:r>
            <w:r>
              <w:rPr>
                <w:rFonts w:hint="eastAsia" w:ascii="宋体" w:hAnsi="宋体" w:eastAsia="宋体" w:cs="宋体"/>
                <w:sz w:val="24"/>
                <w:szCs w:val="24"/>
                <w:u w:val="single"/>
                <w:lang w:val="en-US" w:eastAsia="zh-CN"/>
              </w:rPr>
              <w:t xml:space="preserve">      </w:t>
            </w:r>
          </w:p>
        </w:tc>
        <w:tc>
          <w:tcPr>
            <w:tcW w:w="4365" w:type="dxa"/>
            <w:vAlign w:val="top"/>
          </w:tcPr>
          <w:p w14:paraId="32FCEEE1">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rPr>
            </w:pPr>
            <w:r>
              <w:rPr>
                <w:rFonts w:hint="eastAsia" w:ascii="宋体" w:hAnsi="宋体" w:eastAsia="宋体" w:cs="宋体"/>
                <w:sz w:val="24"/>
                <w:szCs w:val="24"/>
              </w:rPr>
              <w:t>电子邮箱：</w:t>
            </w:r>
            <w:r>
              <w:rPr>
                <w:rFonts w:hint="eastAsia" w:ascii="宋体" w:hAnsi="宋体" w:eastAsia="宋体" w:cs="宋体"/>
                <w:sz w:val="24"/>
                <w:szCs w:val="24"/>
                <w:u w:val="single"/>
              </w:rPr>
              <w:t>30530305@qq.com</w:t>
            </w:r>
          </w:p>
        </w:tc>
      </w:tr>
      <w:tr w14:paraId="01865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vAlign w:val="top"/>
          </w:tcPr>
          <w:p w14:paraId="77D9DE71">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rPr>
            </w:pPr>
            <w:r>
              <w:rPr>
                <w:rFonts w:hint="eastAsia" w:ascii="宋体" w:hAnsi="宋体" w:eastAsia="宋体" w:cs="宋体"/>
                <w:sz w:val="24"/>
                <w:szCs w:val="24"/>
              </w:rPr>
              <w:t>开户银行：</w:t>
            </w:r>
            <w:r>
              <w:rPr>
                <w:rFonts w:hint="eastAsia" w:ascii="宋体" w:hAnsi="宋体" w:eastAsia="宋体" w:cs="宋体"/>
                <w:sz w:val="24"/>
                <w:szCs w:val="24"/>
                <w:u w:val="single"/>
                <w:lang w:val="en-US" w:eastAsia="zh-CN"/>
              </w:rPr>
              <w:t xml:space="preserve">      </w:t>
            </w:r>
          </w:p>
        </w:tc>
        <w:tc>
          <w:tcPr>
            <w:tcW w:w="4365" w:type="dxa"/>
            <w:vAlign w:val="top"/>
          </w:tcPr>
          <w:p w14:paraId="63D69B97">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firstLine="0" w:firstLineChars="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开户银行：</w:t>
            </w:r>
            <w:r>
              <w:rPr>
                <w:rFonts w:hint="eastAsia" w:ascii="宋体" w:hAnsi="宋体" w:eastAsia="宋体" w:cs="宋体"/>
                <w:sz w:val="24"/>
                <w:szCs w:val="24"/>
                <w:u w:val="single"/>
              </w:rPr>
              <w:t>中国工商银行股份有限公司北京天坛东路支行</w:t>
            </w:r>
          </w:p>
        </w:tc>
      </w:tr>
      <w:tr w14:paraId="34F07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vAlign w:val="top"/>
          </w:tcPr>
          <w:p w14:paraId="2AF34175">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rPr>
            </w:pPr>
            <w:r>
              <w:rPr>
                <w:rFonts w:hint="eastAsia" w:ascii="宋体" w:hAnsi="宋体" w:eastAsia="宋体" w:cs="宋体"/>
                <w:sz w:val="24"/>
                <w:szCs w:val="24"/>
              </w:rPr>
              <w:t>账号：</w:t>
            </w:r>
            <w:r>
              <w:rPr>
                <w:rFonts w:hint="eastAsia" w:ascii="宋体" w:hAnsi="宋体" w:eastAsia="宋体" w:cs="宋体"/>
                <w:sz w:val="24"/>
                <w:szCs w:val="24"/>
                <w:u w:val="single"/>
                <w:lang w:val="en-US" w:eastAsia="zh-CN"/>
              </w:rPr>
              <w:t xml:space="preserve">      </w:t>
            </w:r>
          </w:p>
        </w:tc>
        <w:tc>
          <w:tcPr>
            <w:tcW w:w="4365" w:type="dxa"/>
            <w:vAlign w:val="top"/>
          </w:tcPr>
          <w:p w14:paraId="1B1EB3CF">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账号：</w:t>
            </w:r>
            <w:r>
              <w:rPr>
                <w:rFonts w:hint="eastAsia" w:ascii="宋体" w:hAnsi="宋体" w:eastAsia="宋体" w:cs="宋体"/>
                <w:sz w:val="24"/>
                <w:szCs w:val="24"/>
                <w:u w:val="single"/>
              </w:rPr>
              <w:t>0200212609024506494</w:t>
            </w:r>
          </w:p>
        </w:tc>
      </w:tr>
      <w:tr w14:paraId="1D777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4672" w:type="dxa"/>
            <w:vAlign w:val="top"/>
          </w:tcPr>
          <w:p w14:paraId="62BAAA99">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rPr>
            </w:pPr>
            <w:r>
              <w:rPr>
                <w:rFonts w:hint="eastAsia" w:ascii="宋体" w:hAnsi="宋体" w:eastAsia="宋体" w:cs="宋体"/>
                <w:sz w:val="24"/>
                <w:szCs w:val="24"/>
              </w:rPr>
              <w:t>邮政编码：</w:t>
            </w:r>
            <w:r>
              <w:rPr>
                <w:rFonts w:hint="eastAsia" w:ascii="宋体" w:hAnsi="宋体" w:eastAsia="宋体" w:cs="宋体"/>
                <w:sz w:val="24"/>
                <w:szCs w:val="24"/>
                <w:u w:val="single"/>
                <w:lang w:val="en-US" w:eastAsia="zh-CN"/>
              </w:rPr>
              <w:t xml:space="preserve">      </w:t>
            </w:r>
          </w:p>
        </w:tc>
        <w:tc>
          <w:tcPr>
            <w:tcW w:w="4365" w:type="dxa"/>
            <w:vAlign w:val="top"/>
          </w:tcPr>
          <w:p w14:paraId="692823DA">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邮政编码：</w:t>
            </w:r>
            <w:r>
              <w:rPr>
                <w:rFonts w:hint="eastAsia" w:ascii="宋体" w:hAnsi="宋体" w:eastAsia="宋体" w:cs="宋体"/>
                <w:sz w:val="24"/>
                <w:szCs w:val="24"/>
                <w:u w:val="single"/>
                <w:lang w:eastAsia="zh-CN"/>
              </w:rPr>
              <w:t>100061</w:t>
            </w:r>
          </w:p>
        </w:tc>
      </w:tr>
      <w:tr w14:paraId="44F29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4672" w:type="dxa"/>
            <w:vAlign w:val="top"/>
          </w:tcPr>
          <w:p w14:paraId="2276D7E1">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rPr>
            </w:pPr>
          </w:p>
        </w:tc>
        <w:tc>
          <w:tcPr>
            <w:tcW w:w="4365" w:type="dxa"/>
            <w:vAlign w:val="top"/>
          </w:tcPr>
          <w:p w14:paraId="26F5EE1C">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rPr>
            </w:pPr>
          </w:p>
        </w:tc>
      </w:tr>
      <w:tr w14:paraId="1C78B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4672" w:type="dxa"/>
            <w:vAlign w:val="top"/>
          </w:tcPr>
          <w:p w14:paraId="34CE62FC">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right="170"/>
              <w:jc w:val="both"/>
              <w:textAlignment w:val="baseline"/>
              <w:rPr>
                <w:rFonts w:hint="eastAsia" w:ascii="宋体" w:hAnsi="宋体" w:eastAsia="宋体" w:cs="宋体"/>
                <w:sz w:val="24"/>
                <w:szCs w:val="24"/>
              </w:rPr>
            </w:pPr>
            <w:r>
              <w:rPr>
                <w:rFonts w:hint="eastAsia" w:ascii="宋体" w:hAnsi="宋体" w:eastAsia="宋体" w:cs="宋体"/>
                <w:sz w:val="24"/>
                <w:szCs w:val="24"/>
                <w:lang w:eastAsia="zh-CN"/>
              </w:rPr>
              <w:t>监督单位：</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（盖章）</w:t>
            </w:r>
          </w:p>
        </w:tc>
        <w:tc>
          <w:tcPr>
            <w:tcW w:w="4365" w:type="dxa"/>
            <w:vAlign w:val="top"/>
          </w:tcPr>
          <w:p w14:paraId="3AC20E2A">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ind w:left="63" w:leftChars="30"/>
              <w:jc w:val="both"/>
              <w:textAlignment w:val="baseline"/>
              <w:rPr>
                <w:rFonts w:hint="eastAsia" w:ascii="宋体" w:hAnsi="宋体" w:eastAsia="宋体" w:cs="宋体"/>
                <w:sz w:val="24"/>
                <w:szCs w:val="24"/>
              </w:rPr>
            </w:pPr>
            <w:r>
              <w:rPr>
                <w:rFonts w:hint="eastAsia" w:ascii="宋体" w:hAnsi="宋体" w:eastAsia="宋体" w:cs="宋体"/>
                <w:sz w:val="24"/>
                <w:szCs w:val="24"/>
                <w:lang w:eastAsia="zh-CN"/>
              </w:rPr>
              <w:t>监督单位：</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（盖章）</w:t>
            </w:r>
          </w:p>
        </w:tc>
      </w:tr>
    </w:tbl>
    <w:p w14:paraId="62E05F6D">
      <w:pPr>
        <w:spacing w:line="480" w:lineRule="auto"/>
        <w:rPr>
          <w:rFonts w:hint="eastAsia" w:ascii="宋体" w:hAnsi="宋体" w:eastAsia="宋体" w:cs="宋体"/>
          <w:color w:val="000000" w:themeColor="text1"/>
          <w:sz w:val="24"/>
          <w:lang w:eastAsia="zh-CN"/>
          <w14:textFill>
            <w14:solidFill>
              <w14:schemeClr w14:val="tx1"/>
            </w14:solidFill>
          </w14:textFill>
        </w:rPr>
      </w:pPr>
    </w:p>
    <w:bookmarkEnd w:id="0"/>
    <w:p w14:paraId="12114CA6">
      <w:pPr>
        <w:spacing w:before="79" w:line="220" w:lineRule="auto"/>
        <w:rPr>
          <w:rFonts w:hint="eastAsia" w:ascii="宋体" w:hAnsi="宋体" w:eastAsia="宋体" w:cs="宋体"/>
          <w:color w:val="auto"/>
          <w:sz w:val="24"/>
          <w:szCs w:val="24"/>
          <w:lang w:eastAsia="zh-CN"/>
        </w:rPr>
      </w:pPr>
    </w:p>
    <w:sectPr>
      <w:headerReference r:id="rId12" w:type="default"/>
      <w:footerReference r:id="rId13" w:type="default"/>
      <w:pgSz w:w="11907" w:h="16840"/>
      <w:pgMar w:top="1417" w:right="1304" w:bottom="1417" w:left="1531" w:header="830" w:footer="1043" w:gutter="0"/>
      <w:pgNumType w:fmt="decimal"/>
      <w:cols w:space="0" w:num="1"/>
      <w:rtlGutter w:val="0"/>
      <w:docGrid w:linePitch="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石" w:date="2026-08-04T09:55:15Z" w:initials="">
    <w:p w14:paraId="67EF7602">
      <w:pPr>
        <w:pStyle w:val="13"/>
        <w:rPr>
          <w:rFonts w:hint="default" w:eastAsia="宋体"/>
          <w:lang w:val="en-US" w:eastAsia="zh-CN"/>
        </w:rPr>
      </w:pPr>
      <w:r>
        <w:rPr>
          <w:rFonts w:hint="eastAsia" w:eastAsia="宋体"/>
          <w:lang w:val="en-US" w:eastAsia="zh-CN"/>
        </w:rPr>
        <w:t>未经发包人书面同意，承包人不得擅自更换项目经理。如承包人未经发包人同意擅自更换项目经理，每更换一次，承包人应向发包人支付</w:t>
      </w:r>
      <w:r>
        <w:rPr>
          <w:rFonts w:hint="eastAsia" w:eastAsia="宋体"/>
          <w:u w:val="single"/>
          <w:lang w:val="en-US" w:eastAsia="zh-CN"/>
        </w:rPr>
        <w:t xml:space="preserve">   </w:t>
      </w:r>
      <w:r>
        <w:rPr>
          <w:rFonts w:hint="eastAsia" w:eastAsia="宋体"/>
          <w:lang w:val="en-US" w:eastAsia="zh-CN"/>
        </w:rPr>
        <w:t>的违约金，且发包人有权要求承包人限期改正。限期未改正的，发包人有权解除合同，并要求承包人承担由此造成的全部损失。</w:t>
      </w:r>
    </w:p>
  </w:comment>
  <w:comment w:id="1" w:author="石" w:date="2026-08-04T09:56:12Z" w:initials="">
    <w:p w14:paraId="0DBAB9B9">
      <w:pPr>
        <w:pStyle w:val="19"/>
        <w:keepNext w:val="0"/>
        <w:keepLines w:val="0"/>
        <w:widowControl/>
        <w:suppressLineNumbers w:val="0"/>
      </w:pPr>
      <w:r>
        <w:rPr>
          <w:rFonts w:hint="eastAsia" w:eastAsia="宋体"/>
          <w:lang w:val="en-US" w:eastAsia="zh-CN"/>
        </w:rPr>
        <w:t>在</w:t>
      </w:r>
      <w:r>
        <w:t>乙方履行本合同</w:t>
      </w:r>
      <w:r>
        <w:rPr>
          <w:rFonts w:hint="eastAsia" w:eastAsia="宋体"/>
          <w:lang w:val="en-US" w:eastAsia="zh-CN"/>
        </w:rPr>
        <w:t>过程中，因</w:t>
      </w:r>
      <w:r>
        <w:t>项目实施质量、服务态度、履约瑕疵等直接引发的12345 市民服务热线投诉案件及其他渠道投诉的，或因乙方的不当行为所产生的负面影响，由乙方配合并协助街道开展相关案件处理工作，并全面消除影响。</w:t>
      </w:r>
    </w:p>
    <w:p w14:paraId="79B6FC4B">
      <w:pPr>
        <w:pStyle w:val="13"/>
      </w:pPr>
    </w:p>
  </w:comment>
  <w:comment w:id="2" w:author="石" w:date="2026-08-04T10:09:26Z" w:initials="">
    <w:p w14:paraId="2AC9FBE8">
      <w:pPr>
        <w:pStyle w:val="13"/>
      </w:pPr>
      <w:r>
        <w:t>承包人未履行本协议</w:t>
      </w:r>
      <w:r>
        <w:rPr>
          <w:rFonts w:hint="eastAsia" w:eastAsia="宋体"/>
          <w:lang w:val="en-US" w:eastAsia="zh-CN"/>
        </w:rPr>
        <w:t>该</w:t>
      </w:r>
      <w:r>
        <w:t>条约定的既有设施保护义务，造成损坏的，除承担修复费用外，还应向发包人支付</w:t>
      </w:r>
      <w:r>
        <w:rPr>
          <w:rFonts w:hint="eastAsia" w:eastAsia="宋体"/>
          <w:u w:val="single"/>
          <w:lang w:val="en-US" w:eastAsia="zh-CN"/>
        </w:rPr>
        <w:t xml:space="preserve">      </w:t>
      </w:r>
      <w:r>
        <w:t>的违约金。</w:t>
      </w:r>
    </w:p>
  </w:comment>
  <w:comment w:id="3" w:author="石" w:date="2026-08-04T10:08:04Z" w:initials="">
    <w:p w14:paraId="1FB5F4DE">
      <w:pPr>
        <w:pStyle w:val="13"/>
        <w:numPr>
          <w:ilvl w:val="0"/>
          <w:numId w:val="1"/>
        </w:numPr>
        <w:rPr>
          <w:rFonts w:hint="eastAsia" w:eastAsia="宋体"/>
          <w:lang w:val="en-US" w:eastAsia="zh-CN"/>
        </w:rPr>
      </w:pPr>
      <w:r>
        <w:rPr>
          <w:rFonts w:hint="eastAsia" w:eastAsia="宋体"/>
          <w:lang w:val="en-US" w:eastAsia="zh-CN"/>
        </w:rPr>
        <w:t>施工期间，因承包人原因（包括但不限于其员工、分包人、供应商的行为）造成发包人、监理人、现场其他第三方（含独立承包人）的人员伤亡或财产（包括但不限于施工现场内外发包人或其他方的既有建筑物、构筑物、设备、管线、道路、绿化等）损失的，承包人应承担全部赔偿责任及由此引发的行政罚款。</w:t>
      </w:r>
    </w:p>
    <w:p w14:paraId="0E6E7887">
      <w:pPr>
        <w:pStyle w:val="13"/>
        <w:numPr>
          <w:ilvl w:val="0"/>
          <w:numId w:val="0"/>
        </w:numPr>
        <w:rPr>
          <w:rFonts w:hint="default" w:eastAsia="宋体"/>
          <w:lang w:val="en-US" w:eastAsia="zh-CN"/>
        </w:rPr>
      </w:pPr>
      <w:r>
        <w:rPr>
          <w:rFonts w:hint="default" w:eastAsia="宋体"/>
          <w:lang w:val="en-US" w:eastAsia="zh-CN"/>
        </w:rPr>
        <w:t>发生事故后，承包人应立即采取抢救措施，并通知发包人和监理人。承包人应负责与受害方协商解决赔偿事宜。若因承包人不及时处理或处理不当，导致发包人卷入纠纷或先行赔付的，发包人有权在赔付后向承包人全额追偿，并有权从应付工程款中直接抵扣。</w:t>
      </w:r>
    </w:p>
    <w:p w14:paraId="2CA924D3">
      <w:pPr>
        <w:pStyle w:val="13"/>
        <w:numPr>
          <w:ilvl w:val="0"/>
          <w:numId w:val="0"/>
        </w:numPr>
        <w:rPr>
          <w:rFonts w:hint="default" w:eastAsia="宋体"/>
          <w:lang w:val="en-US" w:eastAsia="zh-CN"/>
        </w:rPr>
      </w:pPr>
      <w:r>
        <w:rPr>
          <w:rFonts w:hint="eastAsia" w:eastAsia="宋体"/>
          <w:lang w:val="en-US" w:eastAsia="zh-CN"/>
        </w:rPr>
        <w:t>（16）承包人因侵犯第三方知识产权而引起索赔或诉讼的，承包人应承担全部责任和费用。承包人违反保密约定的，应向发包人支付</w:t>
      </w:r>
      <w:r>
        <w:rPr>
          <w:rFonts w:hint="eastAsia" w:eastAsia="宋体"/>
          <w:u w:val="single"/>
          <w:lang w:val="en-US" w:eastAsia="zh-CN"/>
        </w:rPr>
        <w:t xml:space="preserve"> </w:t>
      </w:r>
      <w:r>
        <w:rPr>
          <w:rFonts w:hint="eastAsia" w:eastAsia="宋体"/>
          <w:lang w:val="en-US" w:eastAsia="zh-CN"/>
        </w:rPr>
        <w:t>的违约金，违约金不足以弥补损失的，还应赔偿发包人的全部损失</w:t>
      </w:r>
    </w:p>
  </w:comment>
  <w:comment w:id="4" w:author="石" w:date="2026-08-04T10:16:35Z" w:initials="">
    <w:p w14:paraId="117F00D4">
      <w:pPr>
        <w:pStyle w:val="13"/>
        <w:rPr>
          <w:rFonts w:hint="default" w:eastAsia="宋体"/>
          <w:lang w:val="en-US" w:eastAsia="zh-CN"/>
        </w:rPr>
      </w:pPr>
      <w:r>
        <w:rPr>
          <w:rFonts w:hint="eastAsia" w:eastAsia="宋体"/>
          <w:lang w:val="en-US" w:eastAsia="zh-CN"/>
        </w:rPr>
        <w:t>4.6 承包人将其承包的全部工程转包，或将工程主体、关键性工作分包，或未经发包人同意进行其他分包的，发包人有权立即解除合同，承包人应向发包人支付</w:t>
      </w:r>
      <w:r>
        <w:rPr>
          <w:rFonts w:hint="eastAsia" w:eastAsia="宋体"/>
          <w:u w:val="single"/>
          <w:lang w:val="en-US" w:eastAsia="zh-CN"/>
        </w:rPr>
        <w:t xml:space="preserve">    </w:t>
      </w:r>
      <w:r>
        <w:rPr>
          <w:rFonts w:hint="eastAsia" w:eastAsia="宋体"/>
          <w:lang w:val="en-US" w:eastAsia="zh-CN"/>
        </w:rPr>
        <w:t>的违约金，并赔偿发包人因此遭受的全部损失。</w:t>
      </w:r>
    </w:p>
  </w:comment>
  <w:comment w:id="5" w:author="石" w:date="2026-08-04T10:15:21Z" w:initials="">
    <w:p w14:paraId="7232F93A">
      <w:pPr>
        <w:pStyle w:val="13"/>
        <w:rPr>
          <w:rFonts w:hint="eastAsia" w:eastAsia="宋体"/>
          <w:lang w:eastAsia="zh-CN"/>
        </w:rPr>
      </w:pPr>
      <w:r>
        <w:rPr>
          <w:rFonts w:ascii="Segoe UI" w:hAnsi="Segoe UI" w:eastAsia="Segoe UI" w:cs="Segoe UI"/>
          <w:i w:val="0"/>
          <w:iCs w:val="0"/>
          <w:caps w:val="0"/>
          <w:color w:val="0F1115"/>
          <w:spacing w:val="0"/>
          <w:sz w:val="19"/>
          <w:szCs w:val="19"/>
          <w:shd w:val="clear" w:fill="FFFFFF"/>
        </w:rPr>
        <w:t>施工期间发生安全事故的，承包人除应承担全部赔偿责任和行政罚款外，还应向发包人支付</w:t>
      </w:r>
      <w:r>
        <w:rPr>
          <w:rFonts w:hint="eastAsia" w:ascii="Segoe UI" w:hAnsi="Segoe UI" w:eastAsia="宋体" w:cs="Segoe UI"/>
          <w:i w:val="0"/>
          <w:iCs w:val="0"/>
          <w:caps w:val="0"/>
          <w:color w:val="0F1115"/>
          <w:spacing w:val="0"/>
          <w:sz w:val="19"/>
          <w:szCs w:val="19"/>
          <w:u w:val="single"/>
          <w:shd w:val="clear" w:fill="FFFFFF"/>
          <w:lang w:val="en-US" w:eastAsia="zh-CN"/>
        </w:rPr>
        <w:t xml:space="preserve">  </w:t>
      </w:r>
      <w:r>
        <w:rPr>
          <w:rFonts w:hint="eastAsia" w:ascii="Segoe UI" w:hAnsi="Segoe UI" w:eastAsia="宋体" w:cs="Segoe UI"/>
          <w:i w:val="0"/>
          <w:iCs w:val="0"/>
          <w:caps w:val="0"/>
          <w:color w:val="0F1115"/>
          <w:spacing w:val="0"/>
          <w:sz w:val="19"/>
          <w:szCs w:val="19"/>
          <w:shd w:val="clear" w:fill="FFFFFF"/>
          <w:lang w:val="en-US" w:eastAsia="zh-CN"/>
        </w:rPr>
        <w:t>的</w:t>
      </w:r>
      <w:r>
        <w:rPr>
          <w:rFonts w:ascii="Segoe UI" w:hAnsi="Segoe UI" w:eastAsia="Segoe UI" w:cs="Segoe UI"/>
          <w:i w:val="0"/>
          <w:iCs w:val="0"/>
          <w:caps w:val="0"/>
          <w:color w:val="0F1115"/>
          <w:spacing w:val="0"/>
          <w:sz w:val="19"/>
          <w:szCs w:val="19"/>
          <w:shd w:val="clear" w:fill="FFFFFF"/>
        </w:rPr>
        <w:t>违约金</w:t>
      </w:r>
      <w:r>
        <w:rPr>
          <w:rFonts w:hint="eastAsia" w:ascii="Segoe UI" w:hAnsi="Segoe UI" w:eastAsia="宋体" w:cs="Segoe UI"/>
          <w:i w:val="0"/>
          <w:iCs w:val="0"/>
          <w:caps w:val="0"/>
          <w:color w:val="0F1115"/>
          <w:spacing w:val="0"/>
          <w:sz w:val="19"/>
          <w:szCs w:val="19"/>
          <w:shd w:val="clear" w:fill="FFFFFF"/>
          <w:lang w:eastAsia="zh-CN"/>
        </w:rPr>
        <w:t>。发包人有权从应付工程款或履约保证金中直接扣除上述违约金。</w:t>
      </w:r>
    </w:p>
  </w:comment>
  <w:comment w:id="6" w:author="石" w:date="2026-08-04T10:12:28Z" w:initials="">
    <w:p w14:paraId="0F4A8370">
      <w:pPr>
        <w:pStyle w:val="13"/>
        <w:rPr>
          <w:rFonts w:hint="eastAsia" w:eastAsia="宋体"/>
          <w:lang w:val="en-US" w:eastAsia="zh-CN"/>
        </w:rPr>
      </w:pPr>
      <w:r>
        <w:rPr>
          <w:rFonts w:hint="eastAsia" w:eastAsia="宋体"/>
          <w:lang w:val="en-US" w:eastAsia="zh-CN"/>
        </w:rPr>
        <w:t>13.6 质量相关的违约责任</w:t>
      </w:r>
    </w:p>
    <w:p w14:paraId="48736214">
      <w:pPr>
        <w:pStyle w:val="13"/>
        <w:rPr>
          <w:rFonts w:hint="default" w:eastAsia="宋体"/>
          <w:lang w:val="en-US" w:eastAsia="zh-CN"/>
        </w:rPr>
      </w:pPr>
      <w:r>
        <w:rPr>
          <w:rFonts w:hint="eastAsia" w:eastAsia="宋体"/>
          <w:lang w:val="en-US" w:eastAsia="zh-CN"/>
        </w:rPr>
        <w:t>13.6.1 因承包人原因，本工程未能一次性通过竣工验收的，承包人应向发包人支付</w:t>
      </w:r>
      <w:r>
        <w:rPr>
          <w:rFonts w:hint="eastAsia" w:eastAsia="宋体"/>
          <w:u w:val="single"/>
          <w:lang w:val="en-US" w:eastAsia="zh-CN"/>
        </w:rPr>
        <w:t xml:space="preserve">  </w:t>
      </w:r>
      <w:r>
        <w:rPr>
          <w:rFonts w:hint="eastAsia" w:eastAsia="宋体"/>
          <w:lang w:val="en-US" w:eastAsia="zh-CN"/>
        </w:rPr>
        <w:t>的违约金，并承担由此产生的返工、复验等全部费用。若因质量原因导致第二次及以后验收仍未通过的，每增加一次，承包人额外支付</w:t>
      </w:r>
      <w:r>
        <w:rPr>
          <w:rFonts w:hint="eastAsia" w:eastAsia="宋体"/>
          <w:u w:val="single"/>
          <w:lang w:val="en-US" w:eastAsia="zh-CN"/>
        </w:rPr>
        <w:t xml:space="preserve">      </w:t>
      </w:r>
      <w:r>
        <w:rPr>
          <w:rFonts w:hint="eastAsia" w:eastAsia="宋体"/>
          <w:lang w:val="en-US" w:eastAsia="zh-CN"/>
        </w:rPr>
        <w:t>的违约金。</w:t>
      </w:r>
    </w:p>
    <w:p w14:paraId="62F6323A">
      <w:pPr>
        <w:pStyle w:val="13"/>
        <w:rPr>
          <w:rFonts w:hint="default" w:eastAsia="宋体"/>
          <w:lang w:val="en-US" w:eastAsia="zh-CN"/>
        </w:rPr>
      </w:pPr>
      <w:r>
        <w:rPr>
          <w:rFonts w:hint="eastAsia" w:eastAsia="宋体"/>
          <w:lang w:val="en-US" w:eastAsia="zh-CN"/>
        </w:rPr>
        <w:t>13.6.2 承包人使用不合格材料或工程设备的，除应按监理人要求立即更换外，还应向发包人支付 ()的违约金。发包人有权直接从应付工程款中扣除该违约金。</w:t>
      </w:r>
    </w:p>
  </w:comment>
  <w:comment w:id="7" w:author="石" w:date="2026-08-04T09:41:02Z" w:initials="">
    <w:p w14:paraId="4FC72781">
      <w:pPr>
        <w:pStyle w:val="19"/>
        <w:keepNext w:val="0"/>
        <w:keepLines w:val="0"/>
        <w:widowControl/>
        <w:suppressLineNumbers w:val="0"/>
      </w:pPr>
      <w:r>
        <w:t>最终支付金额及时间以财政局拨付到账为准。若因财政资金拨付延迟导致的延迟付款，</w:t>
      </w:r>
      <w:r>
        <w:rPr>
          <w:rFonts w:hint="eastAsia" w:eastAsia="宋体"/>
          <w:lang w:val="en-US" w:eastAsia="zh-CN"/>
        </w:rPr>
        <w:t>发包</w:t>
      </w:r>
      <w:r>
        <w:t>方应及时通知</w:t>
      </w:r>
      <w:r>
        <w:rPr>
          <w:rFonts w:hint="eastAsia" w:eastAsia="宋体"/>
          <w:lang w:val="en-US" w:eastAsia="zh-CN"/>
        </w:rPr>
        <w:t>承包</w:t>
      </w:r>
      <w:r>
        <w:t>方，付款期限相应顺延，</w:t>
      </w:r>
      <w:r>
        <w:rPr>
          <w:rFonts w:hint="eastAsia" w:eastAsia="宋体"/>
          <w:lang w:val="en-US" w:eastAsia="zh-CN"/>
        </w:rPr>
        <w:t>发包</w:t>
      </w:r>
      <w:r>
        <w:t>方不承担违约责任。</w:t>
      </w:r>
    </w:p>
    <w:p w14:paraId="68B8C00D">
      <w:pPr>
        <w:pStyle w:val="13"/>
      </w:pPr>
    </w:p>
  </w:comment>
  <w:comment w:id="8" w:author="石" w:date="2026-08-04T10:18:00Z" w:initials="">
    <w:p w14:paraId="300AA8AC">
      <w:pPr>
        <w:pStyle w:val="13"/>
        <w:rPr>
          <w:rFonts w:hint="eastAsia" w:eastAsia="宋体"/>
          <w:lang w:eastAsia="zh-CN"/>
        </w:rPr>
      </w:pPr>
      <w:r>
        <w:rPr>
          <w:rFonts w:hint="eastAsia"/>
        </w:rPr>
        <w:t>承包人未在合同约定的期限内向发包人移交完整、合格的竣工资料（含竣工图）的，每逾期一天，应向发包人支付</w:t>
      </w:r>
      <w:r>
        <w:rPr>
          <w:rFonts w:hint="eastAsia" w:eastAsia="宋体"/>
          <w:u w:val="single"/>
          <w:lang w:val="en-US" w:eastAsia="zh-CN"/>
        </w:rPr>
        <w:t xml:space="preserve">   </w:t>
      </w:r>
      <w:r>
        <w:rPr>
          <w:rFonts w:hint="eastAsia"/>
        </w:rPr>
        <w:t>的违约金。逾期超过</w:t>
      </w:r>
      <w:r>
        <w:rPr>
          <w:rFonts w:hint="eastAsia" w:eastAsia="宋体"/>
          <w:u w:val="single"/>
          <w:lang w:val="en-US" w:eastAsia="zh-CN"/>
        </w:rPr>
        <w:t xml:space="preserve">  </w:t>
      </w:r>
      <w:r>
        <w:rPr>
          <w:rFonts w:hint="eastAsia"/>
        </w:rPr>
        <w:t>日的，发包人有权暂停支付最后一笔工程款，直至资料移交完毕</w:t>
      </w:r>
      <w:r>
        <w:rPr>
          <w:rFonts w:hint="eastAsia" w:eastAsia="宋体"/>
          <w:lang w:eastAsia="zh-CN"/>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7EF7602" w15:done="0"/>
  <w15:commentEx w15:paraId="79B6FC4B" w15:done="0"/>
  <w15:commentEx w15:paraId="2AC9FBE8" w15:done="0"/>
  <w15:commentEx w15:paraId="2CA924D3" w15:done="0"/>
  <w15:commentEx w15:paraId="117F00D4" w15:done="0"/>
  <w15:commentEx w15:paraId="7232F93A" w15:done="0"/>
  <w15:commentEx w15:paraId="62F6323A" w15:done="0"/>
  <w15:commentEx w15:paraId="68B8C00D" w15:done="0"/>
  <w15:commentEx w15:paraId="300AA8A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201060001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F1572">
    <w:pPr>
      <w:widowControl w:val="0"/>
      <w:tabs>
        <w:tab w:val="center" w:pos="4419"/>
        <w:tab w:val="right" w:pos="8306"/>
      </w:tabs>
      <w:autoSpaceDE w:val="0"/>
      <w:autoSpaceDN w:val="0"/>
      <w:adjustRightInd w:val="0"/>
      <w:snapToGrid w:val="0"/>
      <w:spacing w:after="160" w:line="278" w:lineRule="auto"/>
      <w:jc w:val="left"/>
      <w:rPr>
        <w:rFonts w:ascii="宋体" w:hAnsi="Calibri" w:eastAsia="宋体" w:cs="Times New Roman"/>
        <w:kern w:val="0"/>
        <w:sz w:val="18"/>
        <w:lang w:val="en-US" w:eastAsia="zh-CN" w:bidi="ar-SA"/>
      </w:rPr>
    </w:pPr>
    <w:r>
      <w:rPr>
        <w:rFonts w:ascii="宋体" w:hAnsi="Calibri" w:eastAsia="宋体" w:cs="Times New Roman"/>
        <w:kern w:val="0"/>
        <w:sz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212402">
                          <w:pPr>
                            <w:widowControl w:val="0"/>
                            <w:tabs>
                              <w:tab w:val="center" w:pos="4153"/>
                              <w:tab w:val="right" w:pos="8306"/>
                            </w:tabs>
                            <w:autoSpaceDE w:val="0"/>
                            <w:autoSpaceDN w:val="0"/>
                            <w:adjustRightInd w:val="0"/>
                            <w:snapToGrid w:val="0"/>
                            <w:spacing w:after="160" w:line="278" w:lineRule="auto"/>
                            <w:jc w:val="left"/>
                            <w:rPr>
                              <w:rFonts w:ascii="宋体" w:hAnsi="Calibri" w:eastAsia="宋体" w:cs="Times New Roman"/>
                              <w:kern w:val="0"/>
                              <w:sz w:val="18"/>
                              <w:lang w:val="en-US" w:eastAsia="zh-CN" w:bidi="ar-SA"/>
                            </w:rPr>
                          </w:pPr>
                          <w:r>
                            <w:rPr>
                              <w:rFonts w:ascii="宋体" w:hAnsi="Calibri" w:eastAsia="宋体" w:cs="Times New Roman"/>
                              <w:kern w:val="0"/>
                              <w:sz w:val="18"/>
                              <w:lang w:val="en-US" w:eastAsia="zh-CN" w:bidi="ar-SA"/>
                            </w:rPr>
                            <w:fldChar w:fldCharType="begin"/>
                          </w:r>
                          <w:r>
                            <w:rPr>
                              <w:rFonts w:ascii="宋体" w:hAnsi="Calibri" w:eastAsia="宋体" w:cs="Times New Roman"/>
                              <w:kern w:val="0"/>
                              <w:sz w:val="18"/>
                              <w:lang w:val="en-US" w:eastAsia="zh-CN" w:bidi="ar-SA"/>
                            </w:rPr>
                            <w:instrText xml:space="preserve"> PAGE  \* MERGEFORMAT </w:instrText>
                          </w:r>
                          <w:r>
                            <w:rPr>
                              <w:rFonts w:ascii="宋体" w:hAnsi="Calibri" w:eastAsia="宋体" w:cs="Times New Roman"/>
                              <w:kern w:val="0"/>
                              <w:sz w:val="18"/>
                              <w:lang w:val="en-US" w:eastAsia="zh-CN" w:bidi="ar-SA"/>
                            </w:rPr>
                            <w:fldChar w:fldCharType="separate"/>
                          </w:r>
                          <w:r>
                            <w:rPr>
                              <w:rFonts w:ascii="宋体" w:hAnsi="Calibri" w:eastAsia="宋体" w:cs="Times New Roman"/>
                              <w:kern w:val="0"/>
                              <w:sz w:val="18"/>
                              <w:lang w:val="en-US" w:eastAsia="zh-CN" w:bidi="ar-SA"/>
                            </w:rPr>
                            <w:t>1</w:t>
                          </w:r>
                          <w:r>
                            <w:rPr>
                              <w:rFonts w:ascii="宋体" w:hAnsi="Calibri" w:eastAsia="宋体" w:cs="Times New Roman"/>
                              <w:kern w:val="0"/>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A212402">
                    <w:pPr>
                      <w:widowControl w:val="0"/>
                      <w:tabs>
                        <w:tab w:val="center" w:pos="4153"/>
                        <w:tab w:val="right" w:pos="8306"/>
                      </w:tabs>
                      <w:autoSpaceDE w:val="0"/>
                      <w:autoSpaceDN w:val="0"/>
                      <w:adjustRightInd w:val="0"/>
                      <w:snapToGrid w:val="0"/>
                      <w:spacing w:after="160" w:line="278" w:lineRule="auto"/>
                      <w:jc w:val="left"/>
                      <w:rPr>
                        <w:rFonts w:ascii="宋体" w:hAnsi="Calibri" w:eastAsia="宋体" w:cs="Times New Roman"/>
                        <w:kern w:val="0"/>
                        <w:sz w:val="18"/>
                        <w:lang w:val="en-US" w:eastAsia="zh-CN" w:bidi="ar-SA"/>
                      </w:rPr>
                    </w:pPr>
                    <w:r>
                      <w:rPr>
                        <w:rFonts w:ascii="宋体" w:hAnsi="Calibri" w:eastAsia="宋体" w:cs="Times New Roman"/>
                        <w:kern w:val="0"/>
                        <w:sz w:val="18"/>
                        <w:lang w:val="en-US" w:eastAsia="zh-CN" w:bidi="ar-SA"/>
                      </w:rPr>
                      <w:fldChar w:fldCharType="begin"/>
                    </w:r>
                    <w:r>
                      <w:rPr>
                        <w:rFonts w:ascii="宋体" w:hAnsi="Calibri" w:eastAsia="宋体" w:cs="Times New Roman"/>
                        <w:kern w:val="0"/>
                        <w:sz w:val="18"/>
                        <w:lang w:val="en-US" w:eastAsia="zh-CN" w:bidi="ar-SA"/>
                      </w:rPr>
                      <w:instrText xml:space="preserve"> PAGE  \* MERGEFORMAT </w:instrText>
                    </w:r>
                    <w:r>
                      <w:rPr>
                        <w:rFonts w:ascii="宋体" w:hAnsi="Calibri" w:eastAsia="宋体" w:cs="Times New Roman"/>
                        <w:kern w:val="0"/>
                        <w:sz w:val="18"/>
                        <w:lang w:val="en-US" w:eastAsia="zh-CN" w:bidi="ar-SA"/>
                      </w:rPr>
                      <w:fldChar w:fldCharType="separate"/>
                    </w:r>
                    <w:r>
                      <w:rPr>
                        <w:rFonts w:ascii="宋体" w:hAnsi="Calibri" w:eastAsia="宋体" w:cs="Times New Roman"/>
                        <w:kern w:val="0"/>
                        <w:sz w:val="18"/>
                        <w:lang w:val="en-US" w:eastAsia="zh-CN" w:bidi="ar-SA"/>
                      </w:rPr>
                      <w:t>1</w:t>
                    </w:r>
                    <w:r>
                      <w:rPr>
                        <w:rFonts w:ascii="宋体" w:hAnsi="Calibri" w:eastAsia="宋体" w:cs="Times New Roman"/>
                        <w:kern w:val="0"/>
                        <w:sz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E4BDA">
    <w:pPr>
      <w:widowControl w:val="0"/>
      <w:tabs>
        <w:tab w:val="center" w:pos="4153"/>
        <w:tab w:val="right" w:pos="8306"/>
      </w:tabs>
      <w:autoSpaceDE w:val="0"/>
      <w:autoSpaceDN w:val="0"/>
      <w:adjustRightInd w:val="0"/>
      <w:snapToGrid w:val="0"/>
      <w:spacing w:after="160" w:line="278" w:lineRule="auto"/>
      <w:jc w:val="left"/>
      <w:rPr>
        <w:rFonts w:ascii="宋体" w:hAnsi="Calibri" w:eastAsia="宋体" w:cs="Times New Roman"/>
        <w:kern w:val="0"/>
        <w:sz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22F69">
    <w:pPr>
      <w:widowControl w:val="0"/>
      <w:tabs>
        <w:tab w:val="center" w:pos="4153"/>
        <w:tab w:val="right" w:pos="8306"/>
      </w:tabs>
      <w:autoSpaceDE w:val="0"/>
      <w:autoSpaceDN w:val="0"/>
      <w:adjustRightInd w:val="0"/>
      <w:snapToGrid w:val="0"/>
      <w:spacing w:after="160" w:line="278" w:lineRule="auto"/>
      <w:jc w:val="left"/>
      <w:rPr>
        <w:rFonts w:ascii="宋体" w:hAnsi="Calibri" w:eastAsia="宋体" w:cs="Times New Roman"/>
        <w:kern w:val="0"/>
        <w:sz w:val="18"/>
        <w:lang w:val="en-US" w:eastAsia="zh-CN" w:bidi="ar-SA"/>
      </w:rPr>
    </w:pPr>
    <w:r>
      <w:rPr>
        <w:rFonts w:ascii="宋体" w:hAnsi="Calibri" w:eastAsia="宋体" w:cs="Times New Roman"/>
        <w:kern w:val="0"/>
        <w:sz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BE3DC">
                          <w:pPr>
                            <w:widowControl w:val="0"/>
                            <w:tabs>
                              <w:tab w:val="center" w:pos="4153"/>
                              <w:tab w:val="right" w:pos="8306"/>
                            </w:tabs>
                            <w:autoSpaceDE w:val="0"/>
                            <w:autoSpaceDN w:val="0"/>
                            <w:adjustRightInd w:val="0"/>
                            <w:snapToGrid w:val="0"/>
                            <w:spacing w:after="160" w:line="278" w:lineRule="auto"/>
                            <w:jc w:val="left"/>
                            <w:rPr>
                              <w:rFonts w:ascii="宋体" w:hAnsi="Calibri" w:eastAsia="宋体" w:cs="Times New Roman"/>
                              <w:kern w:val="0"/>
                              <w:sz w:val="18"/>
                              <w:lang w:val="en-US" w:eastAsia="zh-CN" w:bidi="ar-SA"/>
                            </w:rPr>
                          </w:pPr>
                          <w:r>
                            <w:rPr>
                              <w:rFonts w:ascii="宋体" w:hAnsi="Calibri" w:eastAsia="宋体" w:cs="Times New Roman"/>
                              <w:kern w:val="0"/>
                              <w:sz w:val="18"/>
                              <w:lang w:val="en-US" w:eastAsia="zh-CN" w:bidi="ar-SA"/>
                            </w:rPr>
                            <w:fldChar w:fldCharType="begin"/>
                          </w:r>
                          <w:r>
                            <w:rPr>
                              <w:rFonts w:ascii="宋体" w:hAnsi="Calibri" w:eastAsia="宋体" w:cs="Times New Roman"/>
                              <w:kern w:val="0"/>
                              <w:sz w:val="18"/>
                              <w:lang w:val="en-US" w:eastAsia="zh-CN" w:bidi="ar-SA"/>
                            </w:rPr>
                            <w:instrText xml:space="preserve"> PAGE  \* MERGEFORMAT </w:instrText>
                          </w:r>
                          <w:r>
                            <w:rPr>
                              <w:rFonts w:ascii="宋体" w:hAnsi="Calibri" w:eastAsia="宋体" w:cs="Times New Roman"/>
                              <w:kern w:val="0"/>
                              <w:sz w:val="18"/>
                              <w:lang w:val="en-US" w:eastAsia="zh-CN" w:bidi="ar-SA"/>
                            </w:rPr>
                            <w:fldChar w:fldCharType="separate"/>
                          </w:r>
                          <w:r>
                            <w:rPr>
                              <w:rFonts w:ascii="宋体" w:hAnsi="Calibri" w:eastAsia="宋体" w:cs="Times New Roman"/>
                              <w:kern w:val="0"/>
                              <w:sz w:val="18"/>
                              <w:lang w:val="en-US" w:eastAsia="zh-CN" w:bidi="ar-SA"/>
                            </w:rPr>
                            <w:t>1</w:t>
                          </w:r>
                          <w:r>
                            <w:rPr>
                              <w:rFonts w:ascii="宋体" w:hAnsi="Calibri" w:eastAsia="宋体" w:cs="Times New Roman"/>
                              <w:kern w:val="0"/>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2CBE3DC">
                    <w:pPr>
                      <w:widowControl w:val="0"/>
                      <w:tabs>
                        <w:tab w:val="center" w:pos="4153"/>
                        <w:tab w:val="right" w:pos="8306"/>
                      </w:tabs>
                      <w:autoSpaceDE w:val="0"/>
                      <w:autoSpaceDN w:val="0"/>
                      <w:adjustRightInd w:val="0"/>
                      <w:snapToGrid w:val="0"/>
                      <w:spacing w:after="160" w:line="278" w:lineRule="auto"/>
                      <w:jc w:val="left"/>
                      <w:rPr>
                        <w:rFonts w:ascii="宋体" w:hAnsi="Calibri" w:eastAsia="宋体" w:cs="Times New Roman"/>
                        <w:kern w:val="0"/>
                        <w:sz w:val="18"/>
                        <w:lang w:val="en-US" w:eastAsia="zh-CN" w:bidi="ar-SA"/>
                      </w:rPr>
                    </w:pPr>
                    <w:r>
                      <w:rPr>
                        <w:rFonts w:ascii="宋体" w:hAnsi="Calibri" w:eastAsia="宋体" w:cs="Times New Roman"/>
                        <w:kern w:val="0"/>
                        <w:sz w:val="18"/>
                        <w:lang w:val="en-US" w:eastAsia="zh-CN" w:bidi="ar-SA"/>
                      </w:rPr>
                      <w:fldChar w:fldCharType="begin"/>
                    </w:r>
                    <w:r>
                      <w:rPr>
                        <w:rFonts w:ascii="宋体" w:hAnsi="Calibri" w:eastAsia="宋体" w:cs="Times New Roman"/>
                        <w:kern w:val="0"/>
                        <w:sz w:val="18"/>
                        <w:lang w:val="en-US" w:eastAsia="zh-CN" w:bidi="ar-SA"/>
                      </w:rPr>
                      <w:instrText xml:space="preserve"> PAGE  \* MERGEFORMAT </w:instrText>
                    </w:r>
                    <w:r>
                      <w:rPr>
                        <w:rFonts w:ascii="宋体" w:hAnsi="Calibri" w:eastAsia="宋体" w:cs="Times New Roman"/>
                        <w:kern w:val="0"/>
                        <w:sz w:val="18"/>
                        <w:lang w:val="en-US" w:eastAsia="zh-CN" w:bidi="ar-SA"/>
                      </w:rPr>
                      <w:fldChar w:fldCharType="separate"/>
                    </w:r>
                    <w:r>
                      <w:rPr>
                        <w:rFonts w:ascii="宋体" w:hAnsi="Calibri" w:eastAsia="宋体" w:cs="Times New Roman"/>
                        <w:kern w:val="0"/>
                        <w:sz w:val="18"/>
                        <w:lang w:val="en-US" w:eastAsia="zh-CN" w:bidi="ar-SA"/>
                      </w:rPr>
                      <w:t>1</w:t>
                    </w:r>
                    <w:r>
                      <w:rPr>
                        <w:rFonts w:ascii="宋体" w:hAnsi="Calibri" w:eastAsia="宋体" w:cs="Times New Roman"/>
                        <w:kern w:val="0"/>
                        <w:sz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C0A64">
    <w:pPr>
      <w:pStyle w:val="1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57F1B">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2C857F1B">
                    <w:pPr>
                      <w:pStyle w:val="16"/>
                    </w:pPr>
                    <w:r>
                      <w:fldChar w:fldCharType="begin"/>
                    </w:r>
                    <w:r>
                      <w:instrText xml:space="preserve"> PAGE  \* MERGEFORMAT </w:instrText>
                    </w:r>
                    <w:r>
                      <w:fldChar w:fldCharType="separate"/>
                    </w:r>
                    <w:r>
                      <w:t>1</w:t>
                    </w:r>
                    <w:r>
                      <w:fldChar w:fldCharType="end"/>
                    </w:r>
                  </w:p>
                </w:txbxContent>
              </v:textbox>
            </v:shape>
          </w:pict>
        </mc:Fallback>
      </mc:AlternateContent>
    </w:r>
  </w:p>
  <w:p w14:paraId="6B675F10">
    <w:pPr>
      <w:pStyle w:val="1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9C517">
    <w:pPr>
      <w:spacing w:line="174" w:lineRule="auto"/>
      <w:ind w:left="44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24FA5">
                          <w:pPr>
                            <w:pStyle w:val="16"/>
                          </w:pPr>
                          <w:r>
                            <w:fldChar w:fldCharType="begin"/>
                          </w:r>
                          <w:r>
                            <w:instrText xml:space="preserve"> PAGE  \* MERGEFORMAT </w:instrText>
                          </w:r>
                          <w:r>
                            <w:fldChar w:fldCharType="separate"/>
                          </w:r>
                          <w:r>
                            <w:t>159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Bt+k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1Bt+kzAgAAYwQAAA4AAAAAAAAAAQAgAAAAHwEAAGRycy9lMm9Eb2MueG1sUEsF&#10;BgAAAAAGAAYAWQEAAMQFAAAAAA==&#10;">
              <v:fill on="f" focussize="0,0"/>
              <v:stroke on="f" weight="0.5pt"/>
              <v:imagedata o:title=""/>
              <o:lock v:ext="edit" aspectratio="f"/>
              <v:textbox inset="0mm,0mm,0mm,0mm" style="mso-fit-shape-to-text:t;">
                <w:txbxContent>
                  <w:p w14:paraId="43A24FA5">
                    <w:pPr>
                      <w:pStyle w:val="16"/>
                    </w:pPr>
                    <w:r>
                      <w:fldChar w:fldCharType="begin"/>
                    </w:r>
                    <w:r>
                      <w:instrText xml:space="preserve"> PAGE  \* MERGEFORMAT </w:instrText>
                    </w:r>
                    <w:r>
                      <w:fldChar w:fldCharType="separate"/>
                    </w:r>
                    <w:r>
                      <w:t>159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EF4C2">
    <w:pPr>
      <w:widowControl w:val="0"/>
      <w:kinsoku/>
      <w:autoSpaceDE/>
      <w:autoSpaceDN/>
      <w:adjustRightInd/>
      <w:snapToGrid/>
      <w:spacing w:after="160" w:line="14" w:lineRule="auto"/>
      <w:jc w:val="both"/>
      <w:textAlignment w:val="auto"/>
      <w:rPr>
        <w:rFonts w:ascii="Arial" w:hAnsi="Calibri" w:eastAsia="宋体" w:cs="Times New Roman"/>
        <w:snapToGrid/>
        <w:kern w:val="2"/>
        <w:sz w:val="2"/>
        <w:szCs w:val="20"/>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45B1B">
    <w:pPr>
      <w:widowControl w:val="0"/>
      <w:pBdr>
        <w:bottom w:val="single" w:color="auto" w:sz="6" w:space="1"/>
      </w:pBdr>
      <w:tabs>
        <w:tab w:val="center" w:pos="4153"/>
        <w:tab w:val="right" w:pos="8306"/>
      </w:tabs>
      <w:snapToGrid w:val="0"/>
      <w:spacing w:after="160" w:line="278" w:lineRule="auto"/>
      <w:jc w:val="center"/>
      <w:rPr>
        <w:rFonts w:ascii="Calibri" w:hAnsi="Calibri" w:eastAsia="宋体" w:cs="Times New Roman"/>
        <w:kern w:val="2"/>
        <w:sz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E7BA5">
    <w:pPr>
      <w:pStyle w:val="1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6342A">
    <w:pPr>
      <w:pStyle w:val="17"/>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1DE051"/>
    <w:multiLevelType w:val="singleLevel"/>
    <w:tmpl w:val="A71DE051"/>
    <w:lvl w:ilvl="0" w:tentative="0">
      <w:start w:val="15"/>
      <w:numFmt w:val="decimal"/>
      <w:suff w:val="nothing"/>
      <w:lvlText w:val="（%1）"/>
      <w:lvlJc w:val="left"/>
    </w:lvl>
  </w:abstractNum>
  <w:abstractNum w:abstractNumId="1">
    <w:nsid w:val="0FC31F56"/>
    <w:multiLevelType w:val="singleLevel"/>
    <w:tmpl w:val="0FC31F56"/>
    <w:lvl w:ilvl="0" w:tentative="0">
      <w:start w:val="1"/>
      <w:numFmt w:val="decimal"/>
      <w:suff w:val="nothing"/>
      <w:lvlText w:val="（%1）"/>
      <w:lvlJc w:val="left"/>
    </w:lvl>
  </w:abstractNum>
  <w:abstractNum w:abstractNumId="2">
    <w:nsid w:val="6ADEA5CA"/>
    <w:multiLevelType w:val="singleLevel"/>
    <w:tmpl w:val="6ADEA5CA"/>
    <w:lvl w:ilvl="0" w:tentative="0">
      <w:start w:val="1"/>
      <w:numFmt w:val="decimal"/>
      <w:suff w:val="nothing"/>
      <w:lvlText w:val="（%1）"/>
      <w:lvlJc w:val="left"/>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石">
    <w15:presenceInfo w15:providerId="WPS Office" w15:userId="33656244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8E52B3"/>
    <w:rsid w:val="000A574C"/>
    <w:rsid w:val="0037390D"/>
    <w:rsid w:val="004E3ADC"/>
    <w:rsid w:val="006430BE"/>
    <w:rsid w:val="00647B83"/>
    <w:rsid w:val="00662C12"/>
    <w:rsid w:val="006D02F7"/>
    <w:rsid w:val="006D37E8"/>
    <w:rsid w:val="00925E9F"/>
    <w:rsid w:val="00A2476D"/>
    <w:rsid w:val="00A252A4"/>
    <w:rsid w:val="00C265D4"/>
    <w:rsid w:val="00E3447F"/>
    <w:rsid w:val="014337F8"/>
    <w:rsid w:val="01775E91"/>
    <w:rsid w:val="017C2F93"/>
    <w:rsid w:val="018370F1"/>
    <w:rsid w:val="01E91A68"/>
    <w:rsid w:val="022E13B3"/>
    <w:rsid w:val="024D0F2E"/>
    <w:rsid w:val="027C1F0F"/>
    <w:rsid w:val="029B1497"/>
    <w:rsid w:val="02C80FE9"/>
    <w:rsid w:val="03511AD9"/>
    <w:rsid w:val="03AC38D7"/>
    <w:rsid w:val="03B37E16"/>
    <w:rsid w:val="03E16C70"/>
    <w:rsid w:val="04401DD5"/>
    <w:rsid w:val="04A8620D"/>
    <w:rsid w:val="04AD3DAA"/>
    <w:rsid w:val="04BA3F43"/>
    <w:rsid w:val="04BC0CE2"/>
    <w:rsid w:val="04BC45EC"/>
    <w:rsid w:val="04D947A7"/>
    <w:rsid w:val="054E2A1E"/>
    <w:rsid w:val="0596757F"/>
    <w:rsid w:val="05F752EB"/>
    <w:rsid w:val="06433CE6"/>
    <w:rsid w:val="06A356FC"/>
    <w:rsid w:val="075449B1"/>
    <w:rsid w:val="07D23688"/>
    <w:rsid w:val="08012E23"/>
    <w:rsid w:val="080B4BCD"/>
    <w:rsid w:val="08D85AD7"/>
    <w:rsid w:val="09E6066F"/>
    <w:rsid w:val="09F12CE8"/>
    <w:rsid w:val="0A3D233F"/>
    <w:rsid w:val="0A431AC6"/>
    <w:rsid w:val="0A45561E"/>
    <w:rsid w:val="0AAD19B5"/>
    <w:rsid w:val="0AEA7C89"/>
    <w:rsid w:val="0B536D2E"/>
    <w:rsid w:val="0B556255"/>
    <w:rsid w:val="0BF97ED9"/>
    <w:rsid w:val="0C175FAD"/>
    <w:rsid w:val="0C1E0BB6"/>
    <w:rsid w:val="0C25364B"/>
    <w:rsid w:val="0D3822B2"/>
    <w:rsid w:val="0D435D31"/>
    <w:rsid w:val="0D455D9B"/>
    <w:rsid w:val="0D7C32BF"/>
    <w:rsid w:val="0D83526E"/>
    <w:rsid w:val="0DAA05D2"/>
    <w:rsid w:val="0EB05BE5"/>
    <w:rsid w:val="0EED46AC"/>
    <w:rsid w:val="0EEF6D6E"/>
    <w:rsid w:val="0EF37C1C"/>
    <w:rsid w:val="0EFD1C24"/>
    <w:rsid w:val="0F3375A2"/>
    <w:rsid w:val="0FF740F4"/>
    <w:rsid w:val="1048035D"/>
    <w:rsid w:val="109B0441"/>
    <w:rsid w:val="10D764C4"/>
    <w:rsid w:val="10DA4066"/>
    <w:rsid w:val="1112126C"/>
    <w:rsid w:val="11961627"/>
    <w:rsid w:val="11AE53CA"/>
    <w:rsid w:val="11E32A54"/>
    <w:rsid w:val="11FD2FBC"/>
    <w:rsid w:val="120B4A97"/>
    <w:rsid w:val="12616AD4"/>
    <w:rsid w:val="12EE77FA"/>
    <w:rsid w:val="131E5ECA"/>
    <w:rsid w:val="13A22E55"/>
    <w:rsid w:val="13BE25FE"/>
    <w:rsid w:val="14144585"/>
    <w:rsid w:val="14777F31"/>
    <w:rsid w:val="149C5646"/>
    <w:rsid w:val="14A1218D"/>
    <w:rsid w:val="14B903DE"/>
    <w:rsid w:val="14E90996"/>
    <w:rsid w:val="153A315E"/>
    <w:rsid w:val="15A759F6"/>
    <w:rsid w:val="15C568A3"/>
    <w:rsid w:val="15DD3C88"/>
    <w:rsid w:val="15F65041"/>
    <w:rsid w:val="16115EE2"/>
    <w:rsid w:val="168D7A89"/>
    <w:rsid w:val="16DF591A"/>
    <w:rsid w:val="171E296D"/>
    <w:rsid w:val="172B5A98"/>
    <w:rsid w:val="173F6DC5"/>
    <w:rsid w:val="179F3DDF"/>
    <w:rsid w:val="17D6679E"/>
    <w:rsid w:val="181D23FB"/>
    <w:rsid w:val="181D494B"/>
    <w:rsid w:val="188C6716"/>
    <w:rsid w:val="18FD6BD6"/>
    <w:rsid w:val="190D7B12"/>
    <w:rsid w:val="19213995"/>
    <w:rsid w:val="197011AC"/>
    <w:rsid w:val="197113F3"/>
    <w:rsid w:val="1987566D"/>
    <w:rsid w:val="19980027"/>
    <w:rsid w:val="19BF56CB"/>
    <w:rsid w:val="19EA623B"/>
    <w:rsid w:val="19F35316"/>
    <w:rsid w:val="1A0F4768"/>
    <w:rsid w:val="1A812081"/>
    <w:rsid w:val="1AAF2C73"/>
    <w:rsid w:val="1AFF6F23"/>
    <w:rsid w:val="1B490E29"/>
    <w:rsid w:val="1BC8608F"/>
    <w:rsid w:val="1C1A3920"/>
    <w:rsid w:val="1C3A31F4"/>
    <w:rsid w:val="1C4D1DF2"/>
    <w:rsid w:val="1C57666A"/>
    <w:rsid w:val="1C5D0523"/>
    <w:rsid w:val="1C7157AB"/>
    <w:rsid w:val="1D41732E"/>
    <w:rsid w:val="1D45573B"/>
    <w:rsid w:val="1DB9066B"/>
    <w:rsid w:val="1E576BA8"/>
    <w:rsid w:val="1E632D24"/>
    <w:rsid w:val="1E9F17E9"/>
    <w:rsid w:val="1EAC6A29"/>
    <w:rsid w:val="1F0059E3"/>
    <w:rsid w:val="1F682A39"/>
    <w:rsid w:val="1FA32707"/>
    <w:rsid w:val="1FCD6557"/>
    <w:rsid w:val="1FFB1BF0"/>
    <w:rsid w:val="200F7B00"/>
    <w:rsid w:val="202972A7"/>
    <w:rsid w:val="205900EF"/>
    <w:rsid w:val="20DD1D55"/>
    <w:rsid w:val="21BE2CFB"/>
    <w:rsid w:val="21F51AD7"/>
    <w:rsid w:val="21F52EEB"/>
    <w:rsid w:val="21F742CD"/>
    <w:rsid w:val="223B07F0"/>
    <w:rsid w:val="225A4336"/>
    <w:rsid w:val="22B45357"/>
    <w:rsid w:val="22CF1790"/>
    <w:rsid w:val="2320027F"/>
    <w:rsid w:val="23A41537"/>
    <w:rsid w:val="24000256"/>
    <w:rsid w:val="24217571"/>
    <w:rsid w:val="24481E5A"/>
    <w:rsid w:val="24863878"/>
    <w:rsid w:val="24914F7A"/>
    <w:rsid w:val="24C745BD"/>
    <w:rsid w:val="25076767"/>
    <w:rsid w:val="25104604"/>
    <w:rsid w:val="25481150"/>
    <w:rsid w:val="25FD3E7E"/>
    <w:rsid w:val="26A546BB"/>
    <w:rsid w:val="26B474A7"/>
    <w:rsid w:val="272C2B60"/>
    <w:rsid w:val="27A35338"/>
    <w:rsid w:val="27BA6BA6"/>
    <w:rsid w:val="27C02396"/>
    <w:rsid w:val="27E64D80"/>
    <w:rsid w:val="27EE3274"/>
    <w:rsid w:val="281435E2"/>
    <w:rsid w:val="287A1946"/>
    <w:rsid w:val="288E52B3"/>
    <w:rsid w:val="29691F38"/>
    <w:rsid w:val="297222B2"/>
    <w:rsid w:val="298B4724"/>
    <w:rsid w:val="29C25B76"/>
    <w:rsid w:val="2A0D4F74"/>
    <w:rsid w:val="2A1D6B3E"/>
    <w:rsid w:val="2ABC7FF4"/>
    <w:rsid w:val="2B3D6A68"/>
    <w:rsid w:val="2B57132A"/>
    <w:rsid w:val="2BA410AF"/>
    <w:rsid w:val="2BD22673"/>
    <w:rsid w:val="2BFA033B"/>
    <w:rsid w:val="2BFE3378"/>
    <w:rsid w:val="2C8E7565"/>
    <w:rsid w:val="2C952ED3"/>
    <w:rsid w:val="2D0D344C"/>
    <w:rsid w:val="2D230DA6"/>
    <w:rsid w:val="2D382457"/>
    <w:rsid w:val="2D61521E"/>
    <w:rsid w:val="2DF0380B"/>
    <w:rsid w:val="2E4722CA"/>
    <w:rsid w:val="2E9279E9"/>
    <w:rsid w:val="2EAA3169"/>
    <w:rsid w:val="2EB07688"/>
    <w:rsid w:val="2ECC0DD3"/>
    <w:rsid w:val="2F085135"/>
    <w:rsid w:val="2F543796"/>
    <w:rsid w:val="2F6B4340"/>
    <w:rsid w:val="2FD951A4"/>
    <w:rsid w:val="2FF243C4"/>
    <w:rsid w:val="2FFD2AFA"/>
    <w:rsid w:val="30006BD5"/>
    <w:rsid w:val="30CC7A0C"/>
    <w:rsid w:val="30D22EF7"/>
    <w:rsid w:val="30DD18A9"/>
    <w:rsid w:val="30EA240D"/>
    <w:rsid w:val="30F93D50"/>
    <w:rsid w:val="31163769"/>
    <w:rsid w:val="31307046"/>
    <w:rsid w:val="313412F6"/>
    <w:rsid w:val="313D7ED4"/>
    <w:rsid w:val="31880C30"/>
    <w:rsid w:val="3196746D"/>
    <w:rsid w:val="31F40470"/>
    <w:rsid w:val="320028AB"/>
    <w:rsid w:val="32432671"/>
    <w:rsid w:val="32B76B22"/>
    <w:rsid w:val="33212F6F"/>
    <w:rsid w:val="33644535"/>
    <w:rsid w:val="337A0A4C"/>
    <w:rsid w:val="33D741B9"/>
    <w:rsid w:val="33D9391C"/>
    <w:rsid w:val="34210E80"/>
    <w:rsid w:val="344D7C45"/>
    <w:rsid w:val="346B748E"/>
    <w:rsid w:val="35040798"/>
    <w:rsid w:val="35E96338"/>
    <w:rsid w:val="360A4389"/>
    <w:rsid w:val="363D783A"/>
    <w:rsid w:val="363F05F5"/>
    <w:rsid w:val="36421CF5"/>
    <w:rsid w:val="365D3F74"/>
    <w:rsid w:val="3660023F"/>
    <w:rsid w:val="36C1780D"/>
    <w:rsid w:val="36FA5E25"/>
    <w:rsid w:val="36FF7861"/>
    <w:rsid w:val="374D1B27"/>
    <w:rsid w:val="37AF17C6"/>
    <w:rsid w:val="37F449D1"/>
    <w:rsid w:val="38AB17FA"/>
    <w:rsid w:val="397667F2"/>
    <w:rsid w:val="39956262"/>
    <w:rsid w:val="3A401F92"/>
    <w:rsid w:val="3A737164"/>
    <w:rsid w:val="3A9527B1"/>
    <w:rsid w:val="3AA1241E"/>
    <w:rsid w:val="3AE74C19"/>
    <w:rsid w:val="3AEF4F38"/>
    <w:rsid w:val="3B060439"/>
    <w:rsid w:val="3B20637D"/>
    <w:rsid w:val="3B693836"/>
    <w:rsid w:val="3B6A428B"/>
    <w:rsid w:val="3B883EF3"/>
    <w:rsid w:val="3BF05916"/>
    <w:rsid w:val="3BFC7D21"/>
    <w:rsid w:val="3C015B40"/>
    <w:rsid w:val="3C3E1C3D"/>
    <w:rsid w:val="3C8D364D"/>
    <w:rsid w:val="3C917167"/>
    <w:rsid w:val="3CCA704F"/>
    <w:rsid w:val="3CCE5450"/>
    <w:rsid w:val="3DCD27D4"/>
    <w:rsid w:val="3E284B2A"/>
    <w:rsid w:val="3E2D52FA"/>
    <w:rsid w:val="3E5C147A"/>
    <w:rsid w:val="3E93325E"/>
    <w:rsid w:val="3EFD4BC7"/>
    <w:rsid w:val="3F512FA9"/>
    <w:rsid w:val="3F6969D5"/>
    <w:rsid w:val="3FA347EE"/>
    <w:rsid w:val="3FA53AE5"/>
    <w:rsid w:val="3FEC08DB"/>
    <w:rsid w:val="40171C89"/>
    <w:rsid w:val="40491F46"/>
    <w:rsid w:val="407170A7"/>
    <w:rsid w:val="40986DE1"/>
    <w:rsid w:val="41161732"/>
    <w:rsid w:val="415E6C3B"/>
    <w:rsid w:val="417C5E2E"/>
    <w:rsid w:val="41AD7A2D"/>
    <w:rsid w:val="41E33C60"/>
    <w:rsid w:val="4237722E"/>
    <w:rsid w:val="428B1594"/>
    <w:rsid w:val="432B5AA2"/>
    <w:rsid w:val="435F6ADC"/>
    <w:rsid w:val="441C6232"/>
    <w:rsid w:val="4475243A"/>
    <w:rsid w:val="44DC60DD"/>
    <w:rsid w:val="44FA4216"/>
    <w:rsid w:val="45364DB1"/>
    <w:rsid w:val="455A0732"/>
    <w:rsid w:val="456C2437"/>
    <w:rsid w:val="45B7168C"/>
    <w:rsid w:val="45C20905"/>
    <w:rsid w:val="461D4DE3"/>
    <w:rsid w:val="463B22BD"/>
    <w:rsid w:val="46A8524F"/>
    <w:rsid w:val="473B1210"/>
    <w:rsid w:val="473C4041"/>
    <w:rsid w:val="475F3D89"/>
    <w:rsid w:val="476F371B"/>
    <w:rsid w:val="48172986"/>
    <w:rsid w:val="48F32F45"/>
    <w:rsid w:val="49E13ADC"/>
    <w:rsid w:val="4A00226D"/>
    <w:rsid w:val="4A2F44D7"/>
    <w:rsid w:val="4A9B77CE"/>
    <w:rsid w:val="4AA11E46"/>
    <w:rsid w:val="4AB85B9E"/>
    <w:rsid w:val="4ADA07EB"/>
    <w:rsid w:val="4AE836C7"/>
    <w:rsid w:val="4AED42F3"/>
    <w:rsid w:val="4B285784"/>
    <w:rsid w:val="4B994494"/>
    <w:rsid w:val="4BBC7BF0"/>
    <w:rsid w:val="4BC37334"/>
    <w:rsid w:val="4CCC58EA"/>
    <w:rsid w:val="4D0F2FCA"/>
    <w:rsid w:val="4D9512F4"/>
    <w:rsid w:val="4DA150FB"/>
    <w:rsid w:val="4E32204C"/>
    <w:rsid w:val="4E721A8A"/>
    <w:rsid w:val="4EA03605"/>
    <w:rsid w:val="4EE03A01"/>
    <w:rsid w:val="4F1837F1"/>
    <w:rsid w:val="4FAF3DF7"/>
    <w:rsid w:val="4FDA66A3"/>
    <w:rsid w:val="4FDF2B90"/>
    <w:rsid w:val="504B146F"/>
    <w:rsid w:val="5065122B"/>
    <w:rsid w:val="5088591F"/>
    <w:rsid w:val="50C40576"/>
    <w:rsid w:val="50CE26AB"/>
    <w:rsid w:val="510F337D"/>
    <w:rsid w:val="51246CD4"/>
    <w:rsid w:val="518B61DE"/>
    <w:rsid w:val="519B283F"/>
    <w:rsid w:val="51C965D7"/>
    <w:rsid w:val="51E100CE"/>
    <w:rsid w:val="526D7CA2"/>
    <w:rsid w:val="52834DDE"/>
    <w:rsid w:val="52A11CDC"/>
    <w:rsid w:val="52BD71C1"/>
    <w:rsid w:val="531C2CA3"/>
    <w:rsid w:val="53585460"/>
    <w:rsid w:val="536064DB"/>
    <w:rsid w:val="53750D5F"/>
    <w:rsid w:val="540C73F1"/>
    <w:rsid w:val="541A6049"/>
    <w:rsid w:val="543922BC"/>
    <w:rsid w:val="546B3D08"/>
    <w:rsid w:val="54A47C15"/>
    <w:rsid w:val="54D24E86"/>
    <w:rsid w:val="55901C1B"/>
    <w:rsid w:val="55E35517"/>
    <w:rsid w:val="55F3226C"/>
    <w:rsid w:val="562A0E6B"/>
    <w:rsid w:val="563F226F"/>
    <w:rsid w:val="569A2D71"/>
    <w:rsid w:val="56E750C7"/>
    <w:rsid w:val="57160752"/>
    <w:rsid w:val="571A0A26"/>
    <w:rsid w:val="575942B4"/>
    <w:rsid w:val="580F535A"/>
    <w:rsid w:val="592135CE"/>
    <w:rsid w:val="59841011"/>
    <w:rsid w:val="59AC0BE0"/>
    <w:rsid w:val="59C02DAD"/>
    <w:rsid w:val="5A5D3175"/>
    <w:rsid w:val="5A780F77"/>
    <w:rsid w:val="5A7E3E82"/>
    <w:rsid w:val="5A9E080B"/>
    <w:rsid w:val="5B0E18F6"/>
    <w:rsid w:val="5BF11C39"/>
    <w:rsid w:val="5BF3746A"/>
    <w:rsid w:val="5C16268E"/>
    <w:rsid w:val="5C857A92"/>
    <w:rsid w:val="5CB36C72"/>
    <w:rsid w:val="5D365728"/>
    <w:rsid w:val="5D773E99"/>
    <w:rsid w:val="5D910CC8"/>
    <w:rsid w:val="5E3167F9"/>
    <w:rsid w:val="5ED846F5"/>
    <w:rsid w:val="5EF65A70"/>
    <w:rsid w:val="5F195FB4"/>
    <w:rsid w:val="5F3F6522"/>
    <w:rsid w:val="5F6101DE"/>
    <w:rsid w:val="5FA766A2"/>
    <w:rsid w:val="60236E20"/>
    <w:rsid w:val="60304378"/>
    <w:rsid w:val="605F4ED7"/>
    <w:rsid w:val="60B307CF"/>
    <w:rsid w:val="60E63E9E"/>
    <w:rsid w:val="612B2B67"/>
    <w:rsid w:val="61444061"/>
    <w:rsid w:val="61600157"/>
    <w:rsid w:val="61E55B46"/>
    <w:rsid w:val="629F3EDD"/>
    <w:rsid w:val="62E245C6"/>
    <w:rsid w:val="62EF2728"/>
    <w:rsid w:val="633908EF"/>
    <w:rsid w:val="63B33922"/>
    <w:rsid w:val="64285006"/>
    <w:rsid w:val="6468753B"/>
    <w:rsid w:val="64B70FB8"/>
    <w:rsid w:val="64C50132"/>
    <w:rsid w:val="65E46C94"/>
    <w:rsid w:val="65FF1B98"/>
    <w:rsid w:val="665602D1"/>
    <w:rsid w:val="6659611C"/>
    <w:rsid w:val="66952842"/>
    <w:rsid w:val="67051076"/>
    <w:rsid w:val="673C6915"/>
    <w:rsid w:val="677A0A3F"/>
    <w:rsid w:val="677D0530"/>
    <w:rsid w:val="67AA6E34"/>
    <w:rsid w:val="68092566"/>
    <w:rsid w:val="692807ED"/>
    <w:rsid w:val="69731AF1"/>
    <w:rsid w:val="6976742C"/>
    <w:rsid w:val="69C5798F"/>
    <w:rsid w:val="6A32691A"/>
    <w:rsid w:val="6AF25829"/>
    <w:rsid w:val="6B6F1D0D"/>
    <w:rsid w:val="6BBA3B00"/>
    <w:rsid w:val="6BE36D3E"/>
    <w:rsid w:val="6BF012D0"/>
    <w:rsid w:val="6C5F0204"/>
    <w:rsid w:val="6CEF6D48"/>
    <w:rsid w:val="6D2E2793"/>
    <w:rsid w:val="6D342192"/>
    <w:rsid w:val="6E181588"/>
    <w:rsid w:val="6E236C5F"/>
    <w:rsid w:val="6E9313EA"/>
    <w:rsid w:val="6ED913D7"/>
    <w:rsid w:val="6EE81087"/>
    <w:rsid w:val="6F862425"/>
    <w:rsid w:val="7048146D"/>
    <w:rsid w:val="715916C6"/>
    <w:rsid w:val="71C00F2C"/>
    <w:rsid w:val="71DE5BB7"/>
    <w:rsid w:val="71E33685"/>
    <w:rsid w:val="72075026"/>
    <w:rsid w:val="725122A8"/>
    <w:rsid w:val="72845790"/>
    <w:rsid w:val="735C4A21"/>
    <w:rsid w:val="73880040"/>
    <w:rsid w:val="73C732D6"/>
    <w:rsid w:val="73DD4830"/>
    <w:rsid w:val="741C29CE"/>
    <w:rsid w:val="74592E42"/>
    <w:rsid w:val="745B39A7"/>
    <w:rsid w:val="74B83458"/>
    <w:rsid w:val="74BE7BFF"/>
    <w:rsid w:val="74EC45FF"/>
    <w:rsid w:val="75106A15"/>
    <w:rsid w:val="754B614B"/>
    <w:rsid w:val="755C5377"/>
    <w:rsid w:val="757F53FE"/>
    <w:rsid w:val="759E1951"/>
    <w:rsid w:val="763224E5"/>
    <w:rsid w:val="76716565"/>
    <w:rsid w:val="76A50046"/>
    <w:rsid w:val="76BC3408"/>
    <w:rsid w:val="76CD2130"/>
    <w:rsid w:val="76DD60F9"/>
    <w:rsid w:val="7730725B"/>
    <w:rsid w:val="779838F3"/>
    <w:rsid w:val="779C53A9"/>
    <w:rsid w:val="77D219FD"/>
    <w:rsid w:val="77DF57A9"/>
    <w:rsid w:val="7830365B"/>
    <w:rsid w:val="78A46F51"/>
    <w:rsid w:val="792B7DB1"/>
    <w:rsid w:val="799754B2"/>
    <w:rsid w:val="7A201B71"/>
    <w:rsid w:val="7A735A72"/>
    <w:rsid w:val="7AAD4830"/>
    <w:rsid w:val="7ACC7B06"/>
    <w:rsid w:val="7AEE3A5A"/>
    <w:rsid w:val="7B805332"/>
    <w:rsid w:val="7BD17C9F"/>
    <w:rsid w:val="7C0B2B26"/>
    <w:rsid w:val="7C1728A9"/>
    <w:rsid w:val="7C2835B6"/>
    <w:rsid w:val="7C43188B"/>
    <w:rsid w:val="7C544A6F"/>
    <w:rsid w:val="7C5A2796"/>
    <w:rsid w:val="7CB20549"/>
    <w:rsid w:val="7CCF7821"/>
    <w:rsid w:val="7CF909CD"/>
    <w:rsid w:val="7D0C35D2"/>
    <w:rsid w:val="7DCC5F8D"/>
    <w:rsid w:val="7DFA3729"/>
    <w:rsid w:val="7E433A08"/>
    <w:rsid w:val="7E4C7B25"/>
    <w:rsid w:val="7E571C40"/>
    <w:rsid w:val="7EA5419C"/>
    <w:rsid w:val="7EAD4DFF"/>
    <w:rsid w:val="7F3E6350"/>
    <w:rsid w:val="7F4C5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nhideWhenUsed="0" w:uiPriority="0" w:semiHidden="0" w:name="heading 3"/>
    <w:lsdException w:qFormat="1" w:uiPriority="0"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7">
    <w:name w:val="heading 1"/>
    <w:basedOn w:val="1"/>
    <w:qFormat/>
    <w:uiPriority w:val="1"/>
    <w:pPr>
      <w:spacing w:before="174"/>
      <w:outlineLvl w:val="0"/>
    </w:pPr>
    <w:rPr>
      <w:rFonts w:ascii="方正黑体_GBK" w:hAnsi="方正黑体_GBK" w:eastAsia="方正黑体_GBK" w:cs="方正黑体_GBK"/>
      <w:sz w:val="28"/>
      <w:szCs w:val="28"/>
    </w:rPr>
  </w:style>
  <w:style w:type="paragraph" w:styleId="8">
    <w:name w:val="heading 2"/>
    <w:basedOn w:val="1"/>
    <w:next w:val="9"/>
    <w:semiHidden/>
    <w:unhideWhenUsed/>
    <w:qFormat/>
    <w:uiPriority w:val="0"/>
    <w:pPr>
      <w:spacing w:beforeAutospacing="1" w:afterAutospacing="1"/>
      <w:outlineLvl w:val="1"/>
    </w:pPr>
    <w:rPr>
      <w:rFonts w:hint="eastAsia" w:ascii="宋体" w:hAnsi="宋体" w:eastAsia="宋体" w:cs="Times New Roman"/>
      <w:b/>
      <w:bCs/>
      <w:sz w:val="36"/>
      <w:szCs w:val="36"/>
      <w:lang w:eastAsia="zh-CN"/>
    </w:rPr>
  </w:style>
  <w:style w:type="paragraph" w:styleId="10">
    <w:name w:val="heading 3"/>
    <w:basedOn w:val="1"/>
    <w:next w:val="9"/>
    <w:qFormat/>
    <w:uiPriority w:val="0"/>
    <w:pPr>
      <w:keepNext/>
      <w:keepLines/>
      <w:spacing w:before="360" w:after="120"/>
      <w:outlineLvl w:val="2"/>
    </w:pPr>
    <w:rPr>
      <w:rFonts w:ascii="宋体"/>
      <w:b/>
      <w:sz w:val="24"/>
      <w:szCs w:val="20"/>
      <w:u w:val="single"/>
    </w:rPr>
  </w:style>
  <w:style w:type="paragraph" w:styleId="11">
    <w:name w:val="heading 4"/>
    <w:basedOn w:val="1"/>
    <w:next w:val="1"/>
    <w:unhideWhenUsed/>
    <w:qFormat/>
    <w:uiPriority w:val="0"/>
    <w:pPr>
      <w:keepNext/>
      <w:keepLines/>
      <w:spacing w:before="280" w:after="290" w:line="372" w:lineRule="auto"/>
      <w:outlineLvl w:val="3"/>
    </w:pPr>
    <w:rPr>
      <w:rFonts w:eastAsia="黑体"/>
      <w:b/>
      <w:sz w:val="28"/>
    </w:rPr>
  </w:style>
  <w:style w:type="paragraph" w:styleId="12">
    <w:name w:val="heading 5"/>
    <w:basedOn w:val="1"/>
    <w:next w:val="1"/>
    <w:unhideWhenUsed/>
    <w:qFormat/>
    <w:uiPriority w:val="9"/>
    <w:pPr>
      <w:keepNext/>
      <w:keepLines/>
      <w:spacing w:before="280" w:after="290" w:line="372" w:lineRule="auto"/>
      <w:outlineLvl w:val="4"/>
    </w:pPr>
    <w:rPr>
      <w:b/>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widowControl/>
      <w:tabs>
        <w:tab w:val="left" w:pos="567"/>
      </w:tabs>
      <w:ind w:firstLine="420"/>
      <w:jc w:val="left"/>
    </w:pPr>
    <w:rPr>
      <w:kern w:val="0"/>
      <w:szCs w:val="20"/>
    </w:rPr>
  </w:style>
  <w:style w:type="paragraph" w:styleId="3">
    <w:name w:val="Body Text"/>
    <w:basedOn w:val="1"/>
    <w:next w:val="1"/>
    <w:semiHidden/>
    <w:qFormat/>
    <w:uiPriority w:val="0"/>
  </w:style>
  <w:style w:type="paragraph" w:styleId="4">
    <w:name w:val="Body Text First Indent 2"/>
    <w:basedOn w:val="5"/>
    <w:qFormat/>
    <w:uiPriority w:val="0"/>
    <w:pPr>
      <w:spacing w:after="120" w:line="480" w:lineRule="exact"/>
      <w:ind w:left="420" w:leftChars="200" w:firstLine="420" w:firstLineChars="200"/>
    </w:pPr>
    <w:rPr>
      <w:szCs w:val="20"/>
    </w:rPr>
  </w:style>
  <w:style w:type="paragraph" w:styleId="5">
    <w:name w:val="Body Text Indent"/>
    <w:basedOn w:val="1"/>
    <w:next w:val="6"/>
    <w:unhideWhenUsed/>
    <w:qFormat/>
    <w:uiPriority w:val="0"/>
    <w:pPr>
      <w:widowControl w:val="0"/>
      <w:spacing w:after="120"/>
      <w:ind w:left="420" w:leftChars="200"/>
      <w:jc w:val="both"/>
    </w:pPr>
    <w:rPr>
      <w:sz w:val="24"/>
      <w:szCs w:val="24"/>
    </w:rPr>
  </w:style>
  <w:style w:type="paragraph" w:styleId="6">
    <w:name w:val="envelope return"/>
    <w:basedOn w:val="1"/>
    <w:qFormat/>
    <w:uiPriority w:val="0"/>
    <w:pPr>
      <w:snapToGrid w:val="0"/>
    </w:pPr>
    <w:rPr>
      <w:rFonts w:ascii="Arial" w:hAnsi="Arial"/>
    </w:rPr>
  </w:style>
  <w:style w:type="paragraph" w:styleId="9">
    <w:name w:val="Normal Indent"/>
    <w:basedOn w:val="1"/>
    <w:qFormat/>
    <w:uiPriority w:val="0"/>
    <w:pPr>
      <w:ind w:firstLine="420"/>
    </w:pPr>
    <w:rPr>
      <w:rFonts w:ascii="宋体"/>
      <w:sz w:val="24"/>
    </w:rPr>
  </w:style>
  <w:style w:type="paragraph" w:styleId="13">
    <w:name w:val="annotation text"/>
    <w:basedOn w:val="1"/>
    <w:qFormat/>
    <w:uiPriority w:val="0"/>
  </w:style>
  <w:style w:type="paragraph" w:styleId="14">
    <w:name w:val="Plain Text"/>
    <w:basedOn w:val="1"/>
    <w:qFormat/>
    <w:uiPriority w:val="0"/>
    <w:rPr>
      <w:rFonts w:hint="eastAsia" w:ascii="宋体" w:hAnsi="Courier New"/>
      <w:szCs w:val="20"/>
    </w:rPr>
  </w:style>
  <w:style w:type="paragraph" w:styleId="15">
    <w:name w:val="Body Text Indent 2"/>
    <w:basedOn w:val="1"/>
    <w:qFormat/>
    <w:uiPriority w:val="0"/>
    <w:pPr>
      <w:ind w:firstLine="480" w:firstLineChars="200"/>
    </w:pPr>
    <w:rPr>
      <w:rFonts w:ascii="仿宋_GB2312" w:eastAsia="仿宋_GB2312"/>
      <w:sz w:val="24"/>
    </w:rPr>
  </w:style>
  <w:style w:type="paragraph" w:styleId="16">
    <w:name w:val="footer"/>
    <w:basedOn w:val="1"/>
    <w:qFormat/>
    <w:uiPriority w:val="0"/>
    <w:pPr>
      <w:tabs>
        <w:tab w:val="center" w:pos="4153"/>
        <w:tab w:val="right" w:pos="8306"/>
      </w:tabs>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8">
    <w:name w:val="toc 1"/>
    <w:basedOn w:val="1"/>
    <w:next w:val="1"/>
    <w:qFormat/>
    <w:uiPriority w:val="0"/>
  </w:style>
  <w:style w:type="paragraph" w:styleId="19">
    <w:name w:val="Normal (Web)"/>
    <w:basedOn w:val="1"/>
    <w:qFormat/>
    <w:uiPriority w:val="0"/>
    <w:pPr>
      <w:spacing w:beforeAutospacing="1" w:afterAutospacing="1"/>
    </w:pPr>
    <w:rPr>
      <w:rFonts w:cs="Times New Roman"/>
      <w:sz w:val="24"/>
      <w:lang w:eastAsia="zh-CN"/>
    </w:rPr>
  </w:style>
  <w:style w:type="table" w:styleId="21">
    <w:name w:val="Table Grid"/>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character" w:styleId="23">
    <w:name w:val="Strong"/>
    <w:basedOn w:val="22"/>
    <w:qFormat/>
    <w:uiPriority w:val="0"/>
    <w:rPr>
      <w:b/>
    </w:rPr>
  </w:style>
  <w:style w:type="character" w:styleId="24">
    <w:name w:val="FollowedHyperlink"/>
    <w:basedOn w:val="22"/>
    <w:qFormat/>
    <w:uiPriority w:val="0"/>
    <w:rPr>
      <w:rFonts w:hint="eastAsia" w:ascii="微软雅黑" w:hAnsi="微软雅黑" w:eastAsia="微软雅黑" w:cs="微软雅黑"/>
      <w:color w:val="02396F"/>
      <w:u w:val="single"/>
    </w:rPr>
  </w:style>
  <w:style w:type="character" w:styleId="25">
    <w:name w:val="Emphasis"/>
    <w:qFormat/>
    <w:uiPriority w:val="0"/>
    <w:rPr>
      <w:color w:val="CC0033"/>
    </w:rPr>
  </w:style>
  <w:style w:type="character" w:styleId="26">
    <w:name w:val="Hyperlink"/>
    <w:basedOn w:val="22"/>
    <w:qFormat/>
    <w:uiPriority w:val="0"/>
    <w:rPr>
      <w:rFonts w:hint="eastAsia" w:ascii="微软雅黑" w:hAnsi="微软雅黑" w:eastAsia="微软雅黑" w:cs="微软雅黑"/>
      <w:color w:val="02396F"/>
      <w:u w:val="single"/>
    </w:rPr>
  </w:style>
  <w:style w:type="paragraph" w:customStyle="1" w:styleId="27">
    <w:name w:val="TOC 11"/>
    <w:next w:val="1"/>
    <w:qFormat/>
    <w:uiPriority w:val="0"/>
    <w:pPr>
      <w:wordWrap w:val="0"/>
      <w:spacing w:after="160" w:line="278" w:lineRule="auto"/>
      <w:jc w:val="both"/>
    </w:pPr>
    <w:rPr>
      <w:rFonts w:ascii="Calibri" w:hAnsi="Calibri" w:eastAsia="宋体" w:cs="Times New Roman"/>
      <w:sz w:val="21"/>
      <w:szCs w:val="22"/>
      <w:lang w:val="en-US" w:eastAsia="zh-CN" w:bidi="ar-SA"/>
    </w:rPr>
  </w:style>
  <w:style w:type="table" w:customStyle="1" w:styleId="28">
    <w:name w:val="Table Normal"/>
    <w:semiHidden/>
    <w:unhideWhenUsed/>
    <w:qFormat/>
    <w:uiPriority w:val="0"/>
    <w:tblPr>
      <w:tblCellMar>
        <w:top w:w="0" w:type="dxa"/>
        <w:left w:w="0" w:type="dxa"/>
        <w:bottom w:w="0" w:type="dxa"/>
        <w:right w:w="0" w:type="dxa"/>
      </w:tblCellMar>
    </w:tblPr>
  </w:style>
  <w:style w:type="paragraph" w:customStyle="1" w:styleId="29">
    <w:name w:val="Table Text"/>
    <w:basedOn w:val="1"/>
    <w:semiHidden/>
    <w:qFormat/>
    <w:uiPriority w:val="0"/>
  </w:style>
  <w:style w:type="paragraph" w:customStyle="1" w:styleId="30">
    <w:name w:val="toc 1_b958cacf-7e5f-454f-8c5b-6e15b77831f9"/>
    <w:next w:val="1"/>
    <w:qFormat/>
    <w:uiPriority w:val="0"/>
    <w:pPr>
      <w:wordWrap w:val="0"/>
      <w:jc w:val="both"/>
    </w:pPr>
    <w:rPr>
      <w:rFonts w:ascii="Times New Roman" w:hAnsi="Times New Roman" w:eastAsia="宋体" w:cs="Times New Roman"/>
      <w:sz w:val="21"/>
      <w:szCs w:val="22"/>
      <w:lang w:val="en-US" w:eastAsia="zh-CN" w:bidi="ar-SA"/>
    </w:rPr>
  </w:style>
  <w:style w:type="paragraph" w:styleId="31">
    <w:name w:val="List Paragraph"/>
    <w:basedOn w:val="1"/>
    <w:qFormat/>
    <w:uiPriority w:val="34"/>
    <w:pPr>
      <w:ind w:firstLine="420" w:firstLineChars="200"/>
    </w:pPr>
    <w:rPr>
      <w:rFonts w:ascii="Calibri" w:hAnsi="Calibri"/>
      <w:szCs w:val="22"/>
    </w:rPr>
  </w:style>
  <w:style w:type="paragraph" w:customStyle="1" w:styleId="32">
    <w:name w:val="Table Paragraph"/>
    <w:basedOn w:val="1"/>
    <w:qFormat/>
    <w:uiPriority w:val="1"/>
    <w:rPr>
      <w:rFonts w:ascii="宋体" w:hAnsi="宋体" w:cs="宋体"/>
      <w:sz w:val="22"/>
      <w:szCs w:val="22"/>
    </w:rPr>
  </w:style>
  <w:style w:type="paragraph" w:customStyle="1" w:styleId="33">
    <w:name w:val="WPSOffice手动目录 1"/>
    <w:qFormat/>
    <w:uiPriority w:val="0"/>
    <w:rPr>
      <w:rFonts w:ascii="Times New Roman" w:hAnsi="Times New Roman" w:eastAsia="宋体" w:cs="Times New Roman"/>
      <w:lang w:val="en-US" w:eastAsia="zh-CN" w:bidi="ar-SA"/>
    </w:rPr>
  </w:style>
  <w:style w:type="paragraph" w:customStyle="1" w:styleId="34">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35">
    <w:name w:val="无间隔1"/>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table" w:customStyle="1" w:styleId="36">
    <w:name w:val="Table Normal_0"/>
    <w:semiHidden/>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37">
    <w:name w:val="redfilefwwh"/>
    <w:basedOn w:val="22"/>
    <w:qFormat/>
    <w:uiPriority w:val="0"/>
    <w:rPr>
      <w:color w:val="BA2636"/>
      <w:sz w:val="18"/>
      <w:szCs w:val="18"/>
    </w:rPr>
  </w:style>
  <w:style w:type="character" w:customStyle="1" w:styleId="38">
    <w:name w:val="cfdate"/>
    <w:basedOn w:val="22"/>
    <w:qFormat/>
    <w:uiPriority w:val="0"/>
    <w:rPr>
      <w:color w:val="333333"/>
      <w:sz w:val="18"/>
      <w:szCs w:val="18"/>
    </w:rPr>
  </w:style>
  <w:style w:type="character" w:customStyle="1" w:styleId="39">
    <w:name w:val="gjfg"/>
    <w:basedOn w:val="22"/>
    <w:qFormat/>
    <w:uiPriority w:val="0"/>
  </w:style>
  <w:style w:type="character" w:customStyle="1" w:styleId="40">
    <w:name w:val="prev"/>
    <w:basedOn w:val="22"/>
    <w:qFormat/>
    <w:uiPriority w:val="0"/>
    <w:rPr>
      <w:color w:val="888888"/>
    </w:rPr>
  </w:style>
  <w:style w:type="character" w:customStyle="1" w:styleId="41">
    <w:name w:val="prev1"/>
    <w:basedOn w:val="22"/>
    <w:qFormat/>
    <w:uiPriority w:val="0"/>
    <w:rPr>
      <w:rFonts w:ascii="微软雅黑" w:hAnsi="微软雅黑" w:eastAsia="微软雅黑" w:cs="微软雅黑"/>
      <w:sz w:val="21"/>
      <w:szCs w:val="21"/>
    </w:rPr>
  </w:style>
  <w:style w:type="character" w:customStyle="1" w:styleId="42">
    <w:name w:val="redfilenumber"/>
    <w:basedOn w:val="22"/>
    <w:qFormat/>
    <w:uiPriority w:val="0"/>
    <w:rPr>
      <w:color w:val="BA2636"/>
      <w:sz w:val="18"/>
      <w:szCs w:val="18"/>
    </w:rPr>
  </w:style>
  <w:style w:type="character" w:customStyle="1" w:styleId="43">
    <w:name w:val="displayarti"/>
    <w:basedOn w:val="22"/>
    <w:qFormat/>
    <w:uiPriority w:val="0"/>
    <w:rPr>
      <w:color w:val="FFFFFF"/>
      <w:shd w:val="clear" w:color="auto" w:fill="A00000"/>
    </w:rPr>
  </w:style>
  <w:style w:type="character" w:customStyle="1" w:styleId="44">
    <w:name w:val="next2"/>
    <w:basedOn w:val="22"/>
    <w:qFormat/>
    <w:uiPriority w:val="0"/>
    <w:rPr>
      <w:color w:val="888888"/>
    </w:rPr>
  </w:style>
  <w:style w:type="character" w:customStyle="1" w:styleId="45">
    <w:name w:val="next3"/>
    <w:basedOn w:val="22"/>
    <w:qFormat/>
    <w:uiPriority w:val="0"/>
    <w:rPr>
      <w:rFonts w:hint="eastAsia" w:ascii="微软雅黑" w:hAnsi="微软雅黑" w:eastAsia="微软雅黑" w:cs="微软雅黑"/>
      <w:sz w:val="21"/>
      <w:szCs w:val="21"/>
    </w:rPr>
  </w:style>
  <w:style w:type="character" w:customStyle="1" w:styleId="46">
    <w:name w:val="qxdate"/>
    <w:basedOn w:val="22"/>
    <w:qFormat/>
    <w:uiPriority w:val="0"/>
    <w:rPr>
      <w:color w:val="333333"/>
      <w:sz w:val="18"/>
      <w:szCs w:val="18"/>
    </w:rPr>
  </w:style>
  <w:style w:type="character" w:customStyle="1" w:styleId="47">
    <w:name w:val="fontstyle01"/>
    <w:qFormat/>
    <w:uiPriority w:val="0"/>
    <w:rPr>
      <w:rFonts w:hint="eastAsia" w:ascii="宋体" w:hAnsi="宋体" w:eastAsia="宋体"/>
      <w:color w:val="000000"/>
      <w:sz w:val="24"/>
      <w:szCs w:val="24"/>
    </w:rPr>
  </w:style>
  <w:style w:type="character" w:customStyle="1" w:styleId="48">
    <w:name w:val="fontstyle21"/>
    <w:qFormat/>
    <w:uiPriority w:val="0"/>
    <w:rPr>
      <w:rFonts w:hint="default" w:ascii="TimesNewRomanPSMT" w:hAnsi="TimesNewRomanPSMT"/>
      <w:color w:val="000000"/>
      <w:sz w:val="24"/>
      <w:szCs w:val="24"/>
    </w:rPr>
  </w:style>
  <w:style w:type="paragraph" w:customStyle="1" w:styleId="49">
    <w:name w:val="样式 标题 2 + Times New Roman 四号 非加粗 段前: 5 磅 段后: 0 磅 行距: 固定值 20..."/>
    <w:basedOn w:val="8"/>
    <w:qFormat/>
    <w:uiPriority w:val="0"/>
    <w:pPr>
      <w:spacing w:before="100" w:line="400" w:lineRule="exact"/>
    </w:pPr>
    <w:rPr>
      <w:rFonts w:ascii="Times New Roman" w:hAnsi="Times New Roman" w:cs="宋体"/>
      <w:b w:val="0"/>
      <w:sz w:val="28"/>
    </w:rPr>
  </w:style>
  <w:style w:type="paragraph" w:customStyle="1" w:styleId="50">
    <w:name w:val="样式 标题 3 + (中文) 黑体 小四 非加粗 段前: 7.8 磅 段后: 0 磅 行距: 固定值 20 磅"/>
    <w:basedOn w:val="10"/>
    <w:qFormat/>
    <w:uiPriority w:val="0"/>
    <w:pPr>
      <w:autoSpaceDE/>
      <w:autoSpaceDN/>
      <w:adjustRightInd/>
      <w:spacing w:before="0" w:after="0" w:line="400" w:lineRule="exact"/>
      <w:jc w:val="both"/>
    </w:pPr>
    <w:rPr>
      <w:rFonts w:ascii="Times New Roman" w:eastAsia="黑体"/>
      <w:b w:val="0"/>
      <w:kern w:val="2"/>
      <w:u w:val="none"/>
    </w:rPr>
  </w:style>
  <w:style w:type="character" w:customStyle="1" w:styleId="51">
    <w:name w:val="not([class*=suffix])"/>
    <w:basedOn w:val="22"/>
    <w:qFormat/>
    <w:uiPriority w:val="0"/>
  </w:style>
  <w:style w:type="character" w:customStyle="1" w:styleId="52">
    <w:name w:val="not([class*=suffix])1"/>
    <w:basedOn w:val="22"/>
    <w:qFormat/>
    <w:uiPriority w:val="0"/>
    <w:rPr>
      <w:sz w:val="19"/>
      <w:szCs w:val="19"/>
    </w:rPr>
  </w:style>
  <w:style w:type="paragraph" w:customStyle="1" w:styleId="53">
    <w:name w:val="1"/>
    <w:qFormat/>
    <w:uiPriority w:val="0"/>
    <w:rPr>
      <w:rFonts w:ascii="Times New Roman" w:hAnsi="Times New Roman" w:eastAsia="宋体" w:cs="Times New Roman"/>
      <w:kern w:val="2"/>
      <w:sz w:val="21"/>
      <w:szCs w:val="24"/>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wmf"/><Relationship Id="rId15" Type="http://schemas.openxmlformats.org/officeDocument/2006/relationships/oleObject" Target="embeddings/oleObject1.bin"/><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80f6d4f3-d168-40b1-9390-ce74967666ca</errorID>
      <errorWord>其它</errorWord>
      <group>L1_Word</group>
      <groupName>字词问题</groupName>
      <ability>L2_Alias</ability>
      <abilityName>也作/曾用词</abilityName>
      <candidateList>
        <item>其他</item>
      </candidateList>
      <explain>词汇[其它]为不规范表述或旧称，其规范书面表述为[其他]。</explain>
      <paraID>5824B825</paraID>
      <start>3</start>
      <end>5</end>
      <status>unmodified</status>
      <modifiedWord/>
      <trackRevisions>false</trackRevisions>
    </reviewItem>
    <reviewItem>
      <errorID>9dd47b04-2083-408f-a62b-2c59746e3ba0</errorID>
      <errorWord>下午14:00</errorWord>
      <group>L1_Knowledge</group>
      <groupName>知识性问题</groupName>
      <ability>L2_Time</ability>
      <abilityName>日期时间</abilityName>
      <candidateList>
        <item>14:00</item>
      </candidateList>
      <explain>24小时制的时间，不需要强调“下午”。</explain>
      <paraID>405A8034</paraID>
      <start>43</start>
      <end>50</end>
      <status>unmodified</status>
      <modifiedWord/>
      <trackRevisions>false</trackRevisions>
    </reviewItem>
    <reviewItem>
      <errorID>9ffc3dc0-8b76-42e0-b86a-a5360817cd01</errorID>
      <errorWord>(</errorWord>
      <group>L1_Format</group>
      <groupName>格式问题</groupName>
      <ability>L2_HalfPunc</ability>
      <abilityName>全半角检查</abilityName>
      <candidateList>
        <item>（</item>
      </candidateList>
      <explain>文本全半角错误。</explain>
      <paraID>5FFA53F3</paraID>
      <start>58</start>
      <end>59</end>
      <status>unmodified</status>
      <modifiedWord/>
      <trackRevisions>false</trackRevisions>
    </reviewItem>
    <reviewItem>
      <errorID>568855b8-037b-4351-af9b-436020a9da64</errorID>
      <errorWord>2026年02月27日</errorWord>
      <group>L1_Knowledge</group>
      <groupName>知识性问题</groupName>
      <ability>L2_Time</ability>
      <abilityName>日期时间</abilityName>
      <candidateList>
        <item>2026年2月27日</item>
      </candidateList>
      <explain>根据日常书写习惯，月份一般会省略前导零。</explain>
      <paraID>1F7B4E93</paraID>
      <start>5</start>
      <end>16</end>
      <status>unmodified</status>
      <modifiedWord/>
      <trackRevisions>false</trackRevisions>
    </reviewItem>
    <reviewItem>
      <errorID>d19005a1-a7d2-4a25-b067-8147cefb7bf2</errorID>
      <errorWord>2026年02月27日</errorWord>
      <group>L1_Knowledge</group>
      <groupName>知识性问题</groupName>
      <ability>L2_Time</ability>
      <abilityName>日期时间</abilityName>
      <candidateList>
        <item>2026年2月27日</item>
      </candidateList>
      <explain>根据日常书写习惯，月份一般会省略前导零。</explain>
      <paraID>2E1C320D</paraID>
      <start>3</start>
      <end>14</end>
      <status>unmodified</status>
      <modifiedWord/>
      <trackRevisions>false</trackRevisions>
    </reviewItem>
    <reviewItem>
      <errorID>08e8d417-f271-48ee-846e-072125a6d53f</errorID>
      <errorWord>[2014]68号</errorWord>
      <group>L1_Knowledge</group>
      <groupName>知识性问题</groupName>
      <ability>L2_Knowledge</ability>
      <abilityName>其他知识</abilityName>
      <candidateList>
        <item>〔2014〕68号</item>
      </candidateList>
      <explain>发文字号格式错误。</explain>
      <paraID>16C2C5A6</paraID>
      <start>136</start>
      <end>145</end>
      <status>unmodified</status>
      <modifiedWord/>
      <trackRevisions>false</trackRevisions>
    </reviewItem>
    <reviewItem>
      <errorID>027a65bd-03f3-4870-8185-042bcc8fd61c</errorID>
      <errorWord>[2016]125号</errorWord>
      <group>L1_Knowledge</group>
      <groupName>知识性问题</groupName>
      <ability>L2_Knowledge</ability>
      <abilityName>其他知识</abilityName>
      <candidateList>
        <item>〔2016〕125号</item>
      </candidateList>
      <explain>发文字号格式错误。</explain>
      <paraID>16C2C5A6</paraID>
      <start>224</start>
      <end>234</end>
      <status>unmodified</status>
      <modifiedWord/>
      <trackRevisions>false</trackRevisions>
    </reviewItem>
    <reviewItem>
      <errorID>f09f6146-fa8e-4456-9e09-618363900491</errorID>
      <errorWord>2026年02月27日</errorWord>
      <group>L1_Knowledge</group>
      <groupName>知识性问题</groupName>
      <ability>L2_Time</ability>
      <abilityName>日期时间</abilityName>
      <candidateList>
        <item>2026年2月27日</item>
      </candidateList>
      <explain>根据日常书写习惯，月份一般会省略前导零。</explain>
      <paraID> FF55069</paraID>
      <start>0</start>
      <end>11</end>
      <status>unmodified</status>
      <modifiedWord/>
      <trackRevisions>false</trackRevisions>
    </reviewItem>
    <reviewItem>
      <errorID>1e2b9136-5593-4df2-a13a-19abe2084456</errorID>
      <errorWord>纸制</errorWord>
      <group>L1_Word</group>
      <groupName>字词问题</groupName>
      <ability>L2_Typo</ability>
      <abilityName>字词错误</abilityName>
      <candidateList>
        <item>纸质</item>
      </candidateList>
      <explain/>
      <paraID>24F18DB4</paraID>
      <start>7</start>
      <end>9</end>
      <status>unmodified</status>
      <modifiedWord/>
      <trackRevisions>false</trackRevisions>
    </reviewItem>
    <reviewItem>
      <errorID>d3a48dfe-b59d-4f4c-9ac0-8a9e93585096</errorID>
      <errorWord>(</errorWord>
      <group>L1_Format</group>
      <groupName>格式问题</groupName>
      <ability>L2_HalfPunc</ability>
      <abilityName>全半角检查</abilityName>
      <candidateList>
        <item>（</item>
      </candidateList>
      <explain>文本全半角错误。</explain>
      <paraID>3901EB30</paraID>
      <start>50</start>
      <end>51</end>
      <status>unmodified</status>
      <modifiedWord/>
      <trackRevisions>false</trackRevisions>
    </reviewItem>
    <reviewItem>
      <errorID>053ed598-0263-4372-95d3-131902772f9d</errorID>
      <errorWord>)</errorWord>
      <group>L1_Format</group>
      <groupName>格式问题</groupName>
      <ability>L2_HalfPunc</ability>
      <abilityName>全半角检查</abilityName>
      <candidateList>
        <item>）</item>
      </candidateList>
      <explain>文本全半角错误。</explain>
      <paraID>3901EB30</paraID>
      <start>52</start>
      <end>53</end>
      <status>unmodified</status>
      <modifiedWord/>
      <trackRevisions>false</trackRevisions>
    </reviewItem>
    <reviewItem>
      <errorID>abda582f-6279-46a4-9e82-f1fa7e0c07f0</errorID>
      <errorWord>(</errorWord>
      <group>L1_Format</group>
      <groupName>格式问题</groupName>
      <ability>L2_HalfPunc</ability>
      <abilityName>全半角检查</abilityName>
      <candidateList>
        <item>（</item>
      </candidateList>
      <explain>文本全半角错误。</explain>
      <paraID>3901EB30</paraID>
      <start>81</start>
      <end>82</end>
      <status>unmodified</status>
      <modifiedWord/>
      <trackRevisions>false</trackRevisions>
    </reviewItem>
    <reviewItem>
      <errorID>fdbefd74-dc06-44be-85a7-ed8889635504</errorID>
      <errorWord>)</errorWord>
      <group>L1_Format</group>
      <groupName>格式问题</groupName>
      <ability>L2_HalfPunc</ability>
      <abilityName>全半角检查</abilityName>
      <candidateList>
        <item>）</item>
      </candidateList>
      <explain>文本全半角错误。</explain>
      <paraID>3901EB30</paraID>
      <start>83</start>
      <end>84</end>
      <status>unmodified</status>
      <modifiedWord/>
      <trackRevisions>false</trackRevisions>
    </reviewItem>
    <reviewItem>
      <errorID>e9cbf98a-a850-4de4-855b-d75caf08552e</errorID>
      <errorWord>(</errorWord>
      <group>L1_Format</group>
      <groupName>格式问题</groupName>
      <ability>L2_HalfPunc</ability>
      <abilityName>全半角检查</abilityName>
      <candidateList>
        <item>（</item>
      </candidateList>
      <explain>文本全半角错误。</explain>
      <paraID>3901EB30</paraID>
      <start>94</start>
      <end>95</end>
      <status>unmodified</status>
      <modifiedWord/>
      <trackRevisions>false</trackRevisions>
    </reviewItem>
    <reviewItem>
      <errorID>57a5945b-fc85-4180-bca0-a8ebf276a3e4</errorID>
      <errorWord>)</errorWord>
      <group>L1_Format</group>
      <groupName>格式问题</groupName>
      <ability>L2_HalfPunc</ability>
      <abilityName>全半角检查</abilityName>
      <candidateList>
        <item>）</item>
      </candidateList>
      <explain>文本全半角错误。</explain>
      <paraID>3901EB30</paraID>
      <start>96</start>
      <end>97</end>
      <status>unmodified</status>
      <modifiedWord/>
      <trackRevisions>false</trackRevisions>
    </reviewItem>
    <reviewItem>
      <errorID>dc282c11-cdce-4f49-bae4-3c5e2f063f64</errorID>
      <errorWord>(</errorWord>
      <group>L1_Format</group>
      <groupName>格式问题</groupName>
      <ability>L2_HalfPunc</ability>
      <abilityName>全半角检查</abilityName>
      <candidateList>
        <item>（</item>
      </candidateList>
      <explain>文本全半角错误。</explain>
      <paraID>3901EB30</paraID>
      <start>104</start>
      <end>105</end>
      <status>unmodified</status>
      <modifiedWord/>
      <trackRevisions>false</trackRevisions>
    </reviewItem>
    <reviewItem>
      <errorID>0347d750-349a-4854-bb22-0dafbc35c0c8</errorID>
      <errorWord>)</errorWord>
      <group>L1_Format</group>
      <groupName>格式问题</groupName>
      <ability>L2_HalfPunc</ability>
      <abilityName>全半角检查</abilityName>
      <candidateList>
        <item>）</item>
      </candidateList>
      <explain>文本全半角错误。</explain>
      <paraID>3901EB30</paraID>
      <start>106</start>
      <end>107</end>
      <status>unmodified</status>
      <modifiedWord/>
      <trackRevisions>false</trackRevisions>
    </reviewItem>
    <reviewItem>
      <errorID>704a3ff7-0611-44f6-9f43-cf3268d501c7</errorID>
      <errorWord>接收</errorWord>
      <group>L1_Word</group>
      <groupName>字词问题</groupName>
      <ability>L2_Typo</ability>
      <abilityName>字词错误</abilityName>
      <candidateList>
        <item>接受</item>
      </candidateList>
      <explain>存在发音相同字词的误用。</explain>
      <paraID>374C8A2E</paraID>
      <start>0</start>
      <end>2</end>
      <status>unmodified</status>
      <modifiedWord/>
      <trackRevisions>false</trackRevisions>
    </reviewItem>
    <reviewItem>
      <errorID>dc8c00eb-39ec-47e5-9f94-632ba69350c0</errorID>
      <errorWord>【2002】1980号</errorWord>
      <group>L1_Knowledge</group>
      <groupName>知识性问题</groupName>
      <ability>L2_Knowledge</ability>
      <abilityName>其他知识</abilityName>
      <candidateList>
        <item>〔2002〕1980号</item>
      </candidateList>
      <explain>发文字号格式错误。</explain>
      <paraID>1F766576</paraID>
      <start>11</start>
      <end>22</end>
      <status>unmodified</status>
      <modifiedWord/>
      <trackRevisions>false</trackRevisions>
    </reviewItem>
    <reviewItem>
      <errorID>ef492774-f892-4832-a19e-d1cb282a2ea6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29090FB5</paraID>
      <start>180</start>
      <end>183</end>
      <status>unmodified</status>
      <modifiedWord/>
      <trackRevisions>false</trackRevisions>
    </reviewItem>
    <reviewItem>
      <errorID>2513e396-ac4c-4f28-be9c-4894f7f6d71d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5585A01</paraID>
      <start>48</start>
      <end>51</end>
      <status>unmodified</status>
      <modifiedWord/>
      <trackRevisions>false</trackRevisions>
    </reviewItem>
    <reviewItem>
      <errorID>cf7e0419-686a-4860-8c64-68b1b1c2b3e3</errorID>
      <errorWord>退色</errorWord>
      <group>L1_Word</group>
      <groupName>字词问题</groupName>
      <ability>L2_Alias</ability>
      <abilityName>也作/曾用词</abilityName>
      <candidateList>
        <item>褪色</item>
      </candidateList>
      <explain>词汇[退色]为不规范表述或旧称，其规范书面表述为[褪色]。</explain>
      <paraID>6F0CE06D</paraID>
      <start>151</start>
      <end>153</end>
      <status>unmodified</status>
      <modifiedWord/>
      <trackRevisions>false</trackRevisions>
    </reviewItem>
    <reviewItem>
      <errorID>4435f00b-7225-4525-8b9f-8ce52dafd9c5</errorID>
      <errorWord>(</errorWord>
      <group>L1_Format</group>
      <groupName>格式问题</groupName>
      <ability>L2_HalfPunc</ability>
      <abilityName>全半角检查</abilityName>
      <candidateList>
        <item>（</item>
      </candidateList>
      <explain>文本全半角错误。</explain>
      <paraID>6F0CE06D</paraID>
      <start>194</start>
      <end>195</end>
      <status>unmodified</status>
      <modifiedWord/>
      <trackRevisions>false</trackRevisions>
    </reviewItem>
    <reviewItem>
      <errorID>9a941af1-17fd-44f3-8157-adc250a840f4</errorID>
      <errorWord>)</errorWord>
      <group>L1_Format</group>
      <groupName>格式问题</groupName>
      <ability>L2_HalfPunc</ability>
      <abilityName>全半角检查</abilityName>
      <candidateList>
        <item>）</item>
      </candidateList>
      <explain>文本全半角错误。</explain>
      <paraID>6F0CE06D</paraID>
      <start>238</start>
      <end>239</end>
      <status>unmodified</status>
      <modifiedWord/>
      <trackRevisions>false</trackRevisions>
    </reviewItem>
    <reviewItem>
      <errorID>6b7c7071-4fff-4516-8138-64761e623d54</errorID>
      <errorWord>纸制</errorWord>
      <group>L1_Word</group>
      <groupName>字词问题</groupName>
      <ability>L2_Typo</ability>
      <abilityName>字词错误</abilityName>
      <candidateList>
        <item>纸质</item>
      </candidateList>
      <explain/>
      <paraID>  9D3E6B</paraID>
      <start>40</start>
      <end>42</end>
      <status>unmodified</status>
      <modifiedWord/>
      <trackRevisions>false</trackRevisions>
    </reviewItem>
    <reviewItem>
      <errorID>aa8246ee-1891-4840-aa6f-cb2c2f496e83</errorID>
      <errorWord>纸制</errorWord>
      <group>L1_Word</group>
      <groupName>字词问题</groupName>
      <ability>L2_Typo</ability>
      <abilityName>字词错误</abilityName>
      <candidateList>
        <item>纸质</item>
      </candidateList>
      <explain/>
      <paraID>68F2F4FB</paraID>
      <start>33</start>
      <end>35</end>
      <status>unmodified</status>
      <modifiedWord/>
      <trackRevisions>false</trackRevisions>
    </reviewItem>
    <reviewItem>
      <errorID>9547e619-18a9-4816-8cba-beb43076b66e</errorID>
      <errorWord>间</errorWord>
      <group>L1_Word</group>
      <groupName>字词问题</groupName>
      <ability>L2_Typo</ability>
      <abilityName>字词错误</abilityName>
      <candidateList>
        <item>间之</item>
      </candidateList>
      <explain/>
      <paraID>2D3AEBB9</paraID>
      <start>14</start>
      <end>15</end>
      <status>unmodified</status>
      <modifiedWord/>
      <trackRevisions>false</trackRevisions>
    </reviewItem>
    <reviewItem>
      <errorID>7e45dfc8-1d8c-4306-9fe6-8197e6f596d6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773F2969</paraID>
      <start>25</start>
      <end>28</end>
      <status>unmodified</status>
      <modifiedWord/>
      <trackRevisions>false</trackRevisions>
    </reviewItem>
    <reviewItem>
      <errorID>514481b4-ebd8-4f72-a0a4-f149109ecf4e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53554390</paraID>
      <start>0</start>
      <end>2</end>
      <status>unmodified</status>
      <modifiedWord/>
      <trackRevisions>false</trackRevisions>
    </reviewItem>
    <reviewItem>
      <errorID>d2a5e9de-5dd2-4453-8f8e-87ac38309035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7CD5FB4F</paraID>
      <start>0</start>
      <end>2</end>
      <status>unmodified</status>
      <modifiedWord/>
      <trackRevisions>false</trackRevisions>
    </reviewItem>
    <reviewItem>
      <errorID>93e4c38d-f189-44e6-9a7a-2dfc2a49d24e</errorID>
      <errorWord>其它</errorWord>
      <group>L1_Word</group>
      <groupName>字词问题</groupName>
      <ability>L2_Alias</ability>
      <abilityName>也作/曾用词</abilityName>
      <candidateList>
        <item>其他</item>
      </candidateList>
      <explain>词汇[其它]为不规范表述或旧称，其规范书面表述为[其他]。</explain>
      <paraID> 2C35F31</paraID>
      <start>0</start>
      <end>2</end>
      <status>unmodified</status>
      <modifiedWord/>
      <trackRevisions>false</trackRevisions>
    </reviewItem>
    <reviewItem>
      <errorID>3634ba6e-ec2f-4a6f-8f0f-33c47e912964</errorID>
      <errorWord>,</errorWord>
      <group>L1_Format</group>
      <groupName>格式问题</groupName>
      <ability>L2_HalfPunc</ability>
      <abilityName>全半角检查</abilityName>
      <candidateList>
        <item>，</item>
      </candidateList>
      <explain>文本全半角错误。</explain>
      <paraID>333DC0CA</paraID>
      <start>3</start>
      <end>4</end>
      <status>unmodified</status>
      <modifiedWord/>
      <trackRevisions>false</trackRevisions>
    </reviewItem>
    <reviewItem>
      <errorID>b959efdc-6324-4989-8f9e-eb7bf671ee42</errorID>
      <errorWord>其它</errorWord>
      <group>L1_Word</group>
      <groupName>字词问题</groupName>
      <ability>L2_Alias</ability>
      <abilityName>也作/曾用词</abilityName>
      <candidateList>
        <item>其他</item>
      </candidateList>
      <explain>词汇[其它]为不规范表述或旧称，其规范书面表述为[其他]。</explain>
      <paraID> 97C9780</paraID>
      <start>0</start>
      <end>2</end>
      <status>unmodified</status>
      <modifiedWord/>
      <trackRevisions>false</trackRevisions>
    </reviewItem>
    <reviewItem>
      <errorID>96cc09c7-833d-4f0e-9677-771e6f4e2b77</errorID>
      <errorWord>法律、法规</errorWord>
      <group>L1_Word</group>
      <groupName>字词问题</groupName>
      <ability>L2_Typo</ability>
      <abilityName>字词错误</abilityName>
      <candidateList>
        <item>法律法规</item>
      </candidateList>
      <explain/>
      <paraID>6355A42D</paraID>
      <start>3</start>
      <end>8</end>
      <status>unmodified</status>
      <modifiedWord/>
      <trackRevisions>false</trackRevisions>
    </reviewItem>
    <reviewItem>
      <errorID>0a01d867-05b4-451e-a9ea-e947e0485cb9</errorID>
      <errorWord>》</errorWord>
      <group>L1_Word</group>
      <groupName>字词问题</groupName>
      <ability>L2_Typo</ability>
      <abilityName>字词错误</abilityName>
      <candidateList>
        <item>》第</item>
      </candidateList>
      <explain/>
      <paraID> 993C2DF</paraID>
      <start>32</start>
      <end>33</end>
      <status>unmodified</status>
      <modifiedWord/>
      <trackRevisions>false</trackRevisions>
    </reviewItem>
    <reviewItem>
      <errorID>105f8423-eb51-4185-8eab-76caf30c4a6d</errorID>
      <errorWord>二家</errorWord>
      <group>L1_Word</group>
      <groupName>字词问题</groupName>
      <ability>L2_Typo</ability>
      <abilityName>字词错误</abilityName>
      <candidateList>
        <item>两家</item>
      </candidateList>
      <explain/>
      <paraID>2AB2DD5C</paraID>
      <start>65</start>
      <end>67</end>
      <status>unmodified</status>
      <modifiedWord/>
      <trackRevisions>false</trackRevisions>
    </reviewItem>
    <reviewItem>
      <errorID>77541ddc-6c69-4a00-9e5d-a796cafbfeeb</errorID>
      <errorWord>二名</errorWord>
      <group>L1_Word</group>
      <groupName>字词问题</groupName>
      <ability>L2_Typo</ability>
      <abilityName>字词错误</abilityName>
      <candidateList>
        <item>两名</item>
      </candidateList>
      <explain/>
      <paraID>2AB2DD5C</paraID>
      <start>73</start>
      <end>75</end>
      <status>unmodified</status>
      <modifiedWord/>
      <trackRevisions>false</trackRevisions>
    </reviewItem>
    <reviewItem>
      <errorID>0becc5de-be47-4aa2-bd8e-5ed9ae4e2e4f</errorID>
      <errorWord>(</errorWord>
      <group>L1_Format</group>
      <groupName>格式问题</groupName>
      <ability>L2_HalfPunc</ability>
      <abilityName>全半角检查</abilityName>
      <candidateList>
        <item>（</item>
      </candidateList>
      <explain>文本全半角错误。</explain>
      <paraID>7E7FEFC6</paraID>
      <start>4</start>
      <end>5</end>
      <status>unmodified</status>
      <modifiedWord/>
      <trackRevisions>false</trackRevisions>
    </reviewItem>
    <reviewItem>
      <errorID>60b4d1af-43ae-465c-8de0-e9f678b15e40</errorID>
      <errorWord>)</errorWord>
      <group>L1_Format</group>
      <groupName>格式问题</groupName>
      <ability>L2_HalfPunc</ability>
      <abilityName>全半角检查</abilityName>
      <candidateList>
        <item>）</item>
      </candidateList>
      <explain>文本全半角错误。</explain>
      <paraID>7E7FEFC6</paraID>
      <start>7</start>
      <end>8</end>
      <status>unmodified</status>
      <modifiedWord/>
      <trackRevisions>false</trackRevisions>
    </reviewItem>
    <reviewItem>
      <errorID>ebf22e19-54c5-41b7-89bf-df7fe89f48f1</errorID>
      <errorWord>得为</errorWord>
      <group>L1_Word</group>
      <groupName>字词问题</groupName>
      <ability>L2_Typo</ability>
      <abilityName>字词错误</abilityName>
      <candidateList>
        <item>得</item>
      </candidateList>
      <explain>“得”常用在动词或形容词后面，表示动作结果、程度或状态评价。</explain>
      <paraID>57C1BEBC</paraID>
      <start>54</start>
      <end>56</end>
      <status>unmodified</status>
      <modifiedWord/>
      <trackRevisions>false</trackRevisions>
    </reviewItem>
    <reviewItem>
      <errorID>531922fb-bd22-4c90-aa39-a96518c0fe56</errorID>
      <errorWord>(</errorWord>
      <group>L1_Format</group>
      <groupName>格式问题</groupName>
      <ability>L2_HalfPunc</ability>
      <abilityName>全半角检查</abilityName>
      <candidateList>
        <item>（</item>
      </candidateList>
      <explain>文本全半角错误。</explain>
      <paraID> 6A7786E</paraID>
      <start>0</start>
      <end>1</end>
      <status>unmodified</status>
      <modifiedWord/>
      <trackRevisions>false</trackRevisions>
    </reviewItem>
    <reviewItem>
      <errorID>e778a830-b01b-4681-9221-01d964620462</errorID>
      <errorWord>)</errorWord>
      <group>L1_Format</group>
      <groupName>格式问题</groupName>
      <ability>L2_HalfPunc</ability>
      <abilityName>全半角检查</abilityName>
      <candidateList>
        <item>）</item>
      </candidateList>
      <explain>文本全半角错误。</explain>
      <paraID> 6A7786E</paraID>
      <start>4</start>
      <end>5</end>
      <status>unmodified</status>
      <modifiedWord/>
      <trackRevisions>false</trackRevisions>
    </reviewItem>
    <reviewItem>
      <errorID>ce0070ec-9214-42f4-828a-c9f780e6cb08</errorID>
      <errorWord>(</errorWord>
      <group>L1_Format</group>
      <groupName>格式问题</groupName>
      <ability>L2_HalfPunc</ability>
      <abilityName>全半角检查</abilityName>
      <candidateList>
        <item>（</item>
      </candidateList>
      <explain>文本全半角错误。</explain>
      <paraID>6382EA77</paraID>
      <start>0</start>
      <end>1</end>
      <status>unmodified</status>
      <modifiedWord/>
      <trackRevisions>false</trackRevisions>
    </reviewItem>
    <reviewItem>
      <errorID>c2e9e86e-61bf-4ae2-a9a6-cb8297b27f28</errorID>
      <errorWord>)</errorWord>
      <group>L1_Format</group>
      <groupName>格式问题</groupName>
      <ability>L2_HalfPunc</ability>
      <abilityName>全半角检查</abilityName>
      <candidateList>
        <item>）</item>
      </candidateList>
      <explain>文本全半角错误。</explain>
      <paraID>6382EA77</paraID>
      <start>4</start>
      <end>5</end>
      <status>unmodified</status>
      <modifiedWord/>
      <trackRevisions>false</trackRevisions>
    </reviewItem>
    <reviewItem>
      <errorID>53029a9e-425e-472c-9377-9716ba8aa5fb</errorID>
      <errorWord>(</errorWord>
      <group>L1_Format</group>
      <groupName>格式问题</groupName>
      <ability>L2_HalfPunc</ability>
      <abilityName>全半角检查</abilityName>
      <candidateList>
        <item>（</item>
      </candidateList>
      <explain>文本全半角错误。</explain>
      <paraID>3069B857</paraID>
      <start>6</start>
      <end>7</end>
      <status>unmodified</status>
      <modifiedWord/>
      <trackRevisions>false</trackRevisions>
    </reviewItem>
    <reviewItem>
      <errorID>27d9f7f1-374b-4d40-a7a5-595e73cc4344</errorID>
      <errorWord>)</errorWord>
      <group>L1_Format</group>
      <groupName>格式问题</groupName>
      <ability>L2_HalfPunc</ability>
      <abilityName>全半角检查</abilityName>
      <candidateList>
        <item>）</item>
      </candidateList>
      <explain>文本全半角错误。</explain>
      <paraID>3069B857</paraID>
      <start>21</start>
      <end>22</end>
      <status>unmodified</status>
      <modifiedWord/>
      <trackRevisions>false</trackRevisions>
    </reviewItem>
    <reviewItem>
      <errorID>2575cf40-78ff-4229-a08b-18cc81c36d13</errorID>
      <errorWord>:</errorWord>
      <group>L1_Format</group>
      <groupName>格式问题</groupName>
      <ability>L2_HalfPunc</ability>
      <abilityName>全半角检查</abilityName>
      <candidateList>
        <item>：</item>
      </candidateList>
      <explain>文本全半角错误。</explain>
      <paraID>62D1A4AA</paraID>
      <start>71</start>
      <end>72</end>
      <status>unmodified</status>
      <modifiedWord/>
      <trackRevisions>false</trackRevisions>
    </reviewItem>
    <reviewItem>
      <errorID>dbd62f44-3a85-404c-8256-56489155fe6d</errorID>
      <errorWord>:</errorWord>
      <group>L1_Format</group>
      <groupName>格式问题</groupName>
      <ability>L2_HalfPunc</ability>
      <abilityName>全半角检查</abilityName>
      <candidateList>
        <item>：</item>
      </candidateList>
      <explain>文本全半角错误。</explain>
      <paraID>1FA6FD67</paraID>
      <start>69</start>
      <end>70</end>
      <status>unmodified</status>
      <modifiedWord/>
      <trackRevisions>false</trackRevisions>
    </reviewItem>
    <reviewItem>
      <errorID>d2e21993-f027-4ccf-be47-cfab851286a9</errorID>
      <errorWord>:</errorWord>
      <group>L1_Format</group>
      <groupName>格式问题</groupName>
      <ability>L2_HalfPunc</ability>
      <abilityName>全半角检查</abilityName>
      <candidateList>
        <item>：</item>
      </candidateList>
      <explain>文本全半角错误。</explain>
      <paraID>6454249E</paraID>
      <start>51</start>
      <end>52</end>
      <status>unmodified</status>
      <modifiedWord/>
      <trackRevisions>false</trackRevisions>
    </reviewItem>
    <reviewItem>
      <errorID>b4d119a8-c6bd-417f-a715-715886bc1b13</errorID>
      <errorWord>:</errorWord>
      <group>L1_Format</group>
      <groupName>格式问题</groupName>
      <ability>L2_HalfPunc</ability>
      <abilityName>全半角检查</abilityName>
      <candidateList>
        <item>：</item>
      </candidateList>
      <explain>文本全半角错误。</explain>
      <paraID> B0DB730</paraID>
      <start>52</start>
      <end>53</end>
      <status>unmodified</status>
      <modifiedWord/>
      <trackRevisions>false</trackRevisions>
    </reviewItem>
    <reviewItem>
      <errorID>09983e5e-3d35-4f33-a0d8-5c851c89fb64</errorID>
      <errorWord>:</errorWord>
      <group>L1_Format</group>
      <groupName>格式问题</groupName>
      <ability>L2_HalfPunc</ability>
      <abilityName>全半角检查</abilityName>
      <candidateList>
        <item>：</item>
      </candidateList>
      <explain>文本全半角错误。</explain>
      <paraID>28397498</paraID>
      <start>61</start>
      <end>62</end>
      <status>unmodified</status>
      <modifiedWord/>
      <trackRevisions>false</trackRevisions>
    </reviewItem>
    <reviewItem>
      <errorID>44115f3b-29a6-4c5e-8564-2707a5fb21ca</errorID>
      <errorWord>:</errorWord>
      <group>L1_Format</group>
      <groupName>格式问题</groupName>
      <ability>L2_HalfPunc</ability>
      <abilityName>全半角检查</abilityName>
      <candidateList>
        <item>：</item>
      </candidateList>
      <explain>文本全半角错误。</explain>
      <paraID>3F3AC1FC</paraID>
      <start>19</start>
      <end>20</end>
      <status>unmodified</status>
      <modifiedWord/>
      <trackRevisions>false</trackRevisions>
    </reviewItem>
    <reviewItem>
      <errorID>31a1907a-d0be-437d-99f1-0467faa560fd</errorID>
      <errorWord>(</errorWord>
      <group>L1_Format</group>
      <groupName>格式问题</groupName>
      <ability>L2_HalfPunc</ability>
      <abilityName>全半角检查</abilityName>
      <candidateList>
        <item>（</item>
      </candidateList>
      <explain>文本全半角错误。</explain>
      <paraID>364CB0BA</paraID>
      <start>0</start>
      <end>1</end>
      <status>unmodified</status>
      <modifiedWord/>
      <trackRevisions>false</trackRevisions>
    </reviewItem>
    <reviewItem>
      <errorID>8dadb5ad-6669-4676-a904-c2ccd9b448b0</errorID>
      <errorWord>)</errorWord>
      <group>L1_Format</group>
      <groupName>格式问题</groupName>
      <ability>L2_HalfPunc</ability>
      <abilityName>全半角检查</abilityName>
      <candidateList>
        <item>）</item>
      </candidateList>
      <explain>文本全半角错误。</explain>
      <paraID>364CB0BA</paraID>
      <start>4</start>
      <end>5</end>
      <status>unmodified</status>
      <modifiedWord/>
      <trackRevisions>false</trackRevisions>
    </reviewItem>
    <reviewItem>
      <errorID>eed93b2f-7e6a-4cd7-a873-f688ab42bbd8</errorID>
      <errorWord>(</errorWord>
      <group>L1_Format</group>
      <groupName>格式问题</groupName>
      <ability>L2_HalfPunc</ability>
      <abilityName>全半角检查</abilityName>
      <candidateList>
        <item>（</item>
      </candidateList>
      <explain>文本全半角错误。</explain>
      <paraID>311927A0</paraID>
      <start>0</start>
      <end>1</end>
      <status>unmodified</status>
      <modifiedWord/>
      <trackRevisions>false</trackRevisions>
    </reviewItem>
    <reviewItem>
      <errorID>0fc8b91f-bde2-4eda-8b40-57107f14fba1</errorID>
      <errorWord>)</errorWord>
      <group>L1_Format</group>
      <groupName>格式问题</groupName>
      <ability>L2_HalfPunc</ability>
      <abilityName>全半角检查</abilityName>
      <candidateList>
        <item>）</item>
      </candidateList>
      <explain>文本全半角错误。</explain>
      <paraID>311927A0</paraID>
      <start>4</start>
      <end>5</end>
      <status>unmodified</status>
      <modifiedWord/>
      <trackRevisions>false</trackRevisions>
    </reviewItem>
    <reviewItem>
      <errorID>2490e70b-dbba-4c8e-a486-8d122b0d6fe2</errorID>
      <errorWord>(</errorWord>
      <group>L1_Format</group>
      <groupName>格式问题</groupName>
      <ability>L2_HalfPunc</ability>
      <abilityName>全半角检查</abilityName>
      <candidateList>
        <item>（</item>
      </candidateList>
      <explain>文本全半角错误。</explain>
      <paraID>78D86819</paraID>
      <start>0</start>
      <end>1</end>
      <status>unmodified</status>
      <modifiedWord/>
      <trackRevisions>false</trackRevisions>
    </reviewItem>
    <reviewItem>
      <errorID>472569f1-a5eb-4cea-8b24-49219f34fb53</errorID>
      <errorWord>)</errorWord>
      <group>L1_Format</group>
      <groupName>格式问题</groupName>
      <ability>L2_HalfPunc</ability>
      <abilityName>全半角检查</abilityName>
      <candidateList>
        <item>）</item>
      </candidateList>
      <explain>文本全半角错误。</explain>
      <paraID>78D86819</paraID>
      <start>3</start>
      <end>4</end>
      <status>unmodified</status>
      <modifiedWord/>
      <trackRevisions>false</trackRevisions>
    </reviewItem>
    <reviewItem>
      <errorID>47db4c30-3a57-406c-b2a5-f07ab2c32189</errorID>
      <errorWord>(</errorWord>
      <group>L1_Format</group>
      <groupName>格式问题</groupName>
      <ability>L2_HalfPunc</ability>
      <abilityName>全半角检查</abilityName>
      <candidateList>
        <item>（</item>
      </candidateList>
      <explain>文本全半角错误。</explain>
      <paraID>44C3CD69</paraID>
      <start>0</start>
      <end>1</end>
      <status>unmodified</status>
      <modifiedWord/>
      <trackRevisions>false</trackRevisions>
    </reviewItem>
    <reviewItem>
      <errorID>a2d7d2fe-0c34-4a3c-869c-61ab8a4f2c92</errorID>
      <errorWord>)</errorWord>
      <group>L1_Format</group>
      <groupName>格式问题</groupName>
      <ability>L2_HalfPunc</ability>
      <abilityName>全半角检查</abilityName>
      <candidateList>
        <item>）</item>
      </candidateList>
      <explain>文本全半角错误。</explain>
      <paraID>44C3CD69</paraID>
      <start>3</start>
      <end>4</end>
      <status>unmodified</status>
      <modifiedWord/>
      <trackRevisions>false</trackRevisions>
    </reviewItem>
    <reviewItem>
      <errorID>39f4c802-ca14-4010-b899-f6efb9d74caf</errorID>
      <errorWord>(</errorWord>
      <group>L1_Format</group>
      <groupName>格式问题</groupName>
      <ability>L2_HalfPunc</ability>
      <abilityName>全半角检查</abilityName>
      <candidateList>
        <item>（</item>
      </candidateList>
      <explain>文本全半角错误。</explain>
      <paraID>68A5B2CC</paraID>
      <start>0</start>
      <end>1</end>
      <status>unmodified</status>
      <modifiedWord/>
      <trackRevisions>false</trackRevisions>
    </reviewItem>
    <reviewItem>
      <errorID>e652643b-765d-492f-9319-17fae0dcaf51</errorID>
      <errorWord>)</errorWord>
      <group>L1_Format</group>
      <groupName>格式问题</groupName>
      <ability>L2_HalfPunc</ability>
      <abilityName>全半角检查</abilityName>
      <candidateList>
        <item>）</item>
      </candidateList>
      <explain>文本全半角错误。</explain>
      <paraID>68A5B2CC</paraID>
      <start>4</start>
      <end>5</end>
      <status>unmodified</status>
      <modifiedWord/>
      <trackRevisions>false</trackRevisions>
    </reviewItem>
    <reviewItem>
      <errorID>65231579-f682-4f26-8273-5fe7a621b2ee</errorID>
      <errorWord>:</errorWord>
      <group>L1_Format</group>
      <groupName>格式问题</groupName>
      <ability>L2_HalfPunc</ability>
      <abilityName>全半角检查</abilityName>
      <candidateList>
        <item>：</item>
      </candidateList>
      <explain>文本全半角错误。</explain>
      <paraID>4378BFE2</paraID>
      <start>56</start>
      <end>57</end>
      <status>unmodified</status>
      <modifiedWord/>
      <trackRevisions>false</trackRevisions>
    </reviewItem>
    <reviewItem>
      <errorID>0e14be2c-41df-48cc-a7cb-7a37cb000a95</errorID>
      <errorWord>(</errorWord>
      <group>L1_Format</group>
      <groupName>格式问题</groupName>
      <ability>L2_HalfPunc</ability>
      <abilityName>全半角检查</abilityName>
      <candidateList>
        <item>（</item>
      </candidateList>
      <explain>文本全半角错误。</explain>
      <paraID>159266DC</paraID>
      <start>7</start>
      <end>8</end>
      <status>unmodified</status>
      <modifiedWord/>
      <trackRevisions>false</trackRevisions>
    </reviewItem>
    <reviewItem>
      <errorID>540e5227-fc88-4308-9f68-8d1fb1b598e1</errorID>
      <errorWord>)</errorWord>
      <group>L1_Format</group>
      <groupName>格式问题</groupName>
      <ability>L2_HalfPunc</ability>
      <abilityName>全半角检查</abilityName>
      <candidateList>
        <item>）</item>
      </candidateList>
      <explain>文本全半角错误。</explain>
      <paraID>159266DC</paraID>
      <start>18</start>
      <end>19</end>
      <status>unmodified</status>
      <modifiedWord/>
      <trackRevisions>false</trackRevisions>
    </reviewItem>
    <reviewItem>
      <errorID>281d57b1-3242-4598-8723-78001bf58b2e</errorID>
      <errorWord>包</errorWord>
      <group>L1_Word</group>
      <groupName>字词问题</groupName>
      <ability>L2_Typo</ability>
      <abilityName>字词错误</abilityName>
      <candidateList>
        <item>包括</item>
      </candidateList>
      <explain/>
      <paraID> 9707995</paraID>
      <start>20</start>
      <end>21</end>
      <status>unmodified</status>
      <modifiedWord/>
      <trackRevisions>false</trackRevisions>
    </reviewItem>
    <reviewItem>
      <errorID>2a3b7912-5223-442c-9291-002a9939e6d0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5F837F1F</paraID>
      <start>0</start>
      <end>2</end>
      <status>unmodified</status>
      <modifiedWord/>
      <trackRevisions>false</trackRevisions>
    </reviewItem>
    <reviewItem>
      <errorID>0a971209-8b24-496c-915e-5982c3a57f77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21641290</paraID>
      <start>0</start>
      <end>2</end>
      <status>unmodified</status>
      <modifiedWord/>
      <trackRevisions>false</trackRevisions>
    </reviewItem>
    <reviewItem>
      <errorID>39293998-375c-4c94-b866-a3e17d3f2b17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429E3032</paraID>
      <start>0</start>
      <end>2</end>
      <status>unmodified</status>
      <modifiedWord/>
      <trackRevisions>false</trackRevisions>
    </reviewItem>
    <reviewItem>
      <errorID>0df253d0-36f7-4b6a-94ad-86560259d4d8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47822F1F</paraID>
      <start>0</start>
      <end>2</end>
      <status>unmodified</status>
      <modifiedWord/>
      <trackRevisions>false</trackRevisions>
    </reviewItem>
    <reviewItem>
      <errorID>f4636a6b-750b-4f21-b51c-3b552b220ff3</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47822F1F</paraID>
      <start>10</start>
      <end>12</end>
      <status>unmodified</status>
      <modifiedWord/>
      <trackRevisions>false</trackRevisions>
    </reviewItem>
    <reviewItem>
      <errorID>082f0a7a-4028-4409-bc1d-c717ee7f2e41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140BA86F</paraID>
      <start>0</start>
      <end>2</end>
      <status>unmodified</status>
      <modifiedWord/>
      <trackRevisions>false</trackRevisions>
    </reviewItem>
    <reviewItem>
      <errorID>f60ef80a-3a16-4f4c-a84e-d7be4b2ea522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159B7D65</paraID>
      <start>0</start>
      <end>2</end>
      <status>unmodified</status>
      <modifiedWord/>
      <trackRevisions>false</trackRevisions>
    </reviewItem>
    <reviewItem>
      <errorID>55f594a2-e57a-40c0-b77e-95637a9af417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629EFF1F</paraID>
      <start>0</start>
      <end>2</end>
      <status>unmodified</status>
      <modifiedWord/>
      <trackRevisions>false</trackRevisions>
    </reviewItem>
    <reviewItem>
      <errorID>2bcd6b7c-8ae0-4e9f-95e6-cbf99674a815</errorID>
      <errorWord>交待的</errorWord>
      <group>L1_Word</group>
      <groupName>字词问题</groupName>
      <ability>L2_Alias</ability>
      <abilityName>也作/曾用词</abilityName>
      <candidateList>
        <item>交代的</item>
      </candidateList>
      <explain>词汇[交待的]为不规范表述或旧称，其规范书面表述为[交代的]。</explain>
      <paraID>629EFF1F</paraID>
      <start>5</start>
      <end>8</end>
      <status>unmodified</status>
      <modifiedWord/>
      <trackRevisions>false</trackRevisions>
    </reviewItem>
    <reviewItem>
      <errorID>39fb4eb6-e341-48c0-830f-d8178f36c06f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7516C263</paraID>
      <start>0</start>
      <end>2</end>
      <status>unmodified</status>
      <modifiedWord/>
      <trackRevisions>false</trackRevisions>
    </reviewItem>
    <reviewItem>
      <errorID>4b880d5c-e2e2-48b6-b24b-f41f736504d4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4F01DB75</paraID>
      <start>0</start>
      <end>2</end>
      <status>unmodified</status>
      <modifiedWord/>
      <trackRevisions>false</trackRevisions>
    </reviewItem>
    <reviewItem>
      <errorID>d8a07845-abc8-46ee-a96a-a6f51b3ec70e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71C92F04</paraID>
      <start>0</start>
      <end>2</end>
      <status>unmodified</status>
      <modifiedWord/>
      <trackRevisions>false</trackRevisions>
    </reviewItem>
    <reviewItem>
      <errorID>c75bac5e-70e1-411c-8261-bb6352b9bdd1</errorID>
      <errorWord>(</errorWord>
      <group>L1_Format</group>
      <groupName>格式问题</groupName>
      <ability>L2_HalfPunc</ability>
      <abilityName>全半角检查</abilityName>
      <candidateList>
        <item>（</item>
      </candidateList>
      <explain>文本全半角错误。</explain>
      <paraID>71C92F04</paraID>
      <start>21</start>
      <end>22</end>
      <status>unmodified</status>
      <modifiedWord/>
      <trackRevisions>false</trackRevisions>
    </reviewItem>
    <reviewItem>
      <errorID>d0140ca3-3dda-49b5-af25-577cf3871d9e</errorID>
      <errorWord>)</errorWord>
      <group>L1_Format</group>
      <groupName>格式问题</groupName>
      <ability>L2_HalfPunc</ability>
      <abilityName>全半角检查</abilityName>
      <candidateList>
        <item>）</item>
      </candidateList>
      <explain>文本全半角错误。</explain>
      <paraID>71C92F04</paraID>
      <start>35</start>
      <end>36</end>
      <status>unmodified</status>
      <modifiedWord/>
      <trackRevisions>false</trackRevisions>
    </reviewItem>
    <reviewItem>
      <errorID>a4b9b58c-a758-4ba0-97b5-48f7c54ab09d</errorID>
      <errorWord>截门</errorWord>
      <group>L1_Word</group>
      <groupName>字词问题</groupName>
      <ability>L2_Typo</ability>
      <abilityName>字词错误</abilityName>
      <candidateList>
        <item>阀门</item>
      </candidateList>
      <explain/>
      <paraID>71C92F04</paraID>
      <start>67</start>
      <end>69</end>
      <status>unmodified</status>
      <modifiedWord/>
      <trackRevisions>false</trackRevisions>
    </reviewItem>
    <reviewItem>
      <errorID>daa20b4d-8c5c-4308-a43d-893e322b1be4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46F62EE4</paraID>
      <start>0</start>
      <end>2</end>
      <status>unmodified</status>
      <modifiedWord/>
      <trackRevisions>false</trackRevisions>
    </reviewItem>
    <reviewItem>
      <errorID>d1879cfb-3c9c-4d18-9030-aa595b683585</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46F62EE4</paraID>
      <start>8</start>
      <end>11</end>
      <status>unmodified</status>
      <modifiedWord/>
      <trackRevisions>false</trackRevisions>
    </reviewItem>
    <reviewItem>
      <errorID>c8b1038a-d43f-4bed-a729-50f596e75237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52421482</paraID>
      <start>0</start>
      <end>2</end>
      <status>unmodified</status>
      <modifiedWord/>
      <trackRevisions>false</trackRevisions>
    </reviewItem>
    <reviewItem>
      <errorID>4158d106-f293-47da-9aad-e0c6e3464f39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1F07D9C7</paraID>
      <start>0</start>
      <end>2</end>
      <status>unmodified</status>
      <modifiedWord/>
      <trackRevisions>false</trackRevisions>
    </reviewItem>
    <reviewItem>
      <errorID>d9b6faa3-b3a3-4217-a49f-2148112e2ca7</errorID>
      <errorWord>导至</errorWord>
      <group>L1_Word</group>
      <groupName>字词问题</groupName>
      <ability>L2_Typo</ability>
      <abilityName>字词错误</abilityName>
      <candidateList>
        <item>导致</item>
      </candidateList>
      <explain>〈动〉引起：由一些小的矛盾～双方关系破裂。</explain>
      <paraID>1F07D9C7</paraID>
      <start>37</start>
      <end>39</end>
      <status>unmodified</status>
      <modifiedWord/>
      <trackRevisions>false</trackRevisions>
    </reviewItem>
    <reviewItem>
      <errorID>6c27d9f0-5ef6-4ee6-9936-6571dd2169b2</errorID>
      <errorWord>必需</errorWord>
      <group>L1_Word</group>
      <groupName>字词问题</groupName>
      <ability>L2_Typo</ability>
      <abilityName>字词错误</abilityName>
      <candidateList>
        <item>必须</item>
      </candidateList>
      <explain>存在发音相同字词的误用。</explain>
      <paraID>1F07D9C7</paraID>
      <start>64</start>
      <end>66</end>
      <status>unmodified</status>
      <modifiedWord/>
      <trackRevisions>false</trackRevisions>
    </reviewItem>
    <reviewItem>
      <errorID>675c1fb8-4aea-4dfa-a47b-7400c8cb34ef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57121639</paraID>
      <start>0</start>
      <end>2</end>
      <status>unmodified</status>
      <modifiedWord/>
      <trackRevisions>false</trackRevisions>
    </reviewItem>
    <reviewItem>
      <errorID>2865143c-7232-409b-aa54-e54cbe8a8179</errorID>
      <errorWord>注意到</errorWord>
      <group>L1_Word</group>
      <groupName>字词问题</groupName>
      <ability>L2_Typo</ability>
      <abilityName>字词错误</abilityName>
      <candidateList>
        <item>注意</item>
      </candidateList>
      <explain>〈动〉把意志放到某一方面：～力｜～安全｜提请～。</explain>
      <paraID>57121639</paraID>
      <start>57</start>
      <end>60</end>
      <status>unmodified</status>
      <modifiedWord/>
      <trackRevisions>false</trackRevisions>
    </reviewItem>
    <reviewItem>
      <errorID>3a4c84f2-79ec-4fc8-9181-520ad999315e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16F39E9B</paraID>
      <start>0</start>
      <end>2</end>
      <status>unmodified</status>
      <modifiedWord/>
      <trackRevisions>false</trackRevisions>
    </reviewItem>
    <reviewItem>
      <errorID>cc8dc2be-ed87-4c9e-b210-1bea5fb86a36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17DFF83E</paraID>
      <start>0</start>
      <end>2</end>
      <status>unmodified</status>
      <modifiedWord/>
      <trackRevisions>false</trackRevisions>
    </reviewItem>
    <reviewItem>
      <errorID>fcf186f7-8fd0-44ec-9a6b-6f87f859d669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650D271B</paraID>
      <start>0</start>
      <end>2</end>
      <status>unmodified</status>
      <modifiedWord/>
      <trackRevisions>false</trackRevisions>
    </reviewItem>
    <reviewItem>
      <errorID>03deb0c5-899b-4281-b714-d6de9a68e3a7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66A17E2A</paraID>
      <start>0</start>
      <end>2</end>
      <status>unmodified</status>
      <modifiedWord/>
      <trackRevisions>false</trackRevisions>
    </reviewItem>
    <reviewItem>
      <errorID>56a0c476-80e0-4473-9d42-2bd6d45f1afb</errorID>
      <errorWord>：</errorWord>
      <group>L1_Format</group>
      <groupName>格式问题</groupName>
      <ability>L2_HalfPunc</ability>
      <abilityName>全半角检查</abilityName>
      <candidateList>
        <item>:</item>
      </candidateList>
      <explain>文本全半角错误。</explain>
      <paraID>66A17E2A</paraID>
      <start>35</start>
      <end>36</end>
      <status>unmodified</status>
      <modifiedWord/>
      <trackRevisions>false</trackRevisions>
    </reviewItem>
    <reviewItem>
      <errorID>bca387d0-02e3-4d1a-989e-2dda6b1f4f95</errorID>
      <errorWord>：</errorWord>
      <group>L1_Format</group>
      <groupName>格式问题</groupName>
      <ability>L2_HalfPunc</ability>
      <abilityName>全半角检查</abilityName>
      <candidateList>
        <item>:</item>
      </candidateList>
      <explain>文本全半角错误。</explain>
      <paraID>66A17E2A</paraID>
      <start>41</start>
      <end>42</end>
      <status>unmodified</status>
      <modifiedWord/>
      <trackRevisions>false</trackRevisions>
    </reviewItem>
    <reviewItem>
      <errorID>5d69cd37-3b6a-4b8e-b7c9-78fe539dadc3</errorID>
      <errorWord>：</errorWord>
      <group>L1_Format</group>
      <groupName>格式问题</groupName>
      <ability>L2_HalfPunc</ability>
      <abilityName>全半角检查</abilityName>
      <candidateList>
        <item>:</item>
      </candidateList>
      <explain>文本全半角错误。</explain>
      <paraID>66A17E2A</paraID>
      <start>47</start>
      <end>48</end>
      <status>unmodified</status>
      <modifiedWord/>
      <trackRevisions>false</trackRevisions>
    </reviewItem>
    <reviewItem>
      <errorID>d27d2473-2eac-4126-950c-87c4a8f9c72c</errorID>
      <errorWord>：</errorWord>
      <group>L1_Format</group>
      <groupName>格式问题</groupName>
      <ability>L2_HalfPunc</ability>
      <abilityName>全半角检查</abilityName>
      <candidateList>
        <item>:</item>
      </candidateList>
      <explain>文本全半角错误。</explain>
      <paraID>66A17E2A</paraID>
      <start>53</start>
      <end>54</end>
      <status>unmodified</status>
      <modifiedWord/>
      <trackRevisions>false</trackRevisions>
    </reviewItem>
    <reviewItem>
      <errorID>1ad4cd58-8db3-433c-b375-63036db8655e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7AA5BC89</paraID>
      <start>0</start>
      <end>2</end>
      <status>unmodified</status>
      <modifiedWord/>
      <trackRevisions>false</trackRevisions>
    </reviewItem>
    <reviewItem>
      <errorID>60027b2a-52a8-4e89-b4c0-ebc6010e4344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624E20ED</paraID>
      <start>0</start>
      <end>2</end>
      <status>unmodified</status>
      <modifiedWord/>
      <trackRevisions>false</trackRevisions>
    </reviewItem>
    <reviewItem>
      <errorID>b84aa5fd-d59c-4103-ba69-8d8073413039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4724DD1C</paraID>
      <start>0</start>
      <end>2</end>
      <status>unmodified</status>
      <modifiedWord/>
      <trackRevisions>false</trackRevisions>
    </reviewItem>
    <reviewItem>
      <errorID>a52ae3f0-2bd5-486a-95d1-03fb6f114b7d</errorID>
      <errorWord>购</errorWord>
      <group>L1_Word</group>
      <groupName>字词问题</groupName>
      <ability>L2_Typo</ability>
      <abilityName>字词错误</abilityName>
      <candidateList>
        <item>购人</item>
      </candidateList>
      <explain/>
      <paraID>48686D43</paraID>
      <start>59</start>
      <end>60</end>
      <status>unmodified</status>
      <modifiedWord/>
      <trackRevisions>false</trackRevisions>
    </reviewItem>
    <reviewItem>
      <errorID>6151046d-f002-4e62-befa-c007e0b13391</errorID>
      <errorWord>(</errorWord>
      <group>L1_Format</group>
      <groupName>格式问题</groupName>
      <ability>L2_HalfPunc</ability>
      <abilityName>全半角检查</abilityName>
      <candidateList>
        <item>（</item>
      </candidateList>
      <explain>文本全半角错误。</explain>
      <paraID>58A23CE6</paraID>
      <start>22</start>
      <end>23</end>
      <status>unmodified</status>
      <modifiedWord/>
      <trackRevisions>false</trackRevisions>
    </reviewItem>
    <reviewItem>
      <errorID>164dbddf-b7d6-46d1-982e-07d486f0cae6</errorID>
      <errorWord>)</errorWord>
      <group>L1_Format</group>
      <groupName>格式问题</groupName>
      <ability>L2_HalfPunc</ability>
      <abilityName>全半角检查</abilityName>
      <candidateList>
        <item>）</item>
      </candidateList>
      <explain>文本全半角错误。</explain>
      <paraID>58A23CE6</paraID>
      <start>32</start>
      <end>33</end>
      <status>unmodified</status>
      <modifiedWord/>
      <trackRevisions>false</trackRevisions>
    </reviewItem>
    <reviewItem>
      <errorID>210749c5-0c56-4d47-a257-1ca739d03a2f</errorID>
      <errorWord>(</errorWord>
      <group>L1_Format</group>
      <groupName>格式问题</groupName>
      <ability>L2_HalfPunc</ability>
      <abilityName>全半角检查</abilityName>
      <candidateList>
        <item>（</item>
      </candidateList>
      <explain>文本全半角错误。</explain>
      <paraID>60B83717</paraID>
      <start>22</start>
      <end>23</end>
      <status>unmodified</status>
      <modifiedWord/>
      <trackRevisions>false</trackRevisions>
    </reviewItem>
    <reviewItem>
      <errorID>df468e53-1e13-43c5-a3e8-649a4770d046</errorID>
      <errorWord>)</errorWord>
      <group>L1_Format</group>
      <groupName>格式问题</groupName>
      <ability>L2_HalfPunc</ability>
      <abilityName>全半角检查</abilityName>
      <candidateList>
        <item>）</item>
      </candidateList>
      <explain>文本全半角错误。</explain>
      <paraID>60B83717</paraID>
      <start>32</start>
      <end>33</end>
      <status>unmodified</status>
      <modifiedWord/>
      <trackRevisions>false</trackRevisions>
    </reviewItem>
    <reviewItem>
      <errorID>aafd267d-d77f-4428-96c8-502a192ce552</errorID>
      <errorWord>(</errorWord>
      <group>L1_Format</group>
      <groupName>格式问题</groupName>
      <ability>L2_HalfPunc</ability>
      <abilityName>全半角检查</abilityName>
      <candidateList>
        <item>（</item>
      </candidateList>
      <explain>文本全半角错误。</explain>
      <paraID>3247541D</paraID>
      <start>6</start>
      <end>7</end>
      <status>unmodified</status>
      <modifiedWord/>
      <trackRevisions>false</trackRevisions>
    </reviewItem>
    <reviewItem>
      <errorID>5517e0e6-4d6b-4f17-949a-e196a1fd2b93</errorID>
      <errorWord>)</errorWord>
      <group>L1_Format</group>
      <groupName>格式问题</groupName>
      <ability>L2_HalfPunc</ability>
      <abilityName>全半角检查</abilityName>
      <candidateList>
        <item>）</item>
      </candidateList>
      <explain>文本全半角错误。</explain>
      <paraID>3247541D</paraID>
      <start>12</start>
      <end>13</end>
      <status>unmodified</status>
      <modifiedWord/>
      <trackRevisions>false</trackRevisions>
    </reviewItem>
    <reviewItem>
      <errorID>7202bf7b-0b1b-4e2f-a65f-07e4a58961ac</errorID>
      <errorWord>(</errorWord>
      <group>L1_Format</group>
      <groupName>格式问题</groupName>
      <ability>L2_HalfPunc</ability>
      <abilityName>全半角检查</abilityName>
      <candidateList>
        <item>（</item>
      </candidateList>
      <explain>文本全半角错误。</explain>
      <paraID>19AE1B34</paraID>
      <start>6</start>
      <end>7</end>
      <status>unmodified</status>
      <modifiedWord/>
      <trackRevisions>false</trackRevisions>
    </reviewItem>
    <reviewItem>
      <errorID>8860652b-6502-4e7c-a66a-3ba87e68b50c</errorID>
      <errorWord>)</errorWord>
      <group>L1_Format</group>
      <groupName>格式问题</groupName>
      <ability>L2_HalfPunc</ability>
      <abilityName>全半角检查</abilityName>
      <candidateList>
        <item>）</item>
      </candidateList>
      <explain>文本全半角错误。</explain>
      <paraID>19AE1B34</paraID>
      <start>16</start>
      <end>17</end>
      <status>unmodified</status>
      <modifiedWord/>
      <trackRevisions>false</trackRevisions>
    </reviewItem>
    <reviewItem>
      <errorID>3c1fead0-c037-4362-acf4-4180eb230979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7F292449</paraID>
      <start>0</start>
      <end>2</end>
      <status>unmodified</status>
      <modifiedWord/>
      <trackRevisions>false</trackRevisions>
    </reviewItem>
    <reviewItem>
      <errorID>efb8a962-68db-487b-942d-242dfaca634b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38CE50F4</paraID>
      <start>0</start>
      <end>2</end>
      <status>unmodified</status>
      <modifiedWord/>
      <trackRevisions>false</trackRevisions>
    </reviewItem>
    <reviewItem>
      <errorID>2cb9e6fc-26bb-4893-8c02-9ea0c8e4c53b</errorID>
      <errorWord>上用</errorWord>
      <group>L1_Word</group>
      <groupName>字词问题</groupName>
      <ability>L2_Typo</ability>
      <abilityName>字词错误</abilityName>
      <candidateList>
        <item>上月</item>
      </candidateList>
      <explain/>
      <paraID>1A6BEB18</paraID>
      <start>21</start>
      <end>23</end>
      <status>unmodified</status>
      <modifiedWord/>
      <trackRevisions>false</trackRevisions>
    </reviewItem>
    <reviewItem>
      <errorID>1457cb03-6a6e-4895-97dd-e3d0c58a1ae2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681203A8</paraID>
      <start>0</start>
      <end>2</end>
      <status>unmodified</status>
      <modifiedWord/>
      <trackRevisions>false</trackRevisions>
    </reviewItem>
    <reviewItem>
      <errorID>4651c9b8-3d69-41f9-9c32-92ac50aa1c67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29DF06F2</paraID>
      <start>0</start>
      <end>2</end>
      <status>unmodified</status>
      <modifiedWord/>
      <trackRevisions>false</trackRevisions>
    </reviewItem>
    <reviewItem>
      <errorID>d906aa7b-2b12-443f-82e3-2a5d5b52ca03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45C3ABD1</paraID>
      <start>0</start>
      <end>2</end>
      <status>unmodified</status>
      <modifiedWord/>
      <trackRevisions>false</trackRevisions>
    </reviewItem>
    <reviewItem>
      <errorID>d58b7519-d496-459b-847d-c0c42d53c169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6D11F4F2</paraID>
      <start>0</start>
      <end>2</end>
      <status>unmodified</status>
      <modifiedWord/>
      <trackRevisions>false</trackRevisions>
    </reviewItem>
    <reviewItem>
      <errorID>be83820b-77c1-4296-992e-502b06f7d8aa</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6D11F4F2</paraID>
      <start>50</start>
      <end>52</end>
      <status>unmodified</status>
      <modifiedWord/>
      <trackRevisions>false</trackRevisions>
    </reviewItem>
    <reviewItem>
      <errorID>e4da1948-4678-49d7-9f4d-ae0c8dff1d12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2B2F6D</paraID>
      <start>0</start>
      <end>2</end>
      <status>unmodified</status>
      <modifiedWord/>
      <trackRevisions>false</trackRevisions>
    </reviewItem>
    <reviewItem>
      <errorID>efa91f93-431a-4e6d-86ad-fc69b333661c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7496029D</paraID>
      <start>0</start>
      <end>2</end>
      <status>unmodified</status>
      <modifiedWord/>
      <trackRevisions>false</trackRevisions>
    </reviewItem>
    <reviewItem>
      <errorID>cadac019-9898-422c-bfbd-a720d33ef82c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6BB7925F</paraID>
      <start>0</start>
      <end>2</end>
      <status>unmodified</status>
      <modifiedWord/>
      <trackRevisions>false</trackRevisions>
    </reviewItem>
    <reviewItem>
      <errorID>e3984e03-522e-4d6b-a107-e4fad177e243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75C7B99E</paraID>
      <start>0</start>
      <end>2</end>
      <status>unmodified</status>
      <modifiedWord/>
      <trackRevisions>false</trackRevisions>
    </reviewItem>
    <reviewItem>
      <errorID>14ec1813-cfb0-4f17-8cc3-d93f2a056aed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1E4A4943</paraID>
      <start>0</start>
      <end>2</end>
      <status>unmodified</status>
      <modifiedWord/>
      <trackRevisions>false</trackRevisions>
    </reviewItem>
    <reviewItem>
      <errorID>48af8dfa-974a-4c0a-b31f-a4f4615d682f</errorID>
      <errorWord>危机</errorWord>
      <group>L1_Word</group>
      <groupName>字词问题</groupName>
      <ability>L2_Typo</ability>
      <abilityName>字词错误</abilityName>
      <candidateList>
        <item>危及</item>
      </candidateList>
      <explain>〈动〉有害于；威胁到：～生命｜～国家安全。</explain>
      <paraID>1E4A4943</paraID>
      <start>76</start>
      <end>78</end>
      <status>unmodified</status>
      <modifiedWord/>
      <trackRevisions>false</trackRevisions>
    </reviewItem>
    <reviewItem>
      <errorID>b94ed889-8ad0-47f5-a41e-59cb143058c9</errorID>
      <errorWord>法律、法规</errorWord>
      <group>L1_Word</group>
      <groupName>字词问题</groupName>
      <ability>L2_Typo</ability>
      <abilityName>字词错误</abilityName>
      <candidateList>
        <item>法律法规</item>
      </candidateList>
      <explain/>
      <paraID>1E4A4943</paraID>
      <start>96</start>
      <end>101</end>
      <status>unmodified</status>
      <modifiedWord/>
      <trackRevisions>false</trackRevisions>
    </reviewItem>
    <reviewItem>
      <errorID>7725745a-e313-47a5-87d5-9c29185c270c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13B19D4F</paraID>
      <start>0</start>
      <end>2</end>
      <status>unmodified</status>
      <modifiedWord/>
      <trackRevisions>false</trackRevisions>
    </reviewItem>
    <reviewItem>
      <errorID>bdfd1df0-183a-4e5d-b905-da2b17d7afac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6091C574</paraID>
      <start>0</start>
      <end>2</end>
      <status>unmodified</status>
      <modifiedWord/>
      <trackRevisions>false</trackRevisions>
    </reviewItem>
    <reviewItem>
      <errorID>d0f1509f-ab6f-4437-9981-6b903b8211cb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3FEC650C</paraID>
      <start>0</start>
      <end>2</end>
      <status>unmodified</status>
      <modifiedWord/>
      <trackRevisions>false</trackRevisions>
    </reviewItem>
    <reviewItem>
      <errorID>bbd5bf19-9758-47f2-93bd-133910ff67ce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CC0A9EA</paraID>
      <start>0</start>
      <end>2</end>
      <status>unmodified</status>
      <modifiedWord/>
      <trackRevisions>false</trackRevisions>
    </reviewItem>
    <reviewItem>
      <errorID>1a143335-551b-473a-b9dd-407cc2885135</errorID>
      <errorWord>当</errorWord>
      <group>L1_Word</group>
      <groupName>字词问题</groupName>
      <ability>L2_Typo</ability>
      <abilityName>字词错误</abilityName>
      <candidateList>
        <item>担</item>
      </candidateList>
      <explain>存在发音相近字词的误用。</explain>
      <paraID> CC0A9EA</paraID>
      <start>55</start>
      <end>56</end>
      <status>unmodified</status>
      <modifiedWord/>
      <trackRevisions>false</trackRevisions>
    </reviewItem>
    <reviewItem>
      <errorID>6ea38e40-61a7-4e8a-956a-876b39b866c1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3B88087</paraID>
      <start>0</start>
      <end>2</end>
      <status>unmodified</status>
      <modifiedWord/>
      <trackRevisions>false</trackRevisions>
    </reviewItem>
    <reviewItem>
      <errorID>f68f8335-8d02-4497-872b-8374648fecb2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22355983</paraID>
      <start>0</start>
      <end>2</end>
      <status>unmodified</status>
      <modifiedWord/>
      <trackRevisions>false</trackRevisions>
    </reviewItem>
    <reviewItem>
      <errorID>860116c8-8dbc-48ee-9df8-5fb50f2717af</errorID>
      <errorWord>肆份</errorWord>
      <group>L1_Word</group>
      <groupName>字词问题</groupName>
      <ability>L2_Typo</ability>
      <abilityName>字词错误</abilityName>
      <candidateList>
        <item>四份</item>
      </candidateList>
      <explain>存在发音相同字词的误用。</explain>
      <paraID> 9FC69C0</paraID>
      <start>24</start>
      <end>26</end>
      <status>unmodified</status>
      <modifiedWord/>
      <trackRevisions>false</trackRevisions>
    </reviewItem>
    <reviewItem>
      <errorID>fe549ca7-378c-4ee7-a755-d4bdfd2eff9c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6F527933</paraID>
      <start>0</start>
      <end>2</end>
      <status>unmodified</status>
      <modifiedWord/>
      <trackRevisions>false</trackRevisions>
    </reviewItem>
    <reviewItem>
      <errorID>ee6f1a22-dfab-42c4-8f30-ad2f280a64ed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B7AC711</paraID>
      <start>0</start>
      <end>2</end>
      <status>unmodified</status>
      <modifiedWord/>
      <trackRevisions>false</trackRevisions>
    </reviewItem>
    <reviewItem>
      <errorID>51085685-092f-4a9a-917a-90d89c1cad82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BD98156</paraID>
      <start>0</start>
      <end>2</end>
      <status>unmodified</status>
      <modifiedWord/>
      <trackRevisions>false</trackRevisions>
    </reviewItem>
    <reviewItem>
      <errorID>379c580e-fb10-4ddd-963d-47e029be8fdb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1CC8A083</paraID>
      <start>31</start>
      <end>33</end>
      <status>unmodified</status>
      <modifiedWord/>
      <trackRevisions>false</trackRevisions>
    </reviewItem>
    <reviewItem>
      <errorID>e69cc5e1-bd92-4b32-b562-9fc7d427547f</errorID>
      <errorWord>《政府采购法》</errorWord>
      <group>L1_Word</group>
      <groupName>字词问题</groupName>
      <ability>L2_Typo</ability>
      <abilityName>字词错误</abilityName>
      <candidateList>
        <item>《中华人民共和国政府采购法》</item>
      </candidateList>
      <explain/>
      <paraID>6A5A29C3</paraID>
      <start>14</start>
      <end>21</end>
      <status>unmodified</status>
      <modifiedWord/>
      <trackRevisions>false</trackRevisions>
    </reviewItem>
    <reviewItem>
      <errorID>81690775-ec18-4e16-80d6-e2acfee921cd</errorID>
      <errorWord>其它</errorWord>
      <group>L1_Word</group>
      <groupName>字词问题</groupName>
      <ability>L2_Alias</ability>
      <abilityName>也作/曾用词</abilityName>
      <candidateList>
        <item>其他</item>
      </candidateList>
      <explain>词汇[其它]为不规范表述或旧称，其规范书面表述为[其他]。</explain>
      <paraID>55CCC532</paraID>
      <start>4</start>
      <end>6</end>
      <status>unmodified</status>
      <modifiedWord/>
      <trackRevisions>false</trackRevisions>
    </reviewItem>
    <reviewItem>
      <errorID>3ea6f995-2c68-40d1-822e-40bd1c2e927a</errorID>
      <errorWord>合价</errorWord>
      <group>L1_Word</group>
      <groupName>字词问题</groupName>
      <ability>L2_Typo</ability>
      <abilityName>字词错误</abilityName>
      <candidateList>
        <item>合计</item>
      </candidateList>
      <explain/>
      <paraID>4BD6EA50</paraID>
      <start>0</start>
      <end>2</end>
      <status>unmodified</status>
      <modifiedWord/>
      <trackRevisions>false</trackRevisions>
    </reviewItem>
    <reviewItem>
      <errorID>d640fc4d-b0ab-492a-b9ab-5c816edbc59b</errorID>
      <errorWord>(</errorWord>
      <group>L1_Format</group>
      <groupName>格式问题</groupName>
      <ability>L2_HalfPunc</ability>
      <abilityName>全半角检查</abilityName>
      <candidateList>
        <item>（</item>
      </candidateList>
      <explain>文本全半角错误。</explain>
      <paraID>2DA04693</paraID>
      <start>0</start>
      <end>1</end>
      <status>unmodified</status>
      <modifiedWord/>
      <trackRevisions>false</trackRevisions>
    </reviewItem>
    <reviewItem>
      <errorID>0408802f-8795-4b36-8f5f-205a81454435</errorID>
      <errorWord>)</errorWord>
      <group>L1_Format</group>
      <groupName>格式问题</groupName>
      <ability>L2_HalfPunc</ability>
      <abilityName>全半角检查</abilityName>
      <candidateList>
        <item>）</item>
      </candidateList>
      <explain>文本全半角错误。</explain>
      <paraID>2DA04693</paraID>
      <start>3</start>
      <end>4</end>
      <status>unmodified</status>
      <modifiedWord/>
      <trackRevisions>false</trackRevisions>
    </reviewItem>
    <reviewItem>
      <errorID>1e0335d3-d865-4a9b-bbfc-4c5ce8191b92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388257D1</paraID>
      <start>21</start>
      <end>24</end>
      <status>unmodified</status>
      <modifiedWord/>
      <trackRevisions>false</trackRevisions>
    </reviewItem>
    <reviewItem>
      <errorID>d0fc541b-50fc-4712-a52e-a31bb3efe93f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2123A118</paraID>
      <start>19</start>
      <end>22</end>
      <status>unmodified</status>
      <modifiedWord/>
      <trackRevisions>false</trackRevisions>
    </reviewItem>
    <reviewItem>
      <errorID>65246c8f-8e49-43cc-a4fb-b59aa4564489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3E53C474</paraID>
      <start>21</start>
      <end>24</end>
      <status>unmodified</status>
      <modifiedWord/>
      <trackRevisions>false</trackRevisions>
    </reviewItem>
    <reviewItem>
      <errorID>40031d73-27da-4b03-9241-d4b0ca93b1e2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3E53C474</paraID>
      <start>38</start>
      <end>41</end>
      <status>unmodified</status>
      <modifiedWord/>
      <trackRevisions>false</trackRevisions>
    </reviewItem>
    <reviewItem>
      <errorID>39075a78-3f48-454e-8590-09f596107a48</errorID>
      <errorWord>法律、法规</errorWord>
      <group>L1_Word</group>
      <groupName>字词问题</groupName>
      <ability>L2_Typo</ability>
      <abilityName>字词错误</abilityName>
      <candidateList>
        <item>法律法规</item>
      </candidateList>
      <explain/>
      <paraID>3E53C474</paraID>
      <start>59</start>
      <end>64</end>
      <status>unmodified</status>
      <modifiedWord/>
      <trackRevisions>false</trackRevisions>
    </reviewItem>
    <reviewItem>
      <errorID>4b2f6d38-c131-4167-bbd8-5cd8292dea9a</errorID>
      <errorWord>合价</errorWord>
      <group>L1_Word</group>
      <groupName>字词问题</groupName>
      <ability>L2_Typo</ability>
      <abilityName>字词错误</abilityName>
      <candidateList>
        <item>合计</item>
      </candidateList>
      <explain/>
      <paraID>343CF54F</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22C4D4-B556-4326-B7A5-2121C667E80E}">
  <ds:schemaRefs/>
</ds:datastoreItem>
</file>

<file path=docProps/app.xml><?xml version="1.0" encoding="utf-8"?>
<Properties xmlns="http://schemas.openxmlformats.org/officeDocument/2006/extended-properties" xmlns:vt="http://schemas.openxmlformats.org/officeDocument/2006/docPropsVTypes">
  <Template>Normal</Template>
  <Pages>89</Pages>
  <Words>29651</Words>
  <Characters>31485</Characters>
  <Lines>3118</Lines>
  <Paragraphs>2597</Paragraphs>
  <TotalTime>15</TotalTime>
  <ScaleCrop>false</ScaleCrop>
  <LinksUpToDate>false</LinksUpToDate>
  <CharactersWithSpaces>32446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2024-12-17T02:30:00Z</dcterms:created>
  <dc:creator>de'l'l</dc:creator>
  <cp:lastModifiedBy>de'l'l</cp:lastModifiedBy>
  <cp:lastPrinted>2026-06-15T08:03:00Z</cp:lastPrinted>
  <dcterms:modified xsi:type="dcterms:W3CDTF">2026-08-06T08:55:55Z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88AE2D04FB074B09B1418A601D9F2E80_13</vt:lpwstr>
  </property>
  <property fmtid="{D5CDD505-2E9C-101B-9397-08002B2CF9AE}" pid="4" name="KSOTemplateDocerSaveRecord">
    <vt:lpwstr>eyJoZGlkIjoiNDI2YWI4ZDUxNTZkYzNmOGJiN2I1OThjYjhkYzY4ZTMiLCJ1c2VySWQiOiIxMzM0NTcxNzk1In0=</vt:lpwstr>
  </property>
</Properties>
</file>