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5203B">
      <w:pPr>
        <w:spacing w:line="360" w:lineRule="auto"/>
        <w:jc w:val="center"/>
        <w:rPr>
          <w:rFonts w:ascii="仿宋_GB2312" w:hAnsi="Arial" w:eastAsia="仿宋_GB2312"/>
          <w:b/>
          <w:bCs/>
          <w:kern w:val="44"/>
          <w:sz w:val="32"/>
        </w:rPr>
      </w:pPr>
      <w:r>
        <w:rPr>
          <w:rFonts w:hint="eastAsia" w:ascii="仿宋_GB2312" w:hAnsi="Arial" w:eastAsia="仿宋_GB2312"/>
          <w:b/>
          <w:bCs/>
          <w:kern w:val="44"/>
          <w:sz w:val="32"/>
        </w:rPr>
        <w:t>采购合同</w:t>
      </w:r>
    </w:p>
    <w:p w14:paraId="16F23254">
      <w:pPr>
        <w:spacing w:line="360" w:lineRule="auto"/>
        <w:rPr>
          <w:rFonts w:ascii="仿宋_GB2312" w:hAnsi="Arial" w:eastAsia="仿宋_GB2312"/>
          <w:b/>
          <w:bCs/>
          <w:sz w:val="32"/>
          <w:szCs w:val="32"/>
        </w:rPr>
      </w:pPr>
    </w:p>
    <w:p w14:paraId="64819183">
      <w:pPr>
        <w:spacing w:line="360" w:lineRule="auto"/>
        <w:rPr>
          <w:rFonts w:ascii="仿宋_GB2312" w:hAnsi="Arial" w:eastAsia="仿宋_GB2312"/>
          <w:sz w:val="24"/>
        </w:rPr>
      </w:pPr>
      <w:r>
        <w:rPr>
          <w:rFonts w:hint="eastAsia" w:ascii="仿宋_GB2312" w:hAnsi="Arial" w:eastAsia="仿宋_GB2312"/>
          <w:sz w:val="24"/>
          <w:highlight w:val="yellow"/>
        </w:rPr>
        <w:t>合同编号：</w:t>
      </w:r>
      <w:r>
        <w:rPr>
          <w:rFonts w:hint="eastAsia" w:ascii="仿宋_GB2312" w:hAnsi="Arial" w:eastAsia="仿宋_GB2312"/>
          <w:sz w:val="24"/>
        </w:rPr>
        <w:t xml:space="preserve"> </w:t>
      </w:r>
    </w:p>
    <w:p w14:paraId="59B835FD">
      <w:pPr>
        <w:spacing w:line="360" w:lineRule="auto"/>
        <w:rPr>
          <w:rFonts w:ascii="仿宋_GB2312" w:hAnsi="Arial" w:eastAsia="仿宋_GB2312"/>
          <w:sz w:val="24"/>
        </w:rPr>
      </w:pPr>
      <w:r>
        <w:rPr>
          <w:rFonts w:hint="eastAsia" w:ascii="仿宋_GB2312" w:hAnsi="Arial" w:eastAsia="仿宋_GB2312"/>
          <w:sz w:val="24"/>
        </w:rPr>
        <w:t>甲    方： 北京市第九十九中学</w:t>
      </w:r>
    </w:p>
    <w:p w14:paraId="0AFC1E3A">
      <w:pPr>
        <w:pStyle w:val="5"/>
        <w:spacing w:before="120" w:beforeLines="50" w:after="120" w:afterLines="50"/>
        <w:jc w:val="left"/>
        <w:rPr>
          <w:rFonts w:hint="default" w:ascii="仿宋_GB2312" w:hAnsi="Arial" w:eastAsia="仿宋_GB2312"/>
          <w:sz w:val="24"/>
        </w:rPr>
      </w:pPr>
      <w:r>
        <w:rPr>
          <w:rFonts w:ascii="仿宋_GB2312" w:hAnsi="Arial" w:eastAsia="仿宋_GB2312"/>
          <w:sz w:val="24"/>
        </w:rPr>
        <w:t>法定代表人：</w:t>
      </w:r>
      <w:r>
        <w:rPr>
          <w:rFonts w:hint="eastAsia" w:ascii="仿宋_GB2312" w:hAnsi="Arial" w:eastAsia="仿宋_GB2312"/>
          <w:sz w:val="24"/>
        </w:rPr>
        <w:t>程洪莉</w:t>
      </w:r>
    </w:p>
    <w:p w14:paraId="05205F74">
      <w:pPr>
        <w:pStyle w:val="5"/>
        <w:spacing w:before="120" w:beforeLines="50" w:after="120" w:afterLines="50"/>
        <w:jc w:val="left"/>
        <w:rPr>
          <w:rFonts w:hint="default" w:ascii="仿宋_GB2312" w:hAnsi="Arial" w:eastAsia="仿宋_GB2312"/>
          <w:sz w:val="24"/>
        </w:rPr>
      </w:pPr>
      <w:r>
        <w:rPr>
          <w:rFonts w:ascii="仿宋_GB2312" w:hAnsi="Arial" w:eastAsia="仿宋_GB2312"/>
          <w:sz w:val="24"/>
        </w:rPr>
        <w:t>地址：</w:t>
      </w:r>
      <w:r>
        <w:rPr>
          <w:rFonts w:hint="eastAsia" w:ascii="仿宋_GB2312" w:hAnsi="Arial" w:eastAsia="仿宋_GB2312"/>
          <w:sz w:val="24"/>
        </w:rPr>
        <w:t>北京市海淀区温泉村北</w:t>
      </w:r>
    </w:p>
    <w:p w14:paraId="45FAAA73">
      <w:pPr>
        <w:spacing w:line="360" w:lineRule="auto"/>
        <w:rPr>
          <w:rFonts w:ascii="仿宋_GB2312" w:hAnsi="Arial" w:eastAsia="仿宋_GB2312"/>
          <w:sz w:val="24"/>
        </w:rPr>
      </w:pPr>
      <w:r>
        <w:rPr>
          <w:rFonts w:hint="eastAsia" w:ascii="仿宋_GB2312" w:hAnsi="Arial" w:eastAsia="仿宋_GB2312"/>
          <w:sz w:val="24"/>
        </w:rPr>
        <w:t>乙    方：</w:t>
      </w:r>
      <w:commentRangeStart w:id="0"/>
      <w:r>
        <w:rPr>
          <w:rFonts w:hint="eastAsia" w:ascii="仿宋_GB2312" w:hAnsi="Arial" w:eastAsia="仿宋_GB2312"/>
          <w:sz w:val="24"/>
          <w:lang w:val="en-US" w:eastAsia="zh-CN"/>
        </w:rPr>
        <w:t>比萨教学设备（北京）有限公司</w:t>
      </w:r>
      <w:commentRangeEnd w:id="0"/>
      <w:r>
        <w:commentReference w:id="0"/>
      </w:r>
    </w:p>
    <w:p w14:paraId="3C69D84B">
      <w:pPr>
        <w:pStyle w:val="5"/>
        <w:spacing w:before="120" w:beforeLines="50" w:after="120" w:afterLines="50"/>
        <w:jc w:val="left"/>
        <w:rPr>
          <w:rFonts w:hint="default" w:ascii="仿宋_GB2312" w:hAnsi="Arial" w:eastAsia="仿宋_GB2312"/>
          <w:sz w:val="24"/>
          <w:lang w:val="en-US" w:eastAsia="zh-CN"/>
        </w:rPr>
      </w:pPr>
      <w:r>
        <w:rPr>
          <w:rFonts w:ascii="仿宋_GB2312" w:hAnsi="Arial" w:eastAsia="仿宋_GB2312"/>
          <w:sz w:val="24"/>
        </w:rPr>
        <w:t>法定代表人：</w:t>
      </w:r>
      <w:r>
        <w:rPr>
          <w:rFonts w:hint="eastAsia" w:ascii="仿宋_GB2312" w:hAnsi="Arial" w:eastAsia="仿宋_GB2312"/>
          <w:sz w:val="24"/>
          <w:lang w:val="en-US" w:eastAsia="zh-CN"/>
        </w:rPr>
        <w:t>胡爱军</w:t>
      </w:r>
    </w:p>
    <w:p w14:paraId="439B78E8">
      <w:pPr>
        <w:pStyle w:val="5"/>
        <w:spacing w:before="120" w:beforeLines="50" w:after="120" w:afterLines="50"/>
        <w:jc w:val="left"/>
        <w:rPr>
          <w:rFonts w:hint="default" w:ascii="仿宋_GB2312" w:hAnsi="Arial" w:eastAsia="仿宋_GB2312"/>
          <w:sz w:val="24"/>
        </w:rPr>
      </w:pPr>
      <w:r>
        <w:rPr>
          <w:rFonts w:ascii="仿宋_GB2312" w:hAnsi="Arial" w:eastAsia="仿宋_GB2312"/>
          <w:sz w:val="24"/>
        </w:rPr>
        <w:t>地址：</w:t>
      </w:r>
      <w:r>
        <w:rPr>
          <w:rFonts w:hint="eastAsia" w:ascii="仿宋_GB2312" w:hAnsi="Arial" w:eastAsia="仿宋_GB2312"/>
          <w:sz w:val="24"/>
        </w:rPr>
        <w:t>北京市丰台区丰科路6号院5号楼4层423-20</w:t>
      </w:r>
    </w:p>
    <w:p w14:paraId="3E7A36F2">
      <w:pPr>
        <w:pStyle w:val="3"/>
        <w:rPr>
          <w:rFonts w:hint="eastAsia"/>
        </w:rPr>
      </w:pPr>
    </w:p>
    <w:p w14:paraId="719AB382">
      <w:pPr>
        <w:spacing w:line="360" w:lineRule="auto"/>
        <w:rPr>
          <w:rFonts w:ascii="仿宋_GB2312" w:hAnsi="Arial" w:eastAsia="仿宋_GB2312"/>
          <w:sz w:val="24"/>
        </w:rPr>
      </w:pPr>
      <w:r>
        <w:rPr>
          <w:rFonts w:hint="eastAsia" w:ascii="仿宋_GB2312" w:hAnsi="Arial" w:eastAsia="仿宋_GB2312"/>
          <w:sz w:val="24"/>
        </w:rPr>
        <w:t>签署地点：</w:t>
      </w:r>
      <w:r>
        <w:rPr>
          <w:rFonts w:hint="eastAsia" w:ascii="仿宋_GB2312" w:hAnsi="Arial" w:eastAsia="仿宋_GB2312"/>
          <w:sz w:val="24"/>
          <w:lang w:val="en-US" w:eastAsia="zh-CN"/>
        </w:rPr>
        <w:t>北京市</w:t>
      </w:r>
      <w:r>
        <w:rPr>
          <w:rFonts w:hint="eastAsia" w:ascii="仿宋_GB2312" w:hAnsi="Arial" w:eastAsia="仿宋_GB2312"/>
          <w:sz w:val="24"/>
        </w:rPr>
        <w:t xml:space="preserve"> </w:t>
      </w:r>
    </w:p>
    <w:p w14:paraId="56E57B03">
      <w:pPr>
        <w:spacing w:line="360" w:lineRule="auto"/>
        <w:rPr>
          <w:rFonts w:ascii="仿宋_GB2312" w:hAnsi="Arial" w:eastAsia="仿宋_GB2312"/>
          <w:sz w:val="24"/>
        </w:rPr>
      </w:pPr>
    </w:p>
    <w:p w14:paraId="3CACF470">
      <w:pPr>
        <w:pStyle w:val="5"/>
        <w:spacing w:before="120" w:beforeLines="50" w:after="120" w:afterLines="50"/>
        <w:ind w:firstLine="480" w:firstLineChars="200"/>
        <w:jc w:val="left"/>
        <w:rPr>
          <w:rFonts w:hint="default" w:ascii="仿宋_GB2312" w:hAnsi="Arial" w:eastAsia="仿宋_GB2312"/>
          <w:sz w:val="24"/>
        </w:rPr>
      </w:pPr>
      <w:r>
        <w:rPr>
          <w:rFonts w:ascii="仿宋_GB2312" w:hAnsi="Arial" w:eastAsia="仿宋_GB2312"/>
          <w:sz w:val="24"/>
        </w:rPr>
        <w:t>乙方在海淀区政府采购办公室审批立项的项目编号为</w:t>
      </w:r>
      <w:r>
        <w:rPr>
          <w:rFonts w:ascii="仿宋_GB2312" w:hAnsi="Arial" w:eastAsia="仿宋_GB2312"/>
          <w:sz w:val="24"/>
          <w:u w:val="single"/>
        </w:rPr>
        <w:t xml:space="preserve"> </w:t>
      </w:r>
      <w:r>
        <w:rPr>
          <w:rFonts w:hint="eastAsia" w:ascii="仿宋_GB2312" w:hAnsi="Arial" w:eastAsia="仿宋_GB2312"/>
          <w:sz w:val="24"/>
          <w:u w:val="single"/>
        </w:rPr>
        <w:t>0610-2641NH021268</w:t>
      </w:r>
      <w:r>
        <w:rPr>
          <w:rFonts w:ascii="仿宋_GB2312" w:hAnsi="Arial" w:eastAsia="仿宋_GB2312"/>
          <w:sz w:val="24"/>
          <w:u w:val="single"/>
        </w:rPr>
        <w:t xml:space="preserve">      </w:t>
      </w:r>
      <w:r>
        <w:rPr>
          <w:rFonts w:ascii="仿宋_GB2312" w:hAnsi="Arial" w:eastAsia="仿宋_GB2312"/>
          <w:sz w:val="24"/>
        </w:rPr>
        <w:t xml:space="preserve">的 </w:t>
      </w:r>
      <w:r>
        <w:rPr>
          <w:rFonts w:ascii="仿宋_GB2312" w:hAnsi="Arial" w:eastAsia="仿宋_GB2312"/>
          <w:sz w:val="24"/>
          <w:u w:val="single"/>
        </w:rPr>
        <w:t xml:space="preserve"> </w:t>
      </w:r>
      <w:r>
        <w:rPr>
          <w:rFonts w:hint="eastAsia" w:ascii="仿宋_GB2312" w:hAnsi="Arial" w:eastAsia="仿宋_GB2312" w:cs="Times New Roman"/>
          <w:kern w:val="2"/>
          <w:sz w:val="24"/>
          <w:szCs w:val="20"/>
          <w:u w:val="single"/>
          <w:lang w:val="en-US" w:eastAsia="zh-CN" w:bidi="ar-SA"/>
        </w:rPr>
        <w:t>北京市第九十九中学初中增班改扩建设备采购</w:t>
      </w:r>
      <w:r>
        <w:rPr>
          <w:rFonts w:ascii="仿宋_GB2312" w:hAnsi="Arial" w:eastAsia="仿宋_GB2312"/>
          <w:sz w:val="24"/>
          <w:u w:val="single"/>
        </w:rPr>
        <w:t>项目</w:t>
      </w:r>
      <w:r>
        <w:rPr>
          <w:rFonts w:ascii="仿宋_GB2312" w:hAnsi="Arial" w:eastAsia="仿宋_GB2312"/>
          <w:sz w:val="24"/>
        </w:rPr>
        <w:t>中被确定为中标人。双方同意按下述条款和条件签署本合同（以下简称合同）。</w:t>
      </w:r>
    </w:p>
    <w:p w14:paraId="522A3811">
      <w:pPr>
        <w:numPr>
          <w:ilvl w:val="0"/>
          <w:numId w:val="1"/>
        </w:numPr>
        <w:spacing w:line="360" w:lineRule="auto"/>
        <w:rPr>
          <w:rFonts w:ascii="仿宋_GB2312" w:hAnsi="Arial" w:eastAsia="仿宋_GB2312"/>
          <w:sz w:val="24"/>
        </w:rPr>
      </w:pPr>
      <w:r>
        <w:rPr>
          <w:rFonts w:hint="eastAsia" w:ascii="仿宋_GB2312" w:hAnsi="Arial" w:eastAsia="仿宋_GB2312"/>
          <w:sz w:val="24"/>
        </w:rPr>
        <w:t>合同文件及附件</w:t>
      </w:r>
    </w:p>
    <w:p w14:paraId="38B5B3AD">
      <w:pPr>
        <w:spacing w:line="360" w:lineRule="auto"/>
        <w:ind w:firstLine="480" w:firstLineChars="200"/>
        <w:rPr>
          <w:rFonts w:ascii="仿宋_GB2312" w:hAnsi="Arial" w:eastAsia="仿宋_GB2312"/>
          <w:sz w:val="24"/>
        </w:rPr>
      </w:pPr>
      <w:r>
        <w:rPr>
          <w:rFonts w:hint="eastAsia" w:ascii="仿宋_GB2312" w:hAnsi="Arial" w:eastAsia="仿宋_GB2312"/>
          <w:sz w:val="24"/>
        </w:rPr>
        <w:t xml:space="preserve">下列文件是本合同的组成部分 </w:t>
      </w:r>
    </w:p>
    <w:p w14:paraId="2DBAC2F9">
      <w:pPr>
        <w:spacing w:before="120" w:line="360" w:lineRule="auto"/>
        <w:ind w:firstLine="480" w:firstLineChars="200"/>
        <w:rPr>
          <w:rFonts w:ascii="仿宋_GB2312" w:hAnsi="Arial" w:eastAsia="仿宋_GB2312"/>
          <w:sz w:val="24"/>
        </w:rPr>
      </w:pPr>
      <w:r>
        <w:rPr>
          <w:rFonts w:hint="eastAsia" w:ascii="仿宋_GB2312" w:hAnsi="Arial" w:eastAsia="仿宋_GB2312"/>
          <w:sz w:val="24"/>
        </w:rPr>
        <w:t>1.1</w:t>
      </w:r>
      <w:r>
        <w:rPr>
          <w:rFonts w:hint="eastAsia" w:ascii="仿宋_GB2312" w:hAnsi="Arial" w:eastAsia="仿宋_GB2312"/>
          <w:sz w:val="24"/>
        </w:rPr>
        <w:tab/>
      </w:r>
      <w:r>
        <w:rPr>
          <w:rFonts w:hint="eastAsia" w:ascii="仿宋_GB2312" w:hAnsi="Arial" w:eastAsia="仿宋_GB2312"/>
          <w:sz w:val="24"/>
        </w:rPr>
        <w:t>本合同书　</w:t>
      </w:r>
    </w:p>
    <w:p w14:paraId="70D69D1A">
      <w:pPr>
        <w:spacing w:before="120" w:line="360" w:lineRule="auto"/>
        <w:ind w:firstLine="540"/>
        <w:rPr>
          <w:rFonts w:ascii="仿宋_GB2312" w:hAnsi="Arial" w:eastAsia="仿宋_GB2312"/>
          <w:sz w:val="24"/>
        </w:rPr>
      </w:pPr>
      <w:r>
        <w:rPr>
          <w:rFonts w:hint="eastAsia" w:ascii="仿宋_GB2312" w:hAnsi="Arial" w:eastAsia="仿宋_GB2312"/>
          <w:sz w:val="24"/>
        </w:rPr>
        <w:t>1.2</w:t>
      </w:r>
      <w:r>
        <w:rPr>
          <w:rFonts w:hint="eastAsia" w:ascii="仿宋_GB2312" w:hAnsi="Arial" w:eastAsia="仿宋_GB2312"/>
          <w:sz w:val="24"/>
        </w:rPr>
        <w:tab/>
      </w:r>
      <w:r>
        <w:rPr>
          <w:rFonts w:hint="eastAsia" w:ascii="仿宋_GB2312" w:hAnsi="Arial" w:eastAsia="仿宋_GB2312"/>
          <w:sz w:val="24"/>
        </w:rPr>
        <w:t>中标通知书</w:t>
      </w:r>
    </w:p>
    <w:p w14:paraId="7455D5B2">
      <w:pPr>
        <w:spacing w:before="120" w:line="360" w:lineRule="auto"/>
        <w:ind w:firstLine="540"/>
        <w:rPr>
          <w:rFonts w:ascii="仿宋_GB2312" w:hAnsi="Arial" w:eastAsia="仿宋_GB2312"/>
          <w:sz w:val="24"/>
        </w:rPr>
      </w:pPr>
      <w:r>
        <w:rPr>
          <w:rFonts w:hint="eastAsia" w:ascii="仿宋_GB2312" w:hAnsi="Arial" w:eastAsia="仿宋_GB2312"/>
          <w:sz w:val="24"/>
        </w:rPr>
        <w:t>1.3</w:t>
      </w:r>
      <w:r>
        <w:rPr>
          <w:rFonts w:hint="eastAsia" w:ascii="仿宋_GB2312" w:hAnsi="Arial" w:eastAsia="仿宋_GB2312"/>
          <w:sz w:val="24"/>
        </w:rPr>
        <w:tab/>
      </w:r>
      <w:r>
        <w:rPr>
          <w:rFonts w:hint="eastAsia" w:ascii="仿宋_GB2312" w:hAnsi="Arial" w:eastAsia="仿宋_GB2312"/>
          <w:sz w:val="24"/>
        </w:rPr>
        <w:t>补充协议</w:t>
      </w:r>
      <w:r>
        <w:rPr>
          <w:rFonts w:hint="eastAsia" w:ascii="仿宋_GB2312" w:hAnsi="Arial" w:eastAsia="仿宋_GB2312"/>
          <w:sz w:val="24"/>
        </w:rPr>
        <w:tab/>
      </w:r>
      <w:r>
        <w:rPr>
          <w:rFonts w:hint="eastAsia" w:ascii="仿宋_GB2312" w:hAnsi="Arial" w:eastAsia="仿宋_GB2312"/>
          <w:sz w:val="24"/>
        </w:rPr>
        <w:tab/>
      </w:r>
      <w:r>
        <w:rPr>
          <w:rFonts w:hint="eastAsia" w:ascii="仿宋_GB2312" w:hAnsi="Arial" w:eastAsia="仿宋_GB2312"/>
          <w:sz w:val="24"/>
        </w:rPr>
        <w:tab/>
      </w:r>
      <w:r>
        <w:rPr>
          <w:rFonts w:hint="eastAsia" w:ascii="仿宋_GB2312" w:hAnsi="Arial" w:eastAsia="仿宋_GB2312"/>
          <w:sz w:val="24"/>
        </w:rPr>
        <w:tab/>
      </w:r>
      <w:r>
        <w:rPr>
          <w:rFonts w:hint="eastAsia" w:ascii="仿宋_GB2312" w:hAnsi="Arial" w:eastAsia="仿宋_GB2312"/>
          <w:sz w:val="24"/>
        </w:rPr>
        <w:tab/>
      </w:r>
    </w:p>
    <w:p w14:paraId="1BF3F332">
      <w:pPr>
        <w:spacing w:before="120" w:line="360" w:lineRule="auto"/>
        <w:ind w:firstLine="540"/>
        <w:rPr>
          <w:rFonts w:ascii="仿宋_GB2312" w:hAnsi="Arial" w:eastAsia="仿宋_GB2312"/>
          <w:sz w:val="24"/>
        </w:rPr>
      </w:pPr>
      <w:r>
        <w:rPr>
          <w:rFonts w:hint="eastAsia" w:ascii="仿宋_GB2312" w:hAnsi="Arial" w:eastAsia="仿宋_GB2312"/>
          <w:sz w:val="24"/>
        </w:rPr>
        <w:t>1.4</w:t>
      </w:r>
      <w:r>
        <w:rPr>
          <w:rFonts w:hint="eastAsia" w:ascii="仿宋_GB2312" w:hAnsi="Arial" w:eastAsia="仿宋_GB2312"/>
          <w:sz w:val="24"/>
        </w:rPr>
        <w:tab/>
      </w:r>
      <w:r>
        <w:rPr>
          <w:rFonts w:hint="eastAsia" w:ascii="仿宋_GB2312" w:hAnsi="Arial" w:eastAsia="仿宋_GB2312"/>
          <w:sz w:val="24"/>
        </w:rPr>
        <w:t>投标文件</w:t>
      </w:r>
      <w:r>
        <w:rPr>
          <w:rFonts w:hint="eastAsia" w:ascii="仿宋_GB2312" w:hAnsi="Arial" w:eastAsia="仿宋_GB2312"/>
          <w:sz w:val="24"/>
        </w:rPr>
        <w:tab/>
      </w:r>
      <w:r>
        <w:rPr>
          <w:rFonts w:hint="eastAsia" w:ascii="仿宋_GB2312" w:hAnsi="Arial" w:eastAsia="仿宋_GB2312"/>
          <w:sz w:val="24"/>
        </w:rPr>
        <w:tab/>
      </w:r>
      <w:r>
        <w:rPr>
          <w:rFonts w:hint="eastAsia" w:ascii="仿宋_GB2312" w:hAnsi="Arial" w:eastAsia="仿宋_GB2312"/>
          <w:sz w:val="24"/>
        </w:rPr>
        <w:tab/>
      </w:r>
      <w:r>
        <w:rPr>
          <w:rFonts w:hint="eastAsia" w:ascii="仿宋_GB2312" w:hAnsi="Arial" w:eastAsia="仿宋_GB2312"/>
          <w:sz w:val="24"/>
        </w:rPr>
        <w:tab/>
      </w:r>
      <w:r>
        <w:rPr>
          <w:rFonts w:hint="eastAsia" w:ascii="仿宋_GB2312" w:hAnsi="Arial" w:eastAsia="仿宋_GB2312"/>
          <w:sz w:val="24"/>
        </w:rPr>
        <w:t>(含澄清文件)</w:t>
      </w:r>
    </w:p>
    <w:p w14:paraId="78C57D6F">
      <w:pPr>
        <w:spacing w:before="120" w:line="360" w:lineRule="auto"/>
        <w:ind w:firstLine="540"/>
        <w:rPr>
          <w:rFonts w:ascii="仿宋_GB2312" w:hAnsi="Arial" w:eastAsia="仿宋_GB2312"/>
          <w:sz w:val="24"/>
        </w:rPr>
      </w:pPr>
      <w:r>
        <w:rPr>
          <w:rFonts w:hint="eastAsia" w:ascii="仿宋_GB2312" w:hAnsi="Arial" w:eastAsia="仿宋_GB2312"/>
          <w:sz w:val="24"/>
        </w:rPr>
        <w:t>1.5</w:t>
      </w:r>
      <w:r>
        <w:rPr>
          <w:rFonts w:hint="eastAsia" w:ascii="仿宋_GB2312" w:hAnsi="Arial" w:eastAsia="仿宋_GB2312"/>
          <w:sz w:val="24"/>
        </w:rPr>
        <w:tab/>
      </w:r>
      <w:r>
        <w:rPr>
          <w:rFonts w:hint="eastAsia" w:ascii="仿宋_GB2312" w:hAnsi="Arial" w:eastAsia="仿宋_GB2312"/>
          <w:sz w:val="24"/>
        </w:rPr>
        <w:t>招标文件</w:t>
      </w:r>
      <w:r>
        <w:rPr>
          <w:rFonts w:hint="eastAsia" w:ascii="仿宋_GB2312" w:hAnsi="Arial" w:eastAsia="仿宋_GB2312"/>
          <w:sz w:val="24"/>
        </w:rPr>
        <w:tab/>
      </w:r>
      <w:r>
        <w:rPr>
          <w:rFonts w:hint="eastAsia" w:ascii="仿宋_GB2312" w:hAnsi="Arial" w:eastAsia="仿宋_GB2312"/>
          <w:sz w:val="24"/>
        </w:rPr>
        <w:tab/>
      </w:r>
      <w:r>
        <w:rPr>
          <w:rFonts w:hint="eastAsia" w:ascii="仿宋_GB2312" w:hAnsi="Arial" w:eastAsia="仿宋_GB2312"/>
          <w:sz w:val="24"/>
        </w:rPr>
        <w:tab/>
      </w:r>
      <w:r>
        <w:rPr>
          <w:rFonts w:hint="eastAsia" w:ascii="仿宋_GB2312" w:hAnsi="Arial" w:eastAsia="仿宋_GB2312"/>
          <w:sz w:val="24"/>
        </w:rPr>
        <w:tab/>
      </w:r>
      <w:r>
        <w:rPr>
          <w:rFonts w:hint="eastAsia" w:ascii="仿宋_GB2312" w:hAnsi="Arial" w:eastAsia="仿宋_GB2312"/>
          <w:sz w:val="24"/>
        </w:rPr>
        <w:t>(含招标文件补充通知)</w:t>
      </w:r>
    </w:p>
    <w:p w14:paraId="4B69F4F9">
      <w:pPr>
        <w:spacing w:before="120" w:line="360" w:lineRule="auto"/>
        <w:ind w:firstLine="540"/>
        <w:rPr>
          <w:rFonts w:ascii="仿宋_GB2312" w:hAnsi="Arial" w:eastAsia="仿宋_GB2312"/>
          <w:sz w:val="24"/>
        </w:rPr>
      </w:pPr>
      <w:r>
        <w:rPr>
          <w:rFonts w:hint="eastAsia" w:ascii="仿宋_GB2312" w:hAnsi="Arial" w:eastAsia="仿宋_GB2312"/>
          <w:sz w:val="24"/>
        </w:rPr>
        <w:t>1.6   补充澄清确认文件</w:t>
      </w:r>
    </w:p>
    <w:p w14:paraId="3AE7D2CB">
      <w:pPr>
        <w:numPr>
          <w:ilvl w:val="0"/>
          <w:numId w:val="1"/>
        </w:numPr>
        <w:spacing w:line="360" w:lineRule="auto"/>
        <w:rPr>
          <w:rFonts w:ascii="仿宋_GB2312" w:hAnsi="Arial" w:eastAsia="仿宋_GB2312"/>
          <w:sz w:val="24"/>
        </w:rPr>
      </w:pPr>
      <w:r>
        <w:rPr>
          <w:rFonts w:hint="eastAsia" w:ascii="仿宋_GB2312" w:hAnsi="Arial" w:eastAsia="仿宋_GB2312"/>
          <w:sz w:val="24"/>
        </w:rPr>
        <w:t>定义</w:t>
      </w:r>
    </w:p>
    <w:p w14:paraId="6A8E8385">
      <w:pPr>
        <w:spacing w:line="360" w:lineRule="auto"/>
        <w:ind w:left="360"/>
        <w:rPr>
          <w:rFonts w:ascii="仿宋_GB2312" w:hAnsi="Arial" w:eastAsia="仿宋_GB2312"/>
          <w:sz w:val="24"/>
        </w:rPr>
      </w:pPr>
      <w:r>
        <w:rPr>
          <w:rFonts w:hint="eastAsia" w:ascii="仿宋_GB2312" w:hAnsi="Arial" w:eastAsia="仿宋_GB2312"/>
          <w:sz w:val="24"/>
        </w:rPr>
        <w:t>本合同中的下列术语应解释为：</w:t>
      </w:r>
    </w:p>
    <w:p w14:paraId="785873FB">
      <w:pPr>
        <w:spacing w:line="360" w:lineRule="auto"/>
        <w:ind w:left="959" w:leftChars="171" w:hanging="600" w:hangingChars="250"/>
        <w:rPr>
          <w:rFonts w:ascii="仿宋_GB2312" w:hAnsi="Arial" w:eastAsia="仿宋_GB2312"/>
          <w:sz w:val="24"/>
        </w:rPr>
      </w:pPr>
      <w:r>
        <w:rPr>
          <w:rFonts w:hint="eastAsia" w:ascii="仿宋_GB2312" w:hAnsi="Arial" w:eastAsia="仿宋_GB2312"/>
          <w:sz w:val="24"/>
        </w:rPr>
        <w:t>2.1 “合同”系指甲乙双方签署的,合同格式中载明双方所达成的协议,包括构成合同的所有的附件、附录和构成合同的所有文件。</w:t>
      </w:r>
    </w:p>
    <w:p w14:paraId="74666F3F">
      <w:pPr>
        <w:spacing w:line="360" w:lineRule="auto"/>
        <w:ind w:left="959" w:leftChars="171" w:hanging="600" w:hangingChars="250"/>
        <w:rPr>
          <w:rFonts w:ascii="仿宋_GB2312" w:hAnsi="Arial" w:eastAsia="仿宋_GB2312"/>
          <w:sz w:val="24"/>
        </w:rPr>
      </w:pPr>
      <w:r>
        <w:rPr>
          <w:rFonts w:hint="eastAsia" w:ascii="仿宋_GB2312" w:hAnsi="Arial" w:eastAsia="仿宋_GB2312"/>
          <w:sz w:val="24"/>
        </w:rPr>
        <w:t>2.2 “合同价”系指根据合同规定,在乙方正确、完全履行合同义务后，甲方应付的价格。</w:t>
      </w:r>
    </w:p>
    <w:p w14:paraId="18C6C8E3">
      <w:pPr>
        <w:spacing w:line="360" w:lineRule="auto"/>
        <w:ind w:left="839" w:leftChars="171" w:hanging="480" w:hangingChars="200"/>
        <w:rPr>
          <w:rFonts w:ascii="仿宋_GB2312" w:hAnsi="Arial" w:eastAsia="仿宋_GB2312"/>
          <w:sz w:val="24"/>
        </w:rPr>
      </w:pPr>
      <w:r>
        <w:rPr>
          <w:rFonts w:hint="eastAsia" w:ascii="仿宋_GB2312" w:hAnsi="Arial" w:eastAsia="仿宋_GB2312"/>
          <w:sz w:val="24"/>
        </w:rPr>
        <w:t>2.3 “货物”系指乙方根据合同规定须向甲方提供的所有硬件设备、安装调试、技术资料及其它材料。具体分为“购置类货物”和“搬移类货物“。</w:t>
      </w:r>
    </w:p>
    <w:p w14:paraId="1D156FD4">
      <w:pPr>
        <w:spacing w:line="360" w:lineRule="auto"/>
        <w:ind w:left="839" w:leftChars="171" w:hanging="480" w:hangingChars="200"/>
        <w:rPr>
          <w:rFonts w:ascii="仿宋_GB2312" w:hAnsi="Arial" w:eastAsia="仿宋_GB2312"/>
          <w:sz w:val="24"/>
        </w:rPr>
      </w:pPr>
      <w:r>
        <w:rPr>
          <w:rFonts w:hint="eastAsia" w:ascii="仿宋_GB2312" w:hAnsi="Arial" w:eastAsia="仿宋_GB2312"/>
          <w:sz w:val="24"/>
        </w:rPr>
        <w:t>2.4 “服务”系指根据合同规定乙方承担的服务,如提供设备搬移、技术援助、培训和其它类似的义务。</w:t>
      </w:r>
    </w:p>
    <w:p w14:paraId="5A6FD6CE">
      <w:pPr>
        <w:spacing w:line="360" w:lineRule="auto"/>
        <w:rPr>
          <w:rFonts w:ascii="仿宋_GB2312" w:hAnsi="Arial" w:eastAsia="仿宋_GB2312"/>
          <w:sz w:val="24"/>
        </w:rPr>
      </w:pPr>
      <w:r>
        <w:rPr>
          <w:rFonts w:hint="eastAsia" w:ascii="仿宋_GB2312" w:hAnsi="Arial" w:eastAsia="仿宋_GB2312"/>
          <w:sz w:val="24"/>
        </w:rPr>
        <w:t>3．货物、数量及总价</w:t>
      </w:r>
    </w:p>
    <w:p w14:paraId="0F907EEC">
      <w:pPr>
        <w:spacing w:line="360" w:lineRule="auto"/>
        <w:rPr>
          <w:rFonts w:ascii="仿宋_GB2312" w:hAnsi="Arial" w:eastAsia="仿宋_GB2312"/>
          <w:sz w:val="24"/>
        </w:rPr>
      </w:pPr>
      <w:r>
        <w:rPr>
          <w:rFonts w:hint="eastAsia" w:ascii="仿宋_GB2312" w:hAnsi="Arial" w:eastAsia="仿宋_GB2312"/>
          <w:sz w:val="24"/>
        </w:rPr>
        <w:t xml:space="preserve">   </w:t>
      </w:r>
      <w:r>
        <w:rPr>
          <w:rFonts w:hint="eastAsia" w:ascii="仿宋_GB2312" w:eastAsia="仿宋_GB2312"/>
          <w:sz w:val="24"/>
        </w:rPr>
        <w:t>名称、内容、厂家、单价、数量及合计金额</w:t>
      </w:r>
      <w:r>
        <w:rPr>
          <w:rFonts w:hint="eastAsia" w:ascii="仿宋_GB2312" w:hAnsi="Arial" w:eastAsia="仿宋_GB2312"/>
          <w:sz w:val="24"/>
        </w:rPr>
        <w:t>：</w:t>
      </w:r>
      <w:r>
        <w:rPr>
          <w:rFonts w:hint="eastAsia" w:ascii="仿宋_GB2312" w:hAnsi="Arial" w:eastAsia="仿宋_GB2312"/>
          <w:sz w:val="24"/>
          <w:u w:val="single"/>
        </w:rPr>
        <w:t xml:space="preserve"> 详见附件明细  </w:t>
      </w:r>
    </w:p>
    <w:p w14:paraId="3561CE4B">
      <w:pPr>
        <w:spacing w:line="360" w:lineRule="auto"/>
        <w:rPr>
          <w:rFonts w:ascii="仿宋_GB2312" w:hAnsi="Arial" w:eastAsia="仿宋_GB2312"/>
          <w:sz w:val="24"/>
          <w:u w:val="single"/>
        </w:rPr>
      </w:pPr>
      <w:r>
        <w:rPr>
          <w:rFonts w:hint="eastAsia" w:ascii="仿宋_GB2312" w:hAnsi="Arial" w:eastAsia="仿宋_GB2312"/>
          <w:sz w:val="24"/>
        </w:rPr>
        <w:t xml:space="preserve">   交货地点及数量： </w:t>
      </w:r>
      <w:r>
        <w:rPr>
          <w:rFonts w:hint="eastAsia" w:ascii="仿宋_GB2312" w:hAnsi="Arial" w:eastAsia="仿宋_GB2312"/>
          <w:sz w:val="24"/>
          <w:u w:val="single"/>
        </w:rPr>
        <w:t xml:space="preserve">  甲方决定。详见附件明细   </w:t>
      </w:r>
    </w:p>
    <w:p w14:paraId="0433F3AF">
      <w:pPr>
        <w:spacing w:line="360" w:lineRule="auto"/>
        <w:rPr>
          <w:rFonts w:ascii="仿宋_GB2312" w:eastAsia="仿宋_GB2312"/>
          <w:sz w:val="24"/>
        </w:rPr>
      </w:pPr>
      <w:r>
        <w:rPr>
          <w:rFonts w:hint="eastAsia" w:ascii="仿宋_GB2312" w:hAnsi="Arial" w:eastAsia="仿宋_GB2312"/>
          <w:sz w:val="24"/>
        </w:rPr>
        <w:t xml:space="preserve">   </w:t>
      </w:r>
      <w:r>
        <w:rPr>
          <w:rFonts w:hint="eastAsia" w:ascii="仿宋_GB2312" w:eastAsia="仿宋_GB2312"/>
          <w:sz w:val="24"/>
        </w:rPr>
        <w:t>合同总金额（含税）：人民币</w:t>
      </w:r>
      <w:r>
        <w:rPr>
          <w:rFonts w:hint="eastAsia" w:ascii="仿宋_GB2312" w:hAnsi="Arial" w:eastAsia="仿宋_GB2312"/>
          <w:sz w:val="24"/>
          <w:szCs w:val="22"/>
          <w:u w:val="single"/>
          <w:lang w:val="en-US" w:eastAsia="zh-CN"/>
        </w:rPr>
        <w:t>1569800.00</w:t>
      </w:r>
      <w:r>
        <w:rPr>
          <w:rFonts w:hint="eastAsia" w:ascii="仿宋_GB2312" w:eastAsia="仿宋_GB2312"/>
          <w:sz w:val="24"/>
        </w:rPr>
        <w:t>元（大写：</w:t>
      </w:r>
      <w:r>
        <w:rPr>
          <w:rFonts w:hint="eastAsia" w:ascii="仿宋_GB2312" w:hAnsi="Arial" w:eastAsia="仿宋_GB2312"/>
          <w:sz w:val="24"/>
          <w:szCs w:val="22"/>
          <w:u w:val="single"/>
        </w:rPr>
        <w:t xml:space="preserve"> </w:t>
      </w:r>
      <w:r>
        <w:rPr>
          <w:rFonts w:hint="eastAsia" w:ascii="仿宋_GB2312" w:hAnsi="Arial" w:eastAsia="仿宋_GB2312"/>
          <w:sz w:val="24"/>
          <w:szCs w:val="22"/>
          <w:u w:val="single"/>
          <w:lang w:val="en-US" w:eastAsia="zh-CN"/>
        </w:rPr>
        <w:t>壹佰伍拾陆万玖仟捌佰元整</w:t>
      </w:r>
      <w:r>
        <w:rPr>
          <w:rFonts w:hint="eastAsia" w:ascii="仿宋_GB2312" w:eastAsia="仿宋_GB2312"/>
          <w:sz w:val="24"/>
        </w:rPr>
        <w:t>），该价格含货款、运输费、保险费、安装调试费、售后服务费、设备搬移费等，除此之外，甲方无需向乙方再行支付其他任何费用。</w:t>
      </w:r>
    </w:p>
    <w:p w14:paraId="58182B48">
      <w:pPr>
        <w:spacing w:line="360" w:lineRule="auto"/>
        <w:ind w:firstLine="420"/>
        <w:rPr>
          <w:rFonts w:ascii="仿宋_GB2312" w:eastAsia="仿宋_GB2312"/>
          <w:sz w:val="24"/>
        </w:rPr>
      </w:pPr>
      <w:r>
        <w:rPr>
          <w:rFonts w:hint="eastAsia" w:ascii="仿宋_GB2312" w:eastAsia="仿宋_GB2312"/>
          <w:sz w:val="24"/>
        </w:rPr>
        <w:t>乙方开户银行名称、地址和帐号为：</w:t>
      </w:r>
    </w:p>
    <w:p w14:paraId="32415787">
      <w:pPr>
        <w:spacing w:line="360" w:lineRule="auto"/>
        <w:ind w:firstLine="420"/>
        <w:rPr>
          <w:rFonts w:ascii="仿宋_GB2312" w:eastAsia="仿宋_GB2312"/>
          <w:sz w:val="24"/>
        </w:rPr>
      </w:pPr>
      <w:r>
        <w:rPr>
          <w:rFonts w:hint="eastAsia" w:ascii="仿宋_GB2312" w:eastAsia="仿宋_GB2312"/>
          <w:sz w:val="24"/>
        </w:rPr>
        <w:t>开户名称：</w:t>
      </w:r>
      <w:r>
        <w:rPr>
          <w:rFonts w:hint="eastAsia" w:ascii="仿宋_GB2312" w:hAnsi="Arial" w:eastAsia="仿宋_GB2312"/>
          <w:sz w:val="24"/>
          <w:lang w:val="en-US" w:eastAsia="zh-CN"/>
        </w:rPr>
        <w:t>比萨教学设备（北京）有限公司</w:t>
      </w:r>
    </w:p>
    <w:p w14:paraId="0FC79EE0">
      <w:pPr>
        <w:spacing w:line="360" w:lineRule="auto"/>
        <w:ind w:firstLine="420"/>
        <w:rPr>
          <w:rFonts w:ascii="仿宋_GB2312" w:eastAsia="仿宋_GB2312"/>
          <w:sz w:val="24"/>
        </w:rPr>
      </w:pPr>
      <w:r>
        <w:rPr>
          <w:rFonts w:hint="eastAsia" w:ascii="仿宋_GB2312" w:eastAsia="仿宋_GB2312"/>
          <w:sz w:val="24"/>
        </w:rPr>
        <w:t>开户银行：中国建设银行股份有限公司北京大兴支行</w:t>
      </w:r>
    </w:p>
    <w:p w14:paraId="7826C021">
      <w:pPr>
        <w:spacing w:line="360" w:lineRule="auto"/>
        <w:ind w:firstLine="420"/>
        <w:rPr>
          <w:rFonts w:ascii="仿宋_GB2312" w:eastAsia="仿宋_GB2312"/>
          <w:sz w:val="24"/>
        </w:rPr>
      </w:pPr>
      <w:r>
        <w:rPr>
          <w:rFonts w:hint="eastAsia" w:ascii="仿宋_GB2312" w:eastAsia="仿宋_GB2312"/>
          <w:sz w:val="24"/>
        </w:rPr>
        <w:t>账号： 11050184360000003309</w:t>
      </w:r>
    </w:p>
    <w:p w14:paraId="01A59A25">
      <w:pPr>
        <w:spacing w:line="360" w:lineRule="auto"/>
        <w:rPr>
          <w:rFonts w:ascii="仿宋_GB2312" w:hAnsi="Arial" w:eastAsia="仿宋_GB2312"/>
          <w:sz w:val="24"/>
        </w:rPr>
      </w:pPr>
      <w:r>
        <w:rPr>
          <w:rFonts w:hint="eastAsia" w:ascii="仿宋_GB2312" w:hAnsi="Arial" w:eastAsia="仿宋_GB2312"/>
          <w:sz w:val="24"/>
        </w:rPr>
        <w:t>4.技术规格</w:t>
      </w:r>
    </w:p>
    <w:p w14:paraId="49171D23">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4.1乙方提供的货物的内容、功能结构等应与其投标文件中的相关内容及技术资料等相关内容一致。</w:t>
      </w:r>
    </w:p>
    <w:p w14:paraId="16C59B30">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4.2 当所供货物、价格、服务等与标书不一致时, 乙方应提出书面申请,经甲方批准后方可执行。</w:t>
      </w:r>
    </w:p>
    <w:p w14:paraId="35DF4CB7">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4.3 乙方承诺投标文件中有关技术资料的正偏离参数具有向下指标的兼容性。</w:t>
      </w:r>
    </w:p>
    <w:p w14:paraId="528EDEDF">
      <w:pPr>
        <w:spacing w:line="360" w:lineRule="auto"/>
        <w:rPr>
          <w:rFonts w:ascii="仿宋_GB2312" w:hAnsi="Arial" w:eastAsia="仿宋_GB2312"/>
          <w:sz w:val="24"/>
        </w:rPr>
      </w:pPr>
      <w:r>
        <w:rPr>
          <w:rFonts w:hint="eastAsia" w:ascii="仿宋_GB2312" w:hAnsi="Arial" w:eastAsia="仿宋_GB2312"/>
          <w:sz w:val="24"/>
        </w:rPr>
        <w:t>5．权利与义务</w:t>
      </w:r>
    </w:p>
    <w:p w14:paraId="4E08FB69">
      <w:pPr>
        <w:spacing w:line="360" w:lineRule="auto"/>
        <w:ind w:left="753" w:leftChars="130" w:hanging="480" w:hangingChars="200"/>
        <w:rPr>
          <w:rFonts w:ascii="仿宋_GB2312" w:hAnsi="Arial" w:eastAsia="仿宋_GB2312"/>
          <w:sz w:val="24"/>
        </w:rPr>
      </w:pPr>
      <w:r>
        <w:rPr>
          <w:rFonts w:hint="eastAsia" w:ascii="仿宋_GB2312" w:hAnsi="Arial" w:eastAsia="仿宋_GB2312"/>
          <w:sz w:val="24"/>
        </w:rPr>
        <w:t>5.1乙方应保证对其提供的购置类货物拥有合法的所有权。若乙方所提供货物包含任何知识产权，乙方应保证不侵犯任何第三方的知识产权。对乙方所交货物引起的任何所有权、知识产权纠纷，乙方负全责并以自己的费用解决，同时乙方要赔偿甲方因此而遭受的经济损失（包括但不限于法院诉讼的费用、律师费、损害赔偿费、罚款等）。</w:t>
      </w:r>
    </w:p>
    <w:p w14:paraId="49A1C249">
      <w:pPr>
        <w:spacing w:line="360" w:lineRule="auto"/>
        <w:ind w:firstLine="240" w:firstLineChars="100"/>
        <w:rPr>
          <w:rFonts w:ascii="仿宋_GB2312" w:hAnsi="Arial" w:eastAsia="仿宋_GB2312"/>
          <w:sz w:val="24"/>
        </w:rPr>
      </w:pPr>
      <w:r>
        <w:rPr>
          <w:rFonts w:hint="eastAsia" w:ascii="仿宋_GB2312" w:hAnsi="Arial" w:eastAsia="仿宋_GB2312"/>
          <w:sz w:val="24"/>
        </w:rPr>
        <w:t>5.2乙方保证在购置类货物内容上不存在其他任何第三人的担保物权。</w:t>
      </w:r>
    </w:p>
    <w:p w14:paraId="5DA74DDF">
      <w:pPr>
        <w:spacing w:line="360" w:lineRule="auto"/>
        <w:ind w:left="599" w:leftChars="114" w:hanging="360" w:hangingChars="150"/>
        <w:rPr>
          <w:rFonts w:ascii="仿宋_GB2312" w:hAnsi="Arial" w:eastAsia="仿宋_GB2312"/>
          <w:sz w:val="24"/>
        </w:rPr>
      </w:pPr>
      <w:r>
        <w:rPr>
          <w:rFonts w:hint="eastAsia" w:ascii="仿宋_GB2312" w:hAnsi="Arial" w:eastAsia="仿宋_GB2312"/>
          <w:sz w:val="24"/>
        </w:rPr>
        <w:t>5.3乙方保证不侵犯任何第三人的姓名权、名称权、肖像权、荣誉权等人身权。</w:t>
      </w:r>
    </w:p>
    <w:p w14:paraId="76635EAB">
      <w:pPr>
        <w:spacing w:line="360" w:lineRule="auto"/>
        <w:ind w:left="690" w:leftChars="100" w:hanging="480" w:hangingChars="200"/>
        <w:rPr>
          <w:rFonts w:ascii="仿宋_GB2312" w:hAnsi="Arial" w:eastAsia="仿宋_GB2312"/>
          <w:sz w:val="24"/>
        </w:rPr>
      </w:pPr>
      <w:r>
        <w:rPr>
          <w:rFonts w:hint="eastAsia" w:ascii="仿宋_GB2312" w:hAnsi="Arial" w:eastAsia="仿宋_GB2312"/>
          <w:sz w:val="24"/>
        </w:rPr>
        <w:t>5.4如前款所述的诉讼或其他法律程序导致甲方无法正常使用货物的，乙方应赔偿甲方因此而受到的损失。乙方应当：</w:t>
      </w:r>
    </w:p>
    <w:p w14:paraId="5D33AD39">
      <w:pPr>
        <w:spacing w:line="360" w:lineRule="auto"/>
        <w:ind w:firstLine="540" w:firstLineChars="225"/>
        <w:rPr>
          <w:rFonts w:ascii="仿宋_GB2312" w:hAnsi="Arial" w:eastAsia="仿宋_GB2312"/>
          <w:sz w:val="24"/>
        </w:rPr>
      </w:pPr>
      <w:r>
        <w:rPr>
          <w:rFonts w:hint="eastAsia" w:ascii="仿宋_GB2312" w:hAnsi="Arial" w:eastAsia="仿宋_GB2312"/>
          <w:sz w:val="24"/>
        </w:rPr>
        <w:t>（1）自付费用向销售人取得使用货物的许可，确保甲方合同目的的实现。</w:t>
      </w:r>
    </w:p>
    <w:p w14:paraId="22893B27">
      <w:pPr>
        <w:spacing w:line="360" w:lineRule="auto"/>
        <w:ind w:firstLine="540" w:firstLineChars="225"/>
        <w:rPr>
          <w:rFonts w:ascii="仿宋_GB2312" w:hAnsi="Arial" w:eastAsia="仿宋_GB2312"/>
          <w:sz w:val="24"/>
        </w:rPr>
      </w:pPr>
      <w:r>
        <w:rPr>
          <w:rFonts w:hint="eastAsia" w:ascii="仿宋_GB2312" w:hAnsi="Arial" w:eastAsia="仿宋_GB2312"/>
          <w:sz w:val="24"/>
        </w:rPr>
        <w:t>（2）自负风险及费用将货物运回并退回甲方已支付的全部货款和损失。</w:t>
      </w:r>
    </w:p>
    <w:p w14:paraId="05AEF9AC">
      <w:pPr>
        <w:spacing w:line="360" w:lineRule="auto"/>
        <w:ind w:left="690" w:leftChars="100" w:hanging="480" w:hangingChars="200"/>
        <w:rPr>
          <w:rFonts w:ascii="仿宋_GB2312" w:hAnsi="Arial" w:eastAsia="仿宋_GB2312"/>
        </w:rPr>
      </w:pPr>
      <w:r>
        <w:rPr>
          <w:rFonts w:ascii="仿宋_GB2312" w:hAnsi="Arial" w:eastAsia="仿宋_GB2312"/>
          <w:sz w:val="24"/>
        </w:rPr>
        <w:t>5</w:t>
      </w:r>
      <w:r>
        <w:rPr>
          <w:rFonts w:hint="eastAsia" w:ascii="仿宋_GB2312" w:hAnsi="Arial" w:eastAsia="仿宋_GB2312"/>
          <w:sz w:val="24"/>
        </w:rPr>
        <w:t>.</w:t>
      </w:r>
      <w:r>
        <w:rPr>
          <w:rFonts w:ascii="仿宋_GB2312" w:hAnsi="Arial" w:eastAsia="仿宋_GB2312"/>
          <w:sz w:val="24"/>
        </w:rPr>
        <w:t>5</w:t>
      </w:r>
      <w:r>
        <w:rPr>
          <w:rFonts w:hint="eastAsia" w:ascii="仿宋_GB2312" w:hAnsi="Arial" w:eastAsia="仿宋_GB2312"/>
          <w:sz w:val="24"/>
        </w:rPr>
        <w:t>乙方保证为甲方搬移时所用运输车辆和工具适合货物的安全运输和装卸的要求，乙方有义务适当和谨慎地拆卸、装载、搬运、配载、运输、保管、照料、卸载、安装甲方的教学物品和设备。</w:t>
      </w:r>
    </w:p>
    <w:p w14:paraId="24ACFF4C">
      <w:pPr>
        <w:pStyle w:val="8"/>
        <w:ind w:firstLine="240"/>
        <w:rPr>
          <w:rFonts w:hint="eastAsia"/>
        </w:rPr>
      </w:pPr>
    </w:p>
    <w:p w14:paraId="1BCAC8D9">
      <w:pPr>
        <w:spacing w:line="360" w:lineRule="auto"/>
        <w:ind w:left="480" w:hanging="480" w:hangingChars="200"/>
        <w:rPr>
          <w:rFonts w:ascii="仿宋_GB2312" w:hAnsi="Arial" w:eastAsia="仿宋_GB2312"/>
          <w:sz w:val="24"/>
        </w:rPr>
      </w:pPr>
      <w:r>
        <w:rPr>
          <w:rFonts w:hint="eastAsia" w:ascii="仿宋_GB2312" w:hAnsi="Arial" w:eastAsia="仿宋_GB2312"/>
          <w:sz w:val="24"/>
        </w:rPr>
        <w:t>6．供货时间及包装要求</w:t>
      </w:r>
    </w:p>
    <w:p w14:paraId="4D87F630">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6.1购置类货物供货时间自合同签订之日起不超过</w:t>
      </w:r>
      <w:commentRangeStart w:id="1"/>
      <w:r>
        <w:rPr>
          <w:rFonts w:hint="eastAsia" w:ascii="仿宋_GB2312" w:hAnsi="Arial" w:eastAsia="仿宋_GB2312"/>
          <w:sz w:val="24"/>
          <w:u w:val="single"/>
        </w:rPr>
        <w:t xml:space="preserve">  </w:t>
      </w:r>
      <w:r>
        <w:rPr>
          <w:rFonts w:hint="eastAsia" w:ascii="仿宋_GB2312" w:hAnsi="Arial" w:eastAsia="仿宋_GB2312"/>
          <w:sz w:val="24"/>
          <w:u w:val="single"/>
          <w:lang w:val="en-US" w:eastAsia="zh-CN"/>
        </w:rPr>
        <w:t>30</w:t>
      </w:r>
      <w:r>
        <w:rPr>
          <w:rFonts w:ascii="仿宋_GB2312" w:hAnsi="Arial" w:eastAsia="仿宋_GB2312"/>
          <w:sz w:val="24"/>
          <w:u w:val="single"/>
        </w:rPr>
        <w:t xml:space="preserve"> </w:t>
      </w:r>
      <w:r>
        <w:rPr>
          <w:rFonts w:hint="eastAsia" w:ascii="仿宋_GB2312" w:hAnsi="Arial" w:eastAsia="仿宋_GB2312"/>
          <w:sz w:val="24"/>
          <w:u w:val="single"/>
        </w:rPr>
        <w:t xml:space="preserve">  </w:t>
      </w:r>
      <w:r>
        <w:rPr>
          <w:rFonts w:hint="eastAsia" w:ascii="仿宋_GB2312" w:hAnsi="Arial" w:eastAsia="仿宋_GB2312"/>
          <w:sz w:val="24"/>
        </w:rPr>
        <w:t>个日历日</w:t>
      </w:r>
      <w:commentRangeEnd w:id="1"/>
      <w:r>
        <w:commentReference w:id="1"/>
      </w:r>
      <w:r>
        <w:rPr>
          <w:rFonts w:hint="eastAsia" w:ascii="仿宋_GB2312" w:hAnsi="Arial" w:eastAsia="仿宋_GB2312"/>
          <w:sz w:val="24"/>
        </w:rPr>
        <w:t>。乙方应在供货时间内将本批全部购置货物运抵甲方指定地点并完成安装调试投入使用。</w:t>
      </w:r>
    </w:p>
    <w:p w14:paraId="73FC629B">
      <w:pPr>
        <w:spacing w:line="360" w:lineRule="auto"/>
        <w:ind w:left="720"/>
        <w:rPr>
          <w:rFonts w:ascii="仿宋_GB2312" w:hAnsi="Arial" w:eastAsia="仿宋_GB2312"/>
          <w:sz w:val="24"/>
        </w:rPr>
      </w:pPr>
      <w:r>
        <w:rPr>
          <w:rFonts w:hint="eastAsia" w:ascii="仿宋_GB2312" w:hAnsi="Arial" w:eastAsia="仿宋_GB2312"/>
          <w:sz w:val="24"/>
        </w:rPr>
        <w:t>对于搬移类货物，乙方应在甲方指定时间内将搬移至指定地点，并安装调试完毕（详见招标文件之采购需求）。</w:t>
      </w:r>
    </w:p>
    <w:p w14:paraId="345FC5FA">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6.2乙方提供的全部货物均应采用标准保护措施进行包装，这类包装应适应于远距离运输、防潮、防震、防锈和防野蛮装卸等要求，确保货物安全无损运抵现场。由于包装、运输、安装、调试等不善所引起的货物损坏和损失均由乙方承担。</w:t>
      </w:r>
    </w:p>
    <w:p w14:paraId="593AD06D">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6.3 每件包装箱内应附一份详细装箱单、使用说明书、质量合格证等相关资料。</w:t>
      </w:r>
    </w:p>
    <w:p w14:paraId="405ABFD0">
      <w:pPr>
        <w:spacing w:line="360" w:lineRule="auto"/>
        <w:rPr>
          <w:rFonts w:ascii="仿宋_GB2312" w:hAnsi="Arial" w:eastAsia="仿宋_GB2312"/>
          <w:sz w:val="24"/>
        </w:rPr>
      </w:pPr>
      <w:r>
        <w:rPr>
          <w:rFonts w:hint="eastAsia" w:ascii="仿宋_GB2312" w:hAnsi="Arial" w:eastAsia="仿宋_GB2312"/>
          <w:sz w:val="24"/>
        </w:rPr>
        <w:t>7．装运、交付及安全</w:t>
      </w:r>
    </w:p>
    <w:p w14:paraId="747D5CB6">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7.1乙方负责安排运输工具,运输过程中涉及的全部费用、风险均由乙方承担。</w:t>
      </w:r>
    </w:p>
    <w:p w14:paraId="085A9D45">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7.2乙方将全部货物运抵甲方指定地点并完成安装调试工作并经甲方验收通过后，乙方完成交付。</w:t>
      </w:r>
    </w:p>
    <w:p w14:paraId="175009F4">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w:t>
      </w:r>
      <w:r>
        <w:rPr>
          <w:rFonts w:ascii="仿宋_GB2312" w:hAnsi="Arial" w:eastAsia="仿宋_GB2312"/>
          <w:sz w:val="24"/>
        </w:rPr>
        <w:t xml:space="preserve"> 7.3</w:t>
      </w:r>
      <w:r>
        <w:rPr>
          <w:rFonts w:hint="eastAsia" w:ascii="仿宋_GB2312" w:hAnsi="Arial" w:eastAsia="仿宋_GB2312"/>
          <w:sz w:val="24"/>
        </w:rPr>
        <w:t>货物验收通过前的毁损、灭失的风险由乙方承担。</w:t>
      </w:r>
    </w:p>
    <w:p w14:paraId="749A9DB8">
      <w:pPr>
        <w:spacing w:line="360" w:lineRule="auto"/>
        <w:ind w:left="690" w:leftChars="100" w:hanging="480" w:hangingChars="200"/>
        <w:rPr>
          <w:rFonts w:ascii="仿宋_GB2312" w:hAnsi="Arial" w:eastAsia="仿宋_GB2312"/>
          <w:sz w:val="24"/>
        </w:rPr>
      </w:pPr>
      <w:r>
        <w:rPr>
          <w:rFonts w:hint="eastAsia" w:ascii="仿宋_GB2312" w:hAnsi="Arial" w:eastAsia="仿宋_GB2312"/>
          <w:sz w:val="24"/>
        </w:rPr>
        <w:t>7</w:t>
      </w:r>
      <w:r>
        <w:rPr>
          <w:rFonts w:ascii="仿宋_GB2312" w:hAnsi="Arial" w:eastAsia="仿宋_GB2312"/>
          <w:sz w:val="24"/>
        </w:rPr>
        <w:t>.4</w:t>
      </w:r>
      <w:r>
        <w:rPr>
          <w:rFonts w:hint="eastAsia" w:ascii="仿宋_GB2312" w:hAnsi="Arial" w:eastAsia="仿宋_GB2312"/>
          <w:sz w:val="24"/>
        </w:rPr>
        <w:t>乙方应保证设备安装、搬移过程中的安全措施及对施工、搬移人员的保险、规范施工，出现任何一方或第三方安全事故的，由乙方承担全部责任。</w:t>
      </w:r>
    </w:p>
    <w:p w14:paraId="6AA19201">
      <w:pPr>
        <w:spacing w:line="360" w:lineRule="auto"/>
        <w:rPr>
          <w:rFonts w:ascii="仿宋_GB2312" w:hAnsi="Arial" w:eastAsia="仿宋_GB2312"/>
          <w:sz w:val="24"/>
        </w:rPr>
      </w:pPr>
      <w:r>
        <w:rPr>
          <w:rFonts w:hint="eastAsia" w:ascii="仿宋_GB2312" w:hAnsi="Arial" w:eastAsia="仿宋_GB2312"/>
          <w:sz w:val="24"/>
        </w:rPr>
        <w:t>8．支付</w:t>
      </w:r>
    </w:p>
    <w:p w14:paraId="536B1B6F">
      <w:pPr>
        <w:spacing w:line="360" w:lineRule="auto"/>
        <w:ind w:firstLine="240" w:firstLineChars="100"/>
        <w:rPr>
          <w:rFonts w:ascii="仿宋_GB2312" w:hAnsi="Arial" w:eastAsia="仿宋_GB2312"/>
          <w:sz w:val="24"/>
        </w:rPr>
      </w:pPr>
      <w:commentRangeStart w:id="2"/>
      <w:r>
        <w:rPr>
          <w:rFonts w:hint="eastAsia" w:ascii="仿宋_GB2312" w:hAnsi="Arial" w:eastAsia="仿宋_GB2312"/>
          <w:sz w:val="24"/>
        </w:rPr>
        <w:t>8.1乙方应按照双方签订的合同规定时间交货。</w:t>
      </w:r>
      <w:commentRangeEnd w:id="2"/>
      <w:r>
        <w:commentReference w:id="2"/>
      </w:r>
    </w:p>
    <w:p w14:paraId="4F0860D1">
      <w:pPr>
        <w:spacing w:line="360" w:lineRule="auto"/>
        <w:ind w:firstLine="240" w:firstLineChars="100"/>
        <w:rPr>
          <w:rFonts w:ascii="仿宋_GB2312" w:hAnsi="Arial" w:eastAsia="仿宋_GB2312"/>
          <w:sz w:val="24"/>
        </w:rPr>
      </w:pPr>
      <w:r>
        <w:rPr>
          <w:rFonts w:hint="eastAsia" w:ascii="仿宋_GB2312" w:hAnsi="Arial" w:eastAsia="仿宋_GB2312"/>
          <w:sz w:val="24"/>
        </w:rPr>
        <w:t>1、合同价款以人民币结算，根据财政资金安排和使用要求，以分期付款方式进行支付。</w:t>
      </w:r>
    </w:p>
    <w:p w14:paraId="0F77168F">
      <w:pPr>
        <w:spacing w:line="360" w:lineRule="auto"/>
        <w:ind w:firstLine="240" w:firstLineChars="100"/>
        <w:rPr>
          <w:rFonts w:ascii="仿宋_GB2312" w:hAnsi="Arial" w:eastAsia="仿宋_GB2312"/>
          <w:sz w:val="24"/>
        </w:rPr>
      </w:pPr>
      <w:r>
        <w:rPr>
          <w:rFonts w:hint="eastAsia" w:ascii="仿宋_GB2312" w:hAnsi="Arial" w:eastAsia="仿宋_GB2312"/>
          <w:sz w:val="24"/>
        </w:rPr>
        <w:t>2、本合同生效</w:t>
      </w:r>
      <w:r>
        <w:rPr>
          <w:rFonts w:hint="eastAsia" w:ascii="仿宋_GB2312" w:hAnsi="Arial" w:eastAsia="仿宋_GB2312"/>
          <w:sz w:val="24"/>
          <w:lang w:val="en-US" w:eastAsia="zh-CN"/>
        </w:rPr>
        <w:t>且</w:t>
      </w:r>
      <w:r>
        <w:rPr>
          <w:rFonts w:hint="eastAsia" w:ascii="仿宋_GB2312" w:hAnsi="Arial" w:eastAsia="仿宋_GB2312"/>
          <w:sz w:val="24"/>
        </w:rPr>
        <w:t>甲</w:t>
      </w:r>
      <w:r>
        <w:rPr>
          <w:rFonts w:hint="eastAsia" w:ascii="仿宋_GB2312" w:hAnsi="Arial" w:eastAsia="仿宋_GB2312"/>
          <w:sz w:val="24"/>
          <w:lang w:val="en-US" w:eastAsia="zh-CN"/>
        </w:rPr>
        <w:t>方足额收到财政资金后，</w:t>
      </w:r>
      <w:r>
        <w:rPr>
          <w:rFonts w:hint="eastAsia" w:ascii="仿宋_GB2312" w:hAnsi="Arial" w:eastAsia="仿宋_GB2312"/>
          <w:sz w:val="24"/>
        </w:rPr>
        <w:t>甲方按支付流程向乙方支付项目首付款，即本合同总价的</w:t>
      </w:r>
      <w:r>
        <w:rPr>
          <w:rFonts w:hint="eastAsia" w:ascii="仿宋_GB2312" w:hAnsi="Arial" w:eastAsia="仿宋_GB2312"/>
          <w:sz w:val="24"/>
          <w:u w:val="single"/>
        </w:rPr>
        <w:t>50</w:t>
      </w:r>
      <w:r>
        <w:rPr>
          <w:rFonts w:hint="eastAsia" w:ascii="仿宋_GB2312" w:hAnsi="Arial" w:eastAsia="仿宋_GB2312"/>
          <w:sz w:val="24"/>
        </w:rPr>
        <w:t xml:space="preserve">%。甲方付款前，乙方应提前提供相应等额的正式发票。 </w:t>
      </w:r>
    </w:p>
    <w:p w14:paraId="66A91D40">
      <w:pPr>
        <w:spacing w:line="360" w:lineRule="auto"/>
        <w:ind w:firstLine="240" w:firstLineChars="100"/>
        <w:rPr>
          <w:rFonts w:ascii="仿宋_GB2312" w:hAnsi="Arial" w:eastAsia="仿宋_GB2312"/>
          <w:sz w:val="24"/>
        </w:rPr>
      </w:pPr>
      <w:r>
        <w:rPr>
          <w:rFonts w:hint="eastAsia" w:ascii="仿宋_GB2312" w:hAnsi="Arial" w:eastAsia="仿宋_GB2312"/>
          <w:sz w:val="24"/>
        </w:rPr>
        <w:t>3、设备安装调试且设备搬移完毕，经甲方或其指定的第三方验收合格后，甲方向乙方支付项目的第二笔款，为合同总价的</w:t>
      </w:r>
      <w:r>
        <w:rPr>
          <w:rFonts w:hint="eastAsia" w:ascii="仿宋_GB2312" w:hAnsi="Arial" w:eastAsia="仿宋_GB2312"/>
          <w:sz w:val="24"/>
          <w:u w:val="single"/>
        </w:rPr>
        <w:t>30</w:t>
      </w:r>
      <w:r>
        <w:rPr>
          <w:rFonts w:hint="eastAsia" w:ascii="仿宋_GB2312" w:hAnsi="Arial" w:eastAsia="仿宋_GB2312"/>
          <w:sz w:val="24"/>
        </w:rPr>
        <w:t>%，甲方付款前，乙方应提前提供相应等额的正式发票。</w:t>
      </w:r>
    </w:p>
    <w:p w14:paraId="00D40E06">
      <w:pPr>
        <w:spacing w:line="360" w:lineRule="auto"/>
        <w:ind w:firstLine="240" w:firstLineChars="100"/>
        <w:rPr>
          <w:rFonts w:ascii="仿宋_GB2312" w:hAnsi="Arial" w:eastAsia="仿宋_GB2312"/>
          <w:sz w:val="24"/>
        </w:rPr>
      </w:pPr>
      <w:r>
        <w:rPr>
          <w:rFonts w:hint="eastAsia" w:ascii="仿宋_GB2312" w:hAnsi="Arial" w:eastAsia="仿宋_GB2312"/>
          <w:sz w:val="24"/>
        </w:rPr>
        <w:t>4、后续尾款支付以采购人实际收到上级财政拨款金额和时间为准。中标人应对此有充分的知晓与理解，采购人免除因拨款额度及时间造成的责任。鉴于本项目的资金属于财政资金，具体付款将按北京市海淀区财政局的有关规定及相关资金的实际到账金额和时间进行办理。</w:t>
      </w:r>
    </w:p>
    <w:p w14:paraId="622AB3A0">
      <w:pPr>
        <w:spacing w:line="360" w:lineRule="auto"/>
        <w:ind w:firstLine="240" w:firstLineChars="100"/>
        <w:rPr>
          <w:rFonts w:ascii="仿宋_GB2312" w:hAnsi="Arial" w:eastAsia="仿宋_GB2312"/>
          <w:sz w:val="24"/>
        </w:rPr>
      </w:pPr>
      <w:r>
        <w:rPr>
          <w:rFonts w:hint="eastAsia" w:ascii="仿宋_GB2312" w:hAnsi="Arial" w:eastAsia="仿宋_GB2312"/>
          <w:sz w:val="24"/>
        </w:rPr>
        <w:t>8</w:t>
      </w:r>
      <w:r>
        <w:rPr>
          <w:rFonts w:ascii="仿宋_GB2312" w:hAnsi="Arial" w:eastAsia="仿宋_GB2312"/>
          <w:sz w:val="24"/>
        </w:rPr>
        <w:t>.2</w:t>
      </w:r>
      <w:r>
        <w:rPr>
          <w:rFonts w:hint="eastAsia" w:ascii="仿宋_GB2312" w:hAnsi="Arial" w:eastAsia="仿宋_GB2312"/>
          <w:sz w:val="24"/>
        </w:rPr>
        <w:t>乙方应在甲方每次付款前向甲方出具与合同金额等额的正规发票。否则甲方有权延迟或拒绝付款，且不承担违约责任。</w:t>
      </w:r>
    </w:p>
    <w:p w14:paraId="1B39EADA">
      <w:pPr>
        <w:spacing w:line="360" w:lineRule="auto"/>
        <w:ind w:left="720" w:hanging="720" w:hangingChars="300"/>
        <w:rPr>
          <w:rFonts w:ascii="仿宋_GB2312" w:hAnsi="Arial" w:eastAsia="仿宋_GB2312"/>
          <w:sz w:val="24"/>
        </w:rPr>
      </w:pPr>
      <w:r>
        <w:rPr>
          <w:rFonts w:hint="eastAsia" w:ascii="仿宋_GB2312" w:hAnsi="Arial" w:eastAsia="仿宋_GB2312"/>
          <w:sz w:val="24"/>
        </w:rPr>
        <w:t>9．技术资料</w:t>
      </w:r>
    </w:p>
    <w:p w14:paraId="17F37774">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9.1 合同内容完成时，乙方应将货物的完整技术资料和售后货物承诺书等材料交给甲方指定单位，技术资料和售后货物承诺书应该与投标文件相一致。以上材料构成乙方是否正确履行合同的依据之一。</w:t>
      </w:r>
    </w:p>
    <w:p w14:paraId="723A50D7">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9.2 甲方因使用需要，有翻译成其它文字和复印的权利。</w:t>
      </w:r>
    </w:p>
    <w:p w14:paraId="423C2EAF">
      <w:pPr>
        <w:spacing w:line="360" w:lineRule="auto"/>
        <w:ind w:left="720" w:hanging="720" w:hangingChars="300"/>
        <w:rPr>
          <w:rFonts w:ascii="仿宋_GB2312" w:hAnsi="Arial" w:eastAsia="仿宋_GB2312"/>
          <w:sz w:val="24"/>
        </w:rPr>
      </w:pPr>
      <w:r>
        <w:rPr>
          <w:rFonts w:hint="eastAsia" w:ascii="仿宋_GB2312" w:hAnsi="Arial" w:eastAsia="仿宋_GB2312"/>
          <w:sz w:val="24"/>
        </w:rPr>
        <w:t>10．质量保证</w:t>
      </w:r>
    </w:p>
    <w:p w14:paraId="19D7BCAE">
      <w:pPr>
        <w:spacing w:line="360" w:lineRule="auto"/>
        <w:ind w:left="840" w:hanging="840" w:hangingChars="350"/>
        <w:rPr>
          <w:rFonts w:ascii="仿宋_GB2312" w:hAnsi="Arial" w:eastAsia="仿宋_GB2312"/>
          <w:sz w:val="24"/>
        </w:rPr>
      </w:pPr>
      <w:r>
        <w:rPr>
          <w:rFonts w:hint="eastAsia" w:ascii="仿宋_GB2312" w:hAnsi="Arial" w:eastAsia="仿宋_GB2312"/>
          <w:sz w:val="24"/>
        </w:rPr>
        <w:t>10.1乙方应保证货物是全新、未使用的合格产品，并完全符合国家、行业标准以及合同规定的质量、规格和性能等要求。乙方应保证所提供的货物经正确安装调试、正常使用和在使用寿命期内应具有满意的性能。在货物最终验收后的质量保证期之内，乙方应对由于设计、工艺或材料的缺陷而产生的任何不足或故障负责，费用由乙方负担。</w:t>
      </w:r>
    </w:p>
    <w:p w14:paraId="046E0F2B">
      <w:pPr>
        <w:spacing w:line="360" w:lineRule="auto"/>
        <w:ind w:left="720" w:hanging="720" w:hangingChars="300"/>
        <w:rPr>
          <w:rFonts w:ascii="仿宋_GB2312" w:hAnsi="Arial" w:eastAsia="仿宋_GB2312"/>
          <w:sz w:val="24"/>
        </w:rPr>
      </w:pPr>
      <w:r>
        <w:rPr>
          <w:rFonts w:hint="eastAsia" w:ascii="仿宋_GB2312" w:hAnsi="Arial" w:eastAsia="仿宋_GB2312"/>
          <w:sz w:val="24"/>
        </w:rPr>
        <w:t>10.2 本合同涉及货物的质量保证以招标文件为准。</w:t>
      </w:r>
    </w:p>
    <w:p w14:paraId="0D48A1B1">
      <w:pPr>
        <w:spacing w:line="360" w:lineRule="auto"/>
        <w:ind w:left="840" w:hanging="840" w:hangingChars="350"/>
        <w:rPr>
          <w:rFonts w:ascii="仿宋_GB2312" w:hAnsi="Arial" w:eastAsia="仿宋_GB2312"/>
          <w:sz w:val="24"/>
        </w:rPr>
      </w:pPr>
      <w:r>
        <w:rPr>
          <w:rFonts w:hint="eastAsia" w:ascii="仿宋_GB2312" w:hAnsi="Arial" w:eastAsia="仿宋_GB2312"/>
          <w:sz w:val="24"/>
        </w:rPr>
        <w:t>10.3 若乙方违反上述担保，货物将被禁止使用，乙方应自负风险和费用并将货物收回，退还甲方已支付的全部货款。</w:t>
      </w:r>
    </w:p>
    <w:p w14:paraId="366FB833">
      <w:pPr>
        <w:spacing w:line="360" w:lineRule="auto"/>
        <w:ind w:left="720" w:hanging="720" w:hangingChars="300"/>
        <w:rPr>
          <w:rFonts w:ascii="仿宋_GB2312" w:hAnsi="Arial" w:eastAsia="仿宋_GB2312"/>
          <w:sz w:val="24"/>
        </w:rPr>
      </w:pPr>
      <w:r>
        <w:rPr>
          <w:rFonts w:hint="eastAsia" w:ascii="仿宋_GB2312" w:hAnsi="Arial" w:eastAsia="仿宋_GB2312"/>
          <w:sz w:val="24"/>
        </w:rPr>
        <w:t>11．保修和售后服务</w:t>
      </w:r>
    </w:p>
    <w:p w14:paraId="76FA5F81">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11.1 质量保证期内设备（包括易损件）出现故障，乙方应按投标文件中承诺的响应时间内免费上门服务并免费更换损坏的部件。</w:t>
      </w:r>
    </w:p>
    <w:p w14:paraId="7E2ED60A">
      <w:pPr>
        <w:spacing w:line="360" w:lineRule="auto"/>
        <w:ind w:left="720" w:hanging="720" w:hangingChars="300"/>
        <w:rPr>
          <w:rFonts w:ascii="仿宋_GB2312" w:hAnsi="Arial" w:eastAsia="仿宋_GB2312"/>
          <w:sz w:val="24"/>
        </w:rPr>
      </w:pPr>
      <w:r>
        <w:rPr>
          <w:rFonts w:hint="eastAsia" w:ascii="仿宋_GB2312" w:hAnsi="Arial" w:eastAsia="仿宋_GB2312"/>
          <w:sz w:val="24"/>
        </w:rPr>
        <w:t xml:space="preserve">  11.</w:t>
      </w:r>
      <w:r>
        <w:rPr>
          <w:rFonts w:ascii="仿宋_GB2312" w:hAnsi="Arial" w:eastAsia="仿宋_GB2312"/>
          <w:sz w:val="24"/>
        </w:rPr>
        <w:t>2</w:t>
      </w:r>
      <w:r>
        <w:rPr>
          <w:rFonts w:hint="eastAsia" w:ascii="仿宋_GB2312" w:hAnsi="Arial" w:eastAsia="仿宋_GB2312"/>
          <w:sz w:val="24"/>
        </w:rPr>
        <w:t xml:space="preserve"> 质量保证期后，维修调试、更换配件等只收取成本费。</w:t>
      </w:r>
    </w:p>
    <w:p w14:paraId="65D63956">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11.</w:t>
      </w:r>
      <w:r>
        <w:rPr>
          <w:rFonts w:ascii="仿宋_GB2312" w:hAnsi="Arial" w:eastAsia="仿宋_GB2312"/>
          <w:sz w:val="24"/>
        </w:rPr>
        <w:t>3</w:t>
      </w:r>
      <w:r>
        <w:rPr>
          <w:rFonts w:hint="eastAsia" w:ascii="仿宋_GB2312" w:hAnsi="Arial" w:eastAsia="仿宋_GB2312"/>
          <w:sz w:val="24"/>
        </w:rPr>
        <w:t xml:space="preserve"> 如果乙方在收到报修通知后在投标文件承诺的时间内没有维修或弥补缺陷,甲方可采取必要的补救措施,但风险和费用将由乙方承担。</w:t>
      </w:r>
    </w:p>
    <w:p w14:paraId="6662943F">
      <w:pPr>
        <w:spacing w:line="360" w:lineRule="auto"/>
        <w:rPr>
          <w:rFonts w:ascii="仿宋_GB2312" w:hAnsi="Arial" w:eastAsia="仿宋_GB2312"/>
          <w:sz w:val="24"/>
        </w:rPr>
      </w:pPr>
      <w:r>
        <w:rPr>
          <w:rFonts w:hint="eastAsia" w:ascii="仿宋_GB2312" w:hAnsi="Arial" w:eastAsia="仿宋_GB2312"/>
          <w:sz w:val="24"/>
        </w:rPr>
        <w:t xml:space="preserve">  11.</w:t>
      </w:r>
      <w:r>
        <w:rPr>
          <w:rFonts w:ascii="仿宋_GB2312" w:hAnsi="Arial" w:eastAsia="仿宋_GB2312"/>
          <w:sz w:val="24"/>
        </w:rPr>
        <w:t>4</w:t>
      </w:r>
      <w:r>
        <w:rPr>
          <w:rFonts w:hint="eastAsia" w:ascii="仿宋_GB2312" w:hAnsi="Arial" w:eastAsia="仿宋_GB2312"/>
          <w:sz w:val="24"/>
        </w:rPr>
        <w:t>设备售出后乙方应用多种方式定期进行回访。</w:t>
      </w:r>
    </w:p>
    <w:p w14:paraId="6EDE2653">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11</w:t>
      </w:r>
      <w:r>
        <w:rPr>
          <w:rFonts w:ascii="仿宋_GB2312" w:hAnsi="Arial" w:eastAsia="仿宋_GB2312"/>
          <w:sz w:val="24"/>
        </w:rPr>
        <w:t>.5</w:t>
      </w:r>
      <w:r>
        <w:rPr>
          <w:rFonts w:hint="eastAsia" w:ascii="仿宋_GB2312" w:hAnsi="Arial" w:eastAsia="仿宋_GB2312"/>
          <w:sz w:val="24"/>
        </w:rPr>
        <w:t>乙方应兑现投标文件中“质量保证和售后服务承诺书”中承诺的其它各项售后服务。</w:t>
      </w:r>
    </w:p>
    <w:p w14:paraId="5B713E81">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w:t>
      </w:r>
      <w:r>
        <w:rPr>
          <w:rFonts w:ascii="仿宋_GB2312" w:hAnsi="Arial" w:eastAsia="仿宋_GB2312"/>
          <w:sz w:val="24"/>
        </w:rPr>
        <w:t xml:space="preserve"> 11.6 </w:t>
      </w:r>
      <w:r>
        <w:rPr>
          <w:rFonts w:hint="eastAsia" w:ascii="仿宋_GB2312" w:hAnsi="Arial" w:eastAsia="仿宋_GB2312"/>
          <w:sz w:val="24"/>
        </w:rPr>
        <w:t>购置类货物质量保证期</w:t>
      </w:r>
      <w:r>
        <w:rPr>
          <w:rFonts w:hint="eastAsia" w:ascii="仿宋_GB2312" w:hAnsi="Arial" w:eastAsia="仿宋_GB2312"/>
          <w:sz w:val="24"/>
          <w:u w:val="single"/>
        </w:rPr>
        <w:t xml:space="preserve"> </w:t>
      </w:r>
      <w:r>
        <w:rPr>
          <w:rFonts w:ascii="仿宋_GB2312" w:hAnsi="Arial" w:eastAsia="仿宋_GB2312"/>
          <w:sz w:val="24"/>
          <w:u w:val="single"/>
        </w:rPr>
        <w:t xml:space="preserve"> </w:t>
      </w:r>
      <w:r>
        <w:rPr>
          <w:rFonts w:hint="eastAsia" w:ascii="仿宋_GB2312" w:hAnsi="Arial" w:eastAsia="仿宋_GB2312"/>
          <w:sz w:val="24"/>
          <w:u w:val="single"/>
          <w:lang w:val="en-US" w:eastAsia="zh-CN"/>
        </w:rPr>
        <w:t>2</w:t>
      </w:r>
      <w:r>
        <w:rPr>
          <w:rFonts w:ascii="仿宋_GB2312" w:hAnsi="Arial" w:eastAsia="仿宋_GB2312"/>
          <w:sz w:val="24"/>
          <w:u w:val="single"/>
        </w:rPr>
        <w:t xml:space="preserve">  </w:t>
      </w:r>
      <w:r>
        <w:rPr>
          <w:rFonts w:hint="eastAsia" w:ascii="仿宋_GB2312" w:hAnsi="Arial" w:eastAsia="仿宋_GB2312"/>
          <w:sz w:val="24"/>
        </w:rPr>
        <w:t>年，自甲方最终验收合格之日起计算。</w:t>
      </w:r>
    </w:p>
    <w:p w14:paraId="2277BA8D">
      <w:pPr>
        <w:spacing w:line="360" w:lineRule="auto"/>
        <w:rPr>
          <w:rFonts w:ascii="仿宋_GB2312" w:hAnsi="Arial" w:eastAsia="仿宋_GB2312"/>
          <w:sz w:val="24"/>
        </w:rPr>
      </w:pPr>
      <w:r>
        <w:rPr>
          <w:rFonts w:hint="eastAsia" w:ascii="仿宋_GB2312" w:hAnsi="Arial" w:eastAsia="仿宋_GB2312"/>
          <w:sz w:val="24"/>
        </w:rPr>
        <w:t>12．验收</w:t>
      </w:r>
    </w:p>
    <w:p w14:paraId="663C64F9">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12.1在交货前乙方应对货物的质量、规格、性能、数量等进行详细而全面的检验。</w:t>
      </w:r>
    </w:p>
    <w:p w14:paraId="35FA95AD">
      <w:pPr>
        <w:spacing w:line="360" w:lineRule="auto"/>
        <w:ind w:left="840" w:hanging="840" w:hangingChars="350"/>
        <w:rPr>
          <w:rFonts w:ascii="仿宋_GB2312" w:hAnsi="Arial" w:eastAsia="仿宋_GB2312"/>
          <w:sz w:val="24"/>
        </w:rPr>
      </w:pPr>
      <w:r>
        <w:rPr>
          <w:rFonts w:hint="eastAsia" w:ascii="仿宋_GB2312" w:hAnsi="Arial" w:eastAsia="仿宋_GB2312"/>
          <w:sz w:val="24"/>
        </w:rPr>
        <w:t>13．索赔</w:t>
      </w:r>
    </w:p>
    <w:p w14:paraId="694CD2EE">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13.1在质量保证期内，如果货物内容等方面与合同不符，或证实货物内容是有缺陷的，包括潜在的缺陷等，甲方以书面形式通知乙方，提出索赔。</w:t>
      </w:r>
    </w:p>
    <w:p w14:paraId="4344E06F">
      <w:pPr>
        <w:spacing w:line="360" w:lineRule="auto"/>
        <w:ind w:left="810" w:leftChars="100" w:hanging="600" w:hangingChars="250"/>
        <w:rPr>
          <w:rFonts w:ascii="仿宋_GB2312" w:hAnsi="Arial" w:eastAsia="仿宋_GB2312"/>
          <w:sz w:val="24"/>
        </w:rPr>
      </w:pPr>
      <w:r>
        <w:rPr>
          <w:rFonts w:hint="eastAsia" w:ascii="仿宋_GB2312" w:hAnsi="Arial" w:eastAsia="仿宋_GB2312"/>
          <w:sz w:val="24"/>
        </w:rPr>
        <w:t>13.2如果乙方对甲方提出的索赔负有责任，乙方应按照甲方同意的方式解决索赔事宜：</w:t>
      </w:r>
    </w:p>
    <w:p w14:paraId="4462D259">
      <w:pPr>
        <w:spacing w:line="360" w:lineRule="auto"/>
        <w:ind w:left="1320" w:hanging="1320" w:hangingChars="550"/>
        <w:rPr>
          <w:rFonts w:ascii="仿宋_GB2312" w:hAnsi="Arial" w:eastAsia="仿宋_GB2312"/>
          <w:sz w:val="24"/>
        </w:rPr>
      </w:pPr>
      <w:r>
        <w:rPr>
          <w:rFonts w:hint="eastAsia" w:ascii="仿宋_GB2312" w:hAnsi="Arial" w:eastAsia="仿宋_GB2312"/>
          <w:sz w:val="24"/>
        </w:rPr>
        <w:t xml:space="preserve">  13.</w:t>
      </w:r>
      <w:r>
        <w:rPr>
          <w:rFonts w:ascii="仿宋_GB2312" w:hAnsi="Arial" w:eastAsia="仿宋_GB2312"/>
          <w:sz w:val="24"/>
        </w:rPr>
        <w:t>2</w:t>
      </w:r>
      <w:r>
        <w:rPr>
          <w:rFonts w:hint="eastAsia" w:ascii="仿宋_GB2312" w:hAnsi="Arial" w:eastAsia="仿宋_GB2312"/>
          <w:sz w:val="24"/>
        </w:rPr>
        <w:t>.1甲方要求乙方按合同规定的同种货币将货款退还给甲方，并承担由此发生的一切损失和费用。</w:t>
      </w:r>
    </w:p>
    <w:p w14:paraId="1E2C79E0">
      <w:pPr>
        <w:spacing w:line="360" w:lineRule="auto"/>
        <w:ind w:left="1440" w:hanging="1440" w:hangingChars="600"/>
        <w:rPr>
          <w:rFonts w:ascii="仿宋_GB2312" w:hAnsi="Arial" w:eastAsia="仿宋_GB2312"/>
          <w:sz w:val="24"/>
        </w:rPr>
      </w:pPr>
      <w:r>
        <w:rPr>
          <w:rFonts w:hint="eastAsia" w:ascii="仿宋_GB2312" w:hAnsi="Arial" w:eastAsia="仿宋_GB2312"/>
          <w:sz w:val="24"/>
        </w:rPr>
        <w:t xml:space="preserve">  13.</w:t>
      </w:r>
      <w:r>
        <w:rPr>
          <w:rFonts w:ascii="仿宋_GB2312" w:hAnsi="Arial" w:eastAsia="仿宋_GB2312"/>
          <w:sz w:val="24"/>
        </w:rPr>
        <w:t>2</w:t>
      </w:r>
      <w:r>
        <w:rPr>
          <w:rFonts w:hint="eastAsia" w:ascii="仿宋_GB2312" w:hAnsi="Arial" w:eastAsia="仿宋_GB2312"/>
          <w:sz w:val="24"/>
        </w:rPr>
        <w:t>.2根据货物低劣程度以及甲方所遭受损失的数额，经甲乙双方商定同意降低合同的价格。</w:t>
      </w:r>
    </w:p>
    <w:p w14:paraId="2B4C3C2D">
      <w:pPr>
        <w:spacing w:line="360" w:lineRule="auto"/>
        <w:ind w:left="1320" w:hanging="1320" w:hangingChars="550"/>
        <w:rPr>
          <w:rFonts w:ascii="仿宋_GB2312" w:hAnsi="Arial" w:eastAsia="仿宋_GB2312"/>
          <w:sz w:val="24"/>
        </w:rPr>
      </w:pPr>
      <w:r>
        <w:rPr>
          <w:rFonts w:hint="eastAsia" w:ascii="仿宋_GB2312" w:hAnsi="Arial" w:eastAsia="仿宋_GB2312"/>
          <w:sz w:val="24"/>
        </w:rPr>
        <w:t xml:space="preserve">  13.</w:t>
      </w:r>
      <w:r>
        <w:rPr>
          <w:rFonts w:ascii="仿宋_GB2312" w:hAnsi="Arial" w:eastAsia="仿宋_GB2312"/>
          <w:sz w:val="24"/>
        </w:rPr>
        <w:t>2</w:t>
      </w:r>
      <w:r>
        <w:rPr>
          <w:rFonts w:hint="eastAsia" w:ascii="仿宋_GB2312" w:hAnsi="Arial" w:eastAsia="仿宋_GB2312"/>
          <w:sz w:val="24"/>
        </w:rPr>
        <w:t>.3用符合规定的货物弥补有缺陷的部分，乙方应承担一切费用和风险并负担甲方所遭受的损失。同时，乙方应按合同条款第10条规定，相应延长货物弥补部分的质量保证期。</w:t>
      </w:r>
    </w:p>
    <w:p w14:paraId="26AD4DDC">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13.</w:t>
      </w:r>
      <w:r>
        <w:rPr>
          <w:rFonts w:ascii="仿宋_GB2312" w:hAnsi="Arial" w:eastAsia="仿宋_GB2312"/>
          <w:sz w:val="24"/>
        </w:rPr>
        <w:t>3</w:t>
      </w:r>
      <w:r>
        <w:rPr>
          <w:rFonts w:hint="eastAsia" w:ascii="仿宋_GB2312" w:hAnsi="Arial" w:eastAsia="仿宋_GB2312"/>
          <w:sz w:val="24"/>
        </w:rPr>
        <w:t xml:space="preserve"> 如果在甲方发出索赔通知后十个日历日内,乙方未作答复，上述索赔应视为已被乙方接受；如乙方未能在甲方提出索赔通知后十个日历日内或甲方同意的更长时间内，按照合同条款第13.2条规定的任何的一种方法解决索赔事宜。</w:t>
      </w:r>
    </w:p>
    <w:p w14:paraId="6190BDA6">
      <w:pPr>
        <w:spacing w:line="360" w:lineRule="auto"/>
        <w:ind w:left="1440" w:hanging="1440" w:hangingChars="600"/>
        <w:rPr>
          <w:rFonts w:ascii="仿宋_GB2312" w:hAnsi="Arial" w:eastAsia="仿宋_GB2312"/>
          <w:sz w:val="24"/>
        </w:rPr>
      </w:pPr>
      <w:r>
        <w:rPr>
          <w:rFonts w:hint="eastAsia" w:ascii="仿宋_GB2312" w:hAnsi="Arial" w:eastAsia="仿宋_GB2312"/>
          <w:sz w:val="24"/>
        </w:rPr>
        <w:t>14．网上公布投标报价</w:t>
      </w:r>
    </w:p>
    <w:p w14:paraId="08C86326">
      <w:pPr>
        <w:spacing w:line="360" w:lineRule="auto"/>
        <w:ind w:left="1440" w:hanging="1440" w:hangingChars="600"/>
        <w:rPr>
          <w:rFonts w:ascii="仿宋_GB2312" w:hAnsi="Arial" w:eastAsia="仿宋_GB2312"/>
          <w:sz w:val="24"/>
        </w:rPr>
      </w:pPr>
      <w:r>
        <w:rPr>
          <w:rFonts w:hint="eastAsia" w:ascii="仿宋_GB2312" w:hAnsi="Arial" w:eastAsia="仿宋_GB2312"/>
          <w:sz w:val="24"/>
        </w:rPr>
        <w:t xml:space="preserve">        乙方无条件同意甲方在海淀区政府采购网上公布其投标报价。</w:t>
      </w:r>
    </w:p>
    <w:p w14:paraId="0A90541E">
      <w:pPr>
        <w:spacing w:line="360" w:lineRule="auto"/>
        <w:ind w:left="1440" w:hanging="1440" w:hangingChars="600"/>
        <w:rPr>
          <w:rFonts w:ascii="仿宋_GB2312" w:hAnsi="Arial" w:eastAsia="仿宋_GB2312"/>
          <w:sz w:val="24"/>
        </w:rPr>
      </w:pPr>
      <w:r>
        <w:rPr>
          <w:rFonts w:hint="eastAsia" w:ascii="仿宋_GB2312" w:hAnsi="Arial" w:eastAsia="仿宋_GB2312"/>
          <w:sz w:val="24"/>
        </w:rPr>
        <w:t>15．争议解决方式</w:t>
      </w:r>
    </w:p>
    <w:p w14:paraId="5DF7B5EC">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15．1甲乙双方通过友好协商，解决在执行合同中所发生的或与本合同有关的一切争端，如从协商开始十个日历日内仍得不到解决，甲乙双方将争端提交北京市海淀区政府采购办公室进行调解。</w:t>
      </w:r>
    </w:p>
    <w:p w14:paraId="030B1354">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15．2如调解不成，双方可以到北京市海淀区人民法院提请诉讼。</w:t>
      </w:r>
    </w:p>
    <w:p w14:paraId="5AF122E7">
      <w:pPr>
        <w:spacing w:line="360" w:lineRule="auto"/>
        <w:rPr>
          <w:rFonts w:ascii="仿宋_GB2312" w:hAnsi="Arial" w:eastAsia="仿宋_GB2312"/>
          <w:sz w:val="24"/>
        </w:rPr>
      </w:pPr>
      <w:r>
        <w:rPr>
          <w:rFonts w:hint="eastAsia" w:ascii="仿宋_GB2312" w:hAnsi="Arial" w:eastAsia="仿宋_GB2312"/>
          <w:sz w:val="24"/>
        </w:rPr>
        <w:t xml:space="preserve">  15．</w:t>
      </w:r>
      <w:r>
        <w:rPr>
          <w:rFonts w:ascii="仿宋_GB2312" w:hAnsi="Arial" w:eastAsia="仿宋_GB2312"/>
          <w:sz w:val="24"/>
        </w:rPr>
        <w:t>3</w:t>
      </w:r>
      <w:r>
        <w:rPr>
          <w:rFonts w:hint="eastAsia" w:ascii="仿宋_GB2312" w:hAnsi="Arial" w:eastAsia="仿宋_GB2312"/>
          <w:sz w:val="24"/>
        </w:rPr>
        <w:t>在诉讼期间，除正在进行诉讼的部分外，本合同其它部分应继续执行。</w:t>
      </w:r>
    </w:p>
    <w:p w14:paraId="6FD4EA42">
      <w:pPr>
        <w:spacing w:line="360" w:lineRule="auto"/>
        <w:rPr>
          <w:rFonts w:ascii="仿宋_GB2312" w:hAnsi="Arial" w:eastAsia="仿宋_GB2312"/>
          <w:sz w:val="24"/>
        </w:rPr>
      </w:pPr>
      <w:r>
        <w:rPr>
          <w:rFonts w:hint="eastAsia" w:ascii="仿宋_GB2312" w:hAnsi="Arial" w:eastAsia="仿宋_GB2312"/>
          <w:sz w:val="24"/>
        </w:rPr>
        <w:t>16．不可抗力</w:t>
      </w:r>
    </w:p>
    <w:p w14:paraId="562BDDDC">
      <w:pPr>
        <w:spacing w:line="360" w:lineRule="auto"/>
        <w:ind w:left="839" w:leftChars="114" w:hanging="600" w:hangingChars="250"/>
        <w:rPr>
          <w:rFonts w:ascii="仿宋_GB2312" w:hAnsi="Arial" w:eastAsia="仿宋_GB2312"/>
          <w:sz w:val="24"/>
        </w:rPr>
      </w:pPr>
      <w:r>
        <w:rPr>
          <w:rFonts w:hint="eastAsia" w:ascii="仿宋_GB2312" w:hAnsi="Arial" w:eastAsia="仿宋_GB2312"/>
          <w:sz w:val="24"/>
        </w:rPr>
        <w:t>16.1</w:t>
      </w:r>
      <w:r>
        <w:rPr>
          <w:rFonts w:hint="eastAsia" w:ascii="仿宋_GB2312" w:hAnsi="Arial" w:eastAsia="仿宋_GB2312"/>
          <w:sz w:val="24"/>
        </w:rPr>
        <w:tab/>
      </w:r>
      <w:r>
        <w:rPr>
          <w:rFonts w:hint="eastAsia" w:ascii="仿宋_GB2312" w:hAnsi="Arial" w:eastAsia="仿宋_GB2312"/>
          <w:sz w:val="24"/>
        </w:rPr>
        <w:t>由于自然灾害、社会因素、政府行为及其他经双方同意的原因，导致本合同不能全部或部分履行，甲乙双方互不承担违约责任，善后事宜由双方协商。</w:t>
      </w:r>
    </w:p>
    <w:p w14:paraId="6BEB32BC">
      <w:pPr>
        <w:spacing w:line="360" w:lineRule="auto"/>
        <w:ind w:left="911" w:leftChars="148" w:hanging="600" w:hangingChars="250"/>
        <w:rPr>
          <w:rFonts w:ascii="仿宋_GB2312" w:hAnsi="Arial" w:eastAsia="仿宋_GB2312"/>
          <w:sz w:val="24"/>
        </w:rPr>
      </w:pPr>
      <w:r>
        <w:rPr>
          <w:rFonts w:hint="eastAsia" w:ascii="仿宋_GB2312" w:hAnsi="Arial" w:eastAsia="仿宋_GB2312"/>
          <w:sz w:val="24"/>
        </w:rPr>
        <w:t>16．2受事故影响的一方应在事故发生后三个工作日内以书面形式通知另一方，并在事故发生后十四个日历日内将有关部门出具的证明文件提交给另一方。</w:t>
      </w:r>
    </w:p>
    <w:p w14:paraId="39065321">
      <w:pPr>
        <w:spacing w:line="360" w:lineRule="auto"/>
        <w:rPr>
          <w:rFonts w:ascii="仿宋_GB2312" w:hAnsi="Arial" w:eastAsia="仿宋_GB2312"/>
          <w:sz w:val="24"/>
        </w:rPr>
      </w:pPr>
      <w:r>
        <w:rPr>
          <w:rFonts w:hint="eastAsia" w:ascii="仿宋_GB2312" w:hAnsi="Arial" w:eastAsia="仿宋_GB2312"/>
          <w:sz w:val="24"/>
        </w:rPr>
        <w:t>17．税费</w:t>
      </w:r>
    </w:p>
    <w:p w14:paraId="42AFE424">
      <w:pPr>
        <w:spacing w:line="360" w:lineRule="auto"/>
        <w:ind w:left="1320" w:hanging="1320" w:hangingChars="550"/>
        <w:rPr>
          <w:rFonts w:ascii="仿宋_GB2312" w:hAnsi="Arial" w:eastAsia="仿宋_GB2312"/>
          <w:sz w:val="24"/>
        </w:rPr>
      </w:pPr>
      <w:r>
        <w:rPr>
          <w:rFonts w:hint="eastAsia" w:ascii="仿宋_GB2312" w:hAnsi="Arial" w:eastAsia="仿宋_GB2312"/>
          <w:sz w:val="24"/>
        </w:rPr>
        <w:t xml:space="preserve">  17．1中国政府根据现行税法对甲方征收的与本合同有关的一切税费均由甲方负担。</w:t>
      </w:r>
    </w:p>
    <w:p w14:paraId="70D01A08">
      <w:pPr>
        <w:spacing w:line="360" w:lineRule="auto"/>
        <w:ind w:left="1320" w:hanging="1320" w:hangingChars="550"/>
        <w:rPr>
          <w:rFonts w:ascii="仿宋_GB2312" w:hAnsi="Arial" w:eastAsia="仿宋_GB2312"/>
          <w:sz w:val="24"/>
        </w:rPr>
      </w:pPr>
      <w:r>
        <w:rPr>
          <w:rFonts w:hint="eastAsia" w:ascii="仿宋_GB2312" w:hAnsi="Arial" w:eastAsia="仿宋_GB2312"/>
          <w:sz w:val="24"/>
        </w:rPr>
        <w:t xml:space="preserve">  17．2中国政府根据现行税法对乙方征收的与本合同有关的一切税费均由乙方负担。</w:t>
      </w:r>
    </w:p>
    <w:p w14:paraId="7A83A6C1">
      <w:pPr>
        <w:spacing w:line="360" w:lineRule="auto"/>
        <w:rPr>
          <w:rFonts w:ascii="仿宋_GB2312" w:hAnsi="Arial" w:eastAsia="仿宋_GB2312"/>
          <w:sz w:val="24"/>
        </w:rPr>
      </w:pPr>
      <w:r>
        <w:rPr>
          <w:rFonts w:hint="eastAsia" w:ascii="仿宋_GB2312" w:hAnsi="Arial" w:eastAsia="仿宋_GB2312"/>
          <w:sz w:val="24"/>
        </w:rPr>
        <w:t>18．合同解除和终止</w:t>
      </w:r>
    </w:p>
    <w:p w14:paraId="27A13213">
      <w:pPr>
        <w:spacing w:line="360" w:lineRule="auto"/>
        <w:rPr>
          <w:rFonts w:ascii="仿宋_GB2312" w:hAnsi="Arial" w:eastAsia="仿宋_GB2312"/>
          <w:sz w:val="24"/>
        </w:rPr>
      </w:pPr>
      <w:r>
        <w:rPr>
          <w:rFonts w:hint="eastAsia" w:ascii="仿宋_GB2312" w:hAnsi="Arial" w:eastAsia="仿宋_GB2312"/>
          <w:sz w:val="24"/>
        </w:rPr>
        <w:t xml:space="preserve">  18.1 合同解除：</w:t>
      </w:r>
    </w:p>
    <w:p w14:paraId="6E0AD565">
      <w:pPr>
        <w:spacing w:line="360" w:lineRule="auto"/>
        <w:ind w:left="1200" w:hanging="1200" w:hangingChars="500"/>
        <w:rPr>
          <w:rFonts w:ascii="仿宋_GB2312" w:hAnsi="Arial" w:eastAsia="仿宋_GB2312"/>
          <w:sz w:val="24"/>
        </w:rPr>
      </w:pPr>
      <w:r>
        <w:rPr>
          <w:rFonts w:hint="eastAsia" w:ascii="仿宋_GB2312" w:hAnsi="Arial" w:eastAsia="仿宋_GB2312"/>
          <w:sz w:val="24"/>
        </w:rPr>
        <w:t xml:space="preserve">    18.1.1在甲方对乙方违约而采取的任何补救措施不受影响的情况下，出现下列情况之一，可向乙方发出书面通知，提出解除合同，并要求收回货物、返款。</w:t>
      </w:r>
    </w:p>
    <w:p w14:paraId="30A9835F">
      <w:pPr>
        <w:spacing w:line="360" w:lineRule="auto"/>
        <w:ind w:firstLine="480" w:firstLineChars="200"/>
        <w:rPr>
          <w:rFonts w:ascii="仿宋_GB2312" w:hAnsi="Arial" w:eastAsia="仿宋_GB2312"/>
          <w:sz w:val="24"/>
        </w:rPr>
      </w:pPr>
      <w:r>
        <w:rPr>
          <w:rFonts w:hint="eastAsia" w:ascii="仿宋_GB2312" w:hAnsi="Arial" w:eastAsia="仿宋_GB2312"/>
          <w:sz w:val="24"/>
        </w:rPr>
        <w:t>18.1.2乙方未能在规定的期限或甲方同意延长的期限内完成货物交付。</w:t>
      </w:r>
    </w:p>
    <w:p w14:paraId="72219AC4">
      <w:pPr>
        <w:spacing w:line="360" w:lineRule="auto"/>
        <w:ind w:firstLine="480" w:firstLineChars="200"/>
        <w:rPr>
          <w:rFonts w:ascii="仿宋_GB2312" w:hAnsi="Arial" w:eastAsia="仿宋_GB2312"/>
          <w:sz w:val="24"/>
        </w:rPr>
      </w:pPr>
      <w:r>
        <w:rPr>
          <w:rFonts w:hint="eastAsia" w:ascii="仿宋_GB2312" w:hAnsi="Arial" w:eastAsia="仿宋_GB2312"/>
          <w:sz w:val="24"/>
        </w:rPr>
        <w:t>18.1.3乙方技术力量弱，或交付的货物达不到合同规定的质量、性能。</w:t>
      </w:r>
    </w:p>
    <w:p w14:paraId="0E3B4771">
      <w:pPr>
        <w:spacing w:line="360" w:lineRule="auto"/>
        <w:ind w:firstLine="480" w:firstLineChars="200"/>
        <w:rPr>
          <w:rFonts w:ascii="仿宋_GB2312" w:hAnsi="Arial" w:eastAsia="仿宋_GB2312"/>
          <w:sz w:val="24"/>
        </w:rPr>
      </w:pPr>
      <w:r>
        <w:rPr>
          <w:rFonts w:hint="eastAsia" w:ascii="仿宋_GB2312" w:hAnsi="Arial" w:eastAsia="仿宋_GB2312"/>
          <w:sz w:val="24"/>
        </w:rPr>
        <w:t>18.1.4乙方其它严重违反合同规定的行为。</w:t>
      </w:r>
    </w:p>
    <w:p w14:paraId="133085CE">
      <w:pPr>
        <w:spacing w:line="360" w:lineRule="auto"/>
        <w:ind w:firstLine="360" w:firstLineChars="150"/>
        <w:rPr>
          <w:rFonts w:ascii="仿宋_GB2312" w:hAnsi="Arial" w:eastAsia="仿宋_GB2312"/>
          <w:sz w:val="24"/>
        </w:rPr>
      </w:pPr>
      <w:r>
        <w:rPr>
          <w:rFonts w:hint="eastAsia" w:ascii="仿宋_GB2312" w:hAnsi="Arial" w:eastAsia="仿宋_GB2312"/>
          <w:sz w:val="24"/>
        </w:rPr>
        <w:t>18.2 提前终止合同：</w:t>
      </w:r>
    </w:p>
    <w:p w14:paraId="4789FBD0">
      <w:pPr>
        <w:spacing w:line="360" w:lineRule="auto"/>
        <w:ind w:left="840" w:leftChars="400" w:firstLine="88" w:firstLineChars="37"/>
        <w:rPr>
          <w:rFonts w:ascii="仿宋_GB2312" w:hAnsi="Arial" w:eastAsia="仿宋_GB2312"/>
          <w:sz w:val="24"/>
        </w:rPr>
      </w:pPr>
      <w:r>
        <w:rPr>
          <w:rFonts w:hint="eastAsia" w:ascii="仿宋_GB2312" w:hAnsi="Arial" w:eastAsia="仿宋_GB2312"/>
          <w:sz w:val="24"/>
        </w:rPr>
        <w:t>如果乙方在合同履行期间破产，甲方可在任何时候以书面形式通知乙方即时终止合同，并保留甲方已经采取或将要采取的补救措施的权利。</w:t>
      </w:r>
    </w:p>
    <w:p w14:paraId="138E3B73">
      <w:pPr>
        <w:spacing w:line="360" w:lineRule="auto"/>
        <w:rPr>
          <w:rFonts w:ascii="仿宋_GB2312" w:hAnsi="Arial" w:eastAsia="仿宋_GB2312"/>
          <w:sz w:val="24"/>
        </w:rPr>
      </w:pPr>
      <w:r>
        <w:rPr>
          <w:rFonts w:hint="eastAsia" w:ascii="仿宋_GB2312" w:hAnsi="Arial" w:eastAsia="仿宋_GB2312"/>
          <w:sz w:val="24"/>
        </w:rPr>
        <w:t xml:space="preserve"> 19．违约责任</w:t>
      </w:r>
    </w:p>
    <w:p w14:paraId="528B58EF">
      <w:pPr>
        <w:spacing w:line="360" w:lineRule="auto"/>
        <w:ind w:left="959" w:leftChars="171" w:hanging="600" w:hangingChars="250"/>
        <w:rPr>
          <w:rFonts w:ascii="仿宋_GB2312" w:hAnsi="Arial" w:eastAsia="仿宋_GB2312"/>
          <w:sz w:val="24"/>
        </w:rPr>
      </w:pPr>
      <w:r>
        <w:rPr>
          <w:rFonts w:hint="eastAsia" w:ascii="仿宋_GB2312" w:hAnsi="Arial" w:eastAsia="仿宋_GB2312"/>
          <w:sz w:val="24"/>
        </w:rPr>
        <w:t>19.1因乙方原因使货物未按合同约定时间内完成交付或未提供服务，每延迟一个日历日，乙方应按合同总价款的</w:t>
      </w:r>
      <w:r>
        <w:rPr>
          <w:rFonts w:ascii="仿宋_GB2312" w:hAnsi="Arial" w:eastAsia="仿宋_GB2312"/>
          <w:sz w:val="24"/>
        </w:rPr>
        <w:t>1</w:t>
      </w:r>
      <w:r>
        <w:rPr>
          <w:rFonts w:hint="eastAsia" w:ascii="仿宋_GB2312" w:hAnsi="Arial" w:eastAsia="仿宋_GB2312"/>
          <w:sz w:val="24"/>
        </w:rPr>
        <w:t>‰向甲方支付违约金。</w:t>
      </w:r>
    </w:p>
    <w:p w14:paraId="46DF9E78">
      <w:pPr>
        <w:spacing w:line="360" w:lineRule="auto"/>
        <w:ind w:left="958" w:leftChars="456"/>
        <w:rPr>
          <w:rFonts w:ascii="仿宋_GB2312" w:hAnsi="Arial" w:eastAsia="仿宋_GB2312"/>
          <w:sz w:val="24"/>
        </w:rPr>
      </w:pPr>
      <w:r>
        <w:rPr>
          <w:rFonts w:hint="eastAsia" w:ascii="仿宋_GB2312" w:hAnsi="Arial" w:eastAsia="仿宋_GB2312"/>
          <w:sz w:val="24"/>
        </w:rPr>
        <w:t>若乙方延迟超过十个日历日，甲方有权解除合同并要求乙方承担合同总金额20%的违约金。全部退还所收费用，且赔偿甲方的经济损失。</w:t>
      </w:r>
    </w:p>
    <w:p w14:paraId="0BCF2CAD">
      <w:pPr>
        <w:spacing w:line="360" w:lineRule="auto"/>
        <w:ind w:left="959" w:leftChars="171" w:hanging="600" w:hangingChars="250"/>
        <w:rPr>
          <w:rFonts w:ascii="仿宋_GB2312" w:hAnsi="Arial" w:eastAsia="仿宋_GB2312"/>
          <w:sz w:val="24"/>
        </w:rPr>
      </w:pPr>
      <w:r>
        <w:rPr>
          <w:rFonts w:hint="eastAsia" w:ascii="仿宋_GB2312" w:hAnsi="Arial" w:eastAsia="仿宋_GB2312"/>
          <w:sz w:val="24"/>
        </w:rPr>
        <w:t>19.2 乙方所提供的购置类货物质量不符合本合同约定标准时，乙方应负责及时更换、维修，甲方有权拒绝付款，并追究乙方违约责任。由此产生交付逾期的，乙方承担违约责任呢。</w:t>
      </w:r>
    </w:p>
    <w:p w14:paraId="25F19C7A">
      <w:pPr>
        <w:spacing w:line="360" w:lineRule="auto"/>
        <w:ind w:left="959" w:leftChars="171" w:hanging="600" w:hangingChars="250"/>
        <w:rPr>
          <w:rFonts w:ascii="仿宋_GB2312" w:hAnsi="Arial" w:eastAsia="仿宋_GB2312"/>
          <w:sz w:val="24"/>
        </w:rPr>
      </w:pPr>
      <w:r>
        <w:rPr>
          <w:rFonts w:hint="eastAsia" w:ascii="仿宋_GB2312" w:hAnsi="Arial" w:eastAsia="仿宋_GB2312"/>
          <w:sz w:val="24"/>
        </w:rPr>
        <w:t>19.3 因购置类货物产品缺陷而产生的退换货或赔偿损失的直接费用及间接损失，如检验费、退换货往返运费、保险费、仓储费及装卸费等，均由乙方承担。</w:t>
      </w:r>
    </w:p>
    <w:p w14:paraId="410CAD91">
      <w:pPr>
        <w:spacing w:line="360" w:lineRule="auto"/>
        <w:ind w:left="959" w:leftChars="171" w:hanging="600" w:hangingChars="250"/>
        <w:rPr>
          <w:rFonts w:ascii="仿宋_GB2312" w:hAnsi="Arial" w:eastAsia="仿宋_GB2312"/>
          <w:sz w:val="24"/>
        </w:rPr>
      </w:pPr>
      <w:r>
        <w:rPr>
          <w:rFonts w:hint="eastAsia" w:ascii="仿宋_GB2312" w:hAnsi="Arial" w:eastAsia="仿宋_GB2312"/>
          <w:sz w:val="24"/>
        </w:rPr>
        <w:t>19.4 因购置类货物产品质量缺陷造成第三方损害而要求甲方赔偿的，甲方有权随时向乙方追索费用，乙方应支付合同总金额</w:t>
      </w:r>
      <w:r>
        <w:rPr>
          <w:rFonts w:ascii="仿宋_GB2312" w:hAnsi="Arial" w:eastAsia="仿宋_GB2312"/>
          <w:sz w:val="24"/>
        </w:rPr>
        <w:t>30</w:t>
      </w:r>
      <w:r>
        <w:rPr>
          <w:rFonts w:hint="eastAsia" w:ascii="仿宋_GB2312" w:hAnsi="Arial" w:eastAsia="仿宋_GB2312"/>
          <w:sz w:val="24"/>
        </w:rPr>
        <w:t>%的违约金。</w:t>
      </w:r>
    </w:p>
    <w:p w14:paraId="1E6B64D3">
      <w:pPr>
        <w:spacing w:line="360" w:lineRule="auto"/>
        <w:ind w:left="959" w:leftChars="171" w:hanging="600" w:hangingChars="250"/>
        <w:rPr>
          <w:rFonts w:ascii="仿宋_GB2312" w:hAnsi="Arial" w:eastAsia="仿宋_GB2312"/>
          <w:sz w:val="24"/>
        </w:rPr>
      </w:pPr>
      <w:r>
        <w:rPr>
          <w:rFonts w:hint="eastAsia" w:ascii="仿宋_GB2312" w:hAnsi="Arial" w:eastAsia="仿宋_GB2312"/>
          <w:sz w:val="24"/>
        </w:rPr>
        <w:t>1</w:t>
      </w:r>
      <w:r>
        <w:rPr>
          <w:rFonts w:ascii="仿宋_GB2312" w:hAnsi="Arial" w:eastAsia="仿宋_GB2312"/>
          <w:sz w:val="24"/>
        </w:rPr>
        <w:t>9.5</w:t>
      </w:r>
      <w:r>
        <w:rPr>
          <w:rFonts w:hint="eastAsia" w:ascii="仿宋_GB2312" w:hAnsi="Arial" w:eastAsia="仿宋_GB2312"/>
          <w:sz w:val="24"/>
        </w:rPr>
        <w:t>在提供搬移服务过程中，因乙方原因而给甲方的设备造成损毁、丢失、短缺的，应向甲方承担被毁损、丢失、或短缺货物的损失，损失应以搬移类货物历史成本或重置成本中二者较高的金额而定。</w:t>
      </w:r>
    </w:p>
    <w:p w14:paraId="1907C1A1">
      <w:pPr>
        <w:tabs>
          <w:tab w:val="left" w:pos="1050"/>
          <w:tab w:val="left" w:pos="1260"/>
        </w:tabs>
        <w:spacing w:line="360" w:lineRule="auto"/>
        <w:ind w:left="839" w:leftChars="171" w:hanging="480" w:hangingChars="200"/>
        <w:rPr>
          <w:rFonts w:ascii="仿宋_GB2312" w:hAnsi="Arial" w:eastAsia="仿宋_GB2312"/>
          <w:sz w:val="24"/>
        </w:rPr>
      </w:pPr>
      <w:r>
        <w:rPr>
          <w:rFonts w:ascii="仿宋_GB2312" w:hAnsi="Arial" w:eastAsia="仿宋_GB2312"/>
          <w:sz w:val="24"/>
        </w:rPr>
        <w:t xml:space="preserve">19.6 </w:t>
      </w:r>
      <w:r>
        <w:rPr>
          <w:rFonts w:hint="eastAsia" w:ascii="仿宋_GB2312" w:hAnsi="Arial" w:eastAsia="仿宋_GB2312"/>
          <w:sz w:val="24"/>
        </w:rPr>
        <w:t>若因乙方交付的成果侵犯第三方知识产权等合法权利而使甲方遭受第三方追索的，则由乙方负责与第三方交涉，因此给甲方造成的损失，乙方应当赔偿。乙方交付的成果被确认为侵犯第三方知识产权等合法权利的的，除上述约定外，甲方有权要求乙方支付本合同总金额</w:t>
      </w:r>
      <w:r>
        <w:rPr>
          <w:rFonts w:ascii="仿宋_GB2312" w:hAnsi="Arial" w:eastAsia="仿宋_GB2312"/>
          <w:sz w:val="24"/>
        </w:rPr>
        <w:t>10%</w:t>
      </w:r>
      <w:r>
        <w:rPr>
          <w:rFonts w:hint="eastAsia" w:ascii="仿宋_GB2312" w:hAnsi="Arial" w:eastAsia="仿宋_GB2312"/>
          <w:sz w:val="24"/>
        </w:rPr>
        <w:t>的违约金且有权单方解除本合同。</w:t>
      </w:r>
    </w:p>
    <w:p w14:paraId="599C0232">
      <w:pPr>
        <w:tabs>
          <w:tab w:val="left" w:pos="1050"/>
          <w:tab w:val="left" w:pos="1260"/>
        </w:tabs>
        <w:spacing w:line="360" w:lineRule="auto"/>
        <w:ind w:left="839" w:leftChars="171" w:hanging="480" w:hangingChars="200"/>
        <w:rPr>
          <w:rFonts w:ascii="仿宋_GB2312" w:hAnsi="Arial" w:eastAsia="仿宋_GB2312"/>
          <w:sz w:val="24"/>
        </w:rPr>
      </w:pPr>
      <w:r>
        <w:rPr>
          <w:rFonts w:hint="eastAsia" w:ascii="仿宋_GB2312" w:hAnsi="Arial" w:eastAsia="仿宋_GB2312"/>
          <w:sz w:val="24"/>
        </w:rPr>
        <w:t>19.</w:t>
      </w:r>
      <w:r>
        <w:rPr>
          <w:rFonts w:ascii="仿宋_GB2312" w:hAnsi="Arial" w:eastAsia="仿宋_GB2312"/>
          <w:sz w:val="24"/>
        </w:rPr>
        <w:t>7</w:t>
      </w:r>
      <w:r>
        <w:rPr>
          <w:rFonts w:hint="eastAsia" w:ascii="仿宋_GB2312" w:hAnsi="Arial" w:eastAsia="仿宋_GB2312"/>
          <w:sz w:val="24"/>
        </w:rPr>
        <w:t xml:space="preserve"> 如乙方出现严重违反合同条款并给甲方带来损失时，甲方可将违约行为上报北京市海淀区政府采购办公室，由北京市海淀区政府采购办公室对违反合同行为做出处理，在政府采购网上公布。</w:t>
      </w:r>
    </w:p>
    <w:p w14:paraId="510D27A8">
      <w:pPr>
        <w:tabs>
          <w:tab w:val="left" w:pos="1050"/>
          <w:tab w:val="left" w:pos="1260"/>
        </w:tabs>
        <w:spacing w:line="360" w:lineRule="auto"/>
        <w:ind w:left="839" w:leftChars="171" w:hanging="480" w:hangingChars="200"/>
        <w:rPr>
          <w:rFonts w:ascii="仿宋_GB2312" w:hAnsi="Arial" w:eastAsia="仿宋_GB2312"/>
          <w:sz w:val="24"/>
        </w:rPr>
      </w:pPr>
      <w:r>
        <w:rPr>
          <w:rFonts w:hint="eastAsia" w:ascii="仿宋_GB2312" w:hAnsi="Arial" w:eastAsia="仿宋_GB2312"/>
          <w:sz w:val="24"/>
        </w:rPr>
        <w:t>19.</w:t>
      </w:r>
      <w:r>
        <w:rPr>
          <w:rFonts w:ascii="仿宋_GB2312" w:hAnsi="Arial" w:eastAsia="仿宋_GB2312"/>
          <w:sz w:val="24"/>
        </w:rPr>
        <w:t>8</w:t>
      </w:r>
      <w:r>
        <w:rPr>
          <w:rFonts w:hint="eastAsia" w:ascii="仿宋_GB2312" w:hAnsi="Arial" w:eastAsia="仿宋_GB2312"/>
          <w:sz w:val="24"/>
        </w:rPr>
        <w:t xml:space="preserve"> 甲乙双方任何一方违约，违约方除应按规定向对方支付违约金外，如因其违约给对方造成其他损失的，违约方还应向对方赔偿因其违约而给对方造成的损失（包括但不限于诉讼费、律师费、公证费、保全费等）。</w:t>
      </w:r>
    </w:p>
    <w:p w14:paraId="00B73CAA">
      <w:pPr>
        <w:tabs>
          <w:tab w:val="left" w:pos="1050"/>
          <w:tab w:val="left" w:pos="1260"/>
        </w:tabs>
        <w:spacing w:line="360" w:lineRule="auto"/>
        <w:ind w:left="839" w:leftChars="171" w:hanging="480" w:hangingChars="200"/>
        <w:rPr>
          <w:rFonts w:ascii="仿宋_GB2312" w:hAnsi="Arial" w:eastAsia="仿宋_GB2312"/>
          <w:sz w:val="24"/>
        </w:rPr>
      </w:pPr>
      <w:r>
        <w:rPr>
          <w:rFonts w:hint="eastAsia" w:ascii="仿宋_GB2312" w:hAnsi="Arial" w:eastAsia="仿宋_GB2312"/>
          <w:sz w:val="24"/>
        </w:rPr>
        <w:t>1</w:t>
      </w:r>
      <w:r>
        <w:rPr>
          <w:rFonts w:ascii="仿宋_GB2312" w:hAnsi="Arial" w:eastAsia="仿宋_GB2312"/>
          <w:sz w:val="24"/>
        </w:rPr>
        <w:t xml:space="preserve">9.9 </w:t>
      </w:r>
      <w:r>
        <w:rPr>
          <w:rFonts w:hint="eastAsia" w:ascii="仿宋_GB2312" w:hAnsi="Arial" w:eastAsia="仿宋_GB2312"/>
          <w:sz w:val="24"/>
        </w:rPr>
        <w:t>乙方违反本合同约定应当支付违约金等的，甲方有权直接从应付款中予以扣除。</w:t>
      </w:r>
    </w:p>
    <w:p w14:paraId="109EF710">
      <w:pPr>
        <w:spacing w:line="360" w:lineRule="auto"/>
        <w:rPr>
          <w:rFonts w:ascii="仿宋_GB2312" w:hAnsi="Arial" w:eastAsia="仿宋_GB2312"/>
          <w:sz w:val="24"/>
        </w:rPr>
      </w:pPr>
      <w:r>
        <w:rPr>
          <w:rFonts w:hint="eastAsia" w:ascii="仿宋_GB2312" w:hAnsi="Arial" w:eastAsia="仿宋_GB2312"/>
          <w:sz w:val="24"/>
        </w:rPr>
        <w:t>20．转委托</w:t>
      </w:r>
    </w:p>
    <w:p w14:paraId="3D78E839">
      <w:pPr>
        <w:spacing w:line="360" w:lineRule="auto"/>
        <w:ind w:left="840" w:hanging="840" w:hangingChars="350"/>
        <w:rPr>
          <w:rFonts w:ascii="仿宋_GB2312" w:hAnsi="Arial" w:eastAsia="仿宋_GB2312"/>
          <w:sz w:val="24"/>
        </w:rPr>
      </w:pPr>
      <w:r>
        <w:rPr>
          <w:rFonts w:hint="eastAsia" w:ascii="仿宋_GB2312" w:hAnsi="Arial" w:eastAsia="仿宋_GB2312"/>
          <w:sz w:val="24"/>
        </w:rPr>
        <w:t xml:space="preserve">       未经甲方事先书面同意，乙方不得部分或全部委托第三方履行合同义务。</w:t>
      </w:r>
    </w:p>
    <w:p w14:paraId="627195A7">
      <w:pPr>
        <w:spacing w:line="360" w:lineRule="auto"/>
        <w:ind w:left="960" w:hanging="960" w:hangingChars="400"/>
        <w:rPr>
          <w:rFonts w:ascii="仿宋_GB2312" w:hAnsi="Arial" w:eastAsia="仿宋_GB2312"/>
          <w:sz w:val="24"/>
        </w:rPr>
      </w:pPr>
      <w:r>
        <w:rPr>
          <w:rFonts w:hint="eastAsia" w:ascii="仿宋_GB2312" w:hAnsi="Arial" w:eastAsia="仿宋_GB2312"/>
          <w:sz w:val="24"/>
        </w:rPr>
        <w:t>21. 质量抽检</w:t>
      </w:r>
    </w:p>
    <w:p w14:paraId="3A872001">
      <w:pPr>
        <w:spacing w:line="360" w:lineRule="auto"/>
        <w:ind w:left="958" w:leftChars="399" w:hanging="120" w:hangingChars="50"/>
        <w:rPr>
          <w:rFonts w:ascii="仿宋_GB2312" w:hAnsi="Arial" w:eastAsia="仿宋_GB2312"/>
          <w:sz w:val="24"/>
        </w:rPr>
      </w:pPr>
      <w:r>
        <w:rPr>
          <w:rFonts w:hint="eastAsia" w:ascii="仿宋_GB2312" w:hAnsi="Arial" w:eastAsia="仿宋_GB2312"/>
          <w:sz w:val="24"/>
        </w:rPr>
        <w:t>甲方有权对乙方所供购置类货物进行随机抽检，检测部门由甲方指定，乙方对此应予以配合。甲方抽检时将随机取样送至其权威机构进行检测，如果已要求提供评标样品，随机抽检将与上述封存的评标样品对照；对于没有要求提供评标样品的，随机抽检结果将与国家、行业、地方标准以及招标文件、投标文件中的标准进行对照，检测所发生的费用由乙方承担。若随机抽检结果不合格，则认定该批次所供货物不合格，乙方承担由此造成的全部责任和损失。</w:t>
      </w:r>
    </w:p>
    <w:p w14:paraId="6CE39543">
      <w:pPr>
        <w:spacing w:line="360" w:lineRule="auto"/>
        <w:ind w:left="960" w:hanging="960" w:hangingChars="400"/>
        <w:rPr>
          <w:rFonts w:ascii="仿宋_GB2312" w:hAnsi="Arial" w:eastAsia="仿宋_GB2312"/>
          <w:sz w:val="24"/>
        </w:rPr>
      </w:pPr>
      <w:r>
        <w:rPr>
          <w:rFonts w:hint="eastAsia" w:ascii="仿宋_GB2312" w:hAnsi="Arial" w:eastAsia="仿宋_GB2312"/>
          <w:sz w:val="24"/>
        </w:rPr>
        <w:t>22. 适用法律</w:t>
      </w:r>
    </w:p>
    <w:p w14:paraId="71E20F71">
      <w:pPr>
        <w:spacing w:line="360" w:lineRule="auto"/>
        <w:rPr>
          <w:rFonts w:ascii="仿宋_GB2312" w:hAnsi="Arial" w:eastAsia="仿宋_GB2312"/>
          <w:sz w:val="24"/>
        </w:rPr>
      </w:pPr>
      <w:r>
        <w:rPr>
          <w:rFonts w:hint="eastAsia" w:ascii="仿宋_GB2312" w:hAnsi="Arial" w:eastAsia="仿宋_GB2312"/>
          <w:sz w:val="24"/>
        </w:rPr>
        <w:t xml:space="preserve">      本合同应按照中华人民共和国的相关法律进行解释。</w:t>
      </w:r>
    </w:p>
    <w:p w14:paraId="087755AB">
      <w:pPr>
        <w:spacing w:line="360" w:lineRule="auto"/>
        <w:rPr>
          <w:rFonts w:ascii="仿宋_GB2312" w:hAnsi="Arial" w:eastAsia="仿宋_GB2312"/>
          <w:sz w:val="24"/>
        </w:rPr>
      </w:pPr>
      <w:r>
        <w:rPr>
          <w:rFonts w:hint="eastAsia" w:ascii="仿宋_GB2312" w:hAnsi="Arial" w:eastAsia="仿宋_GB2312"/>
          <w:sz w:val="24"/>
        </w:rPr>
        <w:t>23．合同生效及其它</w:t>
      </w:r>
    </w:p>
    <w:p w14:paraId="651E3F16">
      <w:pPr>
        <w:spacing w:line="360" w:lineRule="auto"/>
        <w:ind w:left="1080" w:hanging="1080" w:hangingChars="450"/>
        <w:rPr>
          <w:rFonts w:ascii="仿宋_GB2312" w:hAnsi="Arial" w:eastAsia="仿宋_GB2312"/>
          <w:sz w:val="24"/>
        </w:rPr>
      </w:pPr>
      <w:r>
        <w:rPr>
          <w:rFonts w:hint="eastAsia" w:ascii="仿宋_GB2312" w:hAnsi="Arial" w:eastAsia="仿宋_GB2312"/>
          <w:sz w:val="24"/>
        </w:rPr>
        <w:t xml:space="preserve">   23．合同在甲乙双方法定代表人/授权代表签字并盖公章之日生效。</w:t>
      </w:r>
    </w:p>
    <w:p w14:paraId="54671126">
      <w:pPr>
        <w:spacing w:line="360" w:lineRule="auto"/>
        <w:ind w:left="1080" w:hanging="1080" w:hangingChars="450"/>
        <w:rPr>
          <w:rFonts w:ascii="仿宋_GB2312" w:hAnsi="Arial" w:eastAsia="仿宋_GB2312"/>
          <w:sz w:val="24"/>
        </w:rPr>
      </w:pPr>
      <w:r>
        <w:rPr>
          <w:rFonts w:hint="eastAsia" w:ascii="仿宋_GB2312" w:hAnsi="Arial" w:eastAsia="仿宋_GB2312"/>
          <w:sz w:val="24"/>
        </w:rPr>
        <w:t xml:space="preserve">   23．本合同一式六份，以中文书就，甲方执三份，乙方执三份。</w:t>
      </w:r>
    </w:p>
    <w:p w14:paraId="1109B6B3">
      <w:pPr>
        <w:spacing w:line="360" w:lineRule="auto"/>
        <w:ind w:left="1080" w:hanging="1080" w:hangingChars="450"/>
        <w:rPr>
          <w:rFonts w:ascii="仿宋_GB2312" w:hAnsi="Arial" w:eastAsia="仿宋_GB2312"/>
          <w:sz w:val="24"/>
        </w:rPr>
      </w:pPr>
      <w:r>
        <w:rPr>
          <w:rFonts w:hint="eastAsia" w:ascii="仿宋_GB2312" w:hAnsi="Arial" w:eastAsia="仿宋_GB2312"/>
          <w:sz w:val="24"/>
        </w:rPr>
        <w:t xml:space="preserve">   23．如需修改或补充合同内容，经协商，双方应签署书面修改或补充协议。该补充协议作为本合同的一个组成部分。</w:t>
      </w:r>
    </w:p>
    <w:p w14:paraId="3CB2A6FA">
      <w:pPr>
        <w:spacing w:line="360" w:lineRule="auto"/>
        <w:ind w:left="1080" w:hanging="1080" w:hangingChars="450"/>
        <w:rPr>
          <w:rFonts w:ascii="仿宋_GB2312" w:hAnsi="Arial" w:eastAsia="仿宋_GB2312"/>
          <w:sz w:val="24"/>
        </w:rPr>
      </w:pPr>
      <w:r>
        <w:rPr>
          <w:rFonts w:hint="eastAsia" w:ascii="仿宋_GB2312" w:hAnsi="Arial" w:eastAsia="仿宋_GB2312"/>
          <w:sz w:val="24"/>
        </w:rPr>
        <w:t xml:space="preserve">   23．以上所提供合同为合同范本，招标方与中标方在签订合同时，可双方协商其补充条款或协议。</w:t>
      </w:r>
    </w:p>
    <w:p w14:paraId="2CBC9645">
      <w:pPr>
        <w:spacing w:line="360" w:lineRule="auto"/>
        <w:ind w:left="1020" w:leftChars="200" w:hanging="600" w:hangingChars="250"/>
        <w:rPr>
          <w:rFonts w:ascii="仿宋_GB2312" w:hAnsi="Arial" w:eastAsia="仿宋_GB2312"/>
          <w:sz w:val="24"/>
        </w:rPr>
      </w:pPr>
      <w:r>
        <w:rPr>
          <w:rFonts w:hint="eastAsia" w:ascii="仿宋_GB2312" w:hAnsi="Arial" w:eastAsia="仿宋_GB2312"/>
          <w:sz w:val="24"/>
        </w:rPr>
        <w:t>2</w:t>
      </w:r>
      <w:r>
        <w:rPr>
          <w:rFonts w:ascii="仿宋_GB2312" w:hAnsi="Arial" w:eastAsia="仿宋_GB2312"/>
          <w:sz w:val="24"/>
        </w:rPr>
        <w:t>3.</w:t>
      </w:r>
      <w:r>
        <w:rPr>
          <w:rFonts w:hint="eastAsia" w:ascii="仿宋_GB2312" w:hAnsi="Arial" w:eastAsia="仿宋_GB2312"/>
          <w:sz w:val="24"/>
        </w:rPr>
        <w:t>本合同履行发生争议，双方应尽量协商解决。协商不成的，提交北京市海淀区人民法院诉讼解决。</w:t>
      </w:r>
    </w:p>
    <w:p w14:paraId="59DD998D">
      <w:pPr>
        <w:spacing w:line="360" w:lineRule="auto"/>
        <w:ind w:left="6240" w:hanging="6240" w:hangingChars="2600"/>
        <w:rPr>
          <w:rFonts w:ascii="仿宋_GB2312" w:hAnsi="Arial" w:eastAsia="仿宋_GB2312"/>
          <w:sz w:val="24"/>
        </w:rPr>
      </w:pPr>
      <w:r>
        <w:rPr>
          <w:rFonts w:hint="eastAsia" w:ascii="仿宋_GB2312" w:hAnsi="Arial" w:eastAsia="仿宋_GB2312"/>
          <w:sz w:val="24"/>
        </w:rPr>
        <w:t>（以下无正文）</w:t>
      </w:r>
    </w:p>
    <w:p w14:paraId="255890D0">
      <w:pPr>
        <w:spacing w:line="360" w:lineRule="auto"/>
        <w:rPr>
          <w:rFonts w:ascii="仿宋_GB2312" w:hAnsi="Arial" w:eastAsia="仿宋_GB2312"/>
          <w:sz w:val="24"/>
        </w:rPr>
      </w:pPr>
      <w:r>
        <w:rPr>
          <w:rFonts w:hint="eastAsia" w:ascii="仿宋_GB2312" w:hAnsi="Arial" w:eastAsia="仿宋_GB2312"/>
          <w:sz w:val="24"/>
        </w:rPr>
        <w:t>甲     方：北京市第九十九中学</w:t>
      </w:r>
      <w:r>
        <w:rPr>
          <w:rFonts w:hint="eastAsia" w:ascii="仿宋_GB2312" w:hAnsi="Arial" w:eastAsia="仿宋_GB2312"/>
          <w:sz w:val="24"/>
          <w:lang w:val="en-US" w:eastAsia="zh-CN"/>
        </w:rPr>
        <w:t xml:space="preserve"> </w:t>
      </w:r>
      <w:r>
        <w:rPr>
          <w:rFonts w:hint="eastAsia" w:ascii="仿宋_GB2312" w:hAnsi="Arial" w:eastAsia="仿宋_GB2312"/>
          <w:sz w:val="24"/>
        </w:rPr>
        <w:t xml:space="preserve"> 乙     方：</w:t>
      </w:r>
      <w:r>
        <w:rPr>
          <w:rFonts w:hint="eastAsia" w:ascii="仿宋_GB2312" w:hAnsi="Arial" w:eastAsia="仿宋_GB2312"/>
          <w:sz w:val="24"/>
          <w:lang w:val="en-US" w:eastAsia="zh-CN"/>
        </w:rPr>
        <w:t>比萨教学设备（北京）有限公司</w:t>
      </w:r>
      <w:r>
        <w:rPr>
          <w:rFonts w:hint="eastAsia" w:ascii="仿宋_GB2312" w:hAnsi="Arial" w:eastAsia="仿宋_GB2312"/>
          <w:sz w:val="24"/>
        </w:rPr>
        <w:t xml:space="preserve"> </w:t>
      </w:r>
    </w:p>
    <w:p w14:paraId="51B84631">
      <w:pPr>
        <w:spacing w:line="360" w:lineRule="auto"/>
        <w:rPr>
          <w:rFonts w:ascii="仿宋_GB2312" w:hAnsi="Arial" w:eastAsia="仿宋_GB2312"/>
          <w:sz w:val="24"/>
        </w:rPr>
      </w:pPr>
      <w:r>
        <w:rPr>
          <w:rFonts w:hint="eastAsia" w:ascii="仿宋_GB2312" w:hAnsi="Arial" w:eastAsia="仿宋_GB2312"/>
          <w:sz w:val="24"/>
        </w:rPr>
        <w:t xml:space="preserve">（盖章）                                （盖章）                    </w:t>
      </w:r>
    </w:p>
    <w:p w14:paraId="25699C58">
      <w:pPr>
        <w:spacing w:line="360" w:lineRule="auto"/>
        <w:rPr>
          <w:rFonts w:ascii="仿宋_GB2312" w:hAnsi="Arial" w:eastAsia="仿宋_GB2312"/>
          <w:sz w:val="24"/>
        </w:rPr>
      </w:pPr>
      <w:r>
        <w:rPr>
          <w:rFonts w:hint="eastAsia" w:ascii="仿宋_GB2312" w:hAnsi="Arial" w:eastAsia="仿宋_GB2312"/>
          <w:sz w:val="24"/>
        </w:rPr>
        <w:t>法定代表人                              法定代表人</w:t>
      </w:r>
    </w:p>
    <w:p w14:paraId="5F9FADF0">
      <w:pPr>
        <w:spacing w:line="360" w:lineRule="auto"/>
        <w:rPr>
          <w:rFonts w:ascii="仿宋_GB2312" w:hAnsi="Arial" w:eastAsia="仿宋_GB2312"/>
          <w:sz w:val="24"/>
          <w:u w:val="single"/>
        </w:rPr>
      </w:pPr>
      <w:r>
        <w:rPr>
          <w:rFonts w:hint="eastAsia" w:ascii="仿宋_GB2312" w:hAnsi="Arial" w:eastAsia="仿宋_GB2312"/>
          <w:sz w:val="24"/>
        </w:rPr>
        <w:t>或授权代表签字：</w:t>
      </w:r>
      <w:r>
        <w:rPr>
          <w:rFonts w:hint="eastAsia" w:ascii="仿宋_GB2312" w:hAnsi="Arial" w:eastAsia="仿宋_GB2312"/>
          <w:snapToGrid w:val="0"/>
          <w:spacing w:val="12"/>
          <w:sz w:val="24"/>
          <w:u w:val="single"/>
        </w:rPr>
        <w:t xml:space="preserve">             </w:t>
      </w:r>
      <w:r>
        <w:rPr>
          <w:rFonts w:hint="eastAsia" w:ascii="仿宋_GB2312" w:hAnsi="Arial" w:eastAsia="仿宋_GB2312"/>
          <w:sz w:val="24"/>
        </w:rPr>
        <w:t xml:space="preserve">        或授权代表签字：</w:t>
      </w:r>
      <w:r>
        <w:rPr>
          <w:rFonts w:hint="eastAsia" w:ascii="仿宋_GB2312" w:hAnsi="Arial" w:eastAsia="仿宋_GB2312"/>
          <w:sz w:val="24"/>
          <w:u w:val="single"/>
        </w:rPr>
        <w:t xml:space="preserve">              </w:t>
      </w:r>
    </w:p>
    <w:p w14:paraId="0BE0C574">
      <w:pPr>
        <w:spacing w:line="360" w:lineRule="auto"/>
        <w:rPr>
          <w:rFonts w:ascii="仿宋_GB2312" w:hAnsi="Arial" w:eastAsia="仿宋_GB2312"/>
          <w:sz w:val="24"/>
        </w:rPr>
      </w:pPr>
    </w:p>
    <w:p w14:paraId="4903B0E2">
      <w:r>
        <w:rPr>
          <w:rFonts w:hint="eastAsia" w:ascii="仿宋_GB2312" w:hAnsi="Arial" w:eastAsia="仿宋_GB2312"/>
          <w:sz w:val="24"/>
        </w:rPr>
        <w:t xml:space="preserve">年 </w:t>
      </w:r>
      <w:r>
        <w:rPr>
          <w:rFonts w:ascii="仿宋_GB2312" w:hAnsi="Arial" w:eastAsia="仿宋_GB2312"/>
          <w:sz w:val="24"/>
        </w:rPr>
        <w:t xml:space="preserve">   </w:t>
      </w:r>
      <w:r>
        <w:rPr>
          <w:rFonts w:hint="eastAsia" w:ascii="仿宋_GB2312" w:hAnsi="Arial" w:eastAsia="仿宋_GB2312"/>
          <w:sz w:val="24"/>
        </w:rPr>
        <w:t xml:space="preserve"> 月  </w:t>
      </w:r>
      <w:r>
        <w:rPr>
          <w:rFonts w:ascii="仿宋_GB2312" w:hAnsi="Arial" w:eastAsia="仿宋_GB2312"/>
          <w:sz w:val="24"/>
        </w:rPr>
        <w:t xml:space="preserve">  </w:t>
      </w:r>
      <w:r>
        <w:rPr>
          <w:rFonts w:hint="eastAsia" w:ascii="仿宋_GB2312" w:hAnsi="Arial" w:eastAsia="仿宋_GB2312"/>
          <w:sz w:val="24"/>
        </w:rPr>
        <w:t xml:space="preserve">日                      年 </w:t>
      </w:r>
      <w:r>
        <w:rPr>
          <w:rFonts w:ascii="仿宋_GB2312" w:hAnsi="Arial" w:eastAsia="仿宋_GB2312"/>
          <w:sz w:val="24"/>
        </w:rPr>
        <w:t xml:space="preserve">   </w:t>
      </w:r>
      <w:r>
        <w:rPr>
          <w:rFonts w:hint="eastAsia" w:ascii="仿宋_GB2312" w:hAnsi="Arial" w:eastAsia="仿宋_GB2312"/>
          <w:sz w:val="24"/>
        </w:rPr>
        <w:t xml:space="preserve">月   </w:t>
      </w:r>
      <w:r>
        <w:rPr>
          <w:rFonts w:ascii="仿宋_GB2312" w:hAnsi="Arial" w:eastAsia="仿宋_GB2312"/>
          <w:sz w:val="24"/>
        </w:rPr>
        <w:t xml:space="preserve"> </w:t>
      </w:r>
      <w:r>
        <w:rPr>
          <w:rFonts w:hint="eastAsia" w:ascii="仿宋_GB2312" w:hAnsi="Arial" w:eastAsia="仿宋_GB2312"/>
          <w:sz w:val="24"/>
        </w:rPr>
        <w:t>日</w:t>
      </w:r>
    </w:p>
    <w:p w14:paraId="5847F8AC">
      <w:pPr>
        <w:sectPr>
          <w:pgSz w:w="11906" w:h="16838"/>
          <w:pgMar w:top="1440" w:right="1800" w:bottom="1440" w:left="1800" w:header="851" w:footer="992" w:gutter="0"/>
          <w:cols w:space="425" w:num="1"/>
          <w:docGrid w:type="lines" w:linePitch="312" w:charSpace="0"/>
        </w:sectPr>
      </w:pPr>
    </w:p>
    <w:p w14:paraId="19CE6362">
      <w:pPr>
        <w:rPr>
          <w:rFonts w:hint="eastAsia"/>
          <w:lang w:val="en-US" w:eastAsia="zh-CN"/>
        </w:rPr>
      </w:pPr>
      <w:r>
        <w:rPr>
          <w:rFonts w:hint="eastAsia"/>
          <w:lang w:val="en-US" w:eastAsia="zh-CN"/>
        </w:rPr>
        <w:t>附件：</w:t>
      </w:r>
    </w:p>
    <w:tbl>
      <w:tblPr>
        <w:tblStyle w:val="6"/>
        <w:tblW w:w="505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4"/>
        <w:gridCol w:w="746"/>
        <w:gridCol w:w="7166"/>
        <w:gridCol w:w="937"/>
        <w:gridCol w:w="1256"/>
        <w:gridCol w:w="1087"/>
        <w:gridCol w:w="897"/>
        <w:gridCol w:w="1280"/>
      </w:tblGrid>
      <w:tr w14:paraId="14463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1E29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465B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分项名称</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951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参数</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F812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品牌</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37A5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78CC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单价（元）</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191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91E3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合价（元）</w:t>
            </w:r>
          </w:p>
        </w:tc>
      </w:tr>
      <w:tr w14:paraId="22DCC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62E5D2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连体式吊装生物实验室</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2CF31D3D">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156817AF">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94DB0">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58D60">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99FCB">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79D4F">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38B34">
            <w:pPr>
              <w:jc w:val="center"/>
              <w:rPr>
                <w:rFonts w:hint="eastAsia" w:ascii="宋体" w:hAnsi="宋体" w:eastAsia="宋体" w:cs="宋体"/>
                <w:i w:val="0"/>
                <w:iCs w:val="0"/>
                <w:color w:val="000000"/>
                <w:sz w:val="20"/>
                <w:szCs w:val="20"/>
                <w:u w:val="none"/>
              </w:rPr>
            </w:pPr>
          </w:p>
        </w:tc>
      </w:tr>
      <w:tr w14:paraId="41DBC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2CC156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一、教师控制演示区</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7B411170">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61802AC3">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2C8A">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5A08C">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65467">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1EC0B">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84072">
            <w:pPr>
              <w:jc w:val="center"/>
              <w:rPr>
                <w:rFonts w:hint="eastAsia" w:ascii="宋体" w:hAnsi="宋体" w:eastAsia="宋体" w:cs="宋体"/>
                <w:i w:val="0"/>
                <w:iCs w:val="0"/>
                <w:color w:val="000000"/>
                <w:sz w:val="20"/>
                <w:szCs w:val="20"/>
                <w:u w:val="none"/>
              </w:rPr>
            </w:pPr>
          </w:p>
        </w:tc>
      </w:tr>
      <w:tr w14:paraId="2FB63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68B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D55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多媒体讲台</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519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0D17DE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教师演示台，左边设有储物柜，中间段设有抽屉位（教师电源主控），电脑键盘位，右边设有多媒体设备位置预留，三节模块拼接组成。</w:t>
            </w:r>
          </w:p>
          <w:p w14:paraId="4513DF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112FBF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⑴.桌身整体材料1.0mm(±0.2㎜)冷轧钢板，整体规格2400×700×850㎜(±5㎜)，所有金属表面经环氧树脂粉末喷涂高温固化处理和耐酸碱、耐腐蚀。</w:t>
            </w:r>
          </w:p>
          <w:p w14:paraId="12DA25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⑵.滑道导轨：抽屉全部采用优质三节承重式滚珠滑道导轨。</w:t>
            </w:r>
          </w:p>
          <w:p w14:paraId="05602A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⑶.缓冲铰链：冷轧钢铰链固装开合不变形。</w:t>
            </w:r>
          </w:p>
          <w:p w14:paraId="3A2AA1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⑷.脚垫：采用柜体内置可调ABS脚垫，保证桌面平整，防水防潮，延长设备使用寿命。</w:t>
            </w:r>
          </w:p>
          <w:p w14:paraId="2ACA95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3.台面： 采用25mm厚金属树脂高能理化板，且满足如下参数要求：</w:t>
            </w:r>
          </w:p>
          <w:p w14:paraId="6CEC48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（1）化学性能检测：台面依据GB/T 17657-2022 《人造板及饰面人造板理化性能试验方法》标准，耐污染性能不少于130项试验污染物的检测，且包含：98%硫酸、65%硝酸、40%氢氧化钠、37%盐酸、品红、高锰酸钾等试剂，覆盖玻璃盖板和未覆盖玻璃盖板检验结果均为5级：无明显变化。</w:t>
            </w:r>
          </w:p>
          <w:p w14:paraId="0ED763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（2）物理性能检测：台面依据GB/T 17657-2022 《人造板及饰面人造板理化性能试验方法》标准，满足：弹性模量≥9700MPa； 含水率：≤0.9%；尺寸稳定性：横向≤0.11%、纵向≤0.08%；表面耐磨性能：≥1200r，未出现磨损点；表面耐湿热性能：五级：无明显变化；浸渍剥离性能：贴面层与基材之间的胶层无剥离和分层现象；耐光色牢度性能:4级；漆膜附着力：六级：切割边缘完全平滑，网格内无脱落等不低于16项检测。</w:t>
            </w:r>
          </w:p>
          <w:p w14:paraId="191E60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（3）环保性能检测：台面依据GB 18580-2017《室内装饰装修材料人造板及其制品中甲醛释放限量》标准，满足甲醛释放量&lt;0.005 mg/M3。</w:t>
            </w:r>
          </w:p>
          <w:p w14:paraId="52F4B6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抗菌性能检测：台面依据JC/T2039-2010标准，满足：大肠杆菌、金黄色葡萄球菌、肺炎克雷伯氏菌、鼠伤寒沙门氏菌、表皮葡萄球菌、铜绿假单胞菌、宋氏志贺氏菌、白色葡萄球菌、粪肠球菌；耐甲氧西林金黄色葡萄球菌、单核细胞增生李斯特氏菌、变异库克菌、溶血性链球菌等不少于 13 种的菌种检测，且抗菌率≥95%。</w:t>
            </w:r>
          </w:p>
          <w:p w14:paraId="51D199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（5）防霉性能检测：台面依据JC/T2039-2010标准，满足：黑曲霉、土曲霉、球毛壳霉、宛氏拟青霉、绳状青霉、出芽短梗霉等不少于10种的霉菌检测，且防霉等级为0级。</w:t>
            </w:r>
          </w:p>
          <w:p w14:paraId="761986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（6）燃烧性能检测：台面依据GB/T 2408-2021《塑料 燃烧性能的测定 水平法和垂直法》标准，满足：水平燃烧符合HB级；垂直燃烧符合V-0级；台面参照GB8624-2012《建筑材料及制品燃烧性能分级》标准，满足：燃烧性能等级B1级；产烟特性等级S1级；燃烧滴落物/微粒等级d0级。</w:t>
            </w:r>
          </w:p>
          <w:p w14:paraId="2C6F77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（7）抗老化性检测：台面依据GB/T24508-2020标准：48小时无开裂、无鼓泡、无粉化。</w:t>
            </w:r>
          </w:p>
          <w:p w14:paraId="5F7FFE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以上技术要求，需提供CMA或CNAS认证的第三方检测机构出具的检测报告。</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97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00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DT-JT2400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DA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58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5E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6050.00 </w:t>
            </w:r>
          </w:p>
        </w:tc>
      </w:tr>
      <w:tr w14:paraId="34CFA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C7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2AC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壁挂扬声器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159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1.单元: ≥3英寸全频音箱</w:t>
            </w:r>
          </w:p>
          <w:p w14:paraId="368BB4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2.频响范围:120Hz - 18kHz (-6dB)</w:t>
            </w:r>
          </w:p>
          <w:p w14:paraId="3685F77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3.灵敏度/峰值@2.83V,1米:86dB / 104 dB</w:t>
            </w:r>
          </w:p>
          <w:p w14:paraId="733988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4.输入阻抗:8Ω(欧姆)</w:t>
            </w:r>
          </w:p>
          <w:p w14:paraId="404B0A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5.额定输入功率:≥25W</w:t>
            </w:r>
          </w:p>
          <w:p w14:paraId="722BE2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6.最大输入功率:≥100W</w:t>
            </w:r>
          </w:p>
          <w:p w14:paraId="61D3FF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7.覆盖范围(水平/垂直):90° x 90°</w:t>
            </w:r>
          </w:p>
          <w:p w14:paraId="39CA43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8.连接器:欧式连接端子（凤凰端子）</w:t>
            </w:r>
          </w:p>
          <w:p w14:paraId="3965E9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9.吊点/螺丝规格:专用安装支架</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A2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戴阳</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69D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907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2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CA4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3000.00 </w:t>
            </w:r>
          </w:p>
        </w:tc>
      </w:tr>
      <w:tr w14:paraId="29E9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A0C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D0F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教师转椅</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DC6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1、规格:500×500×800㎜(±5㎜)。</w:t>
            </w:r>
          </w:p>
          <w:p w14:paraId="6A2451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2、靠背及下座采用高密度网布格，阻燃、舒适、回弹性好。</w:t>
            </w:r>
          </w:p>
          <w:p w14:paraId="4F8C600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3、面料为优质网布格.依照人体工程学设计，线条流畅，美观大方。</w:t>
            </w:r>
          </w:p>
          <w:p w14:paraId="286074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4、骨架钢管电镀，气动升降。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EA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8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DT-ZY500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C6A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8D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BC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387.00 </w:t>
            </w:r>
          </w:p>
        </w:tc>
      </w:tr>
      <w:tr w14:paraId="29BC4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4E8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07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顶装总控柜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A02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66897D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总控柜（挂壁式）“三部分”结构设计，整体规格556×210×700㎜(±5㎜)；箱体厚度为1㎜(±0.2㎜)SPCC冷轧钢板，表面光滑，不易变形，强度高等特点，钣金折弯成型，所有金属表面经环氧树脂粉末喷涂高温固化处理和耐酸碱、耐腐蚀。</w:t>
            </w:r>
          </w:p>
          <w:p w14:paraId="625F86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03D1BA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⑴.柜右侧上端为电气设备安装层，右侧下柜配有显示屏操作窗口，规格275×150㎜(±5㎜)，呈45°上斜坡式，操作视角，左侧配有紧急停开关、启、停开关。</w:t>
            </w:r>
          </w:p>
          <w:p w14:paraId="1D3E39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⑵.控制箱内配置导轨式接线端子、电源总开关、导轨五孔插座1组、漏保漏电断路器1组、单片机控制器及功能扩展模块1套，安全既长时间不操作自动切断总电源。</w:t>
            </w:r>
          </w:p>
          <w:p w14:paraId="2FD08D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⑶.箱内配置风机变频器控制器1个；功率5.5KW，输入额定电压三相380V(±15%)，教师端可根据教学所需，控制风量大小。</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AC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3B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DT-ZKG556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D1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F8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47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8000.00 </w:t>
            </w:r>
          </w:p>
        </w:tc>
      </w:tr>
      <w:tr w14:paraId="7151A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228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506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顶装控制平台</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F3C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7962C1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控制平台操作显示屏采用10.1寸触摸屏；彩色24位显示；双8051单芯片驱动方案；GUI核运行，向内镶入式安装位；呈45°视角上斜坡，契合使用者的操作视角界面清晰，</w:t>
            </w:r>
          </w:p>
          <w:p w14:paraId="541828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2、技术参数电源管理要求如下：</w:t>
            </w:r>
          </w:p>
          <w:p w14:paraId="612162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⑴.界面显示：可显示当前北京时间、中文星期和温湿度。</w:t>
            </w:r>
          </w:p>
          <w:p w14:paraId="42069B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⑵.交流输出:可进行单台或统一控制学生交流电源输出，输出范围0-30V，分辨率1V。</w:t>
            </w:r>
          </w:p>
          <w:p w14:paraId="5428A6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⑶.直流输出:可进行单台或统一控制学生直流电源输出，输出范围0-30V，分辨率0.1V。</w:t>
            </w:r>
          </w:p>
          <w:p w14:paraId="17A039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⑷.学生锁定:由老师控制，开启后学生电源不能自行调节，只能由老师进行控制使用。</w:t>
            </w:r>
          </w:p>
          <w:p w14:paraId="015824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⑸.学生插座:由老师控制，默认电源关闭。</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DE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25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DT-PT20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8C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3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3B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3200.00 </w:t>
            </w:r>
          </w:p>
        </w:tc>
      </w:tr>
      <w:tr w14:paraId="42B99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BD0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6EA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APP吊装控制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774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1、App吊装控制支持APP登录操作。能实现电源、照明、给排水、摇臂、排风等控制。</w:t>
            </w:r>
          </w:p>
          <w:p w14:paraId="15C596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2、互联模式采用内建局域网，在一定范围内发射无线信号，外部设备输入正确密码后，连接WiFi与控制柜进行互联，实现远程控制。</w:t>
            </w:r>
          </w:p>
          <w:p w14:paraId="6EEFEB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3、App吊装控制操作界面和顶装控制平台操作界面布局和功能完全一致，方便教师在授课时，进行双设备切换。</w:t>
            </w:r>
          </w:p>
          <w:p w14:paraId="2046F9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4、温湿度显示：连接控制柜检测环境中实时的温度、湿度并以数值的形式显示。</w:t>
            </w:r>
          </w:p>
          <w:p w14:paraId="5FA15E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电源控制：可任意控制单组或集中控制220V的学生插座的开与关。可控制学生电源的交、直流电压切换以及电压值调节。当学生电源的被锁定，教师给与学生端指定电压值，学生端学生电源无法私自修改电压数值。</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21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4C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DT-APP921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B9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A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B4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2800.00 </w:t>
            </w:r>
          </w:p>
        </w:tc>
      </w:tr>
      <w:tr w14:paraId="3C9E9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A56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BE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环境检测实时监视</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954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1、内置七合一传感器模块，灵敏度高，数据稳定。</w:t>
            </w:r>
          </w:p>
          <w:p w14:paraId="4588D1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⑴数字串口输出，采用 485/UART 输出模式，集 CO2，甲醛，TVOC，激光粉尘 PM2.5,PM10 颗粒物，温度,湿度于一体。</w:t>
            </w:r>
          </w:p>
          <w:p w14:paraId="4789E0F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⑵每2秒自动通过485/UART信号输出七组传感器监测数据。</w:t>
            </w:r>
          </w:p>
          <w:p w14:paraId="4CD102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⑶温度精确到 0.1℃，湿度精确到 0.1%。</w:t>
            </w:r>
          </w:p>
          <w:p w14:paraId="404A8E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⑷工作电压：5.0±0.2VDC；工作电流：≤80mA；工作温度：0℃～50℃；工作湿度：≤95％RH。</w:t>
            </w:r>
          </w:p>
          <w:p w14:paraId="3116BB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2、在中控屏幕上方显示日期、时间。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C9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65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DT-HJJC209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00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48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D6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850.00 </w:t>
            </w:r>
          </w:p>
        </w:tc>
      </w:tr>
      <w:tr w14:paraId="48B5D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EB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566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教师专用吊装</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57CA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2410B7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吊装舱体采用标准化模块组；外壳左右为铝合金挤压型材，规格1200×730×265㎜(±5㎜)；型材厚度1.7㎜（±0.2mm），左右中腰部镶铝合金装饰条，舱体前、尾端ABS注塑模具一次成型堵头封盖，舱体外壳下部左右边设有LED照明灯；可升降教师专用交直流电源，电源端底部配备供电；给、排水、二组网络接口。</w:t>
            </w:r>
          </w:p>
          <w:p w14:paraId="0F7ECC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吊装内胆左右铝合金外壳；上下隔层底板冷轧钢板规格1200×550㎜(±5㎜)；厚度1.0㎜（±0.2mm），支撑架采用冷轧钢板；规格500×880㎜(±5㎜)；厚度3.0㎜（±0.2mm）。所有的金属表面经环氧树脂粉末喷涂高温固化处理耐酸碱、耐腐蚀等特点。</w:t>
            </w:r>
          </w:p>
          <w:p w14:paraId="7B4F33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2849B0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⑴.顶装摇臂动力装置，升降臂杆采用铝合金型材管；臂杆规格φ65㎜；厚度1.4㎜（±0.2mm），管内水、电隔离设计。</w:t>
            </w:r>
          </w:p>
          <w:p w14:paraId="37F5BC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⑵.升降摇臂杆上端连接推杆动力下端连接多功能教师专用电源模块；电源模块外壳ABS材质；模具一体成型，规格245×90×180㎜（±0.5mm）。</w:t>
            </w:r>
          </w:p>
          <w:p w14:paraId="141621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⑶.教师电源操作面耐磨、耐腐蚀PC薄膜面板；规格217×137㎜，界面文字清晰美观。</w:t>
            </w:r>
          </w:p>
          <w:p w14:paraId="72E63E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教师电源端集成了外壳左右两侧各配二组国标五孔220V安全插座，额定电流10A；一个急停开关、一个总电源保险装置，一组USB二个接口；底部集成二组RJ45网络接口，一组快速给、排水接口；一组排水供电电源接口。</w:t>
            </w:r>
          </w:p>
          <w:p w14:paraId="4DC44E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⑸.教师专用电源交、直流低压电源输出插口，大电流输出插口、高压输出插口。</w:t>
            </w:r>
          </w:p>
          <w:p w14:paraId="5F980D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⑹.教师电源信息管理，采用4.3英寸工业触摸液晶显示屏。</w:t>
            </w:r>
          </w:p>
          <w:p w14:paraId="6EB72E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⑺.教师专用电源控制功能要求如下：</w:t>
            </w:r>
          </w:p>
          <w:p w14:paraId="400D8E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①交流输出0-30V，分辨率1V。直输出流0-30V，分辨率0.1V。配备虚拟数字表实时显示电流，显示分辨率为0.01A，具备过流短路保护功能。</w:t>
            </w:r>
          </w:p>
          <w:p w14:paraId="1171F5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②直流高压：双档直流输出240V/300V高压，小电流过载短路保护。</w:t>
            </w:r>
          </w:p>
          <w:p w14:paraId="203B0C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③直流大电流：输出直流低压、大电流延时输出，延时20S自动关断，也可手动随时开启或关断，实时显示当前状态。</w:t>
            </w:r>
          </w:p>
          <w:p w14:paraId="4A8F60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3、可伸缩万向吸风罩：</w:t>
            </w:r>
          </w:p>
          <w:p w14:paraId="5A95B3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①风管材质：铝合金，表面喷砂氧化处理。</w:t>
            </w:r>
          </w:p>
          <w:p w14:paraId="206BC2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②松紧旋钮：铝合金，表面喷塑处理，内嵌不锈钢轴承，与关节连接杆锁合。</w:t>
            </w:r>
          </w:p>
          <w:p w14:paraId="707CA6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③拱形集气罩：形状如喇叭口，不锈钢材质。</w:t>
            </w:r>
          </w:p>
          <w:p w14:paraId="61E2EB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④扭簧：扭簧材质弹簧钢表面抗氧化处理。</w:t>
            </w:r>
          </w:p>
          <w:p w14:paraId="13C62E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⑤关节：高密度pp材质，表面磨砂处理，可360°旋转调节方向。</w:t>
            </w:r>
          </w:p>
          <w:p w14:paraId="1C1C1E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⑥旋转角度：安装后可调节到三维360度任意转停，集气罩吸气角度360度任意转停。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2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7D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DT-JSDZ330-SW</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9A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41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5C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13000.00 </w:t>
            </w:r>
          </w:p>
        </w:tc>
      </w:tr>
      <w:tr w14:paraId="0BF8B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0D4CE6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二、学生实验学习区</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5C85B4ED">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1C2D2606">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27888">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F9F8D">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9C44A">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1A4BE">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6BBE1">
            <w:pPr>
              <w:jc w:val="center"/>
              <w:rPr>
                <w:rFonts w:hint="eastAsia" w:ascii="宋体" w:hAnsi="宋体" w:eastAsia="宋体" w:cs="宋体"/>
                <w:i w:val="0"/>
                <w:iCs w:val="0"/>
                <w:color w:val="000000"/>
                <w:sz w:val="20"/>
                <w:szCs w:val="20"/>
                <w:u w:val="none"/>
              </w:rPr>
            </w:pPr>
          </w:p>
        </w:tc>
      </w:tr>
      <w:tr w14:paraId="67EA8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D70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028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学生实验桌（陶瓷面板）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A91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152E53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⑴.实验桌整体规格1200×600×780㎜(±5㎜)， 整体结构“Z”字形结构，学生位镂空式，侧脚采用三段式高强度铝合金结构，立柱采用上下铸铝脚， 上铝铸件造型采用斜加固撑包箍立柱造型。</w:t>
            </w:r>
          </w:p>
          <w:p w14:paraId="5C0395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⑵.台面背部档水板，台面下部设有专用书包斗，中间设挂凳卡，两个书包斗中间电源盒，符合人体工程学设计。所有的金属表面经环氧树脂粉末喷涂高温固化处理耐酸碱、耐腐蚀等特点。</w:t>
            </w:r>
          </w:p>
          <w:p w14:paraId="298921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2063E9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桌腿：由上中下三段组成，上、下支座和立柱连接，立柱采用椭圆形；规格108×50×630mm(±5㎜)铝合金型材，壁厚为1.5㎜(±0.2㎜)，侧脚上横脚；规格570×50×40㎜(±2㎜)，侧脚下脚；规格550×55×116㎜(±5㎜)，立柱内嵌入上下铸铝脚，并用高强度内六角螺丝连接，上铝铸件斜撑包箍立柱加固造型，材料高强度铝合金模具压铸一次成型。</w:t>
            </w:r>
          </w:p>
          <w:p w14:paraId="5D32DB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左、右脚拼装连接：前、后梁；规格1085×35×40㎜(±5㎜)；中梁；规格1160×40×30㎜(±2㎜)，壁厚为1.2㎜(±0.2㎜)铝合金型材；左右侧脚下梁采；规格1035×30×60(±5㎜)壁厚2㎜(±0.2㎜)椭圆spcc碳钢无缝钢管，管材两端截面与5mm(±0.2㎜)钢制连接片焊接成型，并用高强度内六角不锈钢螺丝连接链接到左右脚腿，易碰撞处全部倒圆角。</w:t>
            </w:r>
          </w:p>
          <w:p w14:paraId="50E5326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⑶.台面前挡水板：背板挡水板20mm凹槽型铝合金型材；规格1150×93×15㎜(±2㎜)，厚度为1.0㎜(±0.2㎜)， 挡水板左右堵头为压铸铝一次性成型件；规格37×15×94㎜(±2㎜)与挡水板卡扣式相连接。</w:t>
            </w:r>
          </w:p>
          <w:p w14:paraId="486BA2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 桌脚底部镶入硅胶脚垫防止与地面摩擦，预留专用孔位可与地面固定，有效延长设备寿命。</w:t>
            </w:r>
          </w:p>
          <w:p w14:paraId="7153FE1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⑸.电源盒采用改性的PP材料注塑一体成型；规格：202×130×295㎜(±5㎜)，翻盖面采用ABS材料注塑成型；翻盖面可拆装，方便安装和检修。</w:t>
            </w:r>
          </w:p>
          <w:p w14:paraId="043FCF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3、专用书包斗材料采用改性环保PP注塑一体成型，规格440×275×175㎜(±10㎜)。</w:t>
            </w:r>
          </w:p>
          <w:p w14:paraId="7A763F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必须满足以下检测内容：</w:t>
            </w:r>
          </w:p>
          <w:p w14:paraId="5AEEF0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外观要求：参照T/CIQA10-2020标准，外观为五面坯体，表面釉面为烧成颜色；坯体敲碎后，无空洞、无直径2mm以上气泡、无杂色，为一体实芯坯体；釉面与坯体之间无脱层，釉面与坯体呈一体结构，釉面为烧成颜色，非坯体颜色。</w:t>
            </w:r>
          </w:p>
          <w:p w14:paraId="624EA4A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⑵．台面表面耐污染性能:参照GB/T17657-2022检测标准，检测内容不低于 60种试剂，至少含氢氧化钙饱和溶液、二氧六环99%、甲酚红、乙醇99%、王水、红药水、硝酸银、立顿红茶(9g/L)、氢氧化钾、硝酸65%、硫酸98%、二甲苯、高氯酸72%、二甲基甲酰胺99%、乙醚99%、糠醛99%、甲苯99%、过氧化氢、仁和碘酒、二氯甲烷99%、铬酸60%、二氯乙酸、92#汽油、丙酮99%、苯99%、四氯化碳、氯仿99%、片状氢氧化钠、磷酸85%、乙酸乙酯99%、乙酸99%、盐酸37%、甲醛37%、氨水28%、松节油(分析纯)等化学试剂，污染物接触时长不小于 48h,检测结果不低于5 级无明显变化。</w:t>
            </w:r>
          </w:p>
          <w:p w14:paraId="16C09F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⑶．抗冲击性能：为保证台面使用的安全性，参照T/CIQA10-2020标准，台面抗冲击性（恢复系数）不低于0.854。</w:t>
            </w:r>
          </w:p>
          <w:p w14:paraId="357192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⑷．台面表面耐冷热循环性能：为避免热胀冷缩对台面造成的伤害，参照GB/T17657-2022标准，检测结果需达到台面表面无裂纹无鼓包现象。</w:t>
            </w:r>
          </w:p>
          <w:p w14:paraId="52ADB2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⑸．颜色稳定性：为保证台面的美观度，参照GB/T17657-2022标准,耐光色牢度不低于4级。</w:t>
            </w:r>
          </w:p>
          <w:p w14:paraId="0BD841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以上技术要求，需提供CMA或CNAS认证的第三方检测机构出具的检测报告。</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D4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C8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DT-ZO1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21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23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8C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26620.00 </w:t>
            </w:r>
          </w:p>
        </w:tc>
      </w:tr>
      <w:tr w14:paraId="4A65E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A1A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FDB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升降学生实验凳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D6C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7C0B67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四支凳脚椭圆形无缝钢管抓地，凳面PP改性塑料一次性注塑成型，冷轧钢板凳面圆形托盘，螺杆式旋转可调升降，整体规格：ф300×（450）≥500㎜±0.2mm。所有的金属表面经环氧树脂粉末喷涂高温固化处理耐酸碱、耐腐蚀等特点。</w:t>
            </w:r>
          </w:p>
          <w:p w14:paraId="203324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41EBB0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⑴.凳面环保型PP改性塑料一次性注塑成型；规格ф305㎜(±5㎜)；厚5.8㎜(±0.5㎜)；凳面表层有颗粒凸起花纹；防滑、按摩、抗疲。</w:t>
            </w:r>
          </w:p>
          <w:p w14:paraId="120EE3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⑵.凳面高低调节升降螺杆旋转，调节范围450㎜-500㎜自由调节。</w:t>
            </w:r>
          </w:p>
          <w:p w14:paraId="1F60D1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⑶.凳脚架四支凳脚椭圆形无缝钢管；规格34×16㎜；厚度1.4㎜(±0.2㎜)，凳脚架焊接全圆满焊接。</w:t>
            </w:r>
          </w:p>
          <w:p w14:paraId="50CD69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⑷.凳面托盘冷轧钢板；规格ф220㎜(±0.2㎜)；厚度2.2㎜(±0.2㎜)，钢板托盘有凹凸冲压成型加强筋，使凳子更加稳固。</w:t>
            </w:r>
          </w:p>
          <w:p w14:paraId="3A9142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⑸.脚垫PP加耐磨纤维质塑料，实心倒勾式一体成型，防止防滑和保护地板划痕。</w:t>
            </w:r>
          </w:p>
          <w:p w14:paraId="2235EB4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提供第三方检测机构出具的带有CMA或CNAS标识的“升降学生实验凳”的检测报告，必须满足以下检测内容：</w:t>
            </w:r>
          </w:p>
          <w:p w14:paraId="34EBB3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检测依据：GB/T 3325-2024《金属家具通用技术条件》、GB/T 10357.2-2013《家具力学性能试验 第2部分：凳类稳定性》：</w:t>
            </w:r>
          </w:p>
          <w:p w14:paraId="2CF214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⑴力学性能－椅凳类稳定性：</w:t>
            </w:r>
          </w:p>
          <w:p w14:paraId="35977A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凳子任意方向的倾翻试验，垂直加载 600N，水平加载20N，应无倾翻。</w:t>
            </w:r>
          </w:p>
          <w:p w14:paraId="27FC0E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以上检测结果必须为符合。</w:t>
            </w:r>
          </w:p>
          <w:p w14:paraId="055596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⑵外观性能－金属件外观：</w:t>
            </w:r>
          </w:p>
          <w:p w14:paraId="714E08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①管材：管材应无裂缝、叠缝；外露管口端面应封闭；圆管和扁线管弯曲处弧形应圆滑一致；</w:t>
            </w:r>
          </w:p>
          <w:p w14:paraId="1D3E70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②焊接件；焊接处应无脱焊、虚焊、焊穿、错位；焊接处应无夹渣、气孔、焊瘤、焊丝头、咬边、飞溅；焊接处（焊疤处）表面波纹应均匀；</w:t>
            </w:r>
          </w:p>
          <w:p w14:paraId="5C08E6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③喷漆 （塑）涂层：应无漏喷、锈蚀、脱色、掉色等；应光滑均匀，色泽一致，应无流挂、疙瘩、皱皮、 飞漆等；</w:t>
            </w:r>
          </w:p>
          <w:p w14:paraId="3CCE2F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以上检测结果必须为符合。</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FB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A1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DT-SYD82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06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F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4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6800.00 </w:t>
            </w:r>
          </w:p>
        </w:tc>
      </w:tr>
      <w:tr w14:paraId="176A6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2C3B65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三、吊装集成设备</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6B65EDE0">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2C617C38">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1E246">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9ADA">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3EBCF">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D67C4">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F117E">
            <w:pPr>
              <w:jc w:val="center"/>
              <w:rPr>
                <w:rFonts w:hint="eastAsia" w:ascii="宋体" w:hAnsi="宋体" w:eastAsia="宋体" w:cs="宋体"/>
                <w:i w:val="0"/>
                <w:iCs w:val="0"/>
                <w:color w:val="000000"/>
                <w:sz w:val="20"/>
                <w:szCs w:val="20"/>
                <w:u w:val="none"/>
              </w:rPr>
            </w:pPr>
          </w:p>
        </w:tc>
      </w:tr>
      <w:tr w14:paraId="48514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E87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9B6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集成箱体</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D64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（1）顶装主体架外壳</w:t>
            </w:r>
          </w:p>
          <w:p w14:paraId="553D24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采用多模块化舱体式结构；外壳左右采用铝合金模具挤压型材，舱体前、尾端采用阻燃ABS注塑模具一次成型堵头封盖，舱体外壳左右中腰部镶铝合金装饰条；舱体外壳下部边缘设有LED照明灯条，所有的金属件表面经环氧树脂粉末喷涂高温固化处理。</w:t>
            </w:r>
          </w:p>
          <w:p w14:paraId="4A639E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外壳左右为铝合金挤压型材，采用标准化模块组.模组规格：1200×730×265㎜(±5㎜)，型材厚度1.8㎜(±0.2㎜)。模块组合成连体吊装，外壳表面经环氧树脂粉末喷涂高温固化处理，具有阻燃性强和耐酸碱、耐腐蚀，光泽度好，美观大方。</w:t>
            </w:r>
          </w:p>
          <w:p w14:paraId="595D44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3、为保证整体材料质量以及从环保角度保障实验室师生安全健康</w:t>
            </w:r>
          </w:p>
          <w:p w14:paraId="11254E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提供第三方检测机构出具的带有CMA或CNAS标识的“顶装主体架外壳”的检测报告，必须满足以下检测内容：</w:t>
            </w:r>
          </w:p>
          <w:p w14:paraId="68B24B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检测依据：GB/T 32487-2016《塑料家具通用技术条件》、GB/T9286-2021《色漆和清漆膜的划格试验》。</w:t>
            </w:r>
          </w:p>
          <w:p w14:paraId="79360A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⑴塑料件外观：应无裂纹、明显变形、缩水、针孔；应无凹陷、飞边、折皱、疙瘩；应无气泡、杂质、伤痕、白印；表面应光洁，应无划痕、毛刺、拉毛、污渍；应无明显色差。检测结果均符合。</w:t>
            </w:r>
          </w:p>
          <w:p w14:paraId="5E2AFE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其他外观：在接触人体或收藏物品的部位应无毛刺、刃口、棱角；固定部位的结合应牢固无松动、无少件、无漏钉、无透钉（预留孔、选择孔除外）；产品的所有涂饰表面不得有脱色、掉色现象；检测结果均为符合。</w:t>
            </w:r>
          </w:p>
          <w:p w14:paraId="3DF61A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⑶理化性能：</w:t>
            </w:r>
          </w:p>
          <w:p w14:paraId="2EBB405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①塑料件：</w:t>
            </w:r>
          </w:p>
          <w:p w14:paraId="13C81F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a）耐冷热循环：应无裂纹、鼓泡、变色、起皱，检测结果均符合。</w:t>
            </w:r>
          </w:p>
          <w:p w14:paraId="69BDEB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b）硬度，邵氏D硬度≥HD63，检测结果应≥HD68。</w:t>
            </w:r>
          </w:p>
          <w:p w14:paraId="076069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②涂层，附着力不低于2级，检测结果≥1级。</w:t>
            </w:r>
          </w:p>
          <w:p w14:paraId="7A6F1E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以上检测结果均符合。</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E5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F5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DT-ZJT20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56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86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5B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75000.00 </w:t>
            </w:r>
          </w:p>
        </w:tc>
      </w:tr>
      <w:tr w14:paraId="25181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AB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E7D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学生多功能电源</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8E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学生多功能电源外壳正面呈“三部分”布局，左右各集成交直流低压电源输出和功能性按钮，中间集成总电源保险装置、急停旋钮以及USB接口。外壳两侧各配有五孔高压插座。外壳底部配有网络接口、给排水接口和上排水的供电接口。</w:t>
            </w:r>
          </w:p>
          <w:p w14:paraId="0E1D3C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2、技术要求：电源模块外壳采用3.0mm阻燃级材质，模具一体成型，规格245×90×180㎜(±5㎜)。面板基材规格217×137㎜(±5㎜)。面纸采用耐磨、耐腐蚀、耐高温的PC亮光薄膜面板，界面文字清晰美观。</w:t>
            </w:r>
          </w:p>
          <w:p w14:paraId="646556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学生电源信息显示屏，采用1.8寸彩色TFT，配合高速MCU可流畅显示GUI，四路多功能轻触开关为控制主体，在不同状态下实现不同功能，具体详细参数如下：</w:t>
            </w:r>
          </w:p>
          <w:p w14:paraId="322FBB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⑴交流电源：输出0-30V交流，分辨率为1V，电流实时显示，显示分辨率为0.01A，具备过流短路保护。</w:t>
            </w:r>
          </w:p>
          <w:p w14:paraId="3C2865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⑵直流电源：输出0-30V直流，分辨率为0.1V，电流实时显示，显示分辨率为0.01A，具备过流短路保护。</w:t>
            </w:r>
          </w:p>
          <w:p w14:paraId="583394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⑶过载保护：当低压电源有过流或短路时，电路实现过载保护功能，此时界面提示过载，且有声音提示，随后应检查实验电路或负载是否正确，排除问题后可按任意按键实现电源复位。</w:t>
            </w:r>
          </w:p>
          <w:p w14:paraId="08F989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锁定功能：电源可以由学生自行单独操作，也可由老师电源独立控制。当老师锁定学生电源后，界面提示锁定，此时学生按键设计电压功能都将失效，且有声音提示，表示电源已被锁定，只能由教师电源控制，解锁时按键功能恢复正常。</w:t>
            </w:r>
          </w:p>
          <w:p w14:paraId="233271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⑸电子举手：当老师有提问时，界面可显示老师提问状态，可选择性举手，老师可在主控端实时显示学生举手状态及位置。</w:t>
            </w:r>
          </w:p>
          <w:p w14:paraId="1D0ADD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⑹一个急停旋钮:蘑菇按键头φ31㎜,材料铝氧化红色；外壳为304不锈钢材质，耐腐蚀、耐温、阻燃、长寿命；高机械寿命，防止在操作实验过程中水、电出现故障时紧急制动及摇臂升降过程紧急制动，确保操作安全可靠性。</w:t>
            </w:r>
          </w:p>
          <w:p w14:paraId="5241B5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⑺操作端正面设有一组总电源保险装置、二组USB接口。</w:t>
            </w:r>
          </w:p>
          <w:p w14:paraId="50172D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⑻外壳底部配有两组RJ45网络模块接口。</w:t>
            </w:r>
          </w:p>
          <w:p w14:paraId="45FB15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⑼外壳底部集成一对给排水快速接口和上排水的供电接口。二次保护：当摇臂升起时，电源盒上还有未断开的线路或水管时，将会有语音提示播报，等待线路或水管拔除后，摇臂将再次自动升起，教师端无需二次操作。</w:t>
            </w:r>
          </w:p>
          <w:p w14:paraId="07D53B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⑽外壳左右两侧各配有：两组五孔多功能220V安全插座，插口带保护门，额定电流10A。</w:t>
            </w:r>
          </w:p>
          <w:p w14:paraId="03B3A6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⑾自由编号:可自行按教室划分编号,编号可独立使用，也可统一，独立使用时教师端可进行每台的单独控制而不影响其它电源的使用。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60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5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DT-DKX1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99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58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2E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8060.00 </w:t>
            </w:r>
          </w:p>
        </w:tc>
      </w:tr>
      <w:tr w14:paraId="43363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4A7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F78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学生电源交换机</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FB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1、通讯控制单元：由通讯总线接收总控单元的各种命令，来执行各种动作。</w:t>
            </w:r>
          </w:p>
          <w:p w14:paraId="1D76FA8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2、摇臂控制单元：采用闭环控制由上、下限检测开关控制。</w:t>
            </w:r>
          </w:p>
          <w:p w14:paraId="17ABCB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3、低压供电单元：直流电源采用硬件，软件双重保护。交流电源采用隔离检测保护电路，</w:t>
            </w:r>
          </w:p>
          <w:p w14:paraId="2DBB88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4、高压供电单元：漏电保护，急停停止电路。</w:t>
            </w:r>
          </w:p>
          <w:p w14:paraId="4F54B3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5、供水控制单元：水位检测来控制电机启停，实时排水。</w:t>
            </w:r>
          </w:p>
          <w:p w14:paraId="3B0211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6、照明控制单元：远程开启关闭。</w:t>
            </w:r>
          </w:p>
          <w:p w14:paraId="67B88A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7、内置独立140VA隔离电源变压器，分组控制学生端低压输出，带分组接线口。</w:t>
            </w:r>
          </w:p>
          <w:p w14:paraId="2AF888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8、状态指示单元：各种状态指示，便于安装调试，维修。</w:t>
            </w:r>
          </w:p>
          <w:p w14:paraId="2CB871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语音提示:教师可自由设置是否有语音播报。播报内容包括但不限以下提示：电压设置、照明状态、风速信息、摇臂信息等提示信息。当即将到达定时关机时间时，会有语音提示。并预留给教师时间处理断电前的数据保存与整理工作，防止计算机或电脑断电导致数据丢失。</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CF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C9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DT-JHJ20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8B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16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AB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15200.00 </w:t>
            </w:r>
          </w:p>
        </w:tc>
      </w:tr>
      <w:tr w14:paraId="04D62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F2F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E5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灯光照明装置</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209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1、照明灯光模块；规格：1200×72㎜，2个LED吸顶，每组内置2条功率24V标准LED灯带，外罩由铝合金挤压型材，表面经环氧树脂粉末喷涂高温固化处理。</w:t>
            </w:r>
          </w:p>
          <w:p w14:paraId="15F7DF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灯板采用2.0㎜厚PC光扩散板，扩大了发光面，使光线变的柔和，达到匀光而又透光，同时满足各种雾度值和透光率的需求。及在保证高透光率，降低光衰的情况下，有着良好的光源遮蔽性效果，符合视觉工效学原则及室内工作场所照明。模块化安装，维修便捷。所有灯光模组由独立控制软件控制，可以根据实际照明需求进行2个模组单个关闭及开启功能。</w:t>
            </w:r>
          </w:p>
          <w:p w14:paraId="559DA1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3、亮度调节：教师端可自由调节灯光亮度，调节范围0-100。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E0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DD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DT-DD213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85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45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F5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2040.00 </w:t>
            </w:r>
          </w:p>
        </w:tc>
      </w:tr>
      <w:tr w14:paraId="4D6A3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0ED493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四、给排水设备</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76091E7A">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2665EDE8">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7BA9A">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FE84E">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4123">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DDFD0">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B2374">
            <w:pPr>
              <w:jc w:val="center"/>
              <w:rPr>
                <w:rFonts w:hint="eastAsia" w:ascii="宋体" w:hAnsi="宋体" w:eastAsia="宋体" w:cs="宋体"/>
                <w:i w:val="0"/>
                <w:iCs w:val="0"/>
                <w:color w:val="000000"/>
                <w:sz w:val="20"/>
                <w:szCs w:val="20"/>
                <w:u w:val="none"/>
              </w:rPr>
            </w:pPr>
          </w:p>
        </w:tc>
      </w:tr>
      <w:tr w14:paraId="114DC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634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2E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移动水槽（含滴水架、水嘴）</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B8B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5F9FBB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槽滴水架一体化无缝链接成型、柜体、下柜三段组合式结构；整体规格500×600×1080㎜(±10㎜)，水槽面部下沉式构造，水槽台面设有预留安装紧急洗眼器、洗手液瓶、三联水嘴预留孔，水槽内部设有一个防溢水口，底部有三级滤网，柜体左右两侧设有把手位，底座带有可调脚。</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8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1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DT-SC1080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27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FB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3B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15444.00 </w:t>
            </w:r>
          </w:p>
        </w:tc>
      </w:tr>
      <w:tr w14:paraId="5F449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A0D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1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废水自动排水设备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C1D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1、废水储水箱，采用材料PE聚乙烯，注塑模具一次成型，无臭无毒、耐强酸碱、抗老化。废水储存箱配有内置防臭芯，防止废气与废水倒灌。</w:t>
            </w:r>
          </w:p>
          <w:p w14:paraId="0291DB5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2、废水箱内装防腐水位控制器液位开关，传感器检测到放水水位是会自动开启排水功能。</w:t>
            </w:r>
          </w:p>
          <w:p w14:paraId="51F796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耐酸碱环保增压水泵，外壳材料：PPS+PA66，功率40W，工作电压24V，流量10L/MIN，最大静态扬程8M；噪音&lt;40dB；无毒、无味、无重金属，符合饮用水标准，具有缺水保护、空转保护、堵转保护、卡死保护、防漏电、防腐蚀、防空转，自带止回阀等功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B7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84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DT-FST30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A5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32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56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10120.00 </w:t>
            </w:r>
          </w:p>
        </w:tc>
      </w:tr>
      <w:tr w14:paraId="04333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DDA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36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台式单口紧急洗眼器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9D9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1、台面安装方式，平时放置于台面，紧急使用时可随意抽起，使用方便。</w:t>
            </w:r>
          </w:p>
          <w:p w14:paraId="0FE677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2、洗眼喷头：具有过滤泡棉及防尘功能，上面防尘盖平常可防尘，使用时可随时被水冲开，并降低突然打开时短暂的高水压，避免冲伤眼睛。</w:t>
            </w:r>
          </w:p>
          <w:p w14:paraId="57EAFC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3、控水阀采用黄铜制作，经高亮度环氧树脂涂层处理，外观美观大方，阀门可自动关闭，密封可靠。</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15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希诗顿</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D3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XSD-7715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3E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B6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A6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363.00 </w:t>
            </w:r>
          </w:p>
        </w:tc>
      </w:tr>
      <w:tr w14:paraId="74E86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08FEC0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五、种植区</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5D4A1D55">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4160686E">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64D09">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CF97C">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49E96">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8AEC2">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D2E1E">
            <w:pPr>
              <w:jc w:val="center"/>
              <w:rPr>
                <w:rFonts w:hint="eastAsia" w:ascii="宋体" w:hAnsi="宋体" w:eastAsia="宋体" w:cs="宋体"/>
                <w:i w:val="0"/>
                <w:iCs w:val="0"/>
                <w:color w:val="000000"/>
                <w:sz w:val="20"/>
                <w:szCs w:val="20"/>
                <w:u w:val="none"/>
              </w:rPr>
            </w:pPr>
          </w:p>
        </w:tc>
      </w:tr>
      <w:tr w14:paraId="5231C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CDA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928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立体种植</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A860">
            <w:pPr>
              <w:keepNext w:val="0"/>
              <w:keepLines w:val="0"/>
              <w:widowControl/>
              <w:suppressLineNumbers w:val="0"/>
              <w:jc w:val="left"/>
              <w:textAlignment w:val="center"/>
              <w:rPr>
                <w:rStyle w:val="9"/>
                <w:lang w:val="en-US" w:eastAsia="zh-CN" w:bidi="ar"/>
              </w:rPr>
            </w:pPr>
            <w:r>
              <w:rPr>
                <w:rStyle w:val="9"/>
                <w:lang w:val="en-US" w:eastAsia="zh-CN" w:bidi="ar"/>
              </w:rPr>
              <w:t>1 基础性能参数</w:t>
            </w:r>
          </w:p>
          <w:p w14:paraId="40940897">
            <w:pPr>
              <w:keepNext w:val="0"/>
              <w:keepLines w:val="0"/>
              <w:widowControl/>
              <w:suppressLineNumbers w:val="0"/>
              <w:jc w:val="left"/>
              <w:textAlignment w:val="center"/>
              <w:rPr>
                <w:rStyle w:val="9"/>
                <w:lang w:val="en-US" w:eastAsia="zh-CN" w:bidi="ar"/>
              </w:rPr>
            </w:pPr>
            <w:r>
              <w:rPr>
                <w:rStyle w:val="9"/>
                <w:lang w:val="en-US" w:eastAsia="zh-CN" w:bidi="ar"/>
              </w:rPr>
              <w:t>① 输入电压：应符合AC 220V±10%（50/60Hz）标准</w:t>
            </w:r>
          </w:p>
          <w:p w14:paraId="4558518F">
            <w:pPr>
              <w:keepNext w:val="0"/>
              <w:keepLines w:val="0"/>
              <w:widowControl/>
              <w:suppressLineNumbers w:val="0"/>
              <w:jc w:val="left"/>
              <w:textAlignment w:val="center"/>
              <w:rPr>
                <w:rStyle w:val="9"/>
                <w:lang w:val="en-US" w:eastAsia="zh-CN" w:bidi="ar"/>
              </w:rPr>
            </w:pPr>
            <w:r>
              <w:rPr>
                <w:rStyle w:val="9"/>
                <w:lang w:val="en-US" w:eastAsia="zh-CN" w:bidi="ar"/>
              </w:rPr>
              <w:t>② 额定功率：应满足≤150W要求</w:t>
            </w:r>
          </w:p>
          <w:p w14:paraId="3073E636">
            <w:pPr>
              <w:keepNext w:val="0"/>
              <w:keepLines w:val="0"/>
              <w:widowControl/>
              <w:suppressLineNumbers w:val="0"/>
              <w:jc w:val="left"/>
              <w:textAlignment w:val="center"/>
              <w:rPr>
                <w:rStyle w:val="9"/>
                <w:lang w:val="en-US" w:eastAsia="zh-CN" w:bidi="ar"/>
              </w:rPr>
            </w:pPr>
            <w:r>
              <w:rPr>
                <w:rStyle w:val="9"/>
                <w:lang w:val="en-US" w:eastAsia="zh-CN" w:bidi="ar"/>
              </w:rPr>
              <w:t>2 种植参数</w:t>
            </w:r>
          </w:p>
          <w:p w14:paraId="74DE547B">
            <w:pPr>
              <w:keepNext w:val="0"/>
              <w:keepLines w:val="0"/>
              <w:widowControl/>
              <w:suppressLineNumbers w:val="0"/>
              <w:jc w:val="left"/>
              <w:textAlignment w:val="center"/>
              <w:rPr>
                <w:rStyle w:val="9"/>
                <w:lang w:val="en-US" w:eastAsia="zh-CN" w:bidi="ar"/>
              </w:rPr>
            </w:pPr>
            <w:r>
              <w:rPr>
                <w:rStyle w:val="9"/>
                <w:lang w:val="en-US" w:eastAsia="zh-CN" w:bidi="ar"/>
              </w:rPr>
              <w:t>① 架构设计：应采用四层立体架构，提升空间利用率</w:t>
            </w:r>
          </w:p>
          <w:p w14:paraId="38205E74">
            <w:pPr>
              <w:keepNext w:val="0"/>
              <w:keepLines w:val="0"/>
              <w:widowControl/>
              <w:suppressLineNumbers w:val="0"/>
              <w:jc w:val="left"/>
              <w:textAlignment w:val="center"/>
              <w:rPr>
                <w:rStyle w:val="9"/>
                <w:lang w:val="en-US" w:eastAsia="zh-CN" w:bidi="ar"/>
              </w:rPr>
            </w:pPr>
            <w:r>
              <w:rPr>
                <w:rStyle w:val="9"/>
                <w:lang w:val="en-US" w:eastAsia="zh-CN" w:bidi="ar"/>
              </w:rPr>
              <w:t>② 循环：应实现水分养分高效输送，为植物生长提供稳定支持</w:t>
            </w:r>
          </w:p>
          <w:p w14:paraId="09D14399">
            <w:pPr>
              <w:keepNext w:val="0"/>
              <w:keepLines w:val="0"/>
              <w:widowControl/>
              <w:suppressLineNumbers w:val="0"/>
              <w:jc w:val="left"/>
              <w:textAlignment w:val="center"/>
              <w:rPr>
                <w:rStyle w:val="9"/>
                <w:lang w:val="en-US" w:eastAsia="zh-CN" w:bidi="ar"/>
              </w:rPr>
            </w:pPr>
            <w:r>
              <w:rPr>
                <w:rStyle w:val="9"/>
                <w:lang w:val="en-US" w:eastAsia="zh-CN" w:bidi="ar"/>
              </w:rPr>
              <w:t>③ 移动功能：应搭配移动滚轮，方便调整位置，增强使用灵活性</w:t>
            </w:r>
          </w:p>
          <w:p w14:paraId="3934F20C">
            <w:pPr>
              <w:keepNext w:val="0"/>
              <w:keepLines w:val="0"/>
              <w:widowControl/>
              <w:suppressLineNumbers w:val="0"/>
              <w:jc w:val="left"/>
              <w:textAlignment w:val="center"/>
              <w:rPr>
                <w:rStyle w:val="9"/>
                <w:lang w:val="en-US" w:eastAsia="zh-CN" w:bidi="ar"/>
              </w:rPr>
            </w:pPr>
            <w:r>
              <w:rPr>
                <w:rStyle w:val="9"/>
                <w:lang w:val="en-US" w:eastAsia="zh-CN" w:bidi="ar"/>
              </w:rPr>
              <w:t>④ 种植效率：立体多层垂直架构，种植效率应提升3-5倍</w:t>
            </w:r>
          </w:p>
          <w:p w14:paraId="769A52B2">
            <w:pPr>
              <w:keepNext w:val="0"/>
              <w:keepLines w:val="0"/>
              <w:widowControl/>
              <w:suppressLineNumbers w:val="0"/>
              <w:jc w:val="left"/>
              <w:textAlignment w:val="center"/>
              <w:rPr>
                <w:rStyle w:val="9"/>
                <w:lang w:val="en-US" w:eastAsia="zh-CN" w:bidi="ar"/>
              </w:rPr>
            </w:pPr>
            <w:r>
              <w:rPr>
                <w:rStyle w:val="9"/>
                <w:lang w:val="en-US" w:eastAsia="zh-CN" w:bidi="ar"/>
              </w:rPr>
              <w:t>⑤ 水循环：应采用重力驱动+水泵，湿度传感调控，水分利用率应达到95%</w:t>
            </w:r>
          </w:p>
          <w:p w14:paraId="4C12E0D1">
            <w:pPr>
              <w:keepNext w:val="0"/>
              <w:keepLines w:val="0"/>
              <w:widowControl/>
              <w:suppressLineNumbers w:val="0"/>
              <w:jc w:val="left"/>
              <w:textAlignment w:val="center"/>
              <w:rPr>
                <w:rStyle w:val="9"/>
                <w:lang w:val="en-US" w:eastAsia="zh-CN" w:bidi="ar"/>
              </w:rPr>
            </w:pPr>
            <w:r>
              <w:rPr>
                <w:rStyle w:val="9"/>
                <w:lang w:val="en-US" w:eastAsia="zh-CN" w:bidi="ar"/>
              </w:rPr>
              <w:t>⑥ 光谱优化：可调光谱LED矩阵，光强传感+生长算法优化光谱时长，光合效率应提升40%</w:t>
            </w:r>
          </w:p>
          <w:p w14:paraId="164637F6">
            <w:pPr>
              <w:keepNext w:val="0"/>
              <w:keepLines w:val="0"/>
              <w:widowControl/>
              <w:suppressLineNumbers w:val="0"/>
              <w:jc w:val="left"/>
              <w:textAlignment w:val="center"/>
              <w:rPr>
                <w:rStyle w:val="9"/>
                <w:lang w:val="en-US" w:eastAsia="zh-CN" w:bidi="ar"/>
              </w:rPr>
            </w:pPr>
            <w:r>
              <w:rPr>
                <w:rStyle w:val="9"/>
                <w:lang w:val="en-US" w:eastAsia="zh-CN" w:bidi="ar"/>
              </w:rPr>
              <w:t>3 结构与材质参数</w:t>
            </w:r>
          </w:p>
          <w:p w14:paraId="439EAA45">
            <w:pPr>
              <w:keepNext w:val="0"/>
              <w:keepLines w:val="0"/>
              <w:widowControl/>
              <w:suppressLineNumbers w:val="0"/>
              <w:jc w:val="left"/>
              <w:textAlignment w:val="center"/>
              <w:rPr>
                <w:rStyle w:val="9"/>
                <w:lang w:val="en-US" w:eastAsia="zh-CN" w:bidi="ar"/>
              </w:rPr>
            </w:pPr>
            <w:r>
              <w:rPr>
                <w:rStyle w:val="9"/>
                <w:lang w:val="en-US" w:eastAsia="zh-CN" w:bidi="ar"/>
              </w:rPr>
              <w:t>① 设备尺寸：应满足高157cm×长60cm×宽31cm要求</w:t>
            </w:r>
          </w:p>
          <w:p w14:paraId="27C8BD04">
            <w:pPr>
              <w:keepNext w:val="0"/>
              <w:keepLines w:val="0"/>
              <w:widowControl/>
              <w:suppressLineNumbers w:val="0"/>
              <w:jc w:val="left"/>
              <w:textAlignment w:val="center"/>
              <w:rPr>
                <w:rStyle w:val="9"/>
                <w:lang w:val="en-US" w:eastAsia="zh-CN" w:bidi="ar"/>
              </w:rPr>
            </w:pPr>
            <w:r>
              <w:rPr>
                <w:rStyle w:val="9"/>
                <w:lang w:val="en-US" w:eastAsia="zh-CN" w:bidi="ar"/>
              </w:rPr>
              <w:t>② 材质要求：应选用食品级环保材质，具备防水防锈耐腐蚀特性</w:t>
            </w:r>
          </w:p>
          <w:p w14:paraId="261F917C">
            <w:pPr>
              <w:keepNext w:val="0"/>
              <w:keepLines w:val="0"/>
              <w:widowControl/>
              <w:suppressLineNumbers w:val="0"/>
              <w:jc w:val="left"/>
              <w:textAlignment w:val="center"/>
              <w:rPr>
                <w:rStyle w:val="9"/>
                <w:lang w:val="en-US" w:eastAsia="zh-CN" w:bidi="ar"/>
              </w:rPr>
            </w:pPr>
            <w:r>
              <w:rPr>
                <w:rStyle w:val="9"/>
                <w:lang w:val="en-US" w:eastAsia="zh-CN" w:bidi="ar"/>
              </w:rPr>
              <w:t>③ 结构设计：四层立体循环种植架，带移动滚轮</w:t>
            </w:r>
          </w:p>
          <w:p w14:paraId="15236B53">
            <w:pPr>
              <w:keepNext w:val="0"/>
              <w:keepLines w:val="0"/>
              <w:widowControl/>
              <w:suppressLineNumbers w:val="0"/>
              <w:jc w:val="left"/>
              <w:textAlignment w:val="center"/>
              <w:rPr>
                <w:rStyle w:val="9"/>
                <w:lang w:val="en-US" w:eastAsia="zh-CN" w:bidi="ar"/>
              </w:rPr>
            </w:pPr>
            <w:r>
              <w:rPr>
                <w:rStyle w:val="9"/>
                <w:lang w:val="en-US" w:eastAsia="zh-CN" w:bidi="ar"/>
              </w:rPr>
              <w:t>4 交互</w:t>
            </w:r>
          </w:p>
          <w:p w14:paraId="5352AA06">
            <w:pPr>
              <w:keepNext w:val="0"/>
              <w:keepLines w:val="0"/>
              <w:widowControl/>
              <w:suppressLineNumbers w:val="0"/>
              <w:jc w:val="left"/>
              <w:textAlignment w:val="center"/>
              <w:rPr>
                <w:rStyle w:val="9"/>
                <w:lang w:val="en-US" w:eastAsia="zh-CN" w:bidi="ar"/>
              </w:rPr>
            </w:pPr>
            <w:r>
              <w:rPr>
                <w:rStyle w:val="9"/>
                <w:lang w:val="en-US" w:eastAsia="zh-CN" w:bidi="ar"/>
              </w:rPr>
              <w:t>① 触控屏：应配备7寸电容触摸屏，分辨率1024×600</w:t>
            </w:r>
          </w:p>
          <w:p w14:paraId="562E46F5">
            <w:pPr>
              <w:keepNext w:val="0"/>
              <w:keepLines w:val="0"/>
              <w:widowControl/>
              <w:suppressLineNumbers w:val="0"/>
              <w:jc w:val="left"/>
              <w:textAlignment w:val="center"/>
              <w:rPr>
                <w:rStyle w:val="9"/>
                <w:lang w:val="en-US" w:eastAsia="zh-CN" w:bidi="ar"/>
              </w:rPr>
            </w:pPr>
            <w:r>
              <w:rPr>
                <w:rStyle w:val="9"/>
                <w:lang w:val="en-US" w:eastAsia="zh-CN" w:bidi="ar"/>
              </w:rPr>
              <w:t>② 显示功能：应实时显示温湿度、光照强度、设备状态等数据</w:t>
            </w:r>
          </w:p>
          <w:p w14:paraId="5EB3BE7F">
            <w:pPr>
              <w:keepNext w:val="0"/>
              <w:keepLines w:val="0"/>
              <w:widowControl/>
              <w:suppressLineNumbers w:val="0"/>
              <w:jc w:val="left"/>
              <w:textAlignment w:val="center"/>
              <w:rPr>
                <w:rStyle w:val="9"/>
                <w:lang w:val="en-US" w:eastAsia="zh-CN" w:bidi="ar"/>
              </w:rPr>
            </w:pPr>
            <w:r>
              <w:rPr>
                <w:rStyle w:val="9"/>
                <w:lang w:val="en-US" w:eastAsia="zh-CN" w:bidi="ar"/>
              </w:rPr>
              <w:t>③ 远程控制：应支持通过远程APP调节，也支持平台控制</w:t>
            </w:r>
          </w:p>
          <w:p w14:paraId="5640D174">
            <w:pPr>
              <w:keepNext w:val="0"/>
              <w:keepLines w:val="0"/>
              <w:widowControl/>
              <w:suppressLineNumbers w:val="0"/>
              <w:jc w:val="left"/>
              <w:textAlignment w:val="center"/>
              <w:rPr>
                <w:rStyle w:val="9"/>
                <w:lang w:val="en-US" w:eastAsia="zh-CN" w:bidi="ar"/>
              </w:rPr>
            </w:pPr>
            <w:r>
              <w:rPr>
                <w:rStyle w:val="9"/>
                <w:lang w:val="en-US" w:eastAsia="zh-CN" w:bidi="ar"/>
              </w:rPr>
              <w:t>④ 分组管理：应支持按植物种类、生长阶段分组管理</w:t>
            </w:r>
          </w:p>
          <w:p w14:paraId="082CFDDA">
            <w:pPr>
              <w:keepNext w:val="0"/>
              <w:keepLines w:val="0"/>
              <w:widowControl/>
              <w:suppressLineNumbers w:val="0"/>
              <w:jc w:val="left"/>
              <w:textAlignment w:val="center"/>
              <w:rPr>
                <w:rStyle w:val="9"/>
                <w:lang w:val="en-US" w:eastAsia="zh-CN" w:bidi="ar"/>
              </w:rPr>
            </w:pPr>
            <w:r>
              <w:rPr>
                <w:rStyle w:val="9"/>
                <w:lang w:val="en-US" w:eastAsia="zh-CN" w:bidi="ar"/>
              </w:rPr>
              <w:t>⑤ 联动调节：应联动调节光照周期、营养液循环频率等参数</w:t>
            </w:r>
          </w:p>
          <w:p w14:paraId="2F8E69AF">
            <w:pPr>
              <w:keepNext w:val="0"/>
              <w:keepLines w:val="0"/>
              <w:widowControl/>
              <w:suppressLineNumbers w:val="0"/>
              <w:jc w:val="left"/>
              <w:textAlignment w:val="center"/>
              <w:rPr>
                <w:rStyle w:val="9"/>
                <w:lang w:val="en-US" w:eastAsia="zh-CN" w:bidi="ar"/>
              </w:rPr>
            </w:pPr>
            <w:r>
              <w:rPr>
                <w:rStyle w:val="9"/>
                <w:lang w:val="en-US" w:eastAsia="zh-CN" w:bidi="ar"/>
              </w:rPr>
              <w:t>5 灯光管理</w:t>
            </w:r>
          </w:p>
          <w:p w14:paraId="4ACACD48">
            <w:pPr>
              <w:keepNext w:val="0"/>
              <w:keepLines w:val="0"/>
              <w:widowControl/>
              <w:suppressLineNumbers w:val="0"/>
              <w:jc w:val="left"/>
              <w:textAlignment w:val="center"/>
              <w:rPr>
                <w:rStyle w:val="9"/>
                <w:lang w:val="en-US" w:eastAsia="zh-CN" w:bidi="ar"/>
              </w:rPr>
            </w:pPr>
            <w:r>
              <w:rPr>
                <w:rStyle w:val="9"/>
                <w:lang w:val="en-US" w:eastAsia="zh-CN" w:bidi="ar"/>
              </w:rPr>
              <w:t>① 光周期调节：应支持光周期调节，包含7种预设模式+自定义编程</w:t>
            </w:r>
          </w:p>
          <w:p w14:paraId="03508A48">
            <w:pPr>
              <w:keepNext w:val="0"/>
              <w:keepLines w:val="0"/>
              <w:widowControl/>
              <w:suppressLineNumbers w:val="0"/>
              <w:jc w:val="left"/>
              <w:textAlignment w:val="center"/>
              <w:rPr>
                <w:rStyle w:val="9"/>
                <w:lang w:val="en-US" w:eastAsia="zh-CN" w:bidi="ar"/>
              </w:rPr>
            </w:pPr>
            <w:r>
              <w:rPr>
                <w:rStyle w:val="9"/>
                <w:lang w:val="en-US" w:eastAsia="zh-CN" w:bidi="ar"/>
              </w:rPr>
              <w:t>② 模式切换：应支持生长/开花模式切换</w:t>
            </w:r>
          </w:p>
          <w:p w14:paraId="3F2F9D90">
            <w:pPr>
              <w:keepNext w:val="0"/>
              <w:keepLines w:val="0"/>
              <w:widowControl/>
              <w:suppressLineNumbers w:val="0"/>
              <w:jc w:val="left"/>
              <w:textAlignment w:val="center"/>
              <w:rPr>
                <w:rStyle w:val="9"/>
                <w:lang w:val="en-US" w:eastAsia="zh-CN" w:bidi="ar"/>
              </w:rPr>
            </w:pPr>
            <w:r>
              <w:rPr>
                <w:rStyle w:val="9"/>
                <w:lang w:val="en-US" w:eastAsia="zh-CN" w:bidi="ar"/>
              </w:rPr>
              <w:t>③ 调节：高温时应自动降低光强，高湿时应开启通风</w:t>
            </w:r>
          </w:p>
          <w:p w14:paraId="5D6BA782">
            <w:pPr>
              <w:keepNext w:val="0"/>
              <w:keepLines w:val="0"/>
              <w:widowControl/>
              <w:suppressLineNumbers w:val="0"/>
              <w:jc w:val="left"/>
              <w:textAlignment w:val="center"/>
              <w:rPr>
                <w:rStyle w:val="9"/>
                <w:lang w:val="en-US" w:eastAsia="zh-CN" w:bidi="ar"/>
              </w:rPr>
            </w:pPr>
            <w:r>
              <w:rPr>
                <w:rStyle w:val="9"/>
                <w:lang w:val="en-US" w:eastAsia="zh-CN" w:bidi="ar"/>
              </w:rPr>
              <w:t>④ 光源功率：单组光源功率应满足≥18W要求</w:t>
            </w:r>
          </w:p>
          <w:p w14:paraId="2A044C5E">
            <w:pPr>
              <w:keepNext w:val="0"/>
              <w:keepLines w:val="0"/>
              <w:widowControl/>
              <w:suppressLineNumbers w:val="0"/>
              <w:jc w:val="left"/>
              <w:textAlignment w:val="center"/>
              <w:rPr>
                <w:rStyle w:val="9"/>
                <w:lang w:val="en-US" w:eastAsia="zh-CN" w:bidi="ar"/>
              </w:rPr>
            </w:pPr>
            <w:r>
              <w:rPr>
                <w:rStyle w:val="9"/>
                <w:lang w:val="en-US" w:eastAsia="zh-CN" w:bidi="ar"/>
              </w:rPr>
              <w:t>6 光照参数</w:t>
            </w:r>
          </w:p>
          <w:p w14:paraId="2E6E3F57">
            <w:pPr>
              <w:keepNext w:val="0"/>
              <w:keepLines w:val="0"/>
              <w:widowControl/>
              <w:suppressLineNumbers w:val="0"/>
              <w:jc w:val="left"/>
              <w:textAlignment w:val="center"/>
              <w:rPr>
                <w:rStyle w:val="9"/>
                <w:lang w:val="en-US" w:eastAsia="zh-CN" w:bidi="ar"/>
              </w:rPr>
            </w:pPr>
            <w:r>
              <w:rPr>
                <w:rStyle w:val="9"/>
                <w:lang w:val="en-US" w:eastAsia="zh-CN" w:bidi="ar"/>
              </w:rPr>
              <w:t>① 光谱设计：应采用4000K增效光，精准配比蓝绿红光谱</w:t>
            </w:r>
          </w:p>
          <w:p w14:paraId="2C00ECD6">
            <w:pPr>
              <w:keepNext w:val="0"/>
              <w:keepLines w:val="0"/>
              <w:widowControl/>
              <w:suppressLineNumbers w:val="0"/>
              <w:jc w:val="left"/>
              <w:textAlignment w:val="center"/>
              <w:rPr>
                <w:rStyle w:val="9"/>
                <w:lang w:val="en-US" w:eastAsia="zh-CN" w:bidi="ar"/>
              </w:rPr>
            </w:pPr>
            <w:r>
              <w:rPr>
                <w:rStyle w:val="9"/>
                <w:lang w:val="en-US" w:eastAsia="zh-CN" w:bidi="ar"/>
              </w:rPr>
              <w:t>② 效果提升：实验证明可提升叶菜VC含量30%+，适合有机蔬菜种植</w:t>
            </w:r>
          </w:p>
          <w:p w14:paraId="5534D54A">
            <w:pPr>
              <w:keepNext w:val="0"/>
              <w:keepLines w:val="0"/>
              <w:widowControl/>
              <w:suppressLineNumbers w:val="0"/>
              <w:jc w:val="left"/>
              <w:textAlignment w:val="center"/>
              <w:rPr>
                <w:rStyle w:val="9"/>
                <w:lang w:val="en-US" w:eastAsia="zh-CN" w:bidi="ar"/>
              </w:rPr>
            </w:pPr>
            <w:r>
              <w:rPr>
                <w:rStyle w:val="9"/>
                <w:lang w:val="en-US" w:eastAsia="zh-CN" w:bidi="ar"/>
              </w:rPr>
              <w:t>③ 抗病功能：粉红抗病光580-620nm光谱应抑制真菌菌丝（抑制率65%）</w:t>
            </w:r>
          </w:p>
          <w:p w14:paraId="677BED2C">
            <w:pPr>
              <w:keepNext w:val="0"/>
              <w:keepLines w:val="0"/>
              <w:widowControl/>
              <w:suppressLineNumbers w:val="0"/>
              <w:jc w:val="left"/>
              <w:textAlignment w:val="center"/>
              <w:rPr>
                <w:rStyle w:val="9"/>
                <w:lang w:val="en-US" w:eastAsia="zh-CN" w:bidi="ar"/>
              </w:rPr>
            </w:pPr>
            <w:r>
              <w:rPr>
                <w:rStyle w:val="9"/>
                <w:lang w:val="en-US" w:eastAsia="zh-CN" w:bidi="ar"/>
              </w:rPr>
              <w:t>④ 农药减少：配合远红光应减少农药使用30-50%</w:t>
            </w:r>
          </w:p>
          <w:p w14:paraId="4A1C3684">
            <w:pPr>
              <w:keepNext w:val="0"/>
              <w:keepLines w:val="0"/>
              <w:widowControl/>
              <w:suppressLineNumbers w:val="0"/>
              <w:jc w:val="left"/>
              <w:textAlignment w:val="center"/>
              <w:rPr>
                <w:rStyle w:val="9"/>
                <w:lang w:val="en-US" w:eastAsia="zh-CN" w:bidi="ar"/>
              </w:rPr>
            </w:pPr>
            <w:r>
              <w:rPr>
                <w:rStyle w:val="9"/>
                <w:lang w:val="en-US" w:eastAsia="zh-CN" w:bidi="ar"/>
              </w:rPr>
              <w:t>⑤ 光谱优化：全光谱光合光应模拟正午阳光（400-700nm），优化红蓝配比（R/B=2.8:1）</w:t>
            </w:r>
          </w:p>
          <w:p w14:paraId="0293DD63">
            <w:pPr>
              <w:keepNext w:val="0"/>
              <w:keepLines w:val="0"/>
              <w:widowControl/>
              <w:suppressLineNumbers w:val="0"/>
              <w:jc w:val="left"/>
              <w:textAlignment w:val="center"/>
              <w:rPr>
                <w:rStyle w:val="9"/>
                <w:lang w:val="en-US" w:eastAsia="zh-CN" w:bidi="ar"/>
              </w:rPr>
            </w:pPr>
            <w:r>
              <w:rPr>
                <w:rStyle w:val="9"/>
                <w:lang w:val="en-US" w:eastAsia="zh-CN" w:bidi="ar"/>
              </w:rPr>
              <w:t>7 人工</w:t>
            </w:r>
          </w:p>
          <w:p w14:paraId="3EF04404">
            <w:pPr>
              <w:keepNext w:val="0"/>
              <w:keepLines w:val="0"/>
              <w:widowControl/>
              <w:suppressLineNumbers w:val="0"/>
              <w:jc w:val="left"/>
              <w:textAlignment w:val="center"/>
              <w:rPr>
                <w:rStyle w:val="9"/>
                <w:lang w:val="en-US" w:eastAsia="zh-CN" w:bidi="ar"/>
              </w:rPr>
            </w:pPr>
            <w:r>
              <w:rPr>
                <w:rStyle w:val="9"/>
                <w:lang w:val="en-US" w:eastAsia="zh-CN" w:bidi="ar"/>
              </w:rPr>
              <w:t>① 决策功能：应具备决策功能，内置多种植物生长算法</w:t>
            </w:r>
          </w:p>
          <w:p w14:paraId="49D5772F">
            <w:pPr>
              <w:keepNext w:val="0"/>
              <w:keepLines w:val="0"/>
              <w:widowControl/>
              <w:suppressLineNumbers w:val="0"/>
              <w:jc w:val="left"/>
              <w:textAlignment w:val="center"/>
              <w:rPr>
                <w:rStyle w:val="9"/>
                <w:lang w:val="en-US" w:eastAsia="zh-CN" w:bidi="ar"/>
              </w:rPr>
            </w:pPr>
            <w:r>
              <w:rPr>
                <w:rStyle w:val="9"/>
                <w:lang w:val="en-US" w:eastAsia="zh-CN" w:bidi="ar"/>
              </w:rPr>
              <w:t>② 环境参数优化：应支持光照/温湿度/CO</w:t>
            </w:r>
            <w:r>
              <w:rPr>
                <w:rStyle w:val="10"/>
                <w:rFonts w:eastAsia="宋体"/>
                <w:lang w:val="en-US" w:eastAsia="zh-CN" w:bidi="ar"/>
              </w:rPr>
              <w:t>₂</w:t>
            </w:r>
            <w:r>
              <w:rPr>
                <w:rStyle w:val="9"/>
                <w:lang w:val="en-US" w:eastAsia="zh-CN" w:bidi="ar"/>
              </w:rPr>
              <w:t>/EC四维度动态调控</w:t>
            </w:r>
          </w:p>
          <w:p w14:paraId="2ADCCBDF">
            <w:pPr>
              <w:keepNext w:val="0"/>
              <w:keepLines w:val="0"/>
              <w:widowControl/>
              <w:suppressLineNumbers w:val="0"/>
              <w:jc w:val="left"/>
              <w:textAlignment w:val="center"/>
              <w:rPr>
                <w:rStyle w:val="9"/>
                <w:lang w:val="en-US" w:eastAsia="zh-CN" w:bidi="ar"/>
              </w:rPr>
            </w:pPr>
            <w:r>
              <w:rPr>
                <w:rStyle w:val="9"/>
                <w:lang w:val="en-US" w:eastAsia="zh-CN" w:bidi="ar"/>
              </w:rPr>
              <w:t>③ 资源管理：应具备预测性维护功能，实现水泵/滤芯寿命预警</w:t>
            </w:r>
          </w:p>
          <w:p w14:paraId="4D1BEBF4">
            <w:pPr>
              <w:keepNext w:val="0"/>
              <w:keepLines w:val="0"/>
              <w:widowControl/>
              <w:suppressLineNumbers w:val="0"/>
              <w:jc w:val="left"/>
              <w:textAlignment w:val="center"/>
              <w:rPr>
                <w:rStyle w:val="9"/>
                <w:lang w:val="en-US" w:eastAsia="zh-CN" w:bidi="ar"/>
              </w:rPr>
            </w:pPr>
            <w:r>
              <w:rPr>
                <w:rStyle w:val="9"/>
                <w:lang w:val="en-US" w:eastAsia="zh-CN" w:bidi="ar"/>
              </w:rPr>
              <w:t>④ 监测预警：应配备多模态传感器，监测光照强度（0-200klux）、温湿度（-10℃~60℃/10%~95%RH）、EC值（0-5mS/cm）</w:t>
            </w:r>
          </w:p>
          <w:p w14:paraId="0C45857E">
            <w:pPr>
              <w:keepNext w:val="0"/>
              <w:keepLines w:val="0"/>
              <w:widowControl/>
              <w:suppressLineNumbers w:val="0"/>
              <w:jc w:val="left"/>
              <w:textAlignment w:val="center"/>
              <w:rPr>
                <w:rStyle w:val="9"/>
                <w:lang w:val="en-US" w:eastAsia="zh-CN" w:bidi="ar"/>
              </w:rPr>
            </w:pPr>
            <w:r>
              <w:rPr>
                <w:rStyle w:val="9"/>
                <w:lang w:val="en-US" w:eastAsia="zh-CN" w:bidi="ar"/>
              </w:rPr>
              <w:t>⑤ 图像识别：应配备800万像素摄像头+AI病虫害检测功能，准确率应达到≥95%</w:t>
            </w:r>
          </w:p>
          <w:p w14:paraId="420BD05C">
            <w:pPr>
              <w:keepNext w:val="0"/>
              <w:keepLines w:val="0"/>
              <w:widowControl/>
              <w:suppressLineNumbers w:val="0"/>
              <w:jc w:val="left"/>
              <w:textAlignment w:val="center"/>
              <w:rPr>
                <w:rStyle w:val="9"/>
                <w:lang w:val="en-US" w:eastAsia="zh-CN" w:bidi="ar"/>
              </w:rPr>
            </w:pPr>
            <w:r>
              <w:rPr>
                <w:rStyle w:val="9"/>
                <w:lang w:val="en-US" w:eastAsia="zh-CN" w:bidi="ar"/>
              </w:rPr>
              <w:t>⑥ 拍摄：应集成高清延时摄像机，支持植物生长全过程记录，自动生成延时视频</w:t>
            </w:r>
          </w:p>
          <w:p w14:paraId="615E9776">
            <w:pPr>
              <w:keepNext w:val="0"/>
              <w:keepLines w:val="0"/>
              <w:widowControl/>
              <w:suppressLineNumbers w:val="0"/>
              <w:jc w:val="left"/>
              <w:textAlignment w:val="center"/>
              <w:rPr>
                <w:rStyle w:val="9"/>
                <w:lang w:val="en-US" w:eastAsia="zh-CN" w:bidi="ar"/>
              </w:rPr>
            </w:pPr>
            <w:r>
              <w:rPr>
                <w:rStyle w:val="9"/>
                <w:lang w:val="en-US" w:eastAsia="zh-CN" w:bidi="ar"/>
              </w:rPr>
              <w:t>⑦ 异常警报：应通过APP推送/语音播报/短信通知三级预警</w:t>
            </w:r>
          </w:p>
          <w:p w14:paraId="51DE394C">
            <w:pPr>
              <w:keepNext w:val="0"/>
              <w:keepLines w:val="0"/>
              <w:widowControl/>
              <w:suppressLineNumbers w:val="0"/>
              <w:jc w:val="left"/>
              <w:textAlignment w:val="center"/>
              <w:rPr>
                <w:rStyle w:val="9"/>
                <w:lang w:val="en-US" w:eastAsia="zh-CN" w:bidi="ar"/>
              </w:rPr>
            </w:pPr>
            <w:r>
              <w:rPr>
                <w:rStyle w:val="9"/>
                <w:lang w:val="en-US" w:eastAsia="zh-CN" w:bidi="ar"/>
              </w:rPr>
              <w:t>⑧ 交互服务：应具备语音助手功能，支持多种方言，实时生长报告生成</w:t>
            </w:r>
          </w:p>
          <w:p w14:paraId="7CD744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⑨ 多语言交互：应支持多语言语音/文字交互，响应时间&lt;2秒</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BC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34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SSKJ-LTZZ</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62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43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9B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16800.00 </w:t>
            </w:r>
          </w:p>
        </w:tc>
      </w:tr>
      <w:tr w14:paraId="3F8B6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3AD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1B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雾化栽培</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E6F41">
            <w:pPr>
              <w:keepNext w:val="0"/>
              <w:keepLines w:val="0"/>
              <w:widowControl/>
              <w:suppressLineNumbers w:val="0"/>
              <w:jc w:val="left"/>
              <w:textAlignment w:val="center"/>
              <w:rPr>
                <w:rStyle w:val="9"/>
                <w:lang w:val="en-US" w:eastAsia="zh-CN" w:bidi="ar"/>
              </w:rPr>
            </w:pPr>
            <w:r>
              <w:rPr>
                <w:rStyle w:val="9"/>
                <w:lang w:val="en-US" w:eastAsia="zh-CN" w:bidi="ar"/>
              </w:rPr>
              <w:t>1 基础性能参数</w:t>
            </w:r>
          </w:p>
          <w:p w14:paraId="209D84DF">
            <w:pPr>
              <w:keepNext w:val="0"/>
              <w:keepLines w:val="0"/>
              <w:widowControl/>
              <w:suppressLineNumbers w:val="0"/>
              <w:jc w:val="left"/>
              <w:textAlignment w:val="center"/>
              <w:rPr>
                <w:rStyle w:val="9"/>
                <w:lang w:val="en-US" w:eastAsia="zh-CN" w:bidi="ar"/>
              </w:rPr>
            </w:pPr>
            <w:r>
              <w:rPr>
                <w:rStyle w:val="9"/>
                <w:lang w:val="en-US" w:eastAsia="zh-CN" w:bidi="ar"/>
              </w:rPr>
              <w:t>尺寸：长60cm宽40cm高160cm</w:t>
            </w:r>
          </w:p>
          <w:p w14:paraId="2FF188D8">
            <w:pPr>
              <w:keepNext w:val="0"/>
              <w:keepLines w:val="0"/>
              <w:widowControl/>
              <w:suppressLineNumbers w:val="0"/>
              <w:jc w:val="left"/>
              <w:textAlignment w:val="center"/>
              <w:rPr>
                <w:rStyle w:val="9"/>
                <w:lang w:val="en-US" w:eastAsia="zh-CN" w:bidi="ar"/>
              </w:rPr>
            </w:pPr>
            <w:r>
              <w:rPr>
                <w:rStyle w:val="9"/>
                <w:lang w:val="en-US" w:eastAsia="zh-CN" w:bidi="ar"/>
              </w:rPr>
              <w:t>① 输入电压：应符合AC 220V±10%（50/60Hz）标准</w:t>
            </w:r>
          </w:p>
          <w:p w14:paraId="05CCD478">
            <w:pPr>
              <w:keepNext w:val="0"/>
              <w:keepLines w:val="0"/>
              <w:widowControl/>
              <w:suppressLineNumbers w:val="0"/>
              <w:jc w:val="left"/>
              <w:textAlignment w:val="center"/>
              <w:rPr>
                <w:rStyle w:val="9"/>
                <w:lang w:val="en-US" w:eastAsia="zh-CN" w:bidi="ar"/>
              </w:rPr>
            </w:pPr>
            <w:r>
              <w:rPr>
                <w:rStyle w:val="9"/>
                <w:lang w:val="en-US" w:eastAsia="zh-CN" w:bidi="ar"/>
              </w:rPr>
              <w:t>② 额定功率：应满足≤100W要求</w:t>
            </w:r>
          </w:p>
          <w:p w14:paraId="51D607AE">
            <w:pPr>
              <w:keepNext w:val="0"/>
              <w:keepLines w:val="0"/>
              <w:widowControl/>
              <w:suppressLineNumbers w:val="0"/>
              <w:jc w:val="left"/>
              <w:textAlignment w:val="center"/>
              <w:rPr>
                <w:rStyle w:val="9"/>
                <w:lang w:val="en-US" w:eastAsia="zh-CN" w:bidi="ar"/>
              </w:rPr>
            </w:pPr>
            <w:r>
              <w:rPr>
                <w:rStyle w:val="9"/>
                <w:lang w:val="en-US" w:eastAsia="zh-CN" w:bidi="ar"/>
              </w:rPr>
              <w:t>2 种植参数</w:t>
            </w:r>
          </w:p>
          <w:p w14:paraId="75BDCAAA">
            <w:pPr>
              <w:keepNext w:val="0"/>
              <w:keepLines w:val="0"/>
              <w:widowControl/>
              <w:suppressLineNumbers w:val="0"/>
              <w:jc w:val="left"/>
              <w:textAlignment w:val="center"/>
              <w:rPr>
                <w:rStyle w:val="9"/>
                <w:lang w:val="en-US" w:eastAsia="zh-CN" w:bidi="ar"/>
              </w:rPr>
            </w:pPr>
            <w:r>
              <w:rPr>
                <w:rStyle w:val="9"/>
                <w:lang w:val="en-US" w:eastAsia="zh-CN" w:bidi="ar"/>
              </w:rPr>
              <w:t>① 架构设计：应采用垂直4层苗架设计</w:t>
            </w:r>
          </w:p>
          <w:p w14:paraId="67ABEB94">
            <w:pPr>
              <w:keepNext w:val="0"/>
              <w:keepLines w:val="0"/>
              <w:widowControl/>
              <w:suppressLineNumbers w:val="0"/>
              <w:jc w:val="left"/>
              <w:textAlignment w:val="center"/>
              <w:rPr>
                <w:rStyle w:val="9"/>
                <w:lang w:val="en-US" w:eastAsia="zh-CN" w:bidi="ar"/>
              </w:rPr>
            </w:pPr>
            <w:r>
              <w:rPr>
                <w:rStyle w:val="9"/>
                <w:lang w:val="en-US" w:eastAsia="zh-CN" w:bidi="ar"/>
              </w:rPr>
              <w:t>② 控制配置：每组苗架应配置独立控制器</w:t>
            </w:r>
          </w:p>
          <w:p w14:paraId="4AF0038D">
            <w:pPr>
              <w:keepNext w:val="0"/>
              <w:keepLines w:val="0"/>
              <w:widowControl/>
              <w:suppressLineNumbers w:val="0"/>
              <w:jc w:val="left"/>
              <w:textAlignment w:val="center"/>
              <w:rPr>
                <w:rStyle w:val="9"/>
                <w:lang w:val="en-US" w:eastAsia="zh-CN" w:bidi="ar"/>
              </w:rPr>
            </w:pPr>
            <w:r>
              <w:rPr>
                <w:rStyle w:val="9"/>
                <w:lang w:val="en-US" w:eastAsia="zh-CN" w:bidi="ar"/>
              </w:rPr>
              <w:t>③ 分组管理：应支持按植物种类、生长阶段分组管理</w:t>
            </w:r>
          </w:p>
          <w:p w14:paraId="4DD6CB0E">
            <w:pPr>
              <w:keepNext w:val="0"/>
              <w:keepLines w:val="0"/>
              <w:widowControl/>
              <w:suppressLineNumbers w:val="0"/>
              <w:jc w:val="left"/>
              <w:textAlignment w:val="center"/>
              <w:rPr>
                <w:rStyle w:val="9"/>
                <w:lang w:val="en-US" w:eastAsia="zh-CN" w:bidi="ar"/>
              </w:rPr>
            </w:pPr>
            <w:r>
              <w:rPr>
                <w:rStyle w:val="9"/>
                <w:lang w:val="en-US" w:eastAsia="zh-CN" w:bidi="ar"/>
              </w:rPr>
              <w:t>3 栽培技术参数</w:t>
            </w:r>
          </w:p>
          <w:p w14:paraId="196DD93F">
            <w:pPr>
              <w:keepNext w:val="0"/>
              <w:keepLines w:val="0"/>
              <w:widowControl/>
              <w:suppressLineNumbers w:val="0"/>
              <w:jc w:val="left"/>
              <w:textAlignment w:val="center"/>
              <w:rPr>
                <w:rStyle w:val="9"/>
                <w:lang w:val="en-US" w:eastAsia="zh-CN" w:bidi="ar"/>
              </w:rPr>
            </w:pPr>
            <w:r>
              <w:rPr>
                <w:rStyle w:val="9"/>
                <w:lang w:val="en-US" w:eastAsia="zh-CN" w:bidi="ar"/>
              </w:rPr>
              <w:t>① 栽培方式：应采用无土栽培技术</w:t>
            </w:r>
          </w:p>
          <w:p w14:paraId="6DF42F3F">
            <w:pPr>
              <w:keepNext w:val="0"/>
              <w:keepLines w:val="0"/>
              <w:widowControl/>
              <w:suppressLineNumbers w:val="0"/>
              <w:jc w:val="left"/>
              <w:textAlignment w:val="center"/>
              <w:rPr>
                <w:rStyle w:val="9"/>
                <w:lang w:val="en-US" w:eastAsia="zh-CN" w:bidi="ar"/>
              </w:rPr>
            </w:pPr>
            <w:r>
              <w:rPr>
                <w:rStyle w:val="9"/>
                <w:lang w:val="en-US" w:eastAsia="zh-CN" w:bidi="ar"/>
              </w:rPr>
              <w:t>② 营养液：应配备全自动营养液</w:t>
            </w:r>
          </w:p>
          <w:p w14:paraId="0208952E">
            <w:pPr>
              <w:keepNext w:val="0"/>
              <w:keepLines w:val="0"/>
              <w:widowControl/>
              <w:suppressLineNumbers w:val="0"/>
              <w:jc w:val="left"/>
              <w:textAlignment w:val="center"/>
              <w:rPr>
                <w:rStyle w:val="9"/>
                <w:lang w:val="en-US" w:eastAsia="zh-CN" w:bidi="ar"/>
              </w:rPr>
            </w:pPr>
            <w:r>
              <w:rPr>
                <w:rStyle w:val="9"/>
                <w:lang w:val="en-US" w:eastAsia="zh-CN" w:bidi="ar"/>
              </w:rPr>
              <w:t>③ 配方配置：AB双液配方，EC调节精度应达到±0.1mS/cm</w:t>
            </w:r>
          </w:p>
          <w:p w14:paraId="2105BB64">
            <w:pPr>
              <w:keepNext w:val="0"/>
              <w:keepLines w:val="0"/>
              <w:widowControl/>
              <w:suppressLineNumbers w:val="0"/>
              <w:jc w:val="left"/>
              <w:textAlignment w:val="center"/>
              <w:rPr>
                <w:rStyle w:val="9"/>
                <w:lang w:val="en-US" w:eastAsia="zh-CN" w:bidi="ar"/>
              </w:rPr>
            </w:pPr>
            <w:r>
              <w:rPr>
                <w:rStyle w:val="9"/>
                <w:lang w:val="en-US" w:eastAsia="zh-CN" w:bidi="ar"/>
              </w:rPr>
              <w:t>④ pH控制：pH精度应达到±0.1</w:t>
            </w:r>
          </w:p>
          <w:p w14:paraId="2800637D">
            <w:pPr>
              <w:keepNext w:val="0"/>
              <w:keepLines w:val="0"/>
              <w:widowControl/>
              <w:suppressLineNumbers w:val="0"/>
              <w:jc w:val="left"/>
              <w:textAlignment w:val="center"/>
              <w:rPr>
                <w:rStyle w:val="9"/>
                <w:lang w:val="en-US" w:eastAsia="zh-CN" w:bidi="ar"/>
              </w:rPr>
            </w:pPr>
            <w:r>
              <w:rPr>
                <w:rStyle w:val="9"/>
                <w:lang w:val="en-US" w:eastAsia="zh-CN" w:bidi="ar"/>
              </w:rPr>
              <w:t>⑤ 混合箱容量：应不小于100L</w:t>
            </w:r>
          </w:p>
          <w:p w14:paraId="64759F1F">
            <w:pPr>
              <w:keepNext w:val="0"/>
              <w:keepLines w:val="0"/>
              <w:widowControl/>
              <w:suppressLineNumbers w:val="0"/>
              <w:jc w:val="left"/>
              <w:textAlignment w:val="center"/>
              <w:rPr>
                <w:rStyle w:val="9"/>
                <w:lang w:val="en-US" w:eastAsia="zh-CN" w:bidi="ar"/>
              </w:rPr>
            </w:pPr>
            <w:r>
              <w:rPr>
                <w:rStyle w:val="9"/>
                <w:lang w:val="en-US" w:eastAsia="zh-CN" w:bidi="ar"/>
              </w:rPr>
              <w:t>⑥ 配方支持：应支持10种预设配方</w:t>
            </w:r>
          </w:p>
          <w:p w14:paraId="70F3B8BA">
            <w:pPr>
              <w:keepNext w:val="0"/>
              <w:keepLines w:val="0"/>
              <w:widowControl/>
              <w:suppressLineNumbers w:val="0"/>
              <w:jc w:val="left"/>
              <w:textAlignment w:val="center"/>
              <w:rPr>
                <w:rStyle w:val="9"/>
                <w:lang w:val="en-US" w:eastAsia="zh-CN" w:bidi="ar"/>
              </w:rPr>
            </w:pPr>
            <w:r>
              <w:rPr>
                <w:rStyle w:val="9"/>
                <w:lang w:val="en-US" w:eastAsia="zh-CN" w:bidi="ar"/>
              </w:rPr>
              <w:t>⑦ 自动功能：应具备自动补液、循环消毒（紫外线杀菌器）功能</w:t>
            </w:r>
          </w:p>
          <w:p w14:paraId="2AD1A917">
            <w:pPr>
              <w:keepNext w:val="0"/>
              <w:keepLines w:val="0"/>
              <w:widowControl/>
              <w:suppressLineNumbers w:val="0"/>
              <w:jc w:val="left"/>
              <w:textAlignment w:val="center"/>
              <w:rPr>
                <w:rStyle w:val="9"/>
                <w:lang w:val="en-US" w:eastAsia="zh-CN" w:bidi="ar"/>
              </w:rPr>
            </w:pPr>
            <w:r>
              <w:rPr>
                <w:rStyle w:val="9"/>
                <w:lang w:val="en-US" w:eastAsia="zh-CN" w:bidi="ar"/>
              </w:rPr>
              <w:t>⑧ 调配范围：单次调配量应支持100-500L</w:t>
            </w:r>
          </w:p>
          <w:p w14:paraId="6866241C">
            <w:pPr>
              <w:keepNext w:val="0"/>
              <w:keepLines w:val="0"/>
              <w:widowControl/>
              <w:suppressLineNumbers w:val="0"/>
              <w:jc w:val="left"/>
              <w:textAlignment w:val="center"/>
              <w:rPr>
                <w:rStyle w:val="9"/>
                <w:lang w:val="en-US" w:eastAsia="zh-CN" w:bidi="ar"/>
              </w:rPr>
            </w:pPr>
            <w:r>
              <w:rPr>
                <w:rStyle w:val="9"/>
                <w:lang w:val="en-US" w:eastAsia="zh-CN" w:bidi="ar"/>
              </w:rPr>
              <w:t>4 结构与材质参数</w:t>
            </w:r>
          </w:p>
          <w:p w14:paraId="0C2074DC">
            <w:pPr>
              <w:keepNext w:val="0"/>
              <w:keepLines w:val="0"/>
              <w:widowControl/>
              <w:suppressLineNumbers w:val="0"/>
              <w:jc w:val="left"/>
              <w:textAlignment w:val="center"/>
              <w:rPr>
                <w:rStyle w:val="9"/>
                <w:lang w:val="en-US" w:eastAsia="zh-CN" w:bidi="ar"/>
              </w:rPr>
            </w:pPr>
            <w:r>
              <w:rPr>
                <w:rStyle w:val="9"/>
                <w:lang w:val="en-US" w:eastAsia="zh-CN" w:bidi="ar"/>
              </w:rPr>
              <w:t>① 架构设计：应采用垂直4层苗架设计</w:t>
            </w:r>
          </w:p>
          <w:p w14:paraId="083599C3">
            <w:pPr>
              <w:keepNext w:val="0"/>
              <w:keepLines w:val="0"/>
              <w:widowControl/>
              <w:suppressLineNumbers w:val="0"/>
              <w:jc w:val="left"/>
              <w:textAlignment w:val="center"/>
              <w:rPr>
                <w:rStyle w:val="9"/>
                <w:lang w:val="en-US" w:eastAsia="zh-CN" w:bidi="ar"/>
              </w:rPr>
            </w:pPr>
            <w:r>
              <w:rPr>
                <w:rStyle w:val="9"/>
                <w:lang w:val="en-US" w:eastAsia="zh-CN" w:bidi="ar"/>
              </w:rPr>
              <w:t>② 控制配置：每组苗架应配置独立控制器</w:t>
            </w:r>
          </w:p>
          <w:p w14:paraId="778E5234">
            <w:pPr>
              <w:keepNext w:val="0"/>
              <w:keepLines w:val="0"/>
              <w:widowControl/>
              <w:suppressLineNumbers w:val="0"/>
              <w:jc w:val="left"/>
              <w:textAlignment w:val="center"/>
              <w:rPr>
                <w:rStyle w:val="9"/>
                <w:lang w:val="en-US" w:eastAsia="zh-CN" w:bidi="ar"/>
              </w:rPr>
            </w:pPr>
            <w:r>
              <w:rPr>
                <w:rStyle w:val="9"/>
                <w:lang w:val="en-US" w:eastAsia="zh-CN" w:bidi="ar"/>
              </w:rPr>
              <w:t>5 控制</w:t>
            </w:r>
          </w:p>
          <w:p w14:paraId="4AB06921">
            <w:pPr>
              <w:keepNext w:val="0"/>
              <w:keepLines w:val="0"/>
              <w:widowControl/>
              <w:suppressLineNumbers w:val="0"/>
              <w:jc w:val="left"/>
              <w:textAlignment w:val="center"/>
              <w:rPr>
                <w:rStyle w:val="9"/>
                <w:lang w:val="en-US" w:eastAsia="zh-CN" w:bidi="ar"/>
              </w:rPr>
            </w:pPr>
            <w:r>
              <w:rPr>
                <w:rStyle w:val="9"/>
                <w:lang w:val="en-US" w:eastAsia="zh-CN" w:bidi="ar"/>
              </w:rPr>
              <w:t>① 触控屏：应配备7寸电容触摸屏，分辨率1024×600</w:t>
            </w:r>
          </w:p>
          <w:p w14:paraId="3D8D6D87">
            <w:pPr>
              <w:keepNext w:val="0"/>
              <w:keepLines w:val="0"/>
              <w:widowControl/>
              <w:suppressLineNumbers w:val="0"/>
              <w:jc w:val="left"/>
              <w:textAlignment w:val="center"/>
              <w:rPr>
                <w:rStyle w:val="9"/>
                <w:lang w:val="en-US" w:eastAsia="zh-CN" w:bidi="ar"/>
              </w:rPr>
            </w:pPr>
            <w:r>
              <w:rPr>
                <w:rStyle w:val="9"/>
                <w:lang w:val="en-US" w:eastAsia="zh-CN" w:bidi="ar"/>
              </w:rPr>
              <w:t>② 独立控制：每组苗架独立控制器应支持按植物种类、生长阶段分组管理</w:t>
            </w:r>
          </w:p>
          <w:p w14:paraId="003686DA">
            <w:pPr>
              <w:keepNext w:val="0"/>
              <w:keepLines w:val="0"/>
              <w:widowControl/>
              <w:suppressLineNumbers w:val="0"/>
              <w:jc w:val="left"/>
              <w:textAlignment w:val="center"/>
              <w:rPr>
                <w:rStyle w:val="9"/>
                <w:lang w:val="en-US" w:eastAsia="zh-CN" w:bidi="ar"/>
              </w:rPr>
            </w:pPr>
            <w:r>
              <w:rPr>
                <w:rStyle w:val="9"/>
                <w:lang w:val="en-US" w:eastAsia="zh-CN" w:bidi="ar"/>
              </w:rPr>
              <w:t>③ 联动调节：应联动调节光照周期、营养液循环频率等参数</w:t>
            </w:r>
          </w:p>
          <w:p w14:paraId="4C5F1AD7">
            <w:pPr>
              <w:keepNext w:val="0"/>
              <w:keepLines w:val="0"/>
              <w:widowControl/>
              <w:suppressLineNumbers w:val="0"/>
              <w:jc w:val="left"/>
              <w:textAlignment w:val="center"/>
              <w:rPr>
                <w:rStyle w:val="9"/>
                <w:lang w:val="en-US" w:eastAsia="zh-CN" w:bidi="ar"/>
              </w:rPr>
            </w:pPr>
            <w:r>
              <w:rPr>
                <w:rStyle w:val="9"/>
                <w:lang w:val="en-US" w:eastAsia="zh-CN" w:bidi="ar"/>
              </w:rPr>
              <w:t>④ 远程控制：应支持通过APP远程控制，也支持平台控制</w:t>
            </w:r>
          </w:p>
          <w:p w14:paraId="0F4B1AE1">
            <w:pPr>
              <w:keepNext w:val="0"/>
              <w:keepLines w:val="0"/>
              <w:widowControl/>
              <w:suppressLineNumbers w:val="0"/>
              <w:jc w:val="left"/>
              <w:textAlignment w:val="center"/>
              <w:rPr>
                <w:rStyle w:val="9"/>
                <w:lang w:val="en-US" w:eastAsia="zh-CN" w:bidi="ar"/>
              </w:rPr>
            </w:pPr>
            <w:r>
              <w:rPr>
                <w:rStyle w:val="9"/>
                <w:lang w:val="en-US" w:eastAsia="zh-CN" w:bidi="ar"/>
              </w:rPr>
              <w:t>6 灯光管理</w:t>
            </w:r>
          </w:p>
          <w:p w14:paraId="1BBA52CE">
            <w:pPr>
              <w:keepNext w:val="0"/>
              <w:keepLines w:val="0"/>
              <w:widowControl/>
              <w:suppressLineNumbers w:val="0"/>
              <w:jc w:val="left"/>
              <w:textAlignment w:val="center"/>
              <w:rPr>
                <w:rStyle w:val="9"/>
                <w:lang w:val="en-US" w:eastAsia="zh-CN" w:bidi="ar"/>
              </w:rPr>
            </w:pPr>
            <w:r>
              <w:rPr>
                <w:rStyle w:val="9"/>
                <w:lang w:val="en-US" w:eastAsia="zh-CN" w:bidi="ar"/>
              </w:rPr>
              <w:t>① 光周期调节：应支持光周期调节，包含7种预设模式+自定义编程</w:t>
            </w:r>
          </w:p>
          <w:p w14:paraId="59401085">
            <w:pPr>
              <w:keepNext w:val="0"/>
              <w:keepLines w:val="0"/>
              <w:widowControl/>
              <w:suppressLineNumbers w:val="0"/>
              <w:jc w:val="left"/>
              <w:textAlignment w:val="center"/>
              <w:rPr>
                <w:rStyle w:val="9"/>
                <w:lang w:val="en-US" w:eastAsia="zh-CN" w:bidi="ar"/>
              </w:rPr>
            </w:pPr>
            <w:r>
              <w:rPr>
                <w:rStyle w:val="9"/>
                <w:lang w:val="en-US" w:eastAsia="zh-CN" w:bidi="ar"/>
              </w:rPr>
              <w:t>② 模式切换：应支持生长/开花模式切换</w:t>
            </w:r>
          </w:p>
          <w:p w14:paraId="152F25B2">
            <w:pPr>
              <w:keepNext w:val="0"/>
              <w:keepLines w:val="0"/>
              <w:widowControl/>
              <w:suppressLineNumbers w:val="0"/>
              <w:jc w:val="left"/>
              <w:textAlignment w:val="center"/>
              <w:rPr>
                <w:rStyle w:val="9"/>
                <w:lang w:val="en-US" w:eastAsia="zh-CN" w:bidi="ar"/>
              </w:rPr>
            </w:pPr>
            <w:r>
              <w:rPr>
                <w:rStyle w:val="9"/>
                <w:lang w:val="en-US" w:eastAsia="zh-CN" w:bidi="ar"/>
              </w:rPr>
              <w:t>③ 调节：高温时应自动降低光强，高湿时应开启通风</w:t>
            </w:r>
          </w:p>
          <w:p w14:paraId="7DFA500B">
            <w:pPr>
              <w:keepNext w:val="0"/>
              <w:keepLines w:val="0"/>
              <w:widowControl/>
              <w:suppressLineNumbers w:val="0"/>
              <w:jc w:val="left"/>
              <w:textAlignment w:val="center"/>
              <w:rPr>
                <w:rStyle w:val="9"/>
                <w:lang w:val="en-US" w:eastAsia="zh-CN" w:bidi="ar"/>
              </w:rPr>
            </w:pPr>
            <w:r>
              <w:rPr>
                <w:rStyle w:val="9"/>
                <w:lang w:val="en-US" w:eastAsia="zh-CN" w:bidi="ar"/>
              </w:rPr>
              <w:t>④ 光源功率：单组光源功率应满足≥18W要求</w:t>
            </w:r>
          </w:p>
          <w:p w14:paraId="520C8FFF">
            <w:pPr>
              <w:keepNext w:val="0"/>
              <w:keepLines w:val="0"/>
              <w:widowControl/>
              <w:suppressLineNumbers w:val="0"/>
              <w:jc w:val="left"/>
              <w:textAlignment w:val="center"/>
              <w:rPr>
                <w:rStyle w:val="9"/>
                <w:lang w:val="en-US" w:eastAsia="zh-CN" w:bidi="ar"/>
              </w:rPr>
            </w:pPr>
            <w:r>
              <w:rPr>
                <w:rStyle w:val="9"/>
                <w:lang w:val="en-US" w:eastAsia="zh-CN" w:bidi="ar"/>
              </w:rPr>
              <w:t>7 光照参数</w:t>
            </w:r>
          </w:p>
          <w:p w14:paraId="0856DB93">
            <w:pPr>
              <w:keepNext w:val="0"/>
              <w:keepLines w:val="0"/>
              <w:widowControl/>
              <w:suppressLineNumbers w:val="0"/>
              <w:jc w:val="left"/>
              <w:textAlignment w:val="center"/>
              <w:rPr>
                <w:rStyle w:val="9"/>
                <w:lang w:val="en-US" w:eastAsia="zh-CN" w:bidi="ar"/>
              </w:rPr>
            </w:pPr>
            <w:r>
              <w:rPr>
                <w:rStyle w:val="9"/>
                <w:lang w:val="en-US" w:eastAsia="zh-CN" w:bidi="ar"/>
              </w:rPr>
              <w:t>① 光谱设计：应采用4000K增效光，精准配比蓝绿红光谱</w:t>
            </w:r>
          </w:p>
          <w:p w14:paraId="3D491755">
            <w:pPr>
              <w:keepNext w:val="0"/>
              <w:keepLines w:val="0"/>
              <w:widowControl/>
              <w:suppressLineNumbers w:val="0"/>
              <w:jc w:val="left"/>
              <w:textAlignment w:val="center"/>
              <w:rPr>
                <w:rStyle w:val="9"/>
                <w:lang w:val="en-US" w:eastAsia="zh-CN" w:bidi="ar"/>
              </w:rPr>
            </w:pPr>
            <w:r>
              <w:rPr>
                <w:rStyle w:val="9"/>
                <w:lang w:val="en-US" w:eastAsia="zh-CN" w:bidi="ar"/>
              </w:rPr>
              <w:t>② 效果提升：实验证明可提升叶菜VC含量30%+，适合有机蔬菜种植</w:t>
            </w:r>
          </w:p>
          <w:p w14:paraId="6949D9CC">
            <w:pPr>
              <w:keepNext w:val="0"/>
              <w:keepLines w:val="0"/>
              <w:widowControl/>
              <w:suppressLineNumbers w:val="0"/>
              <w:jc w:val="left"/>
              <w:textAlignment w:val="center"/>
              <w:rPr>
                <w:rStyle w:val="9"/>
                <w:lang w:val="en-US" w:eastAsia="zh-CN" w:bidi="ar"/>
              </w:rPr>
            </w:pPr>
            <w:r>
              <w:rPr>
                <w:rStyle w:val="9"/>
                <w:lang w:val="en-US" w:eastAsia="zh-CN" w:bidi="ar"/>
              </w:rPr>
              <w:t>③ 抗病功能：粉红抗病光580-620nm光谱应抑制真菌菌丝（抑制率65%）</w:t>
            </w:r>
          </w:p>
          <w:p w14:paraId="6AE13F70">
            <w:pPr>
              <w:keepNext w:val="0"/>
              <w:keepLines w:val="0"/>
              <w:widowControl/>
              <w:suppressLineNumbers w:val="0"/>
              <w:jc w:val="left"/>
              <w:textAlignment w:val="center"/>
              <w:rPr>
                <w:rStyle w:val="9"/>
                <w:lang w:val="en-US" w:eastAsia="zh-CN" w:bidi="ar"/>
              </w:rPr>
            </w:pPr>
            <w:r>
              <w:rPr>
                <w:rStyle w:val="9"/>
                <w:lang w:val="en-US" w:eastAsia="zh-CN" w:bidi="ar"/>
              </w:rPr>
              <w:t>④ 农药减少：配合远红光应减少农药使用30-50%</w:t>
            </w:r>
          </w:p>
          <w:p w14:paraId="79025C3E">
            <w:pPr>
              <w:keepNext w:val="0"/>
              <w:keepLines w:val="0"/>
              <w:widowControl/>
              <w:suppressLineNumbers w:val="0"/>
              <w:jc w:val="left"/>
              <w:textAlignment w:val="center"/>
              <w:rPr>
                <w:rStyle w:val="9"/>
                <w:lang w:val="en-US" w:eastAsia="zh-CN" w:bidi="ar"/>
              </w:rPr>
            </w:pPr>
            <w:r>
              <w:rPr>
                <w:rStyle w:val="9"/>
                <w:lang w:val="en-US" w:eastAsia="zh-CN" w:bidi="ar"/>
              </w:rPr>
              <w:t>⑤ 光谱优化：全光谱光合光应模拟正午阳光（400-700nm），优化红蓝配比（R/B=2.8:1）</w:t>
            </w:r>
          </w:p>
          <w:p w14:paraId="030D50E3">
            <w:pPr>
              <w:keepNext w:val="0"/>
              <w:keepLines w:val="0"/>
              <w:widowControl/>
              <w:suppressLineNumbers w:val="0"/>
              <w:jc w:val="left"/>
              <w:textAlignment w:val="center"/>
              <w:rPr>
                <w:rStyle w:val="9"/>
                <w:lang w:val="en-US" w:eastAsia="zh-CN" w:bidi="ar"/>
              </w:rPr>
            </w:pPr>
            <w:r>
              <w:rPr>
                <w:rStyle w:val="9"/>
                <w:lang w:val="en-US" w:eastAsia="zh-CN" w:bidi="ar"/>
              </w:rPr>
              <w:t>8 人工</w:t>
            </w:r>
          </w:p>
          <w:p w14:paraId="18FF90A0">
            <w:pPr>
              <w:keepNext w:val="0"/>
              <w:keepLines w:val="0"/>
              <w:widowControl/>
              <w:suppressLineNumbers w:val="0"/>
              <w:jc w:val="left"/>
              <w:textAlignment w:val="center"/>
              <w:rPr>
                <w:rStyle w:val="9"/>
                <w:lang w:val="en-US" w:eastAsia="zh-CN" w:bidi="ar"/>
              </w:rPr>
            </w:pPr>
            <w:r>
              <w:rPr>
                <w:rStyle w:val="9"/>
                <w:lang w:val="en-US" w:eastAsia="zh-CN" w:bidi="ar"/>
              </w:rPr>
              <w:t>① 决策功能：应具备决策功能，内置多种植物生长算法</w:t>
            </w:r>
          </w:p>
          <w:p w14:paraId="13A673AE">
            <w:pPr>
              <w:keepNext w:val="0"/>
              <w:keepLines w:val="0"/>
              <w:widowControl/>
              <w:suppressLineNumbers w:val="0"/>
              <w:jc w:val="left"/>
              <w:textAlignment w:val="center"/>
              <w:rPr>
                <w:rStyle w:val="9"/>
                <w:lang w:val="en-US" w:eastAsia="zh-CN" w:bidi="ar"/>
              </w:rPr>
            </w:pPr>
            <w:r>
              <w:rPr>
                <w:rStyle w:val="9"/>
                <w:lang w:val="en-US" w:eastAsia="zh-CN" w:bidi="ar"/>
              </w:rPr>
              <w:t>② 环境参数优化：应支持光照/温湿度/CO</w:t>
            </w:r>
            <w:r>
              <w:rPr>
                <w:rStyle w:val="10"/>
                <w:rFonts w:eastAsia="宋体"/>
                <w:lang w:val="en-US" w:eastAsia="zh-CN" w:bidi="ar"/>
              </w:rPr>
              <w:t>₂</w:t>
            </w:r>
            <w:r>
              <w:rPr>
                <w:rStyle w:val="9"/>
                <w:lang w:val="en-US" w:eastAsia="zh-CN" w:bidi="ar"/>
              </w:rPr>
              <w:t>/EC四维度动态调控</w:t>
            </w:r>
          </w:p>
          <w:p w14:paraId="5E2EA95C">
            <w:pPr>
              <w:keepNext w:val="0"/>
              <w:keepLines w:val="0"/>
              <w:widowControl/>
              <w:suppressLineNumbers w:val="0"/>
              <w:jc w:val="left"/>
              <w:textAlignment w:val="center"/>
              <w:rPr>
                <w:rStyle w:val="9"/>
                <w:lang w:val="en-US" w:eastAsia="zh-CN" w:bidi="ar"/>
              </w:rPr>
            </w:pPr>
            <w:r>
              <w:rPr>
                <w:rStyle w:val="9"/>
                <w:lang w:val="en-US" w:eastAsia="zh-CN" w:bidi="ar"/>
              </w:rPr>
              <w:t>③ 资源管理：应具备预测性维护功能，实现水泵/滤芯寿命预警</w:t>
            </w:r>
          </w:p>
          <w:p w14:paraId="2BCD1C62">
            <w:pPr>
              <w:keepNext w:val="0"/>
              <w:keepLines w:val="0"/>
              <w:widowControl/>
              <w:suppressLineNumbers w:val="0"/>
              <w:jc w:val="left"/>
              <w:textAlignment w:val="center"/>
              <w:rPr>
                <w:rStyle w:val="9"/>
                <w:lang w:val="en-US" w:eastAsia="zh-CN" w:bidi="ar"/>
              </w:rPr>
            </w:pPr>
            <w:r>
              <w:rPr>
                <w:rStyle w:val="9"/>
                <w:lang w:val="en-US" w:eastAsia="zh-CN" w:bidi="ar"/>
              </w:rPr>
              <w:t>④ 监测预警：应配备多模态传感器，监测光照强度（0-200klux）、温湿度（-10℃~60℃/10%~95%RH）、EC值（0-5mS/cm）</w:t>
            </w:r>
          </w:p>
          <w:p w14:paraId="26D29CBB">
            <w:pPr>
              <w:keepNext w:val="0"/>
              <w:keepLines w:val="0"/>
              <w:widowControl/>
              <w:suppressLineNumbers w:val="0"/>
              <w:jc w:val="left"/>
              <w:textAlignment w:val="center"/>
              <w:rPr>
                <w:rStyle w:val="9"/>
                <w:lang w:val="en-US" w:eastAsia="zh-CN" w:bidi="ar"/>
              </w:rPr>
            </w:pPr>
            <w:r>
              <w:rPr>
                <w:rStyle w:val="9"/>
                <w:lang w:val="en-US" w:eastAsia="zh-CN" w:bidi="ar"/>
              </w:rPr>
              <w:t>⑤ 图像识别：应配备800万像素摄像头+AI病虫害检测功能，准确率应达到≥95%</w:t>
            </w:r>
          </w:p>
          <w:p w14:paraId="438166CD">
            <w:pPr>
              <w:keepNext w:val="0"/>
              <w:keepLines w:val="0"/>
              <w:widowControl/>
              <w:suppressLineNumbers w:val="0"/>
              <w:jc w:val="left"/>
              <w:textAlignment w:val="center"/>
              <w:rPr>
                <w:rStyle w:val="9"/>
                <w:lang w:val="en-US" w:eastAsia="zh-CN" w:bidi="ar"/>
              </w:rPr>
            </w:pPr>
            <w:r>
              <w:rPr>
                <w:rStyle w:val="9"/>
                <w:lang w:val="en-US" w:eastAsia="zh-CN" w:bidi="ar"/>
              </w:rPr>
              <w:t>⑥ 异常警报：应通过APP推送/语音播报/短信通知三级预警</w:t>
            </w:r>
          </w:p>
          <w:p w14:paraId="7F1F990E">
            <w:pPr>
              <w:keepNext w:val="0"/>
              <w:keepLines w:val="0"/>
              <w:widowControl/>
              <w:suppressLineNumbers w:val="0"/>
              <w:jc w:val="left"/>
              <w:textAlignment w:val="center"/>
              <w:rPr>
                <w:rStyle w:val="9"/>
                <w:lang w:val="en-US" w:eastAsia="zh-CN" w:bidi="ar"/>
              </w:rPr>
            </w:pPr>
            <w:r>
              <w:rPr>
                <w:rStyle w:val="9"/>
                <w:lang w:val="en-US" w:eastAsia="zh-CN" w:bidi="ar"/>
              </w:rPr>
              <w:t>⑦ 交互服务：应具备语音助手功能，支持多种方言，实时生长报告生成</w:t>
            </w:r>
          </w:p>
          <w:p w14:paraId="039082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⑧ 多语言交互：应支持多语言语音/文字交互，响应时间&lt;2秒</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5D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40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SSKJ-WHZP</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83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AF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35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16800.00 </w:t>
            </w:r>
          </w:p>
        </w:tc>
      </w:tr>
      <w:tr w14:paraId="104A3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549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A91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鱼菜共生</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C8803">
            <w:pPr>
              <w:keepNext w:val="0"/>
              <w:keepLines w:val="0"/>
              <w:widowControl/>
              <w:suppressLineNumbers w:val="0"/>
              <w:jc w:val="left"/>
              <w:textAlignment w:val="center"/>
              <w:rPr>
                <w:rStyle w:val="9"/>
                <w:lang w:val="en-US" w:eastAsia="zh-CN" w:bidi="ar"/>
              </w:rPr>
            </w:pPr>
            <w:r>
              <w:rPr>
                <w:rStyle w:val="9"/>
                <w:lang w:val="en-US" w:eastAsia="zh-CN" w:bidi="ar"/>
              </w:rPr>
              <w:t>1 产品概述</w:t>
            </w:r>
          </w:p>
          <w:p w14:paraId="3E0D46E9">
            <w:pPr>
              <w:keepNext w:val="0"/>
              <w:keepLines w:val="0"/>
              <w:widowControl/>
              <w:suppressLineNumbers w:val="0"/>
              <w:jc w:val="left"/>
              <w:textAlignment w:val="center"/>
              <w:rPr>
                <w:rStyle w:val="9"/>
                <w:lang w:val="en-US" w:eastAsia="zh-CN" w:bidi="ar"/>
              </w:rPr>
            </w:pPr>
            <w:r>
              <w:rPr>
                <w:rStyle w:val="9"/>
                <w:lang w:val="en-US" w:eastAsia="zh-CN" w:bidi="ar"/>
              </w:rPr>
              <w:t>尺寸：长60cm宽40cm高160cm</w:t>
            </w:r>
          </w:p>
          <w:p w14:paraId="0F5C6409">
            <w:pPr>
              <w:keepNext w:val="0"/>
              <w:keepLines w:val="0"/>
              <w:widowControl/>
              <w:suppressLineNumbers w:val="0"/>
              <w:jc w:val="left"/>
              <w:textAlignment w:val="center"/>
              <w:rPr>
                <w:rStyle w:val="9"/>
                <w:lang w:val="en-US" w:eastAsia="zh-CN" w:bidi="ar"/>
              </w:rPr>
            </w:pPr>
            <w:r>
              <w:rPr>
                <w:rStyle w:val="9"/>
                <w:lang w:val="en-US" w:eastAsia="zh-CN" w:bidi="ar"/>
              </w:rPr>
              <w:t>鱼菜共生应采用人工技术实现水产养殖与植物水培的协同调控，通过算法优化氮磷循环，双摄像头AI识别技术实现鱼类摄食状态和植物生长监测。</w:t>
            </w:r>
          </w:p>
          <w:p w14:paraId="1D1F278A">
            <w:pPr>
              <w:keepNext w:val="0"/>
              <w:keepLines w:val="0"/>
              <w:widowControl/>
              <w:suppressLineNumbers w:val="0"/>
              <w:jc w:val="left"/>
              <w:textAlignment w:val="center"/>
              <w:rPr>
                <w:rStyle w:val="9"/>
                <w:lang w:val="en-US" w:eastAsia="zh-CN" w:bidi="ar"/>
              </w:rPr>
            </w:pPr>
            <w:r>
              <w:rPr>
                <w:rStyle w:val="9"/>
                <w:lang w:val="en-US" w:eastAsia="zh-CN" w:bidi="ar"/>
              </w:rPr>
              <w:t>2 核心技术指标</w:t>
            </w:r>
          </w:p>
          <w:p w14:paraId="2857EBF8">
            <w:pPr>
              <w:keepNext w:val="0"/>
              <w:keepLines w:val="0"/>
              <w:widowControl/>
              <w:suppressLineNumbers w:val="0"/>
              <w:jc w:val="left"/>
              <w:textAlignment w:val="center"/>
              <w:rPr>
                <w:rStyle w:val="9"/>
                <w:lang w:val="en-US" w:eastAsia="zh-CN" w:bidi="ar"/>
              </w:rPr>
            </w:pPr>
            <w:r>
              <w:rPr>
                <w:rStyle w:val="9"/>
                <w:lang w:val="en-US" w:eastAsia="zh-CN" w:bidi="ar"/>
              </w:rPr>
              <w:t>① 氮磷循环效率：应达到≥92%</w:t>
            </w:r>
          </w:p>
          <w:p w14:paraId="37DE8B47">
            <w:pPr>
              <w:keepNext w:val="0"/>
              <w:keepLines w:val="0"/>
              <w:widowControl/>
              <w:suppressLineNumbers w:val="0"/>
              <w:jc w:val="left"/>
              <w:textAlignment w:val="center"/>
              <w:rPr>
                <w:rStyle w:val="9"/>
                <w:lang w:val="en-US" w:eastAsia="zh-CN" w:bidi="ar"/>
              </w:rPr>
            </w:pPr>
            <w:r>
              <w:rPr>
                <w:rStyle w:val="9"/>
                <w:lang w:val="en-US" w:eastAsia="zh-CN" w:bidi="ar"/>
              </w:rPr>
              <w:t>② 鱼类摄食状态识别准确率：应达到≥95%</w:t>
            </w:r>
          </w:p>
          <w:p w14:paraId="45A5BFD3">
            <w:pPr>
              <w:keepNext w:val="0"/>
              <w:keepLines w:val="0"/>
              <w:widowControl/>
              <w:suppressLineNumbers w:val="0"/>
              <w:jc w:val="left"/>
              <w:textAlignment w:val="center"/>
              <w:rPr>
                <w:rStyle w:val="9"/>
                <w:lang w:val="en-US" w:eastAsia="zh-CN" w:bidi="ar"/>
              </w:rPr>
            </w:pPr>
            <w:r>
              <w:rPr>
                <w:rStyle w:val="9"/>
                <w:lang w:val="en-US" w:eastAsia="zh-CN" w:bidi="ar"/>
              </w:rPr>
              <w:t>③ 氨氮预测误差：应控制在≤3%</w:t>
            </w:r>
          </w:p>
          <w:p w14:paraId="4E606A77">
            <w:pPr>
              <w:keepNext w:val="0"/>
              <w:keepLines w:val="0"/>
              <w:widowControl/>
              <w:suppressLineNumbers w:val="0"/>
              <w:jc w:val="left"/>
              <w:textAlignment w:val="center"/>
              <w:rPr>
                <w:rStyle w:val="9"/>
                <w:lang w:val="en-US" w:eastAsia="zh-CN" w:bidi="ar"/>
              </w:rPr>
            </w:pPr>
            <w:r>
              <w:rPr>
                <w:rStyle w:val="9"/>
                <w:lang w:val="en-US" w:eastAsia="zh-CN" w:bidi="ar"/>
              </w:rPr>
              <w:t>④ 植物叶片病斑识别率：应达到≥90%</w:t>
            </w:r>
          </w:p>
          <w:p w14:paraId="2575C141">
            <w:pPr>
              <w:keepNext w:val="0"/>
              <w:keepLines w:val="0"/>
              <w:widowControl/>
              <w:suppressLineNumbers w:val="0"/>
              <w:jc w:val="left"/>
              <w:textAlignment w:val="center"/>
              <w:rPr>
                <w:rStyle w:val="9"/>
                <w:lang w:val="en-US" w:eastAsia="zh-CN" w:bidi="ar"/>
              </w:rPr>
            </w:pPr>
            <w:r>
              <w:rPr>
                <w:rStyle w:val="9"/>
                <w:lang w:val="en-US" w:eastAsia="zh-CN" w:bidi="ar"/>
              </w:rPr>
              <w:t>⑤ 防护等级：应达到IP54</w:t>
            </w:r>
          </w:p>
          <w:p w14:paraId="31930AF1">
            <w:pPr>
              <w:keepNext w:val="0"/>
              <w:keepLines w:val="0"/>
              <w:widowControl/>
              <w:suppressLineNumbers w:val="0"/>
              <w:jc w:val="left"/>
              <w:textAlignment w:val="center"/>
              <w:rPr>
                <w:rStyle w:val="9"/>
                <w:lang w:val="en-US" w:eastAsia="zh-CN" w:bidi="ar"/>
              </w:rPr>
            </w:pPr>
            <w:r>
              <w:rPr>
                <w:rStyle w:val="9"/>
                <w:lang w:val="en-US" w:eastAsia="zh-CN" w:bidi="ar"/>
              </w:rPr>
              <w:t>⑥ 工作温度范围：应满足10-30℃</w:t>
            </w:r>
          </w:p>
          <w:p w14:paraId="533C5D9C">
            <w:pPr>
              <w:keepNext w:val="0"/>
              <w:keepLines w:val="0"/>
              <w:widowControl/>
              <w:suppressLineNumbers w:val="0"/>
              <w:jc w:val="left"/>
              <w:textAlignment w:val="center"/>
              <w:rPr>
                <w:rStyle w:val="9"/>
                <w:lang w:val="en-US" w:eastAsia="zh-CN" w:bidi="ar"/>
              </w:rPr>
            </w:pPr>
            <w:r>
              <w:rPr>
                <w:rStyle w:val="9"/>
                <w:lang w:val="en-US" w:eastAsia="zh-CN" w:bidi="ar"/>
              </w:rPr>
              <w:t>3 基础性能参数</w:t>
            </w:r>
          </w:p>
          <w:p w14:paraId="316F7259">
            <w:pPr>
              <w:keepNext w:val="0"/>
              <w:keepLines w:val="0"/>
              <w:widowControl/>
              <w:suppressLineNumbers w:val="0"/>
              <w:jc w:val="left"/>
              <w:textAlignment w:val="center"/>
              <w:rPr>
                <w:rStyle w:val="9"/>
                <w:lang w:val="en-US" w:eastAsia="zh-CN" w:bidi="ar"/>
              </w:rPr>
            </w:pPr>
            <w:r>
              <w:rPr>
                <w:rStyle w:val="9"/>
                <w:lang w:val="en-US" w:eastAsia="zh-CN" w:bidi="ar"/>
              </w:rPr>
              <w:t>① 供电电压：应符合AC220V±10%标准</w:t>
            </w:r>
          </w:p>
          <w:p w14:paraId="22A0CA8E">
            <w:pPr>
              <w:keepNext w:val="0"/>
              <w:keepLines w:val="0"/>
              <w:widowControl/>
              <w:suppressLineNumbers w:val="0"/>
              <w:jc w:val="left"/>
              <w:textAlignment w:val="center"/>
              <w:rPr>
                <w:rStyle w:val="9"/>
                <w:lang w:val="en-US" w:eastAsia="zh-CN" w:bidi="ar"/>
              </w:rPr>
            </w:pPr>
            <w:r>
              <w:rPr>
                <w:rStyle w:val="9"/>
                <w:lang w:val="en-US" w:eastAsia="zh-CN" w:bidi="ar"/>
              </w:rPr>
              <w:t>② 工作频率：应满足50Hz±2Hz要求</w:t>
            </w:r>
          </w:p>
          <w:p w14:paraId="32990A64">
            <w:pPr>
              <w:keepNext w:val="0"/>
              <w:keepLines w:val="0"/>
              <w:widowControl/>
              <w:suppressLineNumbers w:val="0"/>
              <w:jc w:val="left"/>
              <w:textAlignment w:val="center"/>
              <w:rPr>
                <w:rStyle w:val="9"/>
                <w:lang w:val="en-US" w:eastAsia="zh-CN" w:bidi="ar"/>
              </w:rPr>
            </w:pPr>
            <w:r>
              <w:rPr>
                <w:rStyle w:val="9"/>
                <w:lang w:val="en-US" w:eastAsia="zh-CN" w:bidi="ar"/>
              </w:rPr>
              <w:t>③ 额定功率：应不大于1.5kW</w:t>
            </w:r>
          </w:p>
          <w:p w14:paraId="341A2B0A">
            <w:pPr>
              <w:keepNext w:val="0"/>
              <w:keepLines w:val="0"/>
              <w:widowControl/>
              <w:suppressLineNumbers w:val="0"/>
              <w:jc w:val="left"/>
              <w:textAlignment w:val="center"/>
              <w:rPr>
                <w:rStyle w:val="9"/>
                <w:lang w:val="en-US" w:eastAsia="zh-CN" w:bidi="ar"/>
              </w:rPr>
            </w:pPr>
            <w:r>
              <w:rPr>
                <w:rStyle w:val="9"/>
                <w:lang w:val="en-US" w:eastAsia="zh-CN" w:bidi="ar"/>
              </w:rPr>
              <w:t>④ 功率因数：应不小于0.92</w:t>
            </w:r>
          </w:p>
          <w:p w14:paraId="51A7BF85">
            <w:pPr>
              <w:keepNext w:val="0"/>
              <w:keepLines w:val="0"/>
              <w:widowControl/>
              <w:suppressLineNumbers w:val="0"/>
              <w:jc w:val="left"/>
              <w:textAlignment w:val="center"/>
              <w:rPr>
                <w:rStyle w:val="9"/>
                <w:lang w:val="en-US" w:eastAsia="zh-CN" w:bidi="ar"/>
              </w:rPr>
            </w:pPr>
            <w:r>
              <w:rPr>
                <w:rStyle w:val="9"/>
                <w:lang w:val="en-US" w:eastAsia="zh-CN" w:bidi="ar"/>
              </w:rPr>
              <w:t>⑤ 绝缘等级：应达到Class B标准</w:t>
            </w:r>
          </w:p>
          <w:p w14:paraId="09056740">
            <w:pPr>
              <w:keepNext w:val="0"/>
              <w:keepLines w:val="0"/>
              <w:widowControl/>
              <w:suppressLineNumbers w:val="0"/>
              <w:jc w:val="left"/>
              <w:textAlignment w:val="center"/>
              <w:rPr>
                <w:rStyle w:val="9"/>
                <w:lang w:val="en-US" w:eastAsia="zh-CN" w:bidi="ar"/>
              </w:rPr>
            </w:pPr>
            <w:r>
              <w:rPr>
                <w:rStyle w:val="9"/>
                <w:lang w:val="en-US" w:eastAsia="zh-CN" w:bidi="ar"/>
              </w:rPr>
              <w:t>⑥ 接地电阻：应不大于4Ω</w:t>
            </w:r>
          </w:p>
          <w:p w14:paraId="0F1434D0">
            <w:pPr>
              <w:keepNext w:val="0"/>
              <w:keepLines w:val="0"/>
              <w:widowControl/>
              <w:suppressLineNumbers w:val="0"/>
              <w:jc w:val="left"/>
              <w:textAlignment w:val="center"/>
              <w:rPr>
                <w:rStyle w:val="9"/>
                <w:lang w:val="en-US" w:eastAsia="zh-CN" w:bidi="ar"/>
              </w:rPr>
            </w:pPr>
            <w:r>
              <w:rPr>
                <w:rStyle w:val="9"/>
                <w:lang w:val="en-US" w:eastAsia="zh-CN" w:bidi="ar"/>
              </w:rPr>
              <w:t>4 功能</w:t>
            </w:r>
          </w:p>
          <w:p w14:paraId="0490A82A">
            <w:pPr>
              <w:keepNext w:val="0"/>
              <w:keepLines w:val="0"/>
              <w:widowControl/>
              <w:suppressLineNumbers w:val="0"/>
              <w:jc w:val="left"/>
              <w:textAlignment w:val="center"/>
              <w:rPr>
                <w:rStyle w:val="9"/>
                <w:lang w:val="en-US" w:eastAsia="zh-CN" w:bidi="ar"/>
              </w:rPr>
            </w:pPr>
            <w:r>
              <w:rPr>
                <w:rStyle w:val="9"/>
                <w:lang w:val="en-US" w:eastAsia="zh-CN" w:bidi="ar"/>
              </w:rPr>
              <w:t>4.1 控制功能：</w:t>
            </w:r>
          </w:p>
          <w:p w14:paraId="0AAFCE76">
            <w:pPr>
              <w:keepNext w:val="0"/>
              <w:keepLines w:val="0"/>
              <w:widowControl/>
              <w:suppressLineNumbers w:val="0"/>
              <w:jc w:val="left"/>
              <w:textAlignment w:val="center"/>
              <w:rPr>
                <w:rStyle w:val="9"/>
                <w:lang w:val="en-US" w:eastAsia="zh-CN" w:bidi="ar"/>
              </w:rPr>
            </w:pPr>
            <w:r>
              <w:rPr>
                <w:rStyle w:val="9"/>
                <w:lang w:val="en-US" w:eastAsia="zh-CN" w:bidi="ar"/>
              </w:rPr>
              <w:t>① 决策：应具备决策功能，支持鱼类生长和植物栽培的协同优化</w:t>
            </w:r>
          </w:p>
          <w:p w14:paraId="6CEBA562">
            <w:pPr>
              <w:keepNext w:val="0"/>
              <w:keepLines w:val="0"/>
              <w:widowControl/>
              <w:suppressLineNumbers w:val="0"/>
              <w:jc w:val="left"/>
              <w:textAlignment w:val="center"/>
              <w:rPr>
                <w:rStyle w:val="9"/>
                <w:lang w:val="en-US" w:eastAsia="zh-CN" w:bidi="ar"/>
              </w:rPr>
            </w:pPr>
            <w:r>
              <w:rPr>
                <w:rStyle w:val="9"/>
                <w:lang w:val="en-US" w:eastAsia="zh-CN" w:bidi="ar"/>
              </w:rPr>
              <w:t>② 自动调节：能够根据水质参数和植物生长状态自动调节水流、养分供应等关键参数</w:t>
            </w:r>
          </w:p>
          <w:p w14:paraId="6E035B64">
            <w:pPr>
              <w:keepNext w:val="0"/>
              <w:keepLines w:val="0"/>
              <w:widowControl/>
              <w:suppressLineNumbers w:val="0"/>
              <w:jc w:val="left"/>
              <w:textAlignment w:val="center"/>
              <w:rPr>
                <w:rStyle w:val="9"/>
                <w:lang w:val="en-US" w:eastAsia="zh-CN" w:bidi="ar"/>
              </w:rPr>
            </w:pPr>
            <w:r>
              <w:rPr>
                <w:rStyle w:val="9"/>
                <w:lang w:val="en-US" w:eastAsia="zh-CN" w:bidi="ar"/>
              </w:rPr>
              <w:t>③ 多种模式：应支持自动、手动、远程等多种控制模式</w:t>
            </w:r>
          </w:p>
          <w:p w14:paraId="6334279E">
            <w:pPr>
              <w:keepNext w:val="0"/>
              <w:keepLines w:val="0"/>
              <w:widowControl/>
              <w:suppressLineNumbers w:val="0"/>
              <w:jc w:val="left"/>
              <w:textAlignment w:val="center"/>
              <w:rPr>
                <w:rStyle w:val="9"/>
                <w:lang w:val="en-US" w:eastAsia="zh-CN" w:bidi="ar"/>
              </w:rPr>
            </w:pPr>
            <w:r>
              <w:rPr>
                <w:rStyle w:val="9"/>
                <w:lang w:val="en-US" w:eastAsia="zh-CN" w:bidi="ar"/>
              </w:rPr>
              <w:t>4.2 图像识别：</w:t>
            </w:r>
          </w:p>
          <w:p w14:paraId="303B32AC">
            <w:pPr>
              <w:keepNext w:val="0"/>
              <w:keepLines w:val="0"/>
              <w:widowControl/>
              <w:suppressLineNumbers w:val="0"/>
              <w:jc w:val="left"/>
              <w:textAlignment w:val="center"/>
              <w:rPr>
                <w:rStyle w:val="9"/>
                <w:lang w:val="en-US" w:eastAsia="zh-CN" w:bidi="ar"/>
              </w:rPr>
            </w:pPr>
            <w:r>
              <w:rPr>
                <w:rStyle w:val="9"/>
                <w:lang w:val="en-US" w:eastAsia="zh-CN" w:bidi="ar"/>
              </w:rPr>
              <w:t>① 摄像头配置：应配置2路摄像头（鱼类监测+植物监测）</w:t>
            </w:r>
          </w:p>
          <w:p w14:paraId="050E4680">
            <w:pPr>
              <w:keepNext w:val="0"/>
              <w:keepLines w:val="0"/>
              <w:widowControl/>
              <w:suppressLineNumbers w:val="0"/>
              <w:jc w:val="left"/>
              <w:textAlignment w:val="center"/>
              <w:rPr>
                <w:rStyle w:val="9"/>
                <w:lang w:val="en-US" w:eastAsia="zh-CN" w:bidi="ar"/>
              </w:rPr>
            </w:pPr>
            <w:r>
              <w:rPr>
                <w:rStyle w:val="9"/>
                <w:lang w:val="en-US" w:eastAsia="zh-CN" w:bidi="ar"/>
              </w:rPr>
              <w:t>② 分辨率：应达到1920×1080（1080P）</w:t>
            </w:r>
          </w:p>
          <w:p w14:paraId="2732FD4E">
            <w:pPr>
              <w:keepNext w:val="0"/>
              <w:keepLines w:val="0"/>
              <w:widowControl/>
              <w:suppressLineNumbers w:val="0"/>
              <w:jc w:val="left"/>
              <w:textAlignment w:val="center"/>
              <w:rPr>
                <w:rStyle w:val="9"/>
                <w:lang w:val="en-US" w:eastAsia="zh-CN" w:bidi="ar"/>
              </w:rPr>
            </w:pPr>
            <w:r>
              <w:rPr>
                <w:rStyle w:val="9"/>
                <w:lang w:val="en-US" w:eastAsia="zh-CN" w:bidi="ar"/>
              </w:rPr>
              <w:t>③ 帧率：应不小于30fps</w:t>
            </w:r>
          </w:p>
          <w:p w14:paraId="6347D9F5">
            <w:pPr>
              <w:keepNext w:val="0"/>
              <w:keepLines w:val="0"/>
              <w:widowControl/>
              <w:suppressLineNumbers w:val="0"/>
              <w:jc w:val="left"/>
              <w:textAlignment w:val="center"/>
              <w:rPr>
                <w:rStyle w:val="9"/>
                <w:lang w:val="en-US" w:eastAsia="zh-CN" w:bidi="ar"/>
              </w:rPr>
            </w:pPr>
            <w:r>
              <w:rPr>
                <w:rStyle w:val="9"/>
                <w:lang w:val="en-US" w:eastAsia="zh-CN" w:bidi="ar"/>
              </w:rPr>
              <w:t>④ 视场角：应达到120°广角</w:t>
            </w:r>
          </w:p>
          <w:p w14:paraId="1786C6D5">
            <w:pPr>
              <w:keepNext w:val="0"/>
              <w:keepLines w:val="0"/>
              <w:widowControl/>
              <w:suppressLineNumbers w:val="0"/>
              <w:jc w:val="left"/>
              <w:textAlignment w:val="center"/>
              <w:rPr>
                <w:rStyle w:val="9"/>
                <w:lang w:val="en-US" w:eastAsia="zh-CN" w:bidi="ar"/>
              </w:rPr>
            </w:pPr>
            <w:r>
              <w:rPr>
                <w:rStyle w:val="9"/>
                <w:lang w:val="en-US" w:eastAsia="zh-CN" w:bidi="ar"/>
              </w:rPr>
              <w:t>⑤ 防水等级：应达到IP68标准</w:t>
            </w:r>
          </w:p>
          <w:p w14:paraId="7F3DB11E">
            <w:pPr>
              <w:keepNext w:val="0"/>
              <w:keepLines w:val="0"/>
              <w:widowControl/>
              <w:suppressLineNumbers w:val="0"/>
              <w:jc w:val="left"/>
              <w:textAlignment w:val="center"/>
              <w:rPr>
                <w:rStyle w:val="9"/>
                <w:lang w:val="en-US" w:eastAsia="zh-CN" w:bidi="ar"/>
              </w:rPr>
            </w:pPr>
            <w:r>
              <w:rPr>
                <w:rStyle w:val="9"/>
                <w:lang w:val="en-US" w:eastAsia="zh-CN" w:bidi="ar"/>
              </w:rPr>
              <w:t>⑥ 工作水深：应不大于5m</w:t>
            </w:r>
          </w:p>
          <w:p w14:paraId="1A36D66B">
            <w:pPr>
              <w:keepNext w:val="0"/>
              <w:keepLines w:val="0"/>
              <w:widowControl/>
              <w:suppressLineNumbers w:val="0"/>
              <w:jc w:val="left"/>
              <w:textAlignment w:val="center"/>
              <w:rPr>
                <w:rStyle w:val="9"/>
                <w:lang w:val="en-US" w:eastAsia="zh-CN" w:bidi="ar"/>
              </w:rPr>
            </w:pPr>
            <w:r>
              <w:rPr>
                <w:rStyle w:val="9"/>
                <w:lang w:val="en-US" w:eastAsia="zh-CN" w:bidi="ar"/>
              </w:rPr>
              <w:t>⑦ 光照适应：应支持0.1lux-100000lux光照适应范围</w:t>
            </w:r>
          </w:p>
          <w:p w14:paraId="67722C03">
            <w:pPr>
              <w:keepNext w:val="0"/>
              <w:keepLines w:val="0"/>
              <w:widowControl/>
              <w:suppressLineNumbers w:val="0"/>
              <w:jc w:val="left"/>
              <w:textAlignment w:val="center"/>
              <w:rPr>
                <w:rStyle w:val="9"/>
                <w:lang w:val="en-US" w:eastAsia="zh-CN" w:bidi="ar"/>
              </w:rPr>
            </w:pPr>
            <w:r>
              <w:rPr>
                <w:rStyle w:val="9"/>
                <w:lang w:val="en-US" w:eastAsia="zh-CN" w:bidi="ar"/>
              </w:rPr>
              <w:t>4.3 AI识别性能：</w:t>
            </w:r>
          </w:p>
          <w:p w14:paraId="6118C789">
            <w:pPr>
              <w:keepNext w:val="0"/>
              <w:keepLines w:val="0"/>
              <w:widowControl/>
              <w:suppressLineNumbers w:val="0"/>
              <w:jc w:val="left"/>
              <w:textAlignment w:val="center"/>
              <w:rPr>
                <w:rStyle w:val="9"/>
                <w:lang w:val="en-US" w:eastAsia="zh-CN" w:bidi="ar"/>
              </w:rPr>
            </w:pPr>
            <w:r>
              <w:rPr>
                <w:rStyle w:val="9"/>
                <w:lang w:val="en-US" w:eastAsia="zh-CN" w:bidi="ar"/>
              </w:rPr>
              <w:t>① 鱼类摄食状态识别准确率：应达到≥95%</w:t>
            </w:r>
          </w:p>
          <w:p w14:paraId="1B6B8EBA">
            <w:pPr>
              <w:keepNext w:val="0"/>
              <w:keepLines w:val="0"/>
              <w:widowControl/>
              <w:suppressLineNumbers w:val="0"/>
              <w:jc w:val="left"/>
              <w:textAlignment w:val="center"/>
              <w:rPr>
                <w:rStyle w:val="9"/>
                <w:lang w:val="en-US" w:eastAsia="zh-CN" w:bidi="ar"/>
              </w:rPr>
            </w:pPr>
            <w:r>
              <w:rPr>
                <w:rStyle w:val="9"/>
                <w:lang w:val="en-US" w:eastAsia="zh-CN" w:bidi="ar"/>
              </w:rPr>
              <w:t>② 识别类型：应包括正常摄食、异常摄食、不摄食</w:t>
            </w:r>
          </w:p>
          <w:p w14:paraId="5E229EBA">
            <w:pPr>
              <w:keepNext w:val="0"/>
              <w:keepLines w:val="0"/>
              <w:widowControl/>
              <w:suppressLineNumbers w:val="0"/>
              <w:jc w:val="left"/>
              <w:textAlignment w:val="center"/>
              <w:rPr>
                <w:rStyle w:val="9"/>
                <w:lang w:val="en-US" w:eastAsia="zh-CN" w:bidi="ar"/>
              </w:rPr>
            </w:pPr>
            <w:r>
              <w:rPr>
                <w:rStyle w:val="9"/>
                <w:lang w:val="en-US" w:eastAsia="zh-CN" w:bidi="ar"/>
              </w:rPr>
              <w:t>③ 响应时间：应不超过0.3秒</w:t>
            </w:r>
          </w:p>
          <w:p w14:paraId="0551272E">
            <w:pPr>
              <w:keepNext w:val="0"/>
              <w:keepLines w:val="0"/>
              <w:widowControl/>
              <w:suppressLineNumbers w:val="0"/>
              <w:jc w:val="left"/>
              <w:textAlignment w:val="center"/>
              <w:rPr>
                <w:rStyle w:val="9"/>
                <w:lang w:val="en-US" w:eastAsia="zh-CN" w:bidi="ar"/>
              </w:rPr>
            </w:pPr>
            <w:r>
              <w:rPr>
                <w:rStyle w:val="9"/>
                <w:lang w:val="en-US" w:eastAsia="zh-CN" w:bidi="ar"/>
              </w:rPr>
              <w:t>④ 植物叶片病斑识别率：应达到≥90%</w:t>
            </w:r>
          </w:p>
          <w:p w14:paraId="03EAC187">
            <w:pPr>
              <w:keepNext w:val="0"/>
              <w:keepLines w:val="0"/>
              <w:widowControl/>
              <w:suppressLineNumbers w:val="0"/>
              <w:jc w:val="left"/>
              <w:textAlignment w:val="center"/>
              <w:rPr>
                <w:rStyle w:val="9"/>
                <w:lang w:val="en-US" w:eastAsia="zh-CN" w:bidi="ar"/>
              </w:rPr>
            </w:pPr>
            <w:r>
              <w:rPr>
                <w:rStyle w:val="9"/>
                <w:lang w:val="en-US" w:eastAsia="zh-CN" w:bidi="ar"/>
              </w:rPr>
              <w:t>⑤ 识别病害种类：应支持15种常见病害识别</w:t>
            </w:r>
          </w:p>
          <w:p w14:paraId="599DDA66">
            <w:pPr>
              <w:keepNext w:val="0"/>
              <w:keepLines w:val="0"/>
              <w:widowControl/>
              <w:suppressLineNumbers w:val="0"/>
              <w:jc w:val="left"/>
              <w:textAlignment w:val="center"/>
              <w:rPr>
                <w:rStyle w:val="9"/>
                <w:lang w:val="en-US" w:eastAsia="zh-CN" w:bidi="ar"/>
              </w:rPr>
            </w:pPr>
            <w:r>
              <w:rPr>
                <w:rStyle w:val="9"/>
                <w:lang w:val="en-US" w:eastAsia="zh-CN" w:bidi="ar"/>
              </w:rPr>
              <w:t>⑥ 病斑识别下限：应达到≥2mm²</w:t>
            </w:r>
          </w:p>
          <w:p w14:paraId="7E85D17A">
            <w:pPr>
              <w:keepNext w:val="0"/>
              <w:keepLines w:val="0"/>
              <w:widowControl/>
              <w:suppressLineNumbers w:val="0"/>
              <w:jc w:val="left"/>
              <w:textAlignment w:val="center"/>
              <w:rPr>
                <w:rStyle w:val="9"/>
                <w:lang w:val="en-US" w:eastAsia="zh-CN" w:bidi="ar"/>
              </w:rPr>
            </w:pPr>
            <w:r>
              <w:rPr>
                <w:rStyle w:val="9"/>
                <w:lang w:val="en-US" w:eastAsia="zh-CN" w:bidi="ar"/>
              </w:rPr>
              <w:t>⑦ 预警准确率：应达到≥92%</w:t>
            </w:r>
          </w:p>
          <w:p w14:paraId="58D5D53C">
            <w:pPr>
              <w:keepNext w:val="0"/>
              <w:keepLines w:val="0"/>
              <w:widowControl/>
              <w:suppressLineNumbers w:val="0"/>
              <w:jc w:val="left"/>
              <w:textAlignment w:val="center"/>
              <w:rPr>
                <w:rStyle w:val="9"/>
                <w:lang w:val="en-US" w:eastAsia="zh-CN" w:bidi="ar"/>
              </w:rPr>
            </w:pPr>
            <w:r>
              <w:rPr>
                <w:rStyle w:val="9"/>
                <w:lang w:val="en-US" w:eastAsia="zh-CN" w:bidi="ar"/>
              </w:rPr>
              <w:t>5 核心功能参数</w:t>
            </w:r>
          </w:p>
          <w:p w14:paraId="607F837C">
            <w:pPr>
              <w:keepNext w:val="0"/>
              <w:keepLines w:val="0"/>
              <w:widowControl/>
              <w:suppressLineNumbers w:val="0"/>
              <w:jc w:val="left"/>
              <w:textAlignment w:val="center"/>
              <w:rPr>
                <w:rStyle w:val="9"/>
                <w:lang w:val="en-US" w:eastAsia="zh-CN" w:bidi="ar"/>
              </w:rPr>
            </w:pPr>
            <w:r>
              <w:rPr>
                <w:rStyle w:val="9"/>
                <w:lang w:val="en-US" w:eastAsia="zh-CN" w:bidi="ar"/>
              </w:rPr>
              <w:t>5.1 协同控制：</w:t>
            </w:r>
          </w:p>
          <w:p w14:paraId="2B0ABDDD">
            <w:pPr>
              <w:keepNext w:val="0"/>
              <w:keepLines w:val="0"/>
              <w:widowControl/>
              <w:suppressLineNumbers w:val="0"/>
              <w:jc w:val="left"/>
              <w:textAlignment w:val="center"/>
              <w:rPr>
                <w:rStyle w:val="9"/>
                <w:lang w:val="en-US" w:eastAsia="zh-CN" w:bidi="ar"/>
              </w:rPr>
            </w:pPr>
            <w:r>
              <w:rPr>
                <w:rStyle w:val="9"/>
                <w:lang w:val="en-US" w:eastAsia="zh-CN" w:bidi="ar"/>
              </w:rPr>
              <w:t>① 监测参数：应包括氨氮、亚硝酸盐、硝酸盐、pH、溶解氧、水温、EC值</w:t>
            </w:r>
          </w:p>
          <w:p w14:paraId="172F4C10">
            <w:pPr>
              <w:keepNext w:val="0"/>
              <w:keepLines w:val="0"/>
              <w:widowControl/>
              <w:suppressLineNumbers w:val="0"/>
              <w:jc w:val="left"/>
              <w:textAlignment w:val="center"/>
              <w:rPr>
                <w:rStyle w:val="9"/>
                <w:lang w:val="en-US" w:eastAsia="zh-CN" w:bidi="ar"/>
              </w:rPr>
            </w:pPr>
            <w:r>
              <w:rPr>
                <w:rStyle w:val="9"/>
                <w:lang w:val="en-US" w:eastAsia="zh-CN" w:bidi="ar"/>
              </w:rPr>
              <w:t>② 控制触发条件：氨氮&gt;1.5mg/L时应触发控制</w:t>
            </w:r>
          </w:p>
          <w:p w14:paraId="1E1BAE81">
            <w:pPr>
              <w:keepNext w:val="0"/>
              <w:keepLines w:val="0"/>
              <w:widowControl/>
              <w:suppressLineNumbers w:val="0"/>
              <w:jc w:val="left"/>
              <w:textAlignment w:val="center"/>
              <w:rPr>
                <w:rStyle w:val="9"/>
                <w:lang w:val="en-US" w:eastAsia="zh-CN" w:bidi="ar"/>
              </w:rPr>
            </w:pPr>
            <w:r>
              <w:rPr>
                <w:rStyle w:val="9"/>
                <w:lang w:val="en-US" w:eastAsia="zh-CN" w:bidi="ar"/>
              </w:rPr>
              <w:t>③ 换水比例调节范围：应支持10%-30%（步进1%）</w:t>
            </w:r>
          </w:p>
          <w:p w14:paraId="7F3AEB95">
            <w:pPr>
              <w:keepNext w:val="0"/>
              <w:keepLines w:val="0"/>
              <w:widowControl/>
              <w:suppressLineNumbers w:val="0"/>
              <w:jc w:val="left"/>
              <w:textAlignment w:val="center"/>
              <w:rPr>
                <w:rStyle w:val="9"/>
                <w:lang w:val="en-US" w:eastAsia="zh-CN" w:bidi="ar"/>
              </w:rPr>
            </w:pPr>
            <w:r>
              <w:rPr>
                <w:rStyle w:val="9"/>
                <w:lang w:val="en-US" w:eastAsia="zh-CN" w:bidi="ar"/>
              </w:rPr>
              <w:t>④ 控制精度：氨氮控制精度应达到±0.1mg/L</w:t>
            </w:r>
          </w:p>
          <w:p w14:paraId="43B8C29A">
            <w:pPr>
              <w:keepNext w:val="0"/>
              <w:keepLines w:val="0"/>
              <w:widowControl/>
              <w:suppressLineNumbers w:val="0"/>
              <w:jc w:val="left"/>
              <w:textAlignment w:val="center"/>
              <w:rPr>
                <w:rStyle w:val="9"/>
                <w:lang w:val="en-US" w:eastAsia="zh-CN" w:bidi="ar"/>
              </w:rPr>
            </w:pPr>
            <w:r>
              <w:rPr>
                <w:rStyle w:val="9"/>
                <w:lang w:val="en-US" w:eastAsia="zh-CN" w:bidi="ar"/>
              </w:rPr>
              <w:t>5.2 硬件配置参数：</w:t>
            </w:r>
          </w:p>
          <w:p w14:paraId="3C68AC01">
            <w:pPr>
              <w:keepNext w:val="0"/>
              <w:keepLines w:val="0"/>
              <w:widowControl/>
              <w:suppressLineNumbers w:val="0"/>
              <w:jc w:val="left"/>
              <w:textAlignment w:val="center"/>
              <w:rPr>
                <w:rStyle w:val="9"/>
                <w:lang w:val="en-US" w:eastAsia="zh-CN" w:bidi="ar"/>
              </w:rPr>
            </w:pPr>
            <w:r>
              <w:rPr>
                <w:rStyle w:val="9"/>
                <w:lang w:val="en-US" w:eastAsia="zh-CN" w:bidi="ar"/>
              </w:rPr>
              <w:t>① pH传感器：测量范围0-14pH，精度±0.01pH，响应时间≤2秒</w:t>
            </w:r>
          </w:p>
          <w:p w14:paraId="46CE14BD">
            <w:pPr>
              <w:keepNext w:val="0"/>
              <w:keepLines w:val="0"/>
              <w:widowControl/>
              <w:suppressLineNumbers w:val="0"/>
              <w:jc w:val="left"/>
              <w:textAlignment w:val="center"/>
              <w:rPr>
                <w:rStyle w:val="9"/>
                <w:lang w:val="en-US" w:eastAsia="zh-CN" w:bidi="ar"/>
              </w:rPr>
            </w:pPr>
            <w:r>
              <w:rPr>
                <w:rStyle w:val="9"/>
                <w:lang w:val="en-US" w:eastAsia="zh-CN" w:bidi="ar"/>
              </w:rPr>
              <w:t>② 溶解氧传感器：测量范围0-20mg/L，精度±0.1mg/L，响应时间≤5秒</w:t>
            </w:r>
          </w:p>
          <w:p w14:paraId="6919E487">
            <w:pPr>
              <w:keepNext w:val="0"/>
              <w:keepLines w:val="0"/>
              <w:widowControl/>
              <w:suppressLineNumbers w:val="0"/>
              <w:jc w:val="left"/>
              <w:textAlignment w:val="center"/>
              <w:rPr>
                <w:rStyle w:val="9"/>
                <w:lang w:val="en-US" w:eastAsia="zh-CN" w:bidi="ar"/>
              </w:rPr>
            </w:pPr>
            <w:r>
              <w:rPr>
                <w:rStyle w:val="9"/>
                <w:lang w:val="en-US" w:eastAsia="zh-CN" w:bidi="ar"/>
              </w:rPr>
              <w:t>③ 氨氮传感器：测量范围0-10mg/L，精度±0.05mg/L，响应时间≤30秒</w:t>
            </w:r>
          </w:p>
          <w:p w14:paraId="30F052D3">
            <w:pPr>
              <w:keepNext w:val="0"/>
              <w:keepLines w:val="0"/>
              <w:widowControl/>
              <w:suppressLineNumbers w:val="0"/>
              <w:jc w:val="left"/>
              <w:textAlignment w:val="center"/>
              <w:rPr>
                <w:rStyle w:val="9"/>
                <w:lang w:val="en-US" w:eastAsia="zh-CN" w:bidi="ar"/>
              </w:rPr>
            </w:pPr>
            <w:r>
              <w:rPr>
                <w:rStyle w:val="9"/>
                <w:lang w:val="en-US" w:eastAsia="zh-CN" w:bidi="ar"/>
              </w:rPr>
              <w:t>④ 温度传感器：测量范围0-50℃，精度±0.1℃，响应时间≤1秒</w:t>
            </w:r>
          </w:p>
          <w:p w14:paraId="3A6C9595">
            <w:pPr>
              <w:keepNext w:val="0"/>
              <w:keepLines w:val="0"/>
              <w:widowControl/>
              <w:suppressLineNumbers w:val="0"/>
              <w:jc w:val="left"/>
              <w:textAlignment w:val="center"/>
              <w:rPr>
                <w:rStyle w:val="9"/>
                <w:lang w:val="en-US" w:eastAsia="zh-CN" w:bidi="ar"/>
              </w:rPr>
            </w:pPr>
            <w:r>
              <w:rPr>
                <w:rStyle w:val="9"/>
                <w:lang w:val="en-US" w:eastAsia="zh-CN" w:bidi="ar"/>
              </w:rPr>
              <w:t>⑤ EC传感器：测量范围0-20000μS/cm，精度±1%，响应时间≤2秒</w:t>
            </w:r>
          </w:p>
          <w:p w14:paraId="1E59C267">
            <w:pPr>
              <w:keepNext w:val="0"/>
              <w:keepLines w:val="0"/>
              <w:widowControl/>
              <w:suppressLineNumbers w:val="0"/>
              <w:jc w:val="left"/>
              <w:textAlignment w:val="center"/>
              <w:rPr>
                <w:rStyle w:val="9"/>
                <w:lang w:val="en-US" w:eastAsia="zh-CN" w:bidi="ar"/>
              </w:rPr>
            </w:pPr>
            <w:r>
              <w:rPr>
                <w:rStyle w:val="9"/>
                <w:lang w:val="en-US" w:eastAsia="zh-CN" w:bidi="ar"/>
              </w:rPr>
              <w:t>⑥ 光照传感器：测量范围0-200000lux，精度±5%</w:t>
            </w:r>
          </w:p>
          <w:p w14:paraId="0C11711E">
            <w:pPr>
              <w:keepNext w:val="0"/>
              <w:keepLines w:val="0"/>
              <w:widowControl/>
              <w:suppressLineNumbers w:val="0"/>
              <w:jc w:val="left"/>
              <w:textAlignment w:val="center"/>
              <w:rPr>
                <w:rStyle w:val="9"/>
                <w:lang w:val="en-US" w:eastAsia="zh-CN" w:bidi="ar"/>
              </w:rPr>
            </w:pPr>
            <w:r>
              <w:rPr>
                <w:rStyle w:val="9"/>
                <w:lang w:val="en-US" w:eastAsia="zh-CN" w:bidi="ar"/>
              </w:rPr>
              <w:t>⑦ 湿度传感器：测量范围0-100%RH，精度±2%</w:t>
            </w:r>
          </w:p>
          <w:p w14:paraId="06172760">
            <w:pPr>
              <w:keepNext w:val="0"/>
              <w:keepLines w:val="0"/>
              <w:widowControl/>
              <w:suppressLineNumbers w:val="0"/>
              <w:jc w:val="left"/>
              <w:textAlignment w:val="center"/>
              <w:rPr>
                <w:rStyle w:val="9"/>
                <w:lang w:val="en-US" w:eastAsia="zh-CN" w:bidi="ar"/>
              </w:rPr>
            </w:pPr>
            <w:r>
              <w:rPr>
                <w:rStyle w:val="9"/>
                <w:lang w:val="en-US" w:eastAsia="zh-CN" w:bidi="ar"/>
              </w:rPr>
              <w:t>⑧ CO</w:t>
            </w:r>
            <w:r>
              <w:rPr>
                <w:rStyle w:val="10"/>
                <w:rFonts w:eastAsia="宋体"/>
                <w:lang w:val="en-US" w:eastAsia="zh-CN" w:bidi="ar"/>
              </w:rPr>
              <w:t>₂</w:t>
            </w:r>
            <w:r>
              <w:rPr>
                <w:rStyle w:val="9"/>
                <w:lang w:val="en-US" w:eastAsia="zh-CN" w:bidi="ar"/>
              </w:rPr>
              <w:t>传感器：测量范围0-5000ppm，精度±50ppm</w:t>
            </w:r>
          </w:p>
          <w:p w14:paraId="00228D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⑨ 主循环泵：功率370W，流量15m³/h，扬程8m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ED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48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SSKJ-YCG</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EC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56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F7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16800.00 </w:t>
            </w:r>
          </w:p>
        </w:tc>
      </w:tr>
      <w:tr w14:paraId="10F3A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C43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27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动物养殖</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A96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产品概述</w:t>
            </w:r>
          </w:p>
          <w:p w14:paraId="63BB11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尺寸：长60cm宽40cm高160cm</w:t>
            </w:r>
          </w:p>
          <w:p w14:paraId="0A4649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本设备应为集成化小动物化养殖实训，采用 AI 技术实现动物行为分</w:t>
            </w:r>
          </w:p>
          <w:p w14:paraId="13E6BA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析、生理参数监测、环境自动调控等功能，满足现代养殖技术教学需求。设备应符合</w:t>
            </w:r>
          </w:p>
          <w:p w14:paraId="2CA08B5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技术规格参数</w:t>
            </w:r>
          </w:p>
          <w:p w14:paraId="4EA606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 基础性能参数</w:t>
            </w:r>
          </w:p>
          <w:p w14:paraId="789544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供电电压：应符合 AC220V±10%标准，50Hz±2Hz</w:t>
            </w:r>
          </w:p>
          <w:p w14:paraId="65C229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额定功率：应不大于 300W</w:t>
            </w:r>
          </w:p>
          <w:p w14:paraId="01E62F6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漏电保护：应达到 10mA，动作时间≤0.1s</w:t>
            </w:r>
          </w:p>
          <w:p w14:paraId="295340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过载保护：应具备过流、过压、欠压保护功能</w:t>
            </w:r>
          </w:p>
          <w:p w14:paraId="5588EF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接地电阻：应不大于 4Ω</w:t>
            </w:r>
          </w:p>
          <w:p w14:paraId="5B0908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⑥ 绝缘电阻：应≥10MΩ</w:t>
            </w:r>
          </w:p>
          <w:p w14:paraId="0B74C3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⑦ 介电强度：应达到 1500V/1min</w:t>
            </w:r>
          </w:p>
          <w:p w14:paraId="65ABFA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 环境控制</w:t>
            </w:r>
          </w:p>
          <w:p w14:paraId="403DAD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 温湿度控制：</w:t>
            </w:r>
          </w:p>
          <w:p w14:paraId="1F1358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温度控制范围：应满足 15-35℃，精度±1℃</w:t>
            </w:r>
          </w:p>
          <w:p w14:paraId="74A81A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湿度控制范围：应支持 40%-70%RH，精度±5%RH</w:t>
            </w:r>
          </w:p>
          <w:p w14:paraId="549536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加热功率：应不小于 200W</w:t>
            </w:r>
          </w:p>
          <w:p w14:paraId="5696A8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制冷功率：应不小于 150W</w:t>
            </w:r>
          </w:p>
          <w:p w14:paraId="27F1C2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控温响应时间：应≤5 分钟</w:t>
            </w:r>
          </w:p>
          <w:p w14:paraId="0F5F43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2.2.2 通风：</w:t>
            </w:r>
          </w:p>
          <w:p w14:paraId="7E1595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新风量：应不小于 50m³/h</w:t>
            </w:r>
          </w:p>
          <w:p w14:paraId="66EC37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通风方式：应采用强制通风+自然通风相结合</w:t>
            </w:r>
          </w:p>
          <w:p w14:paraId="2CD0F5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风道设计：应采用多风道设计，确保气流均匀</w:t>
            </w:r>
          </w:p>
          <w:p w14:paraId="31847A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风机功率：应不小于 30W</w:t>
            </w:r>
          </w:p>
          <w:p w14:paraId="300443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2.2.3 光照：</w:t>
            </w:r>
          </w:p>
          <w:p w14:paraId="5AF4E87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光照控制范围：应支持 0-10000lux 可调</w:t>
            </w:r>
          </w:p>
          <w:p w14:paraId="338779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光谱特性：应采用全光谱 LED 光源</w:t>
            </w:r>
          </w:p>
          <w:p w14:paraId="0EE63C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光照周期：应支持模拟自然光周期，可自定义设置</w:t>
            </w:r>
          </w:p>
          <w:p w14:paraId="600941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光源功率：应不小于 20W</w:t>
            </w:r>
          </w:p>
          <w:p w14:paraId="1DF21C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调光精度：应达到±5%</w:t>
            </w:r>
          </w:p>
          <w:p w14:paraId="3A3AB2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 交互</w:t>
            </w:r>
          </w:p>
          <w:p w14:paraId="043C0B0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触控屏：应配备 7 寸电容触摸屏，分辨率 1024×600</w:t>
            </w:r>
          </w:p>
          <w:p w14:paraId="2A6A80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显示功能：应实时显示温湿度、光照强度、设备状态等数据</w:t>
            </w:r>
          </w:p>
          <w:p w14:paraId="1292D2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操作界面：应采用图形化操作界面，支持中文显示</w:t>
            </w:r>
          </w:p>
          <w:p w14:paraId="328A4D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触摸灵敏度：应支持多点触控，响应时间≤100ms</w:t>
            </w:r>
          </w:p>
          <w:p w14:paraId="5CA3F0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屏幕亮度：应支持自动调节，亮度范围 100-500cd/m²</w:t>
            </w:r>
          </w:p>
          <w:p w14:paraId="78D33C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 监控</w:t>
            </w:r>
          </w:p>
          <w:p w14:paraId="0495FB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摄像头：应配置 1080P 高清摄像头，帧率≥30fps</w:t>
            </w:r>
          </w:p>
          <w:p w14:paraId="0031A1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视场角：应不小于 120°广角</w:t>
            </w:r>
          </w:p>
          <w:p w14:paraId="4FD387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夜视功能：应具备红外夜视功能，有效距离≥5m</w:t>
            </w:r>
          </w:p>
          <w:p w14:paraId="12CD60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图像存储：应支持 24 小时连续录像，存储容量≥1TB</w:t>
            </w:r>
          </w:p>
          <w:p w14:paraId="71F72C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视频压缩：应支持 H.264/H.265 编码，压缩比≥10:1</w:t>
            </w:r>
          </w:p>
          <w:p w14:paraId="2CC8DF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⑥ 远程监控：应支持手机 APP、电脑端远程查看</w:t>
            </w:r>
          </w:p>
          <w:p w14:paraId="1683A8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⑦ 移动侦测：应具备移动侦测功能，灵敏度可调</w:t>
            </w:r>
          </w:p>
          <w:p w14:paraId="34A2BC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 人工</w:t>
            </w:r>
          </w:p>
          <w:p w14:paraId="2489B9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2.5.1 行为分析功能：</w:t>
            </w:r>
          </w:p>
          <w:p w14:paraId="796CF6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活动量监测：应实时统计跑动距离，精度±0.1m</w:t>
            </w:r>
          </w:p>
          <w:p w14:paraId="25A073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进食频率分析：应自动识别进食行为，统计进食次数和时长</w:t>
            </w:r>
          </w:p>
          <w:p w14:paraId="4581FA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行为模式识别：应识别站立、卧躺、走动、异常行为等</w:t>
            </w:r>
          </w:p>
          <w:p w14:paraId="216BD4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行为分类：应支持≥10 种行为类型识别</w:t>
            </w:r>
          </w:p>
          <w:p w14:paraId="75478B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识别准确率：行为识别准确率应≥90%</w:t>
            </w:r>
          </w:p>
          <w:p w14:paraId="4C75C3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⑥ 响应时间：行为识别响应时间应≤0.5s</w:t>
            </w:r>
          </w:p>
          <w:p w14:paraId="11AE0A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2.5.2 生理参数监测：</w:t>
            </w:r>
          </w:p>
          <w:p w14:paraId="10AFB1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体重监测：应配备高精度压力传感器，量程 0-10kg，精度±5g</w:t>
            </w:r>
          </w:p>
          <w:p w14:paraId="00431F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体温监测：应采用非接触式红外测温，范围 35-42℃，精度±0.2℃</w:t>
            </w:r>
          </w:p>
          <w:p w14:paraId="1BB2D9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心率监测：应支持心率监测，精度±2bpm</w:t>
            </w:r>
          </w:p>
          <w:p w14:paraId="3B2EACC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呼吸频率：应支持呼吸频率监测，精度±1 次/分钟</w:t>
            </w:r>
          </w:p>
          <w:p w14:paraId="1818D9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2.5.3 AI 算法性能：</w:t>
            </w:r>
          </w:p>
          <w:p w14:paraId="563FB2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处理器：应采用四核 ARM Cortex-A72 处理器</w:t>
            </w:r>
          </w:p>
          <w:p w14:paraId="6AE7DC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AI 算力：应≥1TOPS</w:t>
            </w:r>
          </w:p>
          <w:p w14:paraId="4CF77A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算法更新：应支持在线算法升级</w:t>
            </w:r>
          </w:p>
          <w:p w14:paraId="233BFD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多目标跟踪：应支持同时跟踪≥5 只动物</w:t>
            </w:r>
          </w:p>
          <w:p w14:paraId="6D1F43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预警准确率：健康预警准确率应≥85%</w:t>
            </w:r>
          </w:p>
          <w:p w14:paraId="09778F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 传感器配置</w:t>
            </w:r>
          </w:p>
          <w:p w14:paraId="6AF963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2.6.1 环境传感器：</w:t>
            </w:r>
          </w:p>
          <w:p w14:paraId="3E8B15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温度传感器：测量范围 0-50℃，精度±0.1℃，响应时间≤1 秒</w:t>
            </w:r>
          </w:p>
          <w:p w14:paraId="3AE1C2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湿度传感器：测量范围 0-100%RH，精度±2%，响应时间≤2 秒</w:t>
            </w:r>
          </w:p>
          <w:p w14:paraId="3518EA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光照传感器：测量范围 0-200000lux，精度±5%</w:t>
            </w:r>
          </w:p>
          <w:p w14:paraId="4ED317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氨气传感器：测量范围 0-100ppm，精度±5%</w:t>
            </w:r>
          </w:p>
          <w:p w14:paraId="7D82AC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二氧化碳传感器：测量范围 0-5000ppm，精度±2%</w:t>
            </w:r>
          </w:p>
          <w:p w14:paraId="650C52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⑥ 硫化氢传感器：测量范围 0-50ppm，精度±5%</w:t>
            </w:r>
          </w:p>
          <w:p w14:paraId="19594F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2.6.2 生理传感器：</w:t>
            </w:r>
          </w:p>
          <w:p w14:paraId="5CCACB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压力传感器：量程 0-10kg，精度±5g，响应时间≤0.5 秒</w:t>
            </w:r>
          </w:p>
          <w:p w14:paraId="6A490A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红外测温传感器：测量范围 35-42℃，精度±0.2℃</w:t>
            </w:r>
          </w:p>
          <w:p w14:paraId="5CB2A5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声音传感器：测量范围 30-120dB，灵敏度-46dB</w:t>
            </w:r>
          </w:p>
          <w:p w14:paraId="4653FA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 远程控制功能</w:t>
            </w:r>
          </w:p>
          <w:p w14:paraId="7C6567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网络连接：应支持 Wi-Fi、以太网连接</w:t>
            </w:r>
          </w:p>
          <w:p w14:paraId="01517E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APP 控制：应支持手机 APP 远程控制</w:t>
            </w:r>
          </w:p>
          <w:p w14:paraId="55EA10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参数调节：应支持远程调节各项控制参数</w:t>
            </w:r>
          </w:p>
          <w:p w14:paraId="59EE1C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设备控制：应支持远程控制设备开关</w:t>
            </w:r>
          </w:p>
          <w:p w14:paraId="1D0721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数据查看：应支持远程查看实时数据和历史记录</w:t>
            </w:r>
          </w:p>
          <w:p w14:paraId="391CA1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⑥ 报警推送：应支持异常报警 APP 推送</w:t>
            </w:r>
          </w:p>
          <w:p w14:paraId="191EC5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⑦ 视频查看：应支持远程实时视频查看</w:t>
            </w:r>
          </w:p>
          <w:p w14:paraId="455ACA7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 数据管理</w:t>
            </w:r>
          </w:p>
          <w:p w14:paraId="3F00D3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 数据存储：应支持 24 小时连续数据记录，存储容量≥1TB</w:t>
            </w:r>
          </w:p>
          <w:p w14:paraId="076F70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 数据保存周期：历史数据保存周期应≥2 年</w:t>
            </w:r>
          </w:p>
          <w:p w14:paraId="7D112E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 数据采样频率：应支持 1 次/分钟（可配置）</w:t>
            </w:r>
          </w:p>
          <w:p w14:paraId="4AB447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 报表生成：应支持日报、周报、月报自动生成</w:t>
            </w:r>
          </w:p>
          <w:p w14:paraId="602D91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⑤ 数据导出：应支持 Excel、CSV 格式数据导出</w:t>
            </w:r>
          </w:p>
          <w:p w14:paraId="112F76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⑥ 趋势分析：应支持数据趋势分析和图表显示</w:t>
            </w:r>
          </w:p>
          <w:p w14:paraId="2DB609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⑦ 数据备份：应支持自动数据备份功能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8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C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SSKJ-DWYZ</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E5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7A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7C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16800.00 </w:t>
            </w:r>
          </w:p>
        </w:tc>
      </w:tr>
      <w:tr w14:paraId="67DB5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0FC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EE0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AD6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材质：铜+锌合金，尺寸：120mm*120mm，产品重量416g</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DC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君临</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13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XXX-150-12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47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01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6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1260.00 </w:t>
            </w:r>
          </w:p>
        </w:tc>
      </w:tr>
      <w:tr w14:paraId="5848A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7BFCE0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六、通风设备</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4DD4ABE9">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0DF46B8C">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8E6F0">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D75FE">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55874">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67C90">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59E86">
            <w:pPr>
              <w:jc w:val="center"/>
              <w:rPr>
                <w:rFonts w:hint="eastAsia" w:ascii="宋体" w:hAnsi="宋体" w:eastAsia="宋体" w:cs="宋体"/>
                <w:i w:val="0"/>
                <w:iCs w:val="0"/>
                <w:color w:val="000000"/>
                <w:sz w:val="20"/>
                <w:szCs w:val="20"/>
                <w:u w:val="none"/>
              </w:rPr>
            </w:pPr>
          </w:p>
        </w:tc>
      </w:tr>
      <w:tr w14:paraId="68FF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630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3A3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可伸缩万向吸风罩</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537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1、风管材质：铝合金，表面喷砂氧化处理。</w:t>
            </w:r>
          </w:p>
          <w:p w14:paraId="59DF4E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2、松紧旋钮：高强度合金材质，表面喷塑处理，内嵌不锈钢轴承，与关节连接杆锁合。</w:t>
            </w:r>
          </w:p>
          <w:p w14:paraId="4EBD30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3、拱形集气罩：形状如喇叭口，不锈钢材质。</w:t>
            </w:r>
          </w:p>
          <w:p w14:paraId="426265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4、扭簧：扭簧材质弹簧钢表面抗氧化处理、扭簧线径4mm、外径30mm、角度90度、扭簧引脚右旋，脚长85mm。</w:t>
            </w:r>
          </w:p>
          <w:p w14:paraId="71BDE1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5、关节：高密度pp材质，表面磨砂处理，可360°旋转调节方向。</w:t>
            </w:r>
          </w:p>
          <w:p w14:paraId="2D168A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6、旋转角度：安装后可调节到三维360度任意转停，集气罩吸气角度360度任意转停。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07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D6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DT-XFZ20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4F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9E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B2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15240.00 </w:t>
            </w:r>
          </w:p>
        </w:tc>
      </w:tr>
      <w:tr w14:paraId="0C91C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B95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FCE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离心式风机</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6F2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1、风机型号：离心风机。</w:t>
            </w:r>
          </w:p>
          <w:p w14:paraId="35AFDF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2、材料：PP板材料。</w:t>
            </w:r>
          </w:p>
          <w:p w14:paraId="2AB340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3、电机功率：三相5.5KW。</w:t>
            </w:r>
          </w:p>
          <w:p w14:paraId="54589C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4、技术要求：风量:12700m3/h;全压:800Pa;功率：5.5kW;转速：1440r/min，噪声符合国家标准。</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C9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西湖</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D1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F4-72-6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4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8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24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13200.00 </w:t>
            </w:r>
          </w:p>
        </w:tc>
      </w:tr>
      <w:tr w14:paraId="37B0E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CE6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874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室内通风</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39E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1、主风管：采用具有耐酸碱性能PVCФ400㎜、支分管Ф160㎜。                                                                                                                                                                 2、管卡采用碳钢制作，表面经镀铬处理，具有耐腐蚀、防火、防潮等功能。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2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C9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60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8470.00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E6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4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8470.00 </w:t>
            </w:r>
          </w:p>
        </w:tc>
      </w:tr>
      <w:tr w14:paraId="6C942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327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DA0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室外通风</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8E6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1、采用PVC风管，或PP焊接管具有耐酸碱性能。</w:t>
            </w:r>
          </w:p>
          <w:p w14:paraId="23B2B3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2、规格：主风管直径400mm。</w:t>
            </w:r>
          </w:p>
          <w:p w14:paraId="02834C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3、管卡采用碳钢制作，表面经镀铬处理，具有耐腐蚀、防火、防潮等功能。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CE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3E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B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62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F0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7500.00 </w:t>
            </w:r>
          </w:p>
        </w:tc>
      </w:tr>
      <w:tr w14:paraId="60839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4EC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BC8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风机配件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8FB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1、风机减震器：</w:t>
            </w:r>
          </w:p>
          <w:p w14:paraId="6422E6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⑴功能：离心风机弹簧减震器，耐疲劳，强度高，承载力大，使用寿命长等特点。</w:t>
            </w:r>
          </w:p>
          <w:p w14:paraId="3CA292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⑵工作环境：在-40℃-110℃环境下正常工作，上下座分别设有螺栓与地基螺栓孔，可上下固定。</w:t>
            </w:r>
          </w:p>
          <w:p w14:paraId="709BCA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2、风机消音器：</w:t>
            </w:r>
          </w:p>
          <w:p w14:paraId="0432C3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⑴规格：外径Ф600㎜，内径Ф400㎜、高度1000mm,圆形。</w:t>
            </w:r>
          </w:p>
          <w:p w14:paraId="59203B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⑵材料：PP材质，内置隔音棉等隔音装置。</w:t>
            </w:r>
          </w:p>
          <w:p w14:paraId="1CE82E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3、风机进出口软连接：</w:t>
            </w:r>
          </w:p>
          <w:p w14:paraId="40D617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进风口：采用PVC柔性材料制作，规格：Ф600-Ф400mm，因风机震动引起的消除震音传递和消除微量错位对风机的影响。出风口：材料PP，规格方转圆地方风机接口。</w:t>
            </w:r>
          </w:p>
          <w:p w14:paraId="41699A6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4、风机出风口接头：</w:t>
            </w:r>
          </w:p>
          <w:p w14:paraId="5DFFCE8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出风口：材料PP，规格方转圆地方风机接口。</w:t>
            </w:r>
          </w:p>
          <w:p w14:paraId="662309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5、风机出风口防雨帽：</w:t>
            </w:r>
          </w:p>
          <w:p w14:paraId="10B073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Ф600伞型结构。</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2F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西湖</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97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西湖定制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57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1936.00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33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E5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1936.00 </w:t>
            </w:r>
          </w:p>
        </w:tc>
      </w:tr>
      <w:tr w14:paraId="62148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100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A74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风机电源线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ADDA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1、规    格：3x4+1x2.5mm²。</w:t>
            </w:r>
          </w:p>
          <w:p w14:paraId="2FA5D4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2、线芯材质：高纯度铜，无氧化铜芯。</w:t>
            </w:r>
          </w:p>
          <w:p w14:paraId="508FA2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3、绝缘护套：耐磨、耐老化、耐腐蚀、柔软橡皮绝缘。</w:t>
            </w:r>
          </w:p>
          <w:p w14:paraId="5380D4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4、电压等级：中、低压电力电缆（35千伏及以下）。</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34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BC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78B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2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8E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r>
      <w:tr w14:paraId="36879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3603B4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七、安装附件部分</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41C4A7FC">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0149A7A4">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1D0B3">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A4C3F">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EDCE6">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E50A6">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AD3B8">
            <w:pPr>
              <w:jc w:val="center"/>
              <w:rPr>
                <w:rFonts w:hint="eastAsia" w:ascii="宋体" w:hAnsi="宋体" w:eastAsia="宋体" w:cs="宋体"/>
                <w:i w:val="0"/>
                <w:iCs w:val="0"/>
                <w:color w:val="000000"/>
                <w:sz w:val="20"/>
                <w:szCs w:val="20"/>
                <w:u w:val="none"/>
              </w:rPr>
            </w:pPr>
          </w:p>
        </w:tc>
      </w:tr>
      <w:tr w14:paraId="3A29B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E61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4D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全室供电线路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6D3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1、线管：DN25国标阻燃PVC线管。                                                                                                                                                                                 2、电线：国标优质铜芯线2.5mm²、0.5mm²。RV聚氯乙烯绝缘无护套电线。</w:t>
            </w:r>
          </w:p>
          <w:p w14:paraId="4F6FF4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3、模块化设计，每组模块间采用活接式连接，方便安装、检修。</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9F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B8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6E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A8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A3E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10000.00 </w:t>
            </w:r>
          </w:p>
        </w:tc>
      </w:tr>
      <w:tr w14:paraId="30DFE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1B2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C64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全室给水管路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00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1、技术要求：具有防酸、防碱、耐腐蚀功能，全室给水全部模块化设计，每组模块间采用活接式连接，方便安装、检修。                                                                                                                                                              2、给水管：选用Ф25PPR水管。                                                                                                                                                                       3、安全控制：总开关阀门、电磁阀外、 丝连接件等。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8C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D5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F6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2299.00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A6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7E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2299.00 </w:t>
            </w:r>
          </w:p>
        </w:tc>
      </w:tr>
      <w:tr w14:paraId="5B131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1B8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61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全室排水管路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2BF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1、技术要求：具有防酸、防碱、耐腐蚀功能，全室给水全部模块化设计，每组模块间采用活接式连接，方便安装、检修。                                                                                                                                                                       2、排水管：UPVC材质排水管为Ф50㎜，排水管接头要求螺纹口、PVC胶水等。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F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4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80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2081.00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C7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F7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2081.00 </w:t>
            </w:r>
          </w:p>
        </w:tc>
      </w:tr>
      <w:tr w14:paraId="2ACF6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8A5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A1D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全套设备系统实施</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049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1、吊顶式安装采用模块化结构设计，采用吊装安装方式。</w:t>
            </w:r>
          </w:p>
          <w:p w14:paraId="4088CC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2、结构调试。</w:t>
            </w:r>
          </w:p>
          <w:p w14:paraId="37D99D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3、控制调试。</w:t>
            </w:r>
          </w:p>
          <w:p w14:paraId="6C6A49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4、给排水调试。</w:t>
            </w:r>
          </w:p>
          <w:p w14:paraId="151764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5、供电调试。</w:t>
            </w:r>
          </w:p>
          <w:p w14:paraId="402FCA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6、照明调试。</w:t>
            </w:r>
          </w:p>
          <w:p w14:paraId="1B572A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7、通风安装调试。</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CD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43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04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0B8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2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24200.00 </w:t>
            </w:r>
          </w:p>
        </w:tc>
      </w:tr>
      <w:tr w14:paraId="2887D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0F135B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连体式吊装物理实验室</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166C27B5">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01E4FAE1">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A7D62">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4ECAC">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472F4">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6840">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13073">
            <w:pPr>
              <w:jc w:val="center"/>
              <w:rPr>
                <w:rFonts w:hint="eastAsia" w:ascii="宋体" w:hAnsi="宋体" w:eastAsia="宋体" w:cs="宋体"/>
                <w:i w:val="0"/>
                <w:iCs w:val="0"/>
                <w:color w:val="000000"/>
                <w:sz w:val="20"/>
                <w:szCs w:val="20"/>
                <w:u w:val="none"/>
              </w:rPr>
            </w:pPr>
          </w:p>
        </w:tc>
      </w:tr>
      <w:tr w14:paraId="3F967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774070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一、教师控制演示区</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7EBAC0A4">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2CA86291">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E67A6">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04D53">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963CF">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D5DB3">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DCC00">
            <w:pPr>
              <w:jc w:val="center"/>
              <w:rPr>
                <w:rFonts w:hint="eastAsia" w:ascii="宋体" w:hAnsi="宋体" w:eastAsia="宋体" w:cs="宋体"/>
                <w:i w:val="0"/>
                <w:iCs w:val="0"/>
                <w:color w:val="000000"/>
                <w:sz w:val="20"/>
                <w:szCs w:val="20"/>
                <w:u w:val="none"/>
              </w:rPr>
            </w:pPr>
          </w:p>
        </w:tc>
      </w:tr>
      <w:tr w14:paraId="32851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EC4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D73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多媒体讲台</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2BA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7ECF287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教师演示台，左边设有储物柜，中间段设有抽屉位（教师电源主控），电脑键盘位，右边设有多媒体设备位置预留，三节模块拼接组成。</w:t>
            </w:r>
          </w:p>
          <w:p w14:paraId="2335DD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5BD5854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⑴.桌身整体材料1.0mm(±0.2㎜)冷轧钢板，整体规格2400×700×850㎜(±5㎜)，所有金属表面经环氧树脂粉末喷涂高温固化处理和耐酸碱、耐腐蚀。</w:t>
            </w:r>
          </w:p>
          <w:p w14:paraId="76D8A7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⑵.滑道导轨：抽屉全部采用优质三节承重式滚珠滑道导轨。</w:t>
            </w:r>
          </w:p>
          <w:p w14:paraId="7AAA94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⑶.缓冲铰链：冷轧钢铰链固装开合不变形。</w:t>
            </w:r>
          </w:p>
          <w:p w14:paraId="3F33B4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⑷.脚垫：采用柜体内置可调ABS脚垫，保证桌面平整，防水防潮，延长设备使用寿命。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0C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2B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DT-JT2400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60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E0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32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6050.00 </w:t>
            </w:r>
          </w:p>
        </w:tc>
      </w:tr>
      <w:tr w14:paraId="4B2B4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FCA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100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壁挂扬声器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AEF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1.单元: ≥3英寸全频音箱</w:t>
            </w:r>
          </w:p>
          <w:p w14:paraId="7DDA78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2.频响范围:120Hz - 18kHz (-6dB)</w:t>
            </w:r>
          </w:p>
          <w:p w14:paraId="5F1B10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3.灵敏度/峰值@2.83V,1米:86dB / 104 dB</w:t>
            </w:r>
          </w:p>
          <w:p w14:paraId="243876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4.输入阻抗:8Ω(欧姆)</w:t>
            </w:r>
          </w:p>
          <w:p w14:paraId="74F967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5.额定输入功率:≥25W</w:t>
            </w:r>
          </w:p>
          <w:p w14:paraId="5D840D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6.最大输入功率:≥100W</w:t>
            </w:r>
          </w:p>
          <w:p w14:paraId="5C5369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7.覆盖范围(水平/垂直):90° x 90°</w:t>
            </w:r>
          </w:p>
          <w:p w14:paraId="1DB629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8.连接器:欧式连接端子（凤凰端子）</w:t>
            </w:r>
          </w:p>
          <w:p w14:paraId="7AD2E0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9.吊点/螺丝规格:专用安装支架</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2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戴阳</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E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975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BD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68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3000.00 </w:t>
            </w:r>
          </w:p>
        </w:tc>
      </w:tr>
      <w:tr w14:paraId="04E4F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010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6C1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教师转椅</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A78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1、规格:500×500×800㎜(±5㎜)。</w:t>
            </w:r>
          </w:p>
          <w:p w14:paraId="58C70E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2、靠背及下座采用高密度网布格，阻燃、舒适、回弹性好。</w:t>
            </w:r>
          </w:p>
          <w:p w14:paraId="523F24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3、面料为优质网布格.依照人体工程学设计，线条流畅，美观大方。</w:t>
            </w:r>
          </w:p>
          <w:p w14:paraId="6C0B6A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4、骨架钢管电镀，气动升降。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3B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BF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DT-ZY500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D4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45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58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387.00 </w:t>
            </w:r>
          </w:p>
        </w:tc>
      </w:tr>
      <w:tr w14:paraId="7D5B5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6BC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0AA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顶装总控柜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2E2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5425D8A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总控柜（挂壁式）“三部分”结构设计，整体规格400×150×600㎜(±5㎜)；箱体厚度为1㎜(±0.2㎜)SPCC冷轧钢板，表面光滑，不易变形，强度高等特点，钣金折弯成型，所有金属表面经环氧树脂粉末喷涂高温固化处理和耐酸碱、耐腐蚀。</w:t>
            </w:r>
          </w:p>
          <w:p w14:paraId="36B2F0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2B2AFC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⑴.柜右侧上端为电气设备安装层，右侧下柜配有显示屏操作窗口规格275×150㎜(±5㎜)，呈45°上斜坡式，操作视角，左侧配有紧急停开关、启、停开关。</w:t>
            </w:r>
          </w:p>
          <w:p w14:paraId="4ECA8B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⑵.控制箱内配置导轨式接线端子、电源总开关、导轨五孔插座1组、漏保漏电断路器1组、单片机控制器及功能扩展模块1套，安全既长时间不操作自动切断总电源。</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BF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A0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DT-ZKG400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9D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5445.00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8F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B0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5445.00 </w:t>
            </w:r>
          </w:p>
        </w:tc>
      </w:tr>
      <w:tr w14:paraId="3C4AF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02D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1E4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顶装控制平台</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CC8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0395A3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控制平台操作显示屏采用10.1寸触摸屏；彩色24位显示；双8051单芯片驱动方案；GUI核运行，向内镶入式安装位；呈45°视角上斜坡，契合使用者的操作视角界面清晰，</w:t>
            </w:r>
          </w:p>
          <w:p w14:paraId="6A1150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2、技术参数电源管理要求如下：</w:t>
            </w:r>
          </w:p>
          <w:p w14:paraId="4AFBCE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⑴.界面显示：可显示当前北京时间、中文星期和温湿度。</w:t>
            </w:r>
          </w:p>
          <w:p w14:paraId="3484EE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⑵.交流输出:可进行单台或统一控制学生交流电源输出，输出范围0-30V，分辨率1V。</w:t>
            </w:r>
          </w:p>
          <w:p w14:paraId="37D6406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⑶.直流输出:可进行单台或统一控制学生直流电源输出，输出范围0-30V，分辨率0.1V。</w:t>
            </w:r>
          </w:p>
          <w:p w14:paraId="7E46F7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⑷.学生锁定:由老师控制，开启后学生电源不能自行调节，只能由老师进行控制使用。</w:t>
            </w:r>
          </w:p>
          <w:p w14:paraId="133FAA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⑸.学生插座:由老师控制，默认电源关闭。</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8E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DA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DT-PT20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DA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4A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1F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3200.00 </w:t>
            </w:r>
          </w:p>
        </w:tc>
      </w:tr>
      <w:tr w14:paraId="5A4B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FFF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6AD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APP吊装控制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EED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1、App吊装控制支持APP登录操作。能实现电源、照明、给排水、摇臂、排风等控制。</w:t>
            </w:r>
          </w:p>
          <w:p w14:paraId="0F19C8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2、互联模式采用内建局域网，在一定范围内发射无线信号，外部设备输入正确密码后，连接WiFi与控制柜进行互联，实现远程控制。</w:t>
            </w:r>
          </w:p>
          <w:p w14:paraId="3100C6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3、App吊装控制操作界面和顶装控制平台操作界面布局和功能完全一致，方便教师在授课时，进行双设备切换。</w:t>
            </w:r>
          </w:p>
          <w:p w14:paraId="2F9FCE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4、温湿度显示：连接控制柜检测环境中实时的温度、湿度并以数值的形式显示。</w:t>
            </w:r>
          </w:p>
          <w:p w14:paraId="7887AC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电源控制：可任意控制单组或集中控制220V的学生插座的开与关。可控制学生电源的交、直流电压切换以及电压值调节。当学生电源的被锁定，教师给与学生端指定电压值，学生端学生电源无法私自修改电压数值。</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4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9D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DT-APP921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B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18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E1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2800.00 </w:t>
            </w:r>
          </w:p>
        </w:tc>
      </w:tr>
      <w:tr w14:paraId="4AFAC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A1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7BF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环境检测实时监视</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46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1、内置七合一传感器模块，灵敏度高，数据稳定。</w:t>
            </w:r>
          </w:p>
          <w:p w14:paraId="64EE36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⑴数字串口输出，采用 485/UART 输出模式，集 CO2，甲醛，TVOC，激光粉尘 PM2.5,PM10 颗粒物，温度,湿度于一体。</w:t>
            </w:r>
          </w:p>
          <w:p w14:paraId="13F971C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⑵每2秒自动通过485/UART信号输出七组传感器监测数据。</w:t>
            </w:r>
          </w:p>
          <w:p w14:paraId="6D78CB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⑶温度精确到 0.1℃，湿度精确到 0.1%。</w:t>
            </w:r>
          </w:p>
          <w:p w14:paraId="76D9DE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⑷工作电压：5.0±0.2VDC；工作电流：≤80mA；工作温度：0℃～50℃；工作湿度：≤95％RH。</w:t>
            </w:r>
          </w:p>
          <w:p w14:paraId="64C003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2、在中控屏幕上方显示日期、时间。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37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76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DT-HJJC209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8D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FC5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DF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850.00 </w:t>
            </w:r>
          </w:p>
        </w:tc>
      </w:tr>
      <w:tr w14:paraId="611DD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C51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0A6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教师专用吊装</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94E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3386D5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吊装舱体采用标准化模块组；外壳左右为铝合金挤压型材，规格1200×730×265㎜(±5㎜)；型材厚度1.7㎜（±0.2mm），左右中腰部镶铝合金装饰条，舱体前、尾端ABS注塑模具一次成型堵头封盖，舱体外壳下部左右边设有LED照明灯；可升降教师专用交直流电源，电源端底部配备供电；给、排水、二组网络接口。</w:t>
            </w:r>
          </w:p>
          <w:p w14:paraId="68DE54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吊装内胆左右铝合金外壳；上下隔层底板冷轧钢板规格1200×550㎜(±5㎜)；厚度1.0㎜（±0.2mm），支撑架采用冷轧钢板；规格500×880㎜(±5㎜)；厚度3.0㎜（±0.2mm）。所有的金属表面经环氧树脂粉末喷涂高温固化处理耐酸碱、耐腐蚀等特点。</w:t>
            </w:r>
          </w:p>
          <w:p w14:paraId="6C913B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10D7C9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⑴.顶装摇臂动力装置，升降臂杆采用铝合金型材管；臂杆规格φ65㎜；厚度1.4㎜（±0.2mm），管内水、电隔离设计。</w:t>
            </w:r>
          </w:p>
          <w:p w14:paraId="780C16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⑵.升降摇臂杆上端连接推杆动力下端连接多功能教师专用电源模块；电源模块外壳ABS材质；模具一体成型，规格245×90×180㎜（±0.5mm）。</w:t>
            </w:r>
          </w:p>
          <w:p w14:paraId="1A989C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⑶.教师电源操作面耐磨、耐腐蚀PC薄膜面板；规格217×137㎜，界面文字清晰美观。</w:t>
            </w:r>
          </w:p>
          <w:p w14:paraId="6148BB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教师电源端集成了外壳左右两侧各配二组国标五孔220V安全插座，额定电流10A；一个急停开关、一个总电源保险装置，一组USB二个接口；底部集成二组RJ45网络接口，一组快速给、排水接口；一组排水供电电源接口。</w:t>
            </w:r>
          </w:p>
          <w:p w14:paraId="38680F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⑸.教师专用电源交、直流低压电源输出插口，大电流输出插口、高压输出插口。</w:t>
            </w:r>
          </w:p>
          <w:p w14:paraId="66DE7F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⑹.教师电源信息管理，采用4.3英寸工业触摸液晶显示屏。</w:t>
            </w:r>
          </w:p>
          <w:p w14:paraId="1ECAE0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⑺.教师专用电源控制功能要求如下：</w:t>
            </w:r>
          </w:p>
          <w:p w14:paraId="1E2280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①交流输出0-30V，分辨率1V。直输出流0-30V，分辨率0.1V。配备虚拟数字表实时显示电流，显示分辨率为0.01A，具备过流短路保护功能。</w:t>
            </w:r>
          </w:p>
          <w:p w14:paraId="3E5B71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②直流高压：双档直流输出240V/300V高压，小电流过载短路保护。</w:t>
            </w:r>
          </w:p>
          <w:p w14:paraId="4F1873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③直流大电流：输出直流低压、大电流延时输出，延时20S自动关断，也可手动随时开启或关断，实时显示当前状态。</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E3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3B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DT-JSDZ330-WL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85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B4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F1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11000.00 </w:t>
            </w:r>
          </w:p>
        </w:tc>
      </w:tr>
      <w:tr w14:paraId="7B702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3B6333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二、学生实验学习区</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38F366CE">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1AE78942">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7EC62">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F02A4">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CD2E5">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7F698">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A7D74">
            <w:pPr>
              <w:jc w:val="center"/>
              <w:rPr>
                <w:rFonts w:hint="eastAsia" w:ascii="宋体" w:hAnsi="宋体" w:eastAsia="宋体" w:cs="宋体"/>
                <w:i w:val="0"/>
                <w:iCs w:val="0"/>
                <w:color w:val="000000"/>
                <w:sz w:val="20"/>
                <w:szCs w:val="20"/>
                <w:u w:val="none"/>
              </w:rPr>
            </w:pPr>
          </w:p>
        </w:tc>
      </w:tr>
      <w:tr w14:paraId="2BB77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2E3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9E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学生实验桌（陶瓷面板）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9A2F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493AF9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⑴.实验桌整体规格1200×600×780㎜(±5㎜)， 整体结构“Z”字形结构，学生位镂空式，侧脚采用三段式高强度铝合金结构，立柱采用上下铸铝脚， 上铝铸件造型采用斜加固撑包箍立柱造型。</w:t>
            </w:r>
          </w:p>
          <w:p w14:paraId="2F0AEC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⑵.台面背部档水板，台面下部设有专用书包斗，中间设挂凳卡，两个书包斗中间电源盒，符合人体工程学设计。所有的金属表面经环氧树脂粉末喷涂高温固化处理耐酸碱、耐腐蚀等特点。</w:t>
            </w:r>
          </w:p>
          <w:p w14:paraId="5E2726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51F040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桌腿：由上中下三段组成，上、下支座和立柱连接，立柱采用椭圆形；规格108×50×630mm(±5㎜)铝合金型材，壁厚为1.5㎜(±0.2㎜)，侧脚上横脚；规格570×50×40㎜(±2㎜)，侧脚下脚；规格550×55×116㎜(±5㎜)，立柱内嵌入上下铸铝脚，并用高强度内六角螺丝连接，上铝铸件斜撑包箍立柱加固造型，材料高强度铝合金模具压铸一次成型。</w:t>
            </w:r>
          </w:p>
          <w:p w14:paraId="6353FB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左、右脚拼装连接：前、后梁；规格1085×35×40㎜(±5㎜)；中梁；规格1160×40×30㎜(±2㎜)，壁厚为1.2㎜(±0.2㎜)铝合金型材；左右侧脚下梁采；规格1035×30×60(±5㎜)壁厚2㎜(±0.2㎜)椭圆spcc碳钢无缝钢管，管材两端截面与5mm(±0.2㎜)钢制连接片焊接成型，并用高强度内六角不锈钢螺丝连接链接到左右脚腿，易碰撞处全部倒圆角。</w:t>
            </w:r>
          </w:p>
          <w:p w14:paraId="5812B4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⑶.台面前挡水板：背板挡水板20mm凹槽型铝合金型材；规格1150×93×15㎜(±2㎜)，厚度为1.0㎜(±0.2㎜)， 挡水板左右堵头为压铸铝一次性成型件；规格37×15×94㎜(±2㎜)与挡水板卡扣式相连接。</w:t>
            </w:r>
          </w:p>
          <w:p w14:paraId="5098BF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 桌脚底部镶入硅胶脚垫防止与地面摩擦，预留专用孔位可与地面固定，有效延长设备寿命。</w:t>
            </w:r>
          </w:p>
          <w:p w14:paraId="2CD7A0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⑸.电源盒采用改性的PP材料注塑一体成型；规格：202×130×295㎜(±5㎜)，翻盖面采用ABS材料注塑成型；翻盖面可拆装，方便安装和检修。</w:t>
            </w:r>
          </w:p>
          <w:p w14:paraId="199D98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3、专用书包斗材料采用改性环保PP注塑一体成型，规格440×275×175㎜(±10㎜)。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4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6E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DT-ZO1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D4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F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CA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26620.00 </w:t>
            </w:r>
          </w:p>
        </w:tc>
      </w:tr>
      <w:tr w14:paraId="6B9EE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690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88C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升降学生实验凳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AD0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w:t>
            </w:r>
          </w:p>
          <w:p w14:paraId="233CF1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四支凳脚椭圆形无缝钢管抓地，凳面PP改性塑料一次性注塑成型，冷轧钢板凳面圆形托盘，螺杆式旋转可调升降，整体规格：ф300×（450）≥500㎜±0.2mm。所有的金属表面经环氧树脂粉末喷涂高温固化处理耐酸碱、耐腐蚀等特点。</w:t>
            </w:r>
          </w:p>
          <w:p w14:paraId="5178DA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w:t>
            </w:r>
          </w:p>
          <w:p w14:paraId="5E8135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⑴.凳面环保型PP改性塑料一次性注塑成型；规格ф305㎜(±5㎜)；厚5.8㎜(±0.5㎜)；凳面表层有颗粒凸起花纹；防滑、按摩、抗疲。</w:t>
            </w:r>
          </w:p>
          <w:p w14:paraId="23AC1B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⑵.凳面高低调节升降螺杆旋转，调节范围450㎜-500㎜自由调节。</w:t>
            </w:r>
          </w:p>
          <w:p w14:paraId="5F8E6B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⑶.凳脚架四支凳脚椭圆形无缝钢管；规格34×16㎜；厚度1.4㎜(±0.2㎜)，凳脚架焊接全圆满焊接。</w:t>
            </w:r>
          </w:p>
          <w:p w14:paraId="176175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⑷.凳面托盘冷轧钢板；规格ф220㎜(±0.2㎜)；厚度2.2㎜(±0.2㎜)，钢板托盘有凹凸冲压成型加强筋，使凳子更加稳固。</w:t>
            </w:r>
          </w:p>
          <w:p w14:paraId="67D2A5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⑸.脚垫PP加耐磨纤维质塑料，实心倒勾式一体成型，防止防滑和保护地板划痕。</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FF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D1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DT-SYD82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50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E8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1D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6800.00 </w:t>
            </w:r>
          </w:p>
        </w:tc>
      </w:tr>
      <w:tr w14:paraId="55BB3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1D3ECB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三、吊装集成设备</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00167E34">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5FC6A7A8">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CFFB">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C9B9C">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EE4AA">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46C01">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6CA33">
            <w:pPr>
              <w:jc w:val="center"/>
              <w:rPr>
                <w:rFonts w:hint="eastAsia" w:ascii="宋体" w:hAnsi="宋体" w:eastAsia="宋体" w:cs="宋体"/>
                <w:i w:val="0"/>
                <w:iCs w:val="0"/>
                <w:color w:val="000000"/>
                <w:sz w:val="20"/>
                <w:szCs w:val="20"/>
                <w:u w:val="none"/>
              </w:rPr>
            </w:pPr>
          </w:p>
        </w:tc>
      </w:tr>
      <w:tr w14:paraId="3F0EA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26B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B74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集成箱体</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AAE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（1）顶装主体架外壳</w:t>
            </w:r>
          </w:p>
          <w:p w14:paraId="7F38DF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采用多模块化舱体式结构；外壳左右采用铝合金模具挤压型材，舱体前、尾端采用阻燃ABS注塑模具一次成型堵头封盖，舱体外壳左右中腰部镶铝合金装饰条；舱体外壳下部边缘设有LED照明灯条，所有的金属件表面经环氧树脂粉末喷涂高温固化处理。</w:t>
            </w:r>
          </w:p>
          <w:p w14:paraId="508535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外壳左右为铝合金挤压型材，采用标准化模块组.模组规格：1200×730×265㎜(±5㎜)，型材厚度1.8㎜(±0.2㎜)。模块组合成连体吊装，外壳表面经环氧树脂粉末喷涂高温固化处理，具有阻燃性强和耐酸碱、耐腐蚀，光泽度好，美观大方。</w:t>
            </w:r>
          </w:p>
          <w:p w14:paraId="05A046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3、为保证整体材料质量以及从环保角度保障实验室师生安全健康</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B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87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DT-ZJT20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D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26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2F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75000.00 </w:t>
            </w:r>
          </w:p>
        </w:tc>
      </w:tr>
      <w:tr w14:paraId="0E2AD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AF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A34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学生多功能电源</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85B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结构参数：学生多功能电源外壳正面呈“三部分”布局，左右各集成交直流低压电源输出和功能性按钮，中间集成总电源保险装置、急停旋钮以及USB接口。外壳两侧各配有五孔高压插座。外壳底部配有网络接口、给排水接口和上排水的供电接口。</w:t>
            </w:r>
          </w:p>
          <w:p w14:paraId="059328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2、技术要求：电源模块外壳采用3.0mm阻燃级材质，模具一体成型，规格245×90×180㎜(±5㎜)。面板基材规格217×137㎜(±5㎜)。面纸采用耐磨、耐腐蚀、耐高温的PC亮光薄膜面板，界面文字清晰美观。</w:t>
            </w:r>
          </w:p>
          <w:p w14:paraId="6C6FF6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学生电源信息显示屏，采用1.8寸彩色TFT，配合高速MCU可流畅显示GUI，四路多功能轻触开关为控制主体，在不同状态下实现不同功能，具体详细参数如下：</w:t>
            </w:r>
          </w:p>
          <w:p w14:paraId="39F905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⑴交流电源：输出0-30V交流，分辨率为1V，电流实时显示，显示分辨率为0.01A，具备过流短路保护。</w:t>
            </w:r>
          </w:p>
          <w:p w14:paraId="16670C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⑵直流电源：输出0-30V直流，分辨率为0.1V，电流实时显示，显示分辨率为0.01A，具备过流短路保护。</w:t>
            </w:r>
          </w:p>
          <w:p w14:paraId="2C8964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⑶过载保护：当低压电源有过流或短路时，电路实现过载保护功能，此时界面提示过载，且有声音提示，随后应检查实验电路或负载是否正确，排除问题后可按任意按键实现电源复位。</w:t>
            </w:r>
          </w:p>
          <w:p w14:paraId="5E141D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锁定功能：电源可以由学生自行单独操作，也可由老师电源独立控制。当老师锁定学生电源后，界面提示锁定，此时学生按键设计电压功能都将失效，且有声音提示，表示电源已被锁定，只能由教师电源控制，解锁时按键功能恢复正常。</w:t>
            </w:r>
          </w:p>
          <w:p w14:paraId="1AC479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⑸电子举手：当老师有提问时，界面可显示老师提问状态，可选择性举手，老师可在主控端实时显示学生举手状态及位置。</w:t>
            </w:r>
          </w:p>
          <w:p w14:paraId="035374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⑹一个急停旋钮:蘑菇按键头φ31㎜,材料铝氧化红色；外壳为304不锈钢材质，耐腐蚀、耐温、阻燃、长寿命；高机械寿命，防止在操作实验过程中水、电出现故障时紧急制动及摇臂升降过程紧急制动，确保操作安全可靠性。</w:t>
            </w:r>
          </w:p>
          <w:p w14:paraId="6861F0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⑺操作端正面设有一组总电源保险装置、二组USB接口。</w:t>
            </w:r>
          </w:p>
          <w:p w14:paraId="3840E9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⑻外壳底部配有两组RJ45网络模块接口。</w:t>
            </w:r>
          </w:p>
          <w:p w14:paraId="7791E0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⑼外壳底部集成一对给排水快速接口和上排水的供电接口。二次保护：当摇臂升起时，电源盒上还有未断开的线路或水管时，将会有语音提示播报，等待线路或水管拔除后，摇臂将再次自动升起，教师端无需二次操作。</w:t>
            </w:r>
          </w:p>
          <w:p w14:paraId="320661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⑽外壳左右两侧各配有：两组五孔多功能220V安全插座，插口带保护门，额定电流10A。</w:t>
            </w:r>
          </w:p>
          <w:p w14:paraId="77DF55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⑾自由编号:可自行按教室划分编号,编号可独立使用，也可统一，独立使用时教师端可进行每台的单独控制而不影响其它电源的使用。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D5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B1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DT-DKX1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40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7B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B7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8060.00 </w:t>
            </w:r>
          </w:p>
        </w:tc>
      </w:tr>
      <w:tr w14:paraId="6A9C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A85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3A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学生电源交换机</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08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1、通讯控制单元：由通讯总线接收总控单元的各种命令，来执行各种动作。</w:t>
            </w:r>
          </w:p>
          <w:p w14:paraId="61B299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2、摇臂控制单元：采用闭环控制由上、下限检测开关控制。</w:t>
            </w:r>
          </w:p>
          <w:p w14:paraId="02D26C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3、低压供电单元：直流电源采用硬件，软件双重保护。交流电源采用隔离检测保护电路，</w:t>
            </w:r>
          </w:p>
          <w:p w14:paraId="719FD5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4、高压供电单元：漏电保护，急停停止电路。</w:t>
            </w:r>
          </w:p>
          <w:p w14:paraId="15BC39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5、供水控制单元：水位检测来控制电机启停，实时排水。</w:t>
            </w:r>
          </w:p>
          <w:p w14:paraId="0DA7CB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6、照明控制单元：远程开启关闭。</w:t>
            </w:r>
          </w:p>
          <w:p w14:paraId="378AE3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7、内置独立140VA隔离电源变压器，分组控制学生端低压输出，带分组接线口。</w:t>
            </w:r>
          </w:p>
          <w:p w14:paraId="2B7F1C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8、状态指示单元：各种状态指示，便于安装调试，维修。</w:t>
            </w:r>
          </w:p>
          <w:p w14:paraId="1E2EFC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语音提示:教师可自由设置是否有语音播报。播报内容包括但不限以下提示：电压设置、照明状态、风速信息、摇臂信息等提示信息。当即将到达定时关机时间时，会有语音提示。并预留给教师时间处理断电前的数据保存与整理工作，防止计算机或电脑断电导致数据丢失。</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10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F3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DT-JHJ20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04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33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69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15200.00 </w:t>
            </w:r>
          </w:p>
        </w:tc>
      </w:tr>
      <w:tr w14:paraId="46964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187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D39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灯光照明装置</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C82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1、照明灯光模块；规格：1200×72㎜，2个LED吸顶，每组内置2条功率24V标准LED灯带，外罩由铝合金挤压型材，表面经环氧树脂粉末喷涂高温固化处理。</w:t>
            </w:r>
          </w:p>
          <w:p w14:paraId="3798CB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灯板采用2.0㎜厚PC光扩散板，扩大了发光面，使光线变的柔和，达到匀光而又透光，同时满足各种雾度值和透光率的需求。及在保证高透光率，降低光衰的情况下，有着良好的光源遮蔽性效果，符合视觉工效学原则及室内工作场所照明。模块化安装，维修便捷。所有灯光模组由独立控制软件控制，可以根据实际照明需求进行2个模组单个关闭及开启功能。</w:t>
            </w:r>
          </w:p>
          <w:p w14:paraId="374AA4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3、亮度调节：教师端可自由调节灯光亮度，调节范围0-100。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7A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2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DT-DD213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5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C3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C4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2040.00 </w:t>
            </w:r>
          </w:p>
        </w:tc>
      </w:tr>
      <w:tr w14:paraId="2908A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7C5B24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四、安装附件部分</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4302FE37">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EA54">
            <w:pPr>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EB609">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079EF">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E17D2">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F0E93">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64EA5">
            <w:pPr>
              <w:jc w:val="center"/>
              <w:rPr>
                <w:rFonts w:hint="eastAsia" w:ascii="宋体" w:hAnsi="宋体" w:eastAsia="宋体" w:cs="宋体"/>
                <w:i w:val="0"/>
                <w:iCs w:val="0"/>
                <w:color w:val="000000"/>
                <w:sz w:val="20"/>
                <w:szCs w:val="20"/>
                <w:u w:val="none"/>
              </w:rPr>
            </w:pPr>
          </w:p>
        </w:tc>
      </w:tr>
      <w:tr w14:paraId="5B509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1DA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C2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全室供电线路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AB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1、线管：DN25国标阻燃PVC线管。                                                                                                                                                                                 2、电线：国标优质铜芯线2.5mm²、0.5mm²。RV聚氯乙烯绝缘无护套电线。</w:t>
            </w:r>
          </w:p>
          <w:p w14:paraId="243570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3、模块化设计，每组模块间采用活接式连接，方便安装、检修。</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B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1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19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B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7D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10000.00 </w:t>
            </w:r>
          </w:p>
        </w:tc>
      </w:tr>
      <w:tr w14:paraId="1DBBA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6BB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EC3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全套设备系统实施</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AA9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1、吊顶式安装采用模块化结构设计，采用吊装安装方式</w:t>
            </w:r>
          </w:p>
          <w:p w14:paraId="2CCD864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2、结构调试</w:t>
            </w:r>
          </w:p>
          <w:p w14:paraId="49BBA1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3、控制调试</w:t>
            </w:r>
          </w:p>
          <w:p w14:paraId="53AEA9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4、给排水调试</w:t>
            </w:r>
          </w:p>
          <w:p w14:paraId="00B1A7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5、供电调试</w:t>
            </w:r>
          </w:p>
          <w:p w14:paraId="3A33A9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6、照明调试</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B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79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BA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D0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6B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15000.00 </w:t>
            </w:r>
          </w:p>
        </w:tc>
      </w:tr>
      <w:tr w14:paraId="01591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0B8728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理化生准备室</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037D9A12">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7B70ABA1">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1197B">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F7F99">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66AA3">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D13C2">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863C">
            <w:pPr>
              <w:jc w:val="center"/>
              <w:rPr>
                <w:rFonts w:hint="eastAsia" w:ascii="宋体" w:hAnsi="宋体" w:eastAsia="宋体" w:cs="宋体"/>
                <w:i w:val="0"/>
                <w:iCs w:val="0"/>
                <w:color w:val="000000"/>
                <w:sz w:val="20"/>
                <w:szCs w:val="20"/>
                <w:u w:val="none"/>
              </w:rPr>
            </w:pPr>
          </w:p>
        </w:tc>
      </w:tr>
      <w:tr w14:paraId="5E171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402894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一、准备室设备</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36E70144">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07A5BC0A">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D332A">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F162E">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2F3E9">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93445">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C1FC5">
            <w:pPr>
              <w:jc w:val="center"/>
              <w:rPr>
                <w:rFonts w:hint="eastAsia" w:ascii="宋体" w:hAnsi="宋体" w:eastAsia="宋体" w:cs="宋体"/>
                <w:i w:val="0"/>
                <w:iCs w:val="0"/>
                <w:color w:val="000000"/>
                <w:sz w:val="20"/>
                <w:szCs w:val="20"/>
                <w:u w:val="none"/>
              </w:rPr>
            </w:pPr>
          </w:p>
        </w:tc>
      </w:tr>
      <w:tr w14:paraId="1F9A4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DA8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10F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72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1、规格1000×500×2000mm(±5㎜)；</w:t>
            </w:r>
          </w:p>
          <w:p w14:paraId="169E63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侧板、层板采用环保型pp改性材料一次注塑成型，表面做磨砂处理。榫卯连接结构并合理布局加强筋，配合专用塑料紧固件连接，顶板、中板和底板的底部镶嵌15×30mm钢管加强，承重力强，产品不变形、不扭曲，可重复拆装使用。</w:t>
            </w:r>
          </w:p>
          <w:p w14:paraId="234849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3、上柜门：采用增强型PP材质一体注塑成型，外嵌4mm(±0.5㎜)钢化烤漆玻璃,中间玻璃做镂空处理，透明可视。</w:t>
            </w:r>
          </w:p>
          <w:p w14:paraId="70E03A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4、下柜门：采用增强型PP材质一体注塑成型，外嵌4mm(±0.5㎜)钢化烤漆玻璃。</w:t>
            </w:r>
          </w:p>
          <w:p w14:paraId="226DE9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5、门把手：采用增强型PP材质一次注塑成型，安装于两门的门缝处，凹凸配套，增加柜子内部的气密性。</w:t>
            </w:r>
          </w:p>
          <w:p w14:paraId="5891D7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层板：上柜配两块活动层板，下柜配一块活动层板；层板采用工程塑料经模具挤出成型，中空双层结构，内部均匀分布加强筋并内置两条30×15mm钢管；两边配置密封堵头，整板无裸露金属，避免腐蚀生锈，美观耐用。层板可以抽取，自由组合各层空间。</w:t>
            </w:r>
          </w:p>
          <w:p w14:paraId="122D02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7、门铰链：用改性pp材料模具一次成型，伸缩式pp旋转门轴，内嵌隐藏方便安装，耐腐蚀。</w:t>
            </w:r>
          </w:p>
          <w:p w14:paraId="5E29B2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8、柜门固定所需螺丝均采用304不锈钢，柜子内部空间无裸露金属材料，确保柜子的耐腐蚀性。</w:t>
            </w:r>
          </w:p>
          <w:p w14:paraId="6D91A6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9、柜子顶部留通风接口，与通风管路连接；接口处配有手动调节装置，可以打开或关闭通风口。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02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F1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DT-PP-1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C6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2057.00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ED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EC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16456.00 </w:t>
            </w:r>
          </w:p>
        </w:tc>
      </w:tr>
      <w:tr w14:paraId="4D651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615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08D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药品柜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2A6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1、规格：1000×500×2000㎜(±5㎜)（内附PP阶梯）                                                                                                                                                                                  2、侧板、层板采用环保型pp改性材料一次注塑成型，表面做磨砂处理。榫卯连接结构并合理布局加强筋，配合专用塑料紧固件连接，顶板、中板和底板的底部镶嵌15×30mm钢管加强，承重力强，产品不变形、不扭曲，可重复拆装使用。</w:t>
            </w:r>
          </w:p>
          <w:p w14:paraId="7B7FD8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3、上柜门：采用增强型PP材质一体注塑成型，外嵌4mm(±0.5㎜)钢化烤漆玻璃,中间玻璃做镂空处理，透明可视。</w:t>
            </w:r>
          </w:p>
          <w:p w14:paraId="3F1C6A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4、下柜门：采用增强型PP材质一体注塑成型，外嵌4mm(±0.5㎜)钢化烤漆玻璃。</w:t>
            </w:r>
          </w:p>
          <w:p w14:paraId="789F36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5、门把手：采用增强型PP材质一次注塑成型，安装于两门的门缝处，凹凸配套，增加柜子内部的气密性。</w:t>
            </w:r>
          </w:p>
          <w:p w14:paraId="46E83D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层板：上柜配两块活动层板，下柜配一块活动层板；层板采用工程塑料经模具挤出成型，中空双层结构，内部均匀分布加强筋并内置两条30×15mm钢管；两边配置密封堵头，整板无裸露金属，避免腐蚀生锈，美观耐用。层板可以抽取，自由组合各层空间。</w:t>
            </w:r>
          </w:p>
          <w:p w14:paraId="61EC86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7、门铰链：用改性pp材料模具一次成型，伸缩式pp旋转门轴，内嵌隐藏方便安装，耐腐蚀。</w:t>
            </w:r>
          </w:p>
          <w:p w14:paraId="698043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8、柜门固定所需螺丝均采用304不锈钢，柜子内部空间无裸露金属材料，确保柜子的耐腐蚀性。</w:t>
            </w:r>
          </w:p>
          <w:p w14:paraId="1D85BE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9、柜子顶部留通风接口，与通风管路连接；接口处配有手动调节装置，可以打开或关闭通风口。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AB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FD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DT-PP-2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C1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2178.00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1D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E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17424.00 </w:t>
            </w:r>
          </w:p>
        </w:tc>
      </w:tr>
      <w:tr w14:paraId="003B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F04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DB6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91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1、规格1000×500×2000mm(±5㎜)。</w:t>
            </w:r>
          </w:p>
          <w:p w14:paraId="42A0C1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2、材质：四周采用A级18mm厚防潮三聚氰胺双贴面板，其截面由PVC封边带利用进口机械高温热熔胶封边，粘力强，密封性好，外形美观，经久耐用。</w:t>
            </w:r>
          </w:p>
          <w:p w14:paraId="7F4B2C9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框架：采用铝合金框架结构，主支柱为30*30mm的方形铝管，纵横二方向中，至少一个方向的尺寸不低于30mm，壁厚不小于1.5mm，壁厚允许误差≤±0.15mm。所有铝材表面经过环氧树脂粉末喷涂，防酸耐碱，美观、牢固耐用。</w:t>
            </w:r>
          </w:p>
          <w:p w14:paraId="317A70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4、结构：上部四周采用5mm厚玻璃，二层玻璃托板，托板厚度为8mm厚玻璃，上门用5mm厚的推拉式玻璃门，边沿磨边。下部储物柜，对开门。内设一层隔板，隔板采用A级25mm优质三聚氰胺双贴面密度中纤板。</w:t>
            </w:r>
          </w:p>
          <w:p w14:paraId="68ABDD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5、拉手：不锈钢拉手。</w:t>
            </w:r>
          </w:p>
          <w:p w14:paraId="7D1FA7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6、脚垫：进口工程塑料注塑一次成型，耐腐蚀，高低可调。</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64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FB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DT-BBG20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1D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3146.00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E2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1B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15730.00 </w:t>
            </w:r>
          </w:p>
        </w:tc>
      </w:tr>
      <w:tr w14:paraId="2718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C55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FF7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AD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规格：1650×1090×460mm(±5mm)。</w:t>
            </w:r>
          </w:p>
          <w:p w14:paraId="611849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1.柜体采用1.0mm厚钢板，进口全自动数控激光切割机下料，全自动数控折弯机一次性折弯成型，气体保护焊接。表面环氧树脂粉末静电喷涂，高温固化，抗冲击。</w:t>
            </w:r>
          </w:p>
          <w:p w14:paraId="2EEBA1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2.结构为整体焊接成型，柜体双层结构，双层加厚门板，整体加固。</w:t>
            </w:r>
          </w:p>
          <w:p w14:paraId="0FF59B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柜体内部预留层板孔，可根据柜子大小配置不同数量活动层板。</w:t>
            </w:r>
          </w:p>
          <w:p w14:paraId="0596D0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3.合页选用304不锈钢长条合页，经久耐用，不生锈。</w:t>
            </w:r>
          </w:p>
          <w:p w14:paraId="298977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4.层板同柜体材质，层板托采用304，1.0mm厚不锈钢板冲压成型，承重好。</w:t>
            </w:r>
          </w:p>
          <w:p w14:paraId="0BC94B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5.锁具配置普通机械锁，门顶上及侧面为双锁芯。</w:t>
            </w:r>
          </w:p>
          <w:p w14:paraId="751236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6.整体标准颜色为黄色。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35B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9C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CF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22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50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6800.00 </w:t>
            </w:r>
          </w:p>
        </w:tc>
      </w:tr>
      <w:tr w14:paraId="4141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1B3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D05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全钢款通风操作柜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ABD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规格：1200×850×2350㎜(±5mm)。                                                                                                                                                                                                1.主体框架左右旁板、前钢板、下柜体均采用（裸板）1.0mm厚钢板， 2000W全自动数控激光切割机下料，折弯采用全自动数控折弯机一次性一体折弯成型，表面经环氧树脂粉末静电流水线自动化喷涂及高温固化。</w:t>
            </w:r>
          </w:p>
          <w:p w14:paraId="7E9FEE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2.顶板7mm厚实芯抗倍特板，具有良好的防腐蚀、化学抗性。</w:t>
            </w:r>
          </w:p>
          <w:p w14:paraId="2312AE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3.内衬板、导流板、后背板采用4mm厚实芯抗倍特板具有良好的防腐蚀、化学抗性。导流板为三段式结构，导流板固定件使用PP优质材质制作一体成型。</w:t>
            </w:r>
          </w:p>
          <w:p w14:paraId="0A5349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移动视窗门框及拉手为铝合金型材，表面经环氧树脂粉末静电流水线自动化喷涂及高温固化。框内嵌入4mm钢化玻璃，门开启高度为740mm,自由升降，移门上下滑动装置采用同步轴轮皮带式结构，无级任意停留，移门导向装置由抗腐蚀的聚氯乙稀材质构成。</w:t>
            </w:r>
          </w:p>
          <w:p w14:paraId="2B5232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5.台面采用（国产）实芯理化板（12.7mm厚）耐酸碱，耐冲击，耐腐蚀，甲醛达到E1级别标准。</w:t>
            </w:r>
          </w:p>
          <w:p w14:paraId="1ECFC6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6.连接部分所有的内部连接装置都需隐藏布置和抗腐蚀，没有外露的螺钉，外部连接装置都抗化学腐蚀的不锈钢部件与非金属材料。</w:t>
            </w:r>
          </w:p>
          <w:p w14:paraId="79D9CD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7.排气出口采用PP集气罩模具一体成型，出风口直径250mm圆孔，套管连接，减少气体扰流。</w:t>
            </w:r>
          </w:p>
          <w:p w14:paraId="39B682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8.水路配有进口一次性成型壁式PP小杯槽，耐酸碱、耐腐蚀。壁式单口水龙头由黄铜构成并安装在通风柜内左侧默认无蓝色边框。</w:t>
            </w:r>
          </w:p>
          <w:p w14:paraId="6BF8DD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电路控制面板采用液晶显示屏面板（可设置快慢自由调节，可适应市场上大部分类似产品，支持电动风阀6秒快开）8个按键电源、设置、确定、照明、备用、风机、风阀+\-键。照明LED白光灯快速启动类型，安装置通风柜顶部，使用寿命长。插座配有四个10A 220V五孔多功能插座。线路使用正泰2.5平方铜芯电线。总开关32A漏电保护断路器。</w:t>
            </w:r>
          </w:p>
          <w:p w14:paraId="24CD7D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10.其它上柜内右侧预留检修窗，方便故障检修，左右旁板各预留2个孔方便加装考克等设施。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34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73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7D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0E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33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12000.00 </w:t>
            </w:r>
          </w:p>
        </w:tc>
      </w:tr>
      <w:tr w14:paraId="545D1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6C10E9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二、安装附件部分</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7493E6C1">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0CA4C">
            <w:pPr>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05DEC">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419FE">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16DAE">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45F62">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E755E">
            <w:pPr>
              <w:jc w:val="center"/>
              <w:rPr>
                <w:rFonts w:hint="eastAsia" w:ascii="宋体" w:hAnsi="宋体" w:eastAsia="宋体" w:cs="宋体"/>
                <w:i w:val="0"/>
                <w:iCs w:val="0"/>
                <w:color w:val="000000"/>
                <w:sz w:val="20"/>
                <w:szCs w:val="20"/>
                <w:u w:val="none"/>
              </w:rPr>
            </w:pPr>
          </w:p>
        </w:tc>
      </w:tr>
      <w:tr w14:paraId="6F42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666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BF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给排水设备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68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1、技术要求：具有防酸、防碱、耐腐蚀功能，全室给水全部模块化设计，每组模块间采用活接式连接，方便安装、检修。                                                                                                                                                              2、给水管：选用Ф25PPR水管。排水管：Ф50PVC管。</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38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E4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F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C47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64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726.00 </w:t>
            </w:r>
          </w:p>
        </w:tc>
      </w:tr>
      <w:tr w14:paraId="1B73E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8C2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EC1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准备室通风设备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ADE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1、通风风机：双速轴流风机。                                                                                                                                                                                      2、采用PVC风管，具有耐酸碱性能。</w:t>
            </w:r>
          </w:p>
          <w:p w14:paraId="7E77E4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规格：主风管直径160mm，支风管直径110mm。管卡采用碳钢制作，表面经镀铬处理，具有耐腐蚀、防火、防潮等功能。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6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11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管博士定制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D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1E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79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5000.00 </w:t>
            </w:r>
          </w:p>
        </w:tc>
      </w:tr>
      <w:tr w14:paraId="00E98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6B5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2B7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设备系统实施</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69E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仅所供产品室内安装。</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25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BD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德天定制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0B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9A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4C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6050.00 </w:t>
            </w:r>
          </w:p>
        </w:tc>
      </w:tr>
      <w:tr w14:paraId="39562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4FDD79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初中生物仪器</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5F7BF0B3">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6473AAC7">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6ABA">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EC7E8">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BD57C">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9BF63">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42916">
            <w:pPr>
              <w:jc w:val="center"/>
              <w:rPr>
                <w:rFonts w:hint="eastAsia" w:ascii="宋体" w:hAnsi="宋体" w:eastAsia="宋体" w:cs="宋体"/>
                <w:i w:val="0"/>
                <w:iCs w:val="0"/>
                <w:color w:val="000000"/>
                <w:sz w:val="20"/>
                <w:szCs w:val="20"/>
                <w:u w:val="none"/>
              </w:rPr>
            </w:pPr>
          </w:p>
        </w:tc>
      </w:tr>
      <w:tr w14:paraId="3DD1C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45A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F3C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实验服</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437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涤卡，可分为大中小号</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15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0B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75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4C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EB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528FE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260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17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C36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侧面完全遮挡，耐酸碱，抗冲击，耐磨，便于清洗。</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B7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4D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DD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87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C3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r>
      <w:tr w14:paraId="19520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9A2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733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乳胶手套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189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手套采用纯天然乳胶工业手套。五指带袖套长200mm。耐低度酸碱。</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8A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鸿顺南洋</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E7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820081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F5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02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F1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r>
      <w:tr w14:paraId="2FA2F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402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C36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一次性PE手套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5A9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塑料材质。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D6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F9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100只/包</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09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85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8E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 </w:t>
            </w:r>
          </w:p>
        </w:tc>
      </w:tr>
      <w:tr w14:paraId="126F9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01C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303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制热设备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347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功率可调，额定功率≥1600W。</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B5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宇烁</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98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YS-CD3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E6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DE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B9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515.00 </w:t>
            </w:r>
          </w:p>
        </w:tc>
      </w:tr>
      <w:tr w14:paraId="2A8D5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E96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1C8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恒温水浴锅</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E5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水槽式。内锅采用不锈钢制作成型，外壳选用优质薄板并喷塑涂装，锅盖由光化铝板制件组成。内热式电热管浸在水中间，加热快，耗电省，又安全；并装有数显恒温、温控装置。</w:t>
            </w:r>
          </w:p>
          <w:p w14:paraId="270D1D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1.四孔，恒温范围：室温+5 ℃～99.9 ℃</w:t>
            </w:r>
          </w:p>
          <w:p w14:paraId="428026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2.恒温误差：±0.5℃。</w:t>
            </w:r>
          </w:p>
          <w:p w14:paraId="62C2C6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3.加热功率：四孔水浴锅1000W</w:t>
            </w:r>
          </w:p>
          <w:p w14:paraId="576843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4.电源：    AC 220V/50hz；</w:t>
            </w:r>
          </w:p>
          <w:p w14:paraId="77C392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5.LCD屏液晶显示</w:t>
            </w:r>
          </w:p>
          <w:p w14:paraId="3D117E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6.不锈钢内胆</w:t>
            </w:r>
          </w:p>
          <w:p w14:paraId="37C1D3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7.四孔产品尺寸：440*270*170mm，锅内径：300*240*150mm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83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和顺</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FB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HH-4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17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EA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EA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944.00 </w:t>
            </w:r>
          </w:p>
        </w:tc>
      </w:tr>
      <w:tr w14:paraId="5DC2E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849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CBF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榨汁机</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A6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≥18000r/min，≥1.0L。</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39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蒙达</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55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89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43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D9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426.00 </w:t>
            </w:r>
          </w:p>
        </w:tc>
      </w:tr>
      <w:tr w14:paraId="74C71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E7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5F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烘干箱</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2E8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供对物料进行烘干、干燥用。二、性能：1、电源电压：单相220V±10%（50Hz)；2、额定功率：1000W；3、工作温度范围：40～200℃；4、温度波动：±1℃。三、结构：1、由箱体、电加热、温度控制等组成；2、工作室尺寸：350*350*350MM。3、箱体镜面镀锌内胆，电热膜加热方式，加热速度快，温度更均匀；4、数显PID控温仪表，具有定时、报警指示、温度偏差修整、控温自整定等功能。四、工作原理：以电热丝为加热热源，双向可控硅为无触点开关，感温探头连接触发电路，控制可控硅导通或阻断。</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E6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58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LC-101-0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94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97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41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3850.00 </w:t>
            </w:r>
          </w:p>
        </w:tc>
      </w:tr>
      <w:tr w14:paraId="2D7F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A57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6EE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高压灭菌器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5A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一、产品类型：高温蒸汽灭菌器；二、产品规格：灭菌室尺寸Φ280*400mm，三、参数：材质：全不锈钢材质，容积30L，电源220v，功率3.0KW四、功能：</w:t>
            </w:r>
          </w:p>
          <w:p w14:paraId="17213C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机械式安全连锁装置</w:t>
            </w:r>
          </w:p>
          <w:p w14:paraId="6D4EAB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超压自泄0.145-0.165Mpa</w:t>
            </w:r>
          </w:p>
          <w:p w14:paraId="4EECD2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最高工作温度126℃-128℃</w:t>
            </w:r>
          </w:p>
          <w:p w14:paraId="392E71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断水保护控制</w:t>
            </w:r>
          </w:p>
          <w:p w14:paraId="0D8E3A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指示灯显示工作状态</w:t>
            </w:r>
          </w:p>
          <w:p w14:paraId="489F640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自胀式密封</w:t>
            </w:r>
          </w:p>
          <w:p w14:paraId="3B24BA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双刻度二类读数压力表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A8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中友</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4F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ZY-3OMA</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95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D7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4C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12000.00 </w:t>
            </w:r>
          </w:p>
        </w:tc>
      </w:tr>
      <w:tr w14:paraId="79679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409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F99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恒温培养箱</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04D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1、容积：42升，载物隔板：2块，冷轧镀锌铁胆。显示方式：LCD液晶，功率：400W，内部净空间尺寸：350*350*350MM；本机为立式框架结构,箱内新增LED照明灯带,人性化设计,直观可视,以便观察样品培养状态。</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FF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E5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LC-101-012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3D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3163.00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EE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8D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3163.00 </w:t>
            </w:r>
          </w:p>
        </w:tc>
      </w:tr>
      <w:tr w14:paraId="33CFC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F24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27D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仪器车</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C23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 mm×500mm×950 mm，车轮Φ75 mm，厚25 mm；一轮带刹车，车轮固定，双层不锈钢托盘。</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7B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F3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8B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34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0F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1716.00 </w:t>
            </w:r>
          </w:p>
        </w:tc>
      </w:tr>
      <w:tr w14:paraId="732E6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C0C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94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整理箱</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32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PP材质，储存及分发试剂用。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FC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95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02119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9C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32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E2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370.00 </w:t>
            </w:r>
          </w:p>
        </w:tc>
      </w:tr>
      <w:tr w14:paraId="6826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096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F78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大托盘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8A2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材质：塑料，规格：41*29*9CM。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B5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C9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41*29*9CM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9D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85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E0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2CB94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B89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E12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小托盘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A9C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材质：塑料，规格：23*17*6CM。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2F8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3A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23*17*6CM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10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BA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3D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125.00 </w:t>
            </w:r>
          </w:p>
        </w:tc>
      </w:tr>
      <w:tr w14:paraId="1EC70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CE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D20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实验用品提篮</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4B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成：由篮体、提柄、固定板、试管架组成；2、材质：篮体1个，采用≥5mm厚度的有机玻璃板制作，篮体规格：≥470mm×300mm×73mm（±5mm）；3、提柄2根，规格≥φ15.5mm（±3mm）的不锈钢制成；4、固定板1个，采用有机玻璃制作、固定板规格：≥357mm×288mm（±5mm），固定板上开有孔用于固定玻璃器皿和药品，上面分别开有≥φ108mm固定位1个，φ100mm固定位1个、φ90mm固定位1个，φ85mm固定位1个、φ60mm固定位4个、φ50mm固定位2个、φ30mm固定位3个（尺寸允许偏差±3mm）；5、试管架：一体式，采用有机玻璃制作、规格：≥280mm×69mm×92mm（±5mm），试管架一端为三层有机玻璃板、规格≥198mm×69mm×92mm（±5mm）、上两层分别开有≥φ30mm孔2个、φ26mm孔4个、φ21mm孔5个、φ18mm孔5个用于固定试管（尺寸允许偏差±3mm）、另一端为6根有机玻璃立柱、规格：≥φ7.8mm×55mm（±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9E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AE5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02123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34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54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11A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472.00 </w:t>
            </w:r>
          </w:p>
        </w:tc>
      </w:tr>
      <w:tr w14:paraId="49F0F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897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337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0BF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生物实验室常用工具，供对胶塞和软木塞打孔用。2、由四支不同孔径带手柄的空芯钻头、顶屑杆（通条）等组成。3、每支空芯管长度为100mm，管外径分别为6mm±0.1mm，8.5mm±0.1mm，10.5mm±0.1mm，13.0mm±0.1mm。4、钻头用45#无缝钢管制成，刀口经淬火处理，表面镀铬，刀刃无缺口或锯齿状。刃口角度为12°～15°。5、钻头圆度误差不大于0.05mm。6、钻头直线度误差不大于0.05mm。7、刀刃平面与手柄平行，并与钻头轴线垂直。刀刃平面与轴线的垂直度误差不大于0.3mm。8、顶屑杆直径φ3.5mm，长105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17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5E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90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B5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1F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r>
      <w:tr w14:paraId="09E9E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61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E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打孔夹板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56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导向夹板、夹板、连接杆、蝶形螺母等构成。2、导向夹板、夹板采用ABS工程塑料或实木制作，外形尺寸不小于180×40×12mm；3、供打孔用的通孔孔径依次为φ6.5、φ8.5、φ10.5、φ12.5；4、连接杆采用M5×80mm的标准件，有效丝长不小于50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56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8C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J02021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6B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2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7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r>
      <w:tr w14:paraId="434C6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714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D62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低压测电器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E86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笔式，氖泡式，测电极长≤10mm，测量范围100V～500V，辉光应稳定不闪烁。</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48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90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03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08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3E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38.00 </w:t>
            </w:r>
          </w:p>
        </w:tc>
      </w:tr>
      <w:tr w14:paraId="547DB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7A0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13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一字螺丝刀</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16D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每套内含以下两种规格各1把：Φ6mm，长150mm；Φ3mm，长75mm，工作部带磁性，硬度≥48HRC；旋杆采用铬钒钢，旋杆长度≥100mm，应经镀铬防锈处理；手柄采用高强度PP+高强性TPR注塑成型。</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0C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68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18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B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A1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r>
      <w:tr w14:paraId="50D7C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82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82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十字螺丝刀</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E41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每套内含以下两种规格各1把：Φ6mm，长150mm；Φ3mm，长75mm，工作部带磁性，硬度≥48HRC；旋杆采用铬钒钢，旋杆长度≥100mm，应经镀铬防锈处理；手柄采用高强度PP+高强性TPR注塑成型。</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8F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6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D6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23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E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r>
      <w:tr w14:paraId="3B819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88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27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钢手锯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888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型（单面）300mm，齿数：18（每25mm）；可调钢锯架，前后固定销与相应孔的配合间隙≤0.3mm；安装锯条后，锯条中心平面与锯架中心平面的平行度≤2mm；钢锯在达到99N拉力后经1min，不应有永久变形，拉钉不得松动脱落。钢板制锯架在达到900N张力时，侧弯不得超过1.8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DD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27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29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3D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FE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51.00 </w:t>
            </w:r>
          </w:p>
        </w:tc>
      </w:tr>
      <w:tr w14:paraId="05422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338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0AB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剥线钳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381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Φ0.5mm～2.5mm；刃口闭合状态间隙应不大于0.3mm，刃口错位应不大于0.2mm；钳口硬度不低于HRA65或HRC30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FA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8C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48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3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5C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r>
      <w:tr w14:paraId="7BE0B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E3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CEB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51D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160mm，抗弯强度1120N，扭力矩15N·m，15°；剪切性能Φ16mm钢丝，580N；夹持面硬度不低于44HRC；PVC环保手柄，在不大于18N的力作用下撑开角度不小于22°</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75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劳仕达</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55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CC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D5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EB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90.00 </w:t>
            </w:r>
          </w:p>
        </w:tc>
      </w:tr>
      <w:tr w14:paraId="6CB37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C66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1F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钢锤</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74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0.25kg，羊角锤。</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F2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CF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09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DB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F6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360F2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694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94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活扳手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8BA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200mm，活动扳口和扳体头部以及蜗杆的硬度≥40HRC。</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D6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劳仕达</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7F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39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A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C1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113BA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A6D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0A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砂轮片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ED8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Φ20mm～Φ30mm。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DE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7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81030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C1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40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6F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r>
      <w:tr w14:paraId="28DB4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F3A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CE1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软尺</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86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D8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15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5E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3E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10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56.00 </w:t>
            </w:r>
          </w:p>
        </w:tc>
      </w:tr>
      <w:tr w14:paraId="78E9A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6AD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30E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AD4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双盘、单杠杆、等臂，非封闭式横梁由铝合金制成。2、刀子：钢制成。3、最大称量为：200g,标尺称量为:0-5g,分度值e=d：0.2g,秤盘直径：84mm。4、规格：210mm×84mm×135mm。5、标尺光洁平直，连接部位固紧，分度线均匀，游码起点对准零线，移动时松紧适宜，当杠杆受到轻微冲击时，游码不移位。刀子垂直地紧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28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百灵</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D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JPT-2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B7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DD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47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623.00 </w:t>
            </w:r>
          </w:p>
        </w:tc>
      </w:tr>
      <w:tr w14:paraId="2D51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6C5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CE8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452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1、量程：0～500g；2、灵敏度0.01g；3、简单操作去皮，计数功能；4、单位转换功能，g/oz/ct；5、宽视角LCD显示；6、自带有水平调节脚；7、秤盘尺寸：Ф130mm；8、采用传感器。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B1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百灵</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7D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LP502M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EF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AC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6A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529.00 </w:t>
            </w:r>
          </w:p>
        </w:tc>
      </w:tr>
      <w:tr w14:paraId="2B88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208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248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电子秒表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9E5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1、0.1S，功能：单排双道记忆；2、时间，日历显示；3、定时响闹提醒；4、12小时制或24小时制显示；5、ABS材料；触发式按键；6、显示精度1/100秒；7、防水结构。</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70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沙逊</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EB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ZS-2D</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CE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FB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F6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560.00 </w:t>
            </w:r>
          </w:p>
        </w:tc>
      </w:tr>
      <w:tr w14:paraId="058ED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D46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465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红液温度计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59A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红液，0℃～100℃，分度值1℃，示值误差＜1.5℃</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4D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63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DE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9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58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6C67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837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D3F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水银温度计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D74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水银，0℃～200℃，分度值1℃，示值误差＜0.5℃，有保护套</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C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0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5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40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0C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r>
      <w:tr w14:paraId="2C8B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4E7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44F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干湿球温度计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AC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-25℃～50℃，分度值0.2℃；测量湿度0%～100%。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C5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49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TAL-2型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A7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5D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4D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266.00 </w:t>
            </w:r>
          </w:p>
        </w:tc>
      </w:tr>
      <w:tr w14:paraId="57B7B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0A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15B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计数器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B48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73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32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16041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7B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60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3E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224.00 </w:t>
            </w:r>
          </w:p>
        </w:tc>
      </w:tr>
      <w:tr w14:paraId="147C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D75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2A0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教学支架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50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铸铁底板尺寸（210mmｘ135mm）1kg,冲压烧瓶夹，大小圈（Φ110mm/Φ70mm），铝合金平行夹，垂直夹，钢材直径（Φ6.6mm,立杆Φ11.3mmｘ615mm）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6C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8D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B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6E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28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1680.00 </w:t>
            </w:r>
          </w:p>
        </w:tc>
      </w:tr>
      <w:tr w14:paraId="240E3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933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CFB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三脚架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4CB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外径Φ90mm，内径Φ74mm 厚度4.3mm，支撑脚直径Φ5.7mm，高156mm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DC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EF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38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7F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4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154.00 </w:t>
            </w:r>
          </w:p>
        </w:tc>
      </w:tr>
      <w:tr w14:paraId="32B86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674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97A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4CE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塑料制，8 孔，孔径 21 mm，立柱粘结</w:t>
            </w:r>
          </w:p>
          <w:p w14:paraId="6CBAC3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牢固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A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B3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04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D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3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238.00 </w:t>
            </w:r>
          </w:p>
        </w:tc>
      </w:tr>
      <w:tr w14:paraId="259B8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3DD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B96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2F0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60mm，采用高硼硅玻璃制造，外形尺寸：漏斗外径60±2mm.斗柄长60±5mm，斗茎外径7—8mm，斗及斗柄壁厚1-1.5mm.。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88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F2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A8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5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EB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90.00 </w:t>
            </w:r>
          </w:p>
        </w:tc>
      </w:tr>
      <w:tr w14:paraId="0EFB9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391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3A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BFA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Y形，Φ7～8x100mm.采用高硼硅玻璃制造，全高100±10mm，直径7-8mm,支管长50±5mm.壁厚≥1mm。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D2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D2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 形</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FC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8E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B8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0E84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44C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FE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1F4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150mm，采用高硼硅玻璃制造，玻璃部位全长130±10mm，上管卷口外径10±1mm,流液嘴外径2-3mm.壁厚≥1mm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5B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CF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DD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E4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DD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r>
      <w:tr w14:paraId="076D3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AB9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EBE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玻璃钟罩</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662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Φ150mm×280mm，具塞钟罩、采用高硼硅玻璃制造.全高：280±10ｍｍ。身高：250±5ｍｍ。內径150±3mm.。口外径：34±3mm：底边沿外径 180±5ｍｍ,配相应大小软胶, 壁厚：≥3mm。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09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F7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62093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81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B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11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220.00 </w:t>
            </w:r>
          </w:p>
        </w:tc>
      </w:tr>
      <w:tr w14:paraId="48391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6B7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FAA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载玻片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25B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无色透明，平整。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6F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F8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80302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24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BC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7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r>
      <w:tr w14:paraId="0261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56E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2AF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盖玻片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0FD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无色透明，平整。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68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D3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80303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8F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F2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E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84.00 </w:t>
            </w:r>
          </w:p>
        </w:tc>
      </w:tr>
      <w:tr w14:paraId="491AD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C1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7D0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0BB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150mL，透明钠钙玻璃制造.由灯座、灯塞、灯盖、灯芯组成。全高95mm±4mm；灯体高70mm±2mm。灯体直径：84±5mm.灯底直径60±3mm；灯口直径20±2mm。灯颈高25±5mm.灯体壁厚≥2mm,配纯棉灯芯,磨砂细腻.。</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E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DA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EA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2D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9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90.00 </w:t>
            </w:r>
          </w:p>
        </w:tc>
      </w:tr>
      <w:tr w14:paraId="4B27A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DBF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76C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95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Φ5mm～Φ6mm，由高硼硅玻璃制造。玻管外径5～6±0.5mm.长：500-600mm）。壁厚：1.2～1．4mm。两端烤光滑。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D2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43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B3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A7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46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 </w:t>
            </w:r>
          </w:p>
        </w:tc>
      </w:tr>
      <w:tr w14:paraId="7E51A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7E2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F92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玻璃弯管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DD7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Φ7mm～Φ8mm，高硼硅材质，分别为60,90,120度各种角度，尺寸200*70mm。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C3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1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B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D3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D7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1410.00 </w:t>
            </w:r>
          </w:p>
        </w:tc>
      </w:tr>
      <w:tr w14:paraId="5CEA2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AC9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341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A4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Φ3mm～Φ4mm，高硼硅玻璃制造.玻棒外径3～4±0.5mm、长度300±30mm.两端烤光滑,玻棒圆正。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A7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78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Φ3mm～4mm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0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2F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F0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r>
      <w:tr w14:paraId="452A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FA9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3C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试管夹</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A38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木制外形尺寸200×20×11mm，张口不少于30mm.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05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51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7E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C1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D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 </w:t>
            </w:r>
          </w:p>
        </w:tc>
      </w:tr>
      <w:tr w14:paraId="1B3F1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6C3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925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止水皮管夹</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DCE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止水夹材料采用直径Φ1.8～2mm65不锈钢材料加工制成Ｔ型弹簧夹。尺寸约为50×55×8mm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7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DB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640071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38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0A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2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r>
      <w:tr w14:paraId="6F7DE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75C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14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陶土网</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8EB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功能等同于石棉网，尺寸≥125mm×125mm，耐火材料为陶土。</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37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8A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64033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5C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D3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B1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98.00 </w:t>
            </w:r>
          </w:p>
        </w:tc>
      </w:tr>
      <w:tr w14:paraId="50F31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2D0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89C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燃烧匙</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2A3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燃烧勺用紫铜制成，手柄杆长度不小于300±5mmmm。紫铜,直径Φ20±1mm.。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A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B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64041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B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A2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2D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r>
      <w:tr w14:paraId="3EA84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4A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93A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药匙</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52B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不锈钢单头。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82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FC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64042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60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C1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ED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 </w:t>
            </w:r>
          </w:p>
        </w:tc>
      </w:tr>
      <w:tr w14:paraId="56E99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C1B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BFB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橡胶塞</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173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000、00、0～10号，白色，质地均匀。</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40C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AC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64061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57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AB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55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53.00 </w:t>
            </w:r>
          </w:p>
        </w:tc>
      </w:tr>
      <w:tr w14:paraId="0C6BE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B52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8A4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2A8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外径9mm，内径6mm，乳白色，具有耐油、耐酸碱、耐压等特性。</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25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04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64062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9F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EB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2CB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r>
      <w:tr w14:paraId="5FE97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A3A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182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1BD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Φ12mm,手持部分顶端应为环状，顶部要有刷丝，铁丝不可外露。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3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C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51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65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7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09D96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EBA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56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921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Φ18mm,手持部分顶端应为环状，顶部要有刷丝，铁丝不可外露。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02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5F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2C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C0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27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11269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605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0DE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16D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100mm，瓷或玻璃制，配有研杵，内部粗糙便于研磨，外部光滑。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CE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DD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瓷,100mm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D2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DE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81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195.00 </w:t>
            </w:r>
          </w:p>
        </w:tc>
      </w:tr>
      <w:tr w14:paraId="2E2E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D2A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DFE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记数载玻片</w:t>
            </w:r>
          </w:p>
          <w:p w14:paraId="35BF45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（计数板）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BB4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计数区边长为1mm，由400个小方格组成。</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D7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49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64096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13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BD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14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1064.00 </w:t>
            </w:r>
          </w:p>
        </w:tc>
      </w:tr>
      <w:tr w14:paraId="52AF5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F5D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1C7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水网</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C15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网口内径50cm，网身长145cm，网目孔径≤1mm。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B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A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81113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0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51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9B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240.00 </w:t>
            </w:r>
          </w:p>
        </w:tc>
      </w:tr>
      <w:tr w14:paraId="7CF34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713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561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保温桶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117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容积：2L。</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AC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53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02120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C1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B8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C7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 </w:t>
            </w:r>
          </w:p>
        </w:tc>
      </w:tr>
      <w:tr w14:paraId="220AA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F67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569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标记笔</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EBE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双头，油性墨水。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43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D3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80304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00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8D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8C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112.00 </w:t>
            </w:r>
          </w:p>
        </w:tc>
      </w:tr>
      <w:tr w14:paraId="74A70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467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A4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pH广泛试纸</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15A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1D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长里百灵</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F9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72061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0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E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5B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r>
      <w:tr w14:paraId="7ECF7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CA2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4D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定性滤纸</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1C2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快速，9cm，100张/盒。</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63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长里百灵</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14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9cm 快速</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08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E8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AD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r>
      <w:tr w14:paraId="40FF8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E30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887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生物显微镜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79F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1、目镜：大视野广角目镜WF16/13mm，单目观察筒30°倾斜，可以360°旋转，当镜筒做360度旋转时，目镜焦平面上像中心的位移≤0.2mm。配目镜内定位锁定，减少显微镜搬动造成的目镜脱落；</w:t>
            </w:r>
          </w:p>
          <w:p w14:paraId="002057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2、物镜：消色差物镜4X/0.10成像清晰圆直径≧7.5mm，消色差物镜10X/0.25成像清晰圆直径≧7.4mm，当物镜10X转换为40X时，齐焦允差±0.03%，消色差物镜40X/0.65成像清晰圆直径≧6.8mm；</w:t>
            </w:r>
          </w:p>
          <w:p w14:paraId="7294F5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3、放大倍率：64X-640X；</w:t>
            </w:r>
          </w:p>
          <w:p w14:paraId="7AAD64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4、转换器：三孔物镜转换器，转换器稳定性≤0.025；</w:t>
            </w:r>
          </w:p>
          <w:p w14:paraId="3E7C6D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5、载物台：复合金属载物台110×120mm，揿压式压片夹，载物台侧向守5N水平方向作用力最大位移≤0.020，不可重复性≤0.003；</w:t>
            </w:r>
          </w:p>
          <w:p w14:paraId="7F1900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6、聚光镜：阿贝式聚光镜N.A=0.65、光栏：五孔转盘光栏；</w:t>
            </w:r>
          </w:p>
          <w:p w14:paraId="4C0F3B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7、显微镜内置高亮3W  LED可充电式底光源，亮度可调，充电后可以连续使用50小时以上，且可与反光镜互配。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D6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若鸿</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3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M-100FL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E8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68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A8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7865.00 </w:t>
            </w:r>
          </w:p>
        </w:tc>
      </w:tr>
      <w:tr w14:paraId="1B52F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8D1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82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字母装片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31F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“e”或“b”，多重染色。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34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76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43601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1F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40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1F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4CB48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11D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0D6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双目立体显微镜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16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固定倍率体式显微镜，20倍和40倍物镜切换</w:t>
            </w:r>
          </w:p>
          <w:p w14:paraId="3C81F2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3、物镜，高眼点大视场目镜WF10X\20mm,</w:t>
            </w:r>
          </w:p>
          <w:p w14:paraId="1EAAE5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4、物镜，2倍物镜和4倍物镜，放大倍率20倍和40倍</w:t>
            </w:r>
          </w:p>
          <w:p w14:paraId="0993BA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3、双目目观察头，45°倾斜，瞳孔调节范围55mm-75mm，双物镜视度可调，调节范围±5屈光度。</w:t>
            </w:r>
          </w:p>
          <w:p w14:paraId="3814B07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4、工作距离：66mm</w:t>
            </w:r>
          </w:p>
          <w:p w14:paraId="73FFBF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5、调焦机构孔径：Φ76mm，升降范围：50mm</w:t>
            </w:r>
          </w:p>
          <w:p w14:paraId="564947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6、光源宽电压：100V -220V，底座：无光源平板底座，亮度可调，自带调焦镜架，黑白工作台，玻璃板工作台</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5F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若鸿</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DE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ST30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93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61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07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8400.00 </w:t>
            </w:r>
          </w:p>
        </w:tc>
      </w:tr>
      <w:tr w14:paraId="0A7CE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14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BFE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6C6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手持式，有效通光孔径≥40mm，5倍。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F3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FE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02051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3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09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3B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225.00 </w:t>
            </w:r>
          </w:p>
        </w:tc>
      </w:tr>
      <w:tr w14:paraId="55148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743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894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洋葱鳞片叶表皮</w:t>
            </w:r>
          </w:p>
          <w:p w14:paraId="6153C0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5DB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细胞质着色均匀，细胞核明显，细胞界限清晰。</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29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76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43223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79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28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F9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5C7C5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B0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E34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植物细胞模型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A06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采用塑料制作，外形尺寸为32cm*23cm*5cm。2、本模型是植物细胞的模型，把一般植物细胞特征及主要细胞集中于模型中，且皆具有下列构造：细胞壁、细胞质、细胞核三大部分；3、本模型为多角形长方体，主要显示：细胞壁、细胞间隙、细胞质、细胞质膜、纹孔、晶体、液泡膜、叶绿体、细胞核、核膜、核仁、高尔基等细胞。</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4C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80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30409000101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0C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31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3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732.00 </w:t>
            </w:r>
          </w:p>
        </w:tc>
      </w:tr>
      <w:tr w14:paraId="23115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B8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161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动物细胞模型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10B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模型用途：本模型系用于生理卫生课程的教具。使学生便于了解动物细胞模型。二、主要内容：动物细胞模型显示以下结构：1.细胞质、2.内质网、3.核膜、4.细胞核、5.核仁、6.线粒体、7.高尔基体、8.核糖体、9.细胞膜、10.中心体。</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A0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2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30409000102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3B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96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84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732.00 </w:t>
            </w:r>
          </w:p>
        </w:tc>
      </w:tr>
      <w:tr w14:paraId="53ECE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E3F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E22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草履虫模型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0F7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结构：模型取材于大草履虫，长370mm，形似草鞋的纵剖模型，立于支架上。2、模型纵剖面：示表膜、口沟、胞口、胞咽、波动、波动膜、食泡、肛点，示二个伸缩泡及其收集管，示外质其中的刺细胞和颗粒状的内质。3、伸缩泡：一个呈收缩状，一个呈伸张状。4、采用硬搪塑料或合成塑料加工成型。</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92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77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3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C9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A3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258.00 </w:t>
            </w:r>
          </w:p>
        </w:tc>
      </w:tr>
      <w:tr w14:paraId="30749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D3F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21F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植物细胞有丝分裂切片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E58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洋葱根尖纵切，应显示处于分裂前期、中期、后期、末期的细胞，分裂各期染色体的形态特征典型，分裂中期和后期纺锤丝隐约可见，细胞核、核仁、染色体应着色明显，细胞质色淡。</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FB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26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34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6B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28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50682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DD8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3E0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单层扁平上皮装片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D4F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取材于动物的肠系膜等，应能看清由边缘不规则而呈锯齿状的扁平细胞组成的单层上皮。</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02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4B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A4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CD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19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24E8A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9A2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6FF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纤维结缔组织切片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CB4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腱纵切，取材于哺乳动物或两栖动物的跟腱或尾腱，应能看清平行排列的胶原纤维束和呈不规则四边形的腱细胞。</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70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8C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A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57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A9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6AEFB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70C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94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疏松结缔组织装片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C4D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取材于哺乳细胞的皮下结缔组织，应能看清纵横交错的胶原纤维和弹力纤维以及大量的成纤维细胞。</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70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34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4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E7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DA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5E00C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090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932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骨骼肌纵横切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387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取材于哺乳动物的膈肌，应能看清肌外膜、肌束膜、肌纤维膜、肌纤维及其细胞核和小血管等。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E4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C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43508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F9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9B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CC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1798A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83D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209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平滑肌分离装片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E5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取材于两栖动物或哺乳动物消化管的基层，应能看清大部分被分离成单个的长梭形平滑肌细胞。</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94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16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43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09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00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740B3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1A6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41A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心肌切片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BC7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取材于哺乳动物的心脏，应能看清柱状并具有分枝的肌纤维（肌细胞）。</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3B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A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98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D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B7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79D8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369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5EF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运动神经元装片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2D5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应能看清运动神经元的细胞体和突起、细胞核以及少量的神经纤维。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53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DE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43511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22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4B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F9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0B3A6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A8C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9C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玉米种子纵切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746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应显示子叶、胚芽、胚芽鞘、胚轴、胚根和胚根鞘。</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B7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20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43222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2B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15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F2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18490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2CE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2E5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根纵剖模型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FEB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取材于单子叶植物玉米根尖，做纵、横剖面，置于支架上，可水平转动。2、根尖中部做不同向的纵剖面，突出维管柱，示根冠、分生区、伸长区、成熟区和原形成层等。3、成熟区做不同层次的横剖，示表皮、皮层和维管柱。4、皮层示厚壁细胞、薄壁细胞和内皮层细胞，维管柱地木质部和韧皮部呈辐射状相同排列的顺序。5、成熟区的部分根毛做剖面，示根毛的发育顺序和各个发育顺序的细胞排列位置。</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26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0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D7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2E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BE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114.00 </w:t>
            </w:r>
          </w:p>
        </w:tc>
      </w:tr>
      <w:tr w14:paraId="0BBDA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6BE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365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植物根尖纵切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AF9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应取于人工培养的玉米根或蚕豆，取材部位为根冠至根毛区。2.切片厚度在8μm（含）以内，每张玻片垂直放置材料1～2片。3.细胞核着色明显、胞质着色均匀，可见核仁、胞质。4.标本应在80×和200×学生显微镜下清楚观察到根尖结构，看清根冠、分生区、伸长区、根毛区和原形成层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C2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C1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B3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941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EE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20543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377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F19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顶芽纵切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819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应取于人工培养的玉米根或蚕豆，取材部位为根冠至根毛区。2.切片厚度在8μm（含）以内，每张玻片垂直放置材料1～2片。3.细胞核着色明显、胞质着色均匀，可见核仁、胞质。4.标本应在80×和200×学生显微镜下清楚观察到根尖结构，看清根冠、分生区、伸长区、根毛区和原形成层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D4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37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4E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A8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B7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4B70F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C78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147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桃花模型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099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为桃花放大模型，示盛开形态；2.直径35cm；3.花瓣、子房可拆装；4.子房纵剖面示胚珠；5.桃花的结构示：花柄、花托、花萼（花萼5片）、花冠（花瓣5片）、雄蕊（25或30个）、雌蕊；6、模型性能：雄蕊的花丝长100mm；雄蕊的花丝着生在杯状花托上呈轮状排列；花药应显示花粉囊和药隔；花丝的顶部应与花药背面中部相连接；应正确显示膨大的柱头、子房底部与杯状花托相连的上位子房；子房应示以下部位的位置：一室、顶生的倒生胚珠、两层珠被、珠心、胚囊；花瓣、花萼及花托的脉纹显示应真实。</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20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57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C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AC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95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2158.00 </w:t>
            </w:r>
          </w:p>
        </w:tc>
      </w:tr>
      <w:tr w14:paraId="2D4A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20D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A3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单子叶植物茎模型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43C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应重点突出、轮廓正确、比例适当、自然逼真、结构简明、有利于对实物的理解；2.模型显示单子叶植物茎纵、横切面的模型；3.为茎横切面的1/10（去掉中央部分）；4.高不小于12cm；5.长40cm；6.跨径40cm；7.通过节间做横剖，示表皮、机械组织及散生在基本组织中的维管束；8.在纵剖面上示表皮、机械组织及散生在基本组织中的维管束的纵剖结构；9.维管束横剖面上，示气道、导管、筛管、筛板和筛孔；10.在一侧的纵剖面上、示环纹导管、螺丝刀管、孔纹导管、筛管和筛板等结构；11.以玉米茎为参考材料；12.各部细胞的形态结构、比例应正确；13.在模型上应示细胞的表面观和不同剖面。14.各部结构的颜色应有区别；15.纵、横剖面桑的细胞应对应准确；16.表皮细胞应有长短不同的细胞组成；17.表皮内侧应示几层厚壁细胞；18.薄壁细胞右外向内逐渐增大，细胞壁薄，具胞间隙，部分细胞应示胞核；19.维管束为外韧性，靠茎边缘的小而多，靠中央的大而少，并示维管束鞘；20.在横剖面上，导管应呈“V”形，其尖端部分除气道外，应有1~2个直径较小的导管，两侧各有一个口径较大的导管；21.应正确显示环纹，螺纹，孔纹导管，筛管和伴胞的位置，形态结构以及导管厚壁的颜色；22.纤维应为狭长两端渐尖的细胞，有较厚的壁及小的胞腔；23.合缝处应锈蚀自然、正确、牢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D7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D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1A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26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3D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486.00 </w:t>
            </w:r>
          </w:p>
        </w:tc>
      </w:tr>
      <w:tr w14:paraId="2C756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47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4F5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双子叶草本植物茎模型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FB9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显示双子叶草本植物纵、横切面的模型；2.横切面为茎的2/3；3.高15cm~18cm；4.直径32cm~35cm；5.横剖面上示表皮、皮层、维管束（初生韧皮部、、束中形成层和初生木质部）髓和髓射线；6.纵剖面的一侧通过髓射线，另一侧通过维管束的中部做径向纵切；7.纵切面的一侧将角质层、表皮和厚角组织分层剥掉，示表皮、厚角、薄壁等细胞的表面观；8.维管束的横断面上，应示导管，筛管，筛板和筛孔；9.在纵断面上示环纹导管、孔纹导管、筛管和筛板等结构；10.以向日葵茎为主要参考材料；11、各部细胞的形态结构、位置正确；12.在模型上应示细胞表面观及不同剖面；13.部分生活细胞应示细胞核；14.各部结构的颜色应有区别；15.纵、横剖面上的细胞应对应准确；16.横剖面上应示六个半外韧维管束；17.每个维管束直径：最大的7cm、最小的5cm；18.正确显示束中形成层和束间形成层的衔接位置；19.纤维细胞应狭长两端渐尖，有较厚的壁及较小的胞腔；20.应正确显示三种导管，筛管和伴胞的位置和形态结构；21.合缝处应修饰自然、正确、牢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1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2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4A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E0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79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486.00 </w:t>
            </w:r>
          </w:p>
        </w:tc>
      </w:tr>
      <w:tr w14:paraId="25229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77A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B3F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导管、筛管结构模型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B62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显微结构的立体放大模型，包括环纹导管、螺纹导管、网纹导管、孔纹导管及筛管，形态结构应正确、自然。</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01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1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7F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27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5A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298.00 </w:t>
            </w:r>
          </w:p>
        </w:tc>
      </w:tr>
      <w:tr w14:paraId="6203D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D9E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AE1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木本双子叶植物茎横切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BB4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取材为三年生椴木的枝条，秋末取材。2.切片厚度在15μm（含）以内。各组织无破裂，表皮脱落应不超过1/4。3.显示横断面上木质部的年轮、皮层、木栓层、厚角组织、皮层韧皮部、形成层、木质部、髓部、髓射线等，显示基的支持和运输功能。4.标本应在80×和200×学生显微镜下清楚观察木本双子叶植物茎横断面的结构。</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EE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6A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F3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BE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50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240.00 </w:t>
            </w:r>
          </w:p>
        </w:tc>
      </w:tr>
      <w:tr w14:paraId="6B4E8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240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1EE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南瓜茎纵切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7A3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取材为田间种植的南瓜茎，注意老幼适中。2.纵切片厚度在15μm（含）～25μm（含）以内。纵切材料两端整齐，长度不少于5㎜，表皮细胞应完整，木质部的导管应连续。3.纵断面上能看清皮层、机械组织、薄壁组织、双韧维管束和髓腔。4.标本应在80×和200×学生显微镜下清楚观察到南瓜茎横断面的结构。</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4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2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46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F3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9B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240.00 </w:t>
            </w:r>
          </w:p>
        </w:tc>
      </w:tr>
      <w:tr w14:paraId="28875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15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A58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叶构造模型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A4A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整体长45cm，宽15cm；2.叶主脉处高18cm~20cm；3.通过主脉做部分叶片的横切，在模型的一边示主脉、细脉、上下表皮、栅栏组织、海绵组织。4.在模型的另一边示主脉与侧买的连接关系，主、侧脉纵切和细脉横切；5.各部结构的形态、位置正确；6.合缝处应修饰自然、正确、牢固；7.细胞的形态结构和位置正确；8.各部结构的颜色有区别；9.纵、横剖面的细胞应对应准确；10.叶片的表皮细胞呈不规则的扁平状，外覆角质层；11.栅栏组织占叶片厚度1/3左右；12.细胞示完整形体和纵、横剖面，以及叶绿体的位置；13.海绵组织应示完整的形态及剖面，细胞排列疏松、又打的细胞间隙及含有少量叶绿体；14.正确显示气孔的形态、位置及分布状况；15.保卫细胞的横断面示胞核，叶绿体及其下方的孔下室；16.叶脉位于栅栏组织与海绵组织之间；17.主脉与侧脉连接恰当；18.木质部在茎面，韧皮部在背茎面；19.主脉内应有形成层。</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7F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6F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25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74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3C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430.00 </w:t>
            </w:r>
          </w:p>
        </w:tc>
      </w:tr>
      <w:tr w14:paraId="1232A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CA1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AE2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迎春叶横切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C34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取材为木樨科迎春花的叶片。2.切片厚度在15μm（含）以内，每张玻片应放材料不少于二片。3.取材用番红、固绿染色，使表皮、叶脉呈红色，其他绿色。4.在80×和200×镜下可清楚观察叶子的内部结构、排列紧密的叶表皮，表皮细胞外壁有一层不易透水的角质层。表皮下有保卫细胞组成的气孔。叶肉由栅栏组织和海绵组织构成，细胞内含有较多的叶绿体。束状结构的叶脉包括两种管道：导管、筛管。5.玻片应完整，无污染，各组织间无裂隙。</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7B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0C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4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73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23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240.00 </w:t>
            </w:r>
          </w:p>
        </w:tc>
      </w:tr>
      <w:tr w14:paraId="20F1C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6E2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BA3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人体半身模型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3F5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人体半身模型高70cm，9部件，头2部件，身体1部件，肺2部件，心脏1部件，肝一部件，胃1部件，肠1部件。2、主要用途：模型系用于人体解剖基础与生理卫生课程的教具，便于学生了解人体各器官的位置、状态结构及其相互的关系。重点显示呼吸、消化、泌尿三个。3、主要内容：模型需依据国家教育委员会颁布的人体头、颈躯干模型技术标准制作。模型表示男性成人的外形及内部结构。4、头颈部做正中矢状切，显示脑和脊髓、鼻腔、咽腔、食管、喉腔及气管的纵切面以及它们之间的通道关系。5、在胸腹部两侧近俯前线处切下胸腹，显示两肺、气管、食管、心脏、膈、肝、胃、肠、胰、脾、膀胱等器官；以上各器官均可拆装，拆装后可见到：胸腔后壁的肋骨及肋间肌；腹后面的肌肉、左右肾、输尿管及腹主动脉等结构；盆腔内的输精管和直肠上段等结构。6、两肺、胃幽门部和右肾做额状切，分别显示其肺内血管和支气管分布情况以及幽门括约肌和幽门瓣、肾盂、肾盏等结构。7、十二指肠、胰、脾相连。胰做剖面显示胰管和胆总管开口于十二指大乳头。回肠（小肠）和肓肠交换处部分前壁切除以示阑尾、小肠与肓肠的通道。8、膀胱及前列腺做剖面以显示其内部结构特点。</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46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1A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39053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B9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1B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32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386.00 </w:t>
            </w:r>
          </w:p>
        </w:tc>
      </w:tr>
      <w:tr w14:paraId="3974A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C53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12F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小肠切片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D30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应能看清粘膜，包括绒毛、粘膜肌层和肠腺，粘膜下层、肌层和浆膜等。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B4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6F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43517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39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F2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89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240.00 </w:t>
            </w:r>
          </w:p>
        </w:tc>
      </w:tr>
      <w:tr w14:paraId="4F9FB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A20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93E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喉解剖模型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9B5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应正确显示喉软骨、喉肌、喉腔、喉口等结构特征</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3D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49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C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11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88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298.00 </w:t>
            </w:r>
          </w:p>
        </w:tc>
      </w:tr>
      <w:tr w14:paraId="4157D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B8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477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肺泡模型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0D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模型外观：1.模型高40cm；2.模型固定于底板上；3.模型显示细末支气管分支为呼吸性细支气管、肺泡管、肺泡囊和肺泡的立体结构；4.肺泡管做纵断面，肺泡囊做横断面，示其部分壁的结构；5.显示肺动脉、肺静脉的逐级分支及形成毛细血管网包饶于肺泡壁；6.显示支气管动、静脉；7.正确显示各部的结构特征，立体感强，轮廓清楚；8.血管由粗及细描绘自然；9.各部比例适当；10.模型应着色正确、鲜明、协调、勾画线条有反向趋势，不应溢出界外；11.不应有变形和褪色。二、模型结构：1.肺泡管是呼吸性细支气管的分支；2.肺泡管是几个肺泡囊的共同通道，应正确显示其肺泡隔边缘部形成膨大的结构特点；3.肺泡囊是几个肺泡共同开口的地方，应正确显示其肺泡隔末端无膨大形成的结构特点；4.肺泡是多面形有开口的泡囊；5.肺泡壁为单层细胞结构；6.肺泡壁应显示肺泡隔内毛细血管的断面；7.在肺泡管（囊）的纵、横断面上，应显示肺泡不同位置的切面；8.毛细血管网的分布应均匀合理；9.毛细血管网动、静脉之间的衔接，走向以及与肺动、静脉之间的关系应正确、自然并合乎比例；10.应正确显示末细支气管与呼吸性细支气管有少量润滑细肌绕其管壁，并具较多弹性纤维组织结构特点。</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4C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24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7F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9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2A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412.00 </w:t>
            </w:r>
          </w:p>
        </w:tc>
      </w:tr>
      <w:tr w14:paraId="707A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231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D76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膈肌运动模拟器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8E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高度250mm±15mm，宽度或直径220mm±15mm，膈的直径（或长径）≥170mm；应模拟显示胸腔、膈、气管、支气管、肺（或肺泡）等结构。</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3D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AB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33225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56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00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3D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2034.00 </w:t>
            </w:r>
          </w:p>
        </w:tc>
      </w:tr>
      <w:tr w14:paraId="06171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300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32C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人血涂片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5DE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染色均匀，能看清红血细胞和白血细胞，细胞不重叠、无变形和自溶现象。</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25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E5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43507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D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1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AF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240.00 </w:t>
            </w:r>
          </w:p>
        </w:tc>
      </w:tr>
      <w:tr w14:paraId="21C9C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15E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BDA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动静脉血管横切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C8F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取材于哺乳动物的腹主动脉和下腔静脉，内皮应90%（含）以上完整。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7B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A1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43516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AF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C2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E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240.00 </w:t>
            </w:r>
          </w:p>
        </w:tc>
      </w:tr>
      <w:tr w14:paraId="5F77C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9F4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0B5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心脏解剖模型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7F9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三倍自然大，能拆开，示上腔静脉、下腔静脉、主动脉、肺动脉、动脉韧带、左冠状动脉、右冠状动脉、冠状窦，左心房、右心房、左心室、右心室、二尖瓣、三尖瓣、主动脉瓣、肺动脉瓣、卵圆窝、冠状窦口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3F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0E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33207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D5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D1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9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372.00 </w:t>
            </w:r>
          </w:p>
        </w:tc>
      </w:tr>
      <w:tr w14:paraId="02AD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115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C9D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心脏解剖模型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C3A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以成人心脏自然放大，呈舒张状态，按人体正常生理位置放于支架上。2、沿肺动脉根部横切，示左右心房的内部结构及肺动脉，主张脉半月瓣，沿心房做纵斜切，示左右心室的内部结构。3、右心房示上、下腔静脉口、下腔静脉瓣、冠状窦口冠状窦瓣、卵园窝和右房室口，右心房示左右肺静电脉口和左房室口。4、右心室示室上嵴、三尖瓣、动脉圆锥、腕索、乳头肌、肉柱、和主动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3F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8C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33208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37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34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D5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1820.00 </w:t>
            </w:r>
          </w:p>
        </w:tc>
      </w:tr>
      <w:tr w14:paraId="1D335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CE7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A96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血压计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4D3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14:paraId="1CD3BA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显示方式     数字式LCD显示</w:t>
            </w:r>
          </w:p>
          <w:p w14:paraId="25E491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测量方式     示波法</w:t>
            </w:r>
          </w:p>
          <w:p w14:paraId="3288D3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电源规格     1.5V AA 碱性电池4节/Micro USB 5V 1A </w:t>
            </w:r>
          </w:p>
          <w:p w14:paraId="1467E4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测量范围     血压：（0~260 ）mmHg /（ 0~34.67 ）KPa</w:t>
            </w:r>
          </w:p>
          <w:p w14:paraId="2A0B8A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脉搏：（40~200）脉搏次/分钟</w:t>
            </w:r>
          </w:p>
          <w:p w14:paraId="0A9443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测量精度     血压： +- 3mmHg /+- 0.4KPa 脉搏 +- 5%</w:t>
            </w:r>
          </w:p>
          <w:p w14:paraId="77DECD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记忆功能     2*120组记忆</w:t>
            </w:r>
          </w:p>
          <w:p w14:paraId="1497CD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时间显示     可显示年份/日期/时间</w:t>
            </w:r>
          </w:p>
          <w:p w14:paraId="409516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低电压指示   电量不足提示</w:t>
            </w:r>
          </w:p>
          <w:p w14:paraId="54245C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自动关机     约150秒未使用</w:t>
            </w:r>
          </w:p>
          <w:p w14:paraId="5697CF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使用环境     温度 5°C ~ 40°C / 41°F ~ 104 °F</w:t>
            </w:r>
          </w:p>
          <w:p w14:paraId="6DEB5E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湿度：15% RH ~ 80RH</w:t>
            </w:r>
          </w:p>
          <w:p w14:paraId="32596C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储存环境     温度 -20°C ~+ 55°C / （-4°F ~+131 °F）</w:t>
            </w:r>
          </w:p>
          <w:p w14:paraId="27A9DC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湿度：10% RH ~ 93RH</w:t>
            </w:r>
          </w:p>
          <w:p w14:paraId="554927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尺寸         长130mm*宽81mm*高 42mm</w:t>
            </w:r>
          </w:p>
          <w:p w14:paraId="033691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臂带臂围     （22~32）厘米，如有特殊要求可根据需要定制</w:t>
            </w:r>
          </w:p>
          <w:p w14:paraId="75E160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重量          约425克（包含电池、臂带）</w:t>
            </w:r>
          </w:p>
          <w:p w14:paraId="1CE899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附件 ,数据线，电池 4节，臂带，使用说明书，保修单，合格证</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1F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远燕</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09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HK-802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1F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70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C1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4550.00 </w:t>
            </w:r>
          </w:p>
        </w:tc>
      </w:tr>
      <w:tr w14:paraId="0A6CE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FA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06B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男性泌尿生殖模型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91C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为自然大之男性泌尿生殖模型，装置于支架上。2、一侧肾做额切状。3、膀胱、前列腺、外生殖器和一侧睾丸做矢状切面，示其内部结构。4、泌尿器显示：肾、输尿管、膀胱、尿道。5、生殖器显示：睾丸、附睾、输精管、尿道、前列腺、精囊腺、尿道球腺、阴茎；6、模型示：腹主动脉、下腔静脉、肾动脉、肾静脉。7、肾的剖面上，皮质厚4~5cm，约占肾实质的1/3。8、髓质的肾椎体应不少于八个。9、输尿管上连肾盂下接膀胱的部位应正确，长250~300mm，应示三个狭窄。10、一侧睾丸示外形，另一侧睾丸的矢状切面上应示睾丸小叶、睾丸网和附睾管，各部结构均应显示正确。11、膀胱的剖面应示：两输尿管的开口及尿道内口、后下方附精囊腺、输精管壶腹、射精管、前列腺。12、尿道长150~200mm，管径5~7mm。13、尿道前列腺部长30mm。14、膜部长10~15mm。15、海绵体部纵贯尿道海绵体长，110~140mm。16、应示一侧尿道球腺。17、睾丸一侧示外形，另一侧的矢状切面上应示：睾丸小叶、睾丸网、个部分的结构均应显示正确。18、精囊腺应位于输精管壶腹的外侧，其剖面上的排泄管末端与输精管末端都会合成射精管。19、输精管长度应不少于170mm，射精管长度20mm。20、穿过前列腺开口于尿道的前列腺部，应显示清楚。</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A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A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33213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28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37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1F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157.00 </w:t>
            </w:r>
          </w:p>
        </w:tc>
      </w:tr>
      <w:tr w14:paraId="4F681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AD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D3F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女性泌尿生殖模型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C61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为自然大女性泌尿生殖模型，按正常位置装于支架上。2、一侧肾及半侧子宫做额状切面。3、膀胱、一侧输卵管和卵巢做剖面，示其内部结构。4、模型显示：腹主动脉、下腔静脉、肾动脉、肾静脉。5、泌尿器示：肾、输尿管、膀胱、尿道。6、生殖器示：卵巢、输卵管、子宫、阴道、子宫阔韧带、子宫圆韧带、卵巢圆有韧带、卵巢系膜。7、肾的剖面上，皮质厚4~5mm，约占肾实质的1\3。8、髓质的肾锥体应不少于8个。9、输尿管上连肾盂，下接膀胱的部位应正确。10、输尿管长250mm~300mm，应示三个狭窄。11、膀胱的剖面上，应示两输尿管的开口及尿道内口。12、输卵管长100~120mm。13、输卵管峡、输卵管壶腹、输卵管漏斗及输卵管伞的显示应正确。14、子宫长80mm，宽40mm，厚20mm。15、子宫的剖面上，子宫底、体、颈三部分的形态、比例应显示正确。16、子宫阔韧带、子宫圆韧带、卵巢固有韧带及卵巢系膜等固定结构，均应显示清楚正确。</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D5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D6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33214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5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11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3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157.00 </w:t>
            </w:r>
          </w:p>
        </w:tc>
      </w:tr>
      <w:tr w14:paraId="52D65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6A6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539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肾单位、肾小体模型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3E3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模型应有放大的肾、肾单位及肾小体组成，并置于之家或底座上。二、肾：1、肾模型做额状剖面，不小于210mm×100mm；2、肾模型示：肾门、肾动脉、肾静脉、肾皮质、肾髓质、肾乳头、肾小盏、肾大盏、肾盂。3、肾皮质应占用肾实质的三分之一。4、肾锥体应不少于7个。5、模型显示肾小盏5～7个，其中两小肾小盏不作剖面。6、肾大盏2～3个。7、肾盂出肾门后移行为输尿管。8、肾蒂处从前向后依次为肾静脉、肾动脉和肾盂，由上而下依次为肾动脉、肾静脉和肾盂。9、肾静脉、肾盂出肾门作横断。三、肾单位：1、肾单位模型不小于400mm×240mm。2、肾单位提示：肾小体和连接肾小体的肾小管、一段集合管、包绕在肾小管周围的小叶间动、静脉及毛细血管网。3、肾小管提示：端小管的曲部、直部，端小管的直部、曲部。四、肾小体：1、肾小体模型直径不小于100mm，并作半剖；2、肾小体示：肾小囊、肾小囊腔、入球小动脉、肾小球、出球小动脉、血管极、尿极。3、肾小球示由数十条毛细血管曲折盘绕而成的毛细血管球，入球动脉较出球动脉粗。4、肾小囊的壁层示由单层扁平上皮细胞构成，在尿极处移动为单层立方上皮细胞构成的近端小官壁。5、近端小官不短于20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F8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96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33217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B7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0E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D6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560.00 </w:t>
            </w:r>
          </w:p>
        </w:tc>
      </w:tr>
      <w:tr w14:paraId="7510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5F7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497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眼球解剖模型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83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模型结构外观：1、模型应重点突出、轮廓正确、比例适当、有利于对实物的理解。2、模型的可拆部分应拆装方便可靠，有足够的强度。3、可动部分应活动灵活，不松脱。4、模型为放大六倍之成人眼球模型，装置于支架上。5、通过眼球前后极做正中水平切面，示眼球壁三层被膜，眼球内晶状体、玻璃体和虹膜（均可拆下）。6、由外向内三层被膜部分做成梯形切面，并示其各部结构。7、眼球壁外部显示：眼球略似球形，前后直径145mm、角膜、巩膜、虹膜、瞳孔。8、眼球壁上示：六块眼肌的断端、视神经、涡静脉、睫状后长动脉（虹膜动脉）、睫状后短动脉（脉络膜动脉）。9、眼球壁剖面及内部显示：外膜示：前部1/6的角膜及后部5/6的巩膜、中膜示：虹膜、睫状体、脉络膜、内膜示：视网膜及其后部的视神经盘、黄斑、视网膜血管、示晶状体及玻璃体。二、模型性能：1、角膜应完全透明，固定于下半部的巩膜。2、眼球角膜前曲率半径后面43.2mm。3、眼球角膜前曲率半径前面47.04mm。4、眼球角膜高10.8mm。5、瞳孔直径25mm。6、瞳孔示巩膜静脉窦。7、巩膜于切面上的厚度在视神经处6mm。8、在眼肌附着部与肌腱融合后厚度5mm。9、眼前房最深处（中央部相当于瞳孔处）20mm。10、晶状体前曲率半径54mm。11、晶状体后曲率半径33mm。12、晶状体赤道部直径54mm。13、晶状体厚24mm。14、晶状体应透明无色，睫状小带固定在睫状突上（70个~80个），其与睫状体的关系应显示清楚。15、睫状体肌纤维的走向应正确，其与巩膜的连接部应准确。16、角膜、虹膜、睫状体小带、晶状体和玻璃体应镶嵌稳定、严密，便于拆装。17、玻璃体需无色透明，应充满晶状体与视网膜之间。18、视神经盘直径10mm。19、黄斑位于视神经盘颞侧稍下方，大小与视神经盘相仿。20、视神经盘与黄斑的距离为18mm~24mm。21、视神经的断面上，要将被膜的三层结构显示清楚。22、角膜、晶状体的透明度应不低于85%，并不得有雾斑和结石。23、视轴与眼轴的夹角为4°～5°。24、解剖部位拼缝应平整，缝口不大于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B4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63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C7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C5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9B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2478.00 </w:t>
            </w:r>
          </w:p>
        </w:tc>
      </w:tr>
      <w:tr w14:paraId="57D6A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B1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84D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眼球仪</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DDB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由放大的成人眼球模型、晶状体曲度调节器、光源、矫正镜盘、视网膜成像显示屏及手持式显示屏等组成。</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57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52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DC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B9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50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 </w:t>
            </w:r>
          </w:p>
        </w:tc>
      </w:tr>
      <w:tr w14:paraId="62099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BE7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488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耳解剖模型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A3D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要内容：外耳道的前部切除示外耳道的形态结构，水平切开颞骨碟部，显示耳、内耳的形态结构；外耳示：耳廓、外耳道；中耳示：鼓膜、鼓室、三块听小骨，咽鼓管和乳突小房；内耳示：三个骨半规管，前庭和耳蜗等。2、本模型采用玻璃纤维增强塑料制成。3、模型尺寸：放大6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B1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F8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33212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9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6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31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412.00 </w:t>
            </w:r>
          </w:p>
        </w:tc>
      </w:tr>
      <w:tr w14:paraId="2C2F9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FB8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E51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脑解剖模型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99A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为自然大之人脑解剖模型，以正常生理位置放置于架上。2、严格参照正常人脑标本。3、大脑做正中矢状切，左侧脑半球经外侧沟向枕部再做水平切，并保留完整脑干形态。4、大脑中间的胼胝体及凹陷在外侧沟内的岛叶。5、大脑正中矢状断面上应显示：前连合结构、透明隔结构、穹窿结构。6、小脑表面横沟的走向及小脑正中央矢状切面的小脑皮质，髓质应正确清晰。7、间脑应显示背侧丘脑的下丘脑沟，丘脑间粘合。8、间脑应显示左侧背侧丘脑的终纹。9、间脑应显示下脑丘的：视交叉、灰结节、漏斗、乳头体。10、脑干应显示中脑背部的一对上、下丘。11、脑桥腹面的桥横纤维。12、延脑腹面上界的桥延沟。13、腹侧面应显示：前正中裂、外侧沟、锥体、锥体交叉、橄榄。14、在脑干的正中矢状切面上，应示：中脑水管、第四脑室、延髓中央管。15、十二对脑神经根的出入脑部位及形态应准确。16、松果体为椭圆形，以细茎与第三脑室顶相连。</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77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03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33211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A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FE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2B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314.00 </w:t>
            </w:r>
          </w:p>
        </w:tc>
      </w:tr>
      <w:tr w14:paraId="11C6A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15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BD1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脊髓横切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336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应能看清被膜、灰质和白质。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2E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E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43512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60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9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CD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52.00 </w:t>
            </w:r>
          </w:p>
        </w:tc>
      </w:tr>
      <w:tr w14:paraId="1FA7C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771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48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橡皮锤</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65F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膝跳反射用。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03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3B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81117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17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28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AD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104.00 </w:t>
            </w:r>
          </w:p>
        </w:tc>
      </w:tr>
      <w:tr w14:paraId="4C96B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E39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3C8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人体骨骼模型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D39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模型外观：1.模型在形态、色泽、体态、质感方面应逼真；2.胶合部分要拼接牢固、整体光滑；3.胶合部分要对位准确、不得有明显的错缝、接痕和裂缝；4.模型应着色正确、鲜明、协调、勾画线条有方向趋势，不应溢出界外；5.不应有变形和褪色。二、模型结构：1.模型应着重突出、轮廓正确、比例适当、结构简明，有利于对实物的理解；2.模型的可拆部分应拆装方便可靠，有足够的强度；3.可动部分应活动灵活，不松脱；4.模型为男性成人骨骼模型，窜制成正常直立姿势立于支架上；5.模型高850mm；6.颅：由脑颅骨和面颅骨组成、眉弓的上方向两侧至颞鳞的上方，向后到人字缝将颅盖横切、颞下颌关节可活动；7.脊柱：由七块颈椎、十二块胸椎、五块腰椎、一块骶骨、一块尾骨和椎间盘组成；8.胸廓：由一块胸骨、十二对肋，十二个胸椎及椎间盘连接构成；9.骨盆：由骶骨、尾骨和两块髋骨组成；10.上肢骨：有六十四块骨组成、肩关节可拆装、肩、肘、腕等关节可自由活动；11.下肢骨：由六十二块骨组成、髋关节可拆装、髋、膝、踝等关节均能活动。三、颅骨：1.颅骨与身体的比例为1:7；2.颅的各骨的比例、大小适合；3.骨缝清楚；4.骨性鼻腔、眶及所有孔、管、沟、裂显示应正确自然；5.两下颌角间距：57mm+5mm；6.牙咬合应正常，上、下齿共三十二个。四、脊柱：1.椎骨的各部位及椎间盘的结构应准确，应正确表示出脊柱的四个生理弯曲；2.第一颈椎，第二胸椎前缘，第十二胸椎体前缘和骶胛，应同在一垂直线上。五、胸廓：1.胸廓上口左右径：50mm±2mm；2.胸廓前后径：25mm±2mm；3.第八肋处左右径：125mm±5mm；4.第十肋处左右径：115mm±5mm；5.第九胸椎体距胸骨体下缘：60mm±5mm；6.胸骨柄的上缘应平对第二、三胸椎之间的椎间盘；7.肋弓应左右对称，浮肋形态位置正确；8.胸廓下角为75°。六、骨盆：1.骨盆的上口平面与水平面成50°～55°角；2.髂前上棘的连线和耻骨结节的连线应在同一垂直平面上；3.耻骨下角为70°～75°；4.骶骨应做出胛部，应有正确的弯曲度。七、上肢骨：1.肩胛骨固定；2.内侧角平第二肋骨上缘，下角平第七肋或肋间隙；3.肩胛骨脊柱缘与胸椎棘突的距离为：27mm+2mm；4.腕、掌、指骨连在一起，应示腕骨沟。八、其他：1.跗、蹠、趾骨连在一起，应示足弓；2.骨、软骨在质感上应有明显区别；3.骨的形态特征，应正确清晰；4.骨、软骨应有色别，在同一模型上，同一颜色的零件，不得有目视的色差；5.模型应采用硬塑或混合树脂制作，不得采用软塑料。</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2C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54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EF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1C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BAA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243.00 </w:t>
            </w:r>
          </w:p>
        </w:tc>
      </w:tr>
      <w:tr w14:paraId="0FB7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B0B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01C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人体肌肉模型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CDB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型为男性，高850±5mm，以人体解剖姿势立于支架上，模型示人体浅层肌群和深层肌群，上肢沿根部横断，可拆装。2、头肌示表情肌和咀嚼肌，表情肌示：额肌、枕肌、眼轮匝肌、口轮匝肌、颧肌、笑肌颊肌等肌；咀嚼肌示：咬肌、颞肌、翼外肌和翼内肌，额肌和枕肌间示帽状腱膜。3、颈肌示：胸锁乳突肌、肩胛舌骨肌、胸骨舌骨肌等浅层肌和前斜角肌、中斜角肌、后斜角肌深层肌。4、躯干肌做多层次切片，示其浅、深层的背肌、胸肌和腹肌。5、上肢肌示：三角肌、冈上肌、冈下肌、肱二头肌、肱三头肌、肱桡肌、拇长屈肌、指深屈肌、指深肌、拇长深肌等浅层肌及上肢筋膜和腱鞒。</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3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39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33219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17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7D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26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601.00 </w:t>
            </w:r>
          </w:p>
        </w:tc>
      </w:tr>
      <w:tr w14:paraId="7B4DE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8B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E68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家蚕生活史标本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4841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标本应由卵、幼虫（四龄）、蛹、雌雄成虫及茧组成，附蚕丝、丝织品、桑叶。</w:t>
            </w:r>
          </w:p>
          <w:p w14:paraId="2A959C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2. 卵、蚁蚕浸制，幼虫，蛹浸制或干制，成虫干制，茧两个。</w:t>
            </w:r>
          </w:p>
          <w:p w14:paraId="2F5266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3. 标本采用分封或部分合封于小容器中。</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34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弘儒</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56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2F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FC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F4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r>
      <w:tr w14:paraId="21A5A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FB8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AED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蝗虫生活史标本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9B1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标本应选用东亚飞蝗、亚洲飞蝗或棉蝗制作，展示昆虫的不完全变态。215*165*30mm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A1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弘儒</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F4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49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E6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D2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r>
      <w:tr w14:paraId="154D1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CD0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340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蜜蜂生活史标本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630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标本应选用意蜂或中蜂制作（在产品标签中括注昆虫名称），显示昆虫的完全变态、社会性昆虫不同及类型个体和经济意义。</w:t>
            </w:r>
          </w:p>
          <w:p w14:paraId="2FF7CF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2. 标本由卵、中熟幼虫、蛹、工蜂、雄峰和蜂王组成，附蜂巢、巢基、蜂蜡和蜂蜜。</w:t>
            </w:r>
          </w:p>
          <w:p w14:paraId="210FA9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3. 卵、幼虫、蛹、成虫采取浸制，分封或部分和封于小容器中。</w:t>
            </w:r>
          </w:p>
          <w:p w14:paraId="4D5002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4. 卵呈乳白色，香蕉状；幼虫呈“C”形，白色；蛹呈白色。</w:t>
            </w:r>
          </w:p>
          <w:p w14:paraId="281281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5. 母蜂应是成虫中体型最大的，腹部最长，并保持丰满；雄峰腹部应粗壮，腹末圆；工蜂应是成虫中体型最小的，应显示其口器的端部。各成虫的姿态应一致。</w:t>
            </w:r>
          </w:p>
          <w:p w14:paraId="6AF96F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6. 巢基和蜂巢应不小于30×50mm。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26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弘儒</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F1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A1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C3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CC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r>
      <w:tr w14:paraId="5B99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8FE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AA2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菜粉蝶生活史标本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8B2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标本应选用菜粉蝶制作，显示其完全变态。</w:t>
            </w:r>
          </w:p>
          <w:p w14:paraId="503826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2. 标本由卵、幼虫、蛹、雌雄成虫及被害物组成，按生活史顺序排列。</w:t>
            </w:r>
          </w:p>
          <w:p w14:paraId="6B3591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3. 卵、幼虫浸制，蛹浸制或干制，浸制标本定位于衬托上，分别安装在小瓶内。</w:t>
            </w:r>
          </w:p>
          <w:p w14:paraId="5D3AD6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4. 成虫针插、展翅，雌、雄体的特征应明显。</w:t>
            </w:r>
          </w:p>
          <w:p w14:paraId="638801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5. 蛹纺锤形，长不小于18㎜，定位于被害植物上，蛹与被害植物色泽相近。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9D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弘儒</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37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90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F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F5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r>
      <w:tr w14:paraId="087C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662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9BD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蛙发育顺序标本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AD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应由蛙的八个发育期组成。①-②期中的每一个标本应具透明、清晰和膨胀的卵胶膜。①-③期的标本应不少于5个，在容器中不定位。③期的标本应能目见不少于一对的鳃。④期的标本一个腹面向上，一个腹面向下，互相平行。⑥与⑦期的尾长应有明显区分。165*75*35mm    </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7B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D7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FB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9E4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0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r>
      <w:tr w14:paraId="23604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32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A0D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正常人染色体装片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ACD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多重染色。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A7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46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43603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C8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7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27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600.00 </w:t>
            </w:r>
          </w:p>
        </w:tc>
      </w:tr>
      <w:tr w14:paraId="74602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F5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A9F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蛔虫标本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6D3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取材与处理：1.标本选用发育正常、无残伤的成活材料；2.标本的有关器官和部位都要发育完整，目视清楚；3.标本要保持形态自然，结构完整，色泽正常、制作洁净。</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FE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弘儒</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27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43008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C3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28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35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r>
      <w:tr w14:paraId="58EC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33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5E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节肢动物标本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E35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1、标本选用硕蝽、家蚕蛾、蟋蟀、地鳖、蝎子、虾等不少于6只得节肢动物门昆虫制作。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EC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弘儒</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5B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43118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3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29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42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 </w:t>
            </w:r>
          </w:p>
        </w:tc>
      </w:tr>
      <w:tr w14:paraId="0D6B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C78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118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昆虫标本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DD3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1、益虫标本种类为：蚂蚁，异色瓢虫，宽肩步甲，蜻蜓等；2、害虫标本种类为：金龟子，梨蝽，负蝗，蝗虫等。3、标本盒尺寸不小于21.5×16.5×3cm,标本盒上盖采用浮法玻璃制作。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8A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弘儒</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2C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43119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1B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E8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05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r>
      <w:tr w14:paraId="1DA7D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517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077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细菌三型涂片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90B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示球菌、杆菌、螺旋菌三种形态。</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28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19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53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AA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E0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3446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4AA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95A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酵母菌装片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554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应能看清细胞壁、细胞核、细胞质、液泡和细胞膜等结构，可见芽体。</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1E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A3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9B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AC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74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2C859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0B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939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青霉装片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D05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取材为人工培养的典型青霉。2.视菌株培养情况做装片或切片，切片方向平行于分生孢子梗，厚度根据菌株培养情况决定。3.显示营养菌丝及其上的分生孢子梗和顶端的帚状枝。4.能在200×学生显微镜下清楚观察青霉的形态，在400×学生显微镜下清楚观察帚状枝的梗基和小梗上呈链状的分生孢子。</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0D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0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2A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EC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54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6BE5E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1E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86B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曲霉装片</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CBF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应能看清营养菌丝及其上的分生孢子梗、顶囊和顶端的分生孢子。</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27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9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9C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4B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9E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0F0B2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46FC9A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初中化学仪器</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4CF0CA97">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6BF61A1B">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777B2">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784D">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38737">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3AFD2">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FBB7">
            <w:pPr>
              <w:jc w:val="center"/>
              <w:rPr>
                <w:rFonts w:hint="eastAsia" w:ascii="宋体" w:hAnsi="宋体" w:eastAsia="宋体" w:cs="宋体"/>
                <w:i w:val="0"/>
                <w:iCs w:val="0"/>
                <w:color w:val="000000"/>
                <w:sz w:val="20"/>
                <w:szCs w:val="20"/>
                <w:u w:val="none"/>
              </w:rPr>
            </w:pPr>
          </w:p>
        </w:tc>
      </w:tr>
      <w:tr w14:paraId="0A063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95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480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实验服</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CD5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涤卡，可分为大中小号</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A4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CE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9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05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15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72D14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414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79F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2EF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耐酸碱，抗冲击，耐磨，便于清洗，带侧光板型或封闭型。</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9B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2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A7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45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9E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r>
      <w:tr w14:paraId="388C9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94C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AE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防护面罩</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56A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防冲击面屏，聚碳酸酯材质，耐45m/s粒子冲击，通过弹簧箍与安全帽相连，面屏可更换，起到头部与面部双重保护作用，光洁，透明度高。</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37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79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00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8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35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1340.00 </w:t>
            </w:r>
          </w:p>
        </w:tc>
      </w:tr>
      <w:tr w14:paraId="329FE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C99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59E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防毒口罩</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ACA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E型（标色：黄），防止吸入酸性气体或蒸气。</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B7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粤兴</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439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4A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7E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35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8760.00 </w:t>
            </w:r>
          </w:p>
        </w:tc>
      </w:tr>
      <w:tr w14:paraId="1B7A5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423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B9F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耐酸手套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284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机械性能不低于3级，无破损，手套应有长度≥15cm的套袖。</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FD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鸿顺南洋</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C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132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E3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5E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r>
      <w:tr w14:paraId="5CA36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3C9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004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化学实验废水处理装置</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2E8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1、搅拌器为无级调速、双叶轮搅拌。每次可处理容量20升；2、外形尺寸：440mm（长）×370mm（宽）×720mm（高）；</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89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和顺</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F0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26017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A5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D3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E8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1058.00 </w:t>
            </w:r>
          </w:p>
        </w:tc>
      </w:tr>
      <w:tr w14:paraId="19F5C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AB8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34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废液分类回收桶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ECF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塑料制，25L。</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72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B4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0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9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1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r>
      <w:tr w14:paraId="412F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71E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0E6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电加热器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91E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 密封式,额定电压：220V/50Hz额定功率1000W，外形尺寸为27.6*21.5*13CM。正面整个外壳采用不锈钢喷漆而成，底座为不锈钢镀铬。</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93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JOANLAB</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F5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HP-1000W</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50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B3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B6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252.00 </w:t>
            </w:r>
          </w:p>
        </w:tc>
      </w:tr>
      <w:tr w14:paraId="31B8F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7FE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F0B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列管式烘干器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E39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 由外壳、13支通风管、电源线、发热器、风扇等组成，外形尺寸290×250×360mm。仪器通风管采用外径12mm的金属管制作，管壁厚不小于2mm，长度185mm，每支通风管上均布10个直径为φ5mm的通气孔。3、仪器工作电压：AC220V/50HZ；仪器电机功率：15W；发热功率：250W±20%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7D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E5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02083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82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B1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6B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534.00 </w:t>
            </w:r>
          </w:p>
        </w:tc>
      </w:tr>
      <w:tr w14:paraId="216D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E0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D3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烘干箱</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9C2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供对物料进行烘干、干燥用。二、性能：1、电源电压：单相220V±10%（50Hz)；2、额定功率：1000W；3、工作温度范围：40～200℃；4、温度波动：±1℃。三、结构：1、由箱体、电加热、温度控制等组成；2、工作室尺寸：350*350*350MM。3、箱体镜面镀锌内胆，电热膜加热方式，加热速度快，温度更均匀；4、数显PID控温仪表，具有定时、报警指示、温度偏差修整、控温自整定等功能。四、工作原理：以电热丝为加热热源，双向可控硅为无触点开关，感温探头连接触发电路，控制可控硅导通或阻断。</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C0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9D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LC-101-0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7B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AB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83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3850.00 </w:t>
            </w:r>
          </w:p>
        </w:tc>
      </w:tr>
      <w:tr w14:paraId="002B9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06B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104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教学电源</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E10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1、电源外壳采用金属结构，</w:t>
            </w:r>
          </w:p>
          <w:p w14:paraId="29B5E5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直流压输出</w:t>
            </w:r>
          </w:p>
          <w:p w14:paraId="5E0EE4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①标称电压:1.5V、3V、4.5V、6V、9V、12V共六档可调。</w:t>
            </w:r>
          </w:p>
          <w:p w14:paraId="42DF98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②输出电流:2A。</w:t>
            </w:r>
          </w:p>
          <w:p w14:paraId="73F1F9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③电压定性:档不大于350mv。</w:t>
            </w:r>
          </w:p>
          <w:p w14:paraId="105558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3纹波电压:每档不大于15mv。</w:t>
            </w:r>
          </w:p>
          <w:p w14:paraId="3B9F93C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③保护电流:在1×(105-1.6)间,自动保护。</w:t>
            </w:r>
          </w:p>
          <w:p w14:paraId="5DA797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4直流大电流输出:40A,10S土2S自动定时关机。</w:t>
            </w:r>
          </w:p>
          <w:p w14:paraId="4E9C31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2、交流输出 </w:t>
            </w:r>
          </w:p>
          <w:p w14:paraId="2A4F3A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①标称电压:2V、4V、6V、8V、10V、12V共六档可调。</w:t>
            </w:r>
          </w:p>
          <w:p w14:paraId="124435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②输出电流:5A。</w:t>
            </w:r>
          </w:p>
          <w:p w14:paraId="2BFAB7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③空载电压:每档不大于1.1U+0.3V。</w:t>
            </w:r>
          </w:p>
          <w:p w14:paraId="76F9EB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④满较电压:每档不小于0.9U标一03V。</w:t>
            </w:r>
          </w:p>
          <w:p w14:paraId="2519D4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5保护电流:在1×(1.1~1.6)间,自动保护。</w:t>
            </w:r>
          </w:p>
          <w:p w14:paraId="39B27C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3、工作条件</w:t>
            </w:r>
          </w:p>
          <w:p w14:paraId="06394C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①环境温度:0一+40℃</w:t>
            </w:r>
          </w:p>
          <w:p w14:paraId="42358D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②相对器度:≤80%(40℃)</w:t>
            </w:r>
          </w:p>
          <w:p w14:paraId="6D1D7C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Q电源电:AC220Y+10%</w:t>
            </w:r>
          </w:p>
          <w:p w14:paraId="10231E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工作时还工作8h(40A,5A除外)。</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67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15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C5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3E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7B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 </w:t>
            </w:r>
          </w:p>
        </w:tc>
      </w:tr>
      <w:tr w14:paraId="1CB68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FF6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CBF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仪器车</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C81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 mm×500mm×950 mm，车轮Φ75 mm，厚25 mm；一轮带刹车，车轮固定，双层不锈钢托盘。</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89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1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B4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1F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06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1716.00 </w:t>
            </w:r>
          </w:p>
        </w:tc>
      </w:tr>
      <w:tr w14:paraId="126CB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95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DB3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试剂瓶托盘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4C1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托盘整体采用硬质塑料制成，稳定性好,防止化学药品的腐蚀。2、盘体左右两边各有3个16mm和3个20mm及4个8mm的插孔,用于放置试管及玻棒等物品。3、盘体左右外侧各有一个突出的托盘把手,方便提拿。4、托盘尺寸：300mm*200mm*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67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75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02122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5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92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1D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294.00 </w:t>
            </w:r>
          </w:p>
        </w:tc>
      </w:tr>
      <w:tr w14:paraId="63ECF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31A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587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实验用品提篮</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740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成：由篮体、提柄、固定板、试管架组成；2、材质：篮体1个，采用≥5mm厚度的有机玻璃板制作，篮体规格：≥470mm×300mm×73mm（±5mm）；3、提柄2根，规格≥φ15.5mm（±3mm）的不锈钢制成；4、固定板1个，采用有机玻璃制作、固定板规格：≥357mm×288mm（±5mm），固定板上开有孔用于固定玻璃器皿和药品，上面分别开有≥φ108mm固定位1个，φ100mm固定位1个、φ90mm固定位1个，φ85mm固定位1个、φ60mm固定位4个、φ50mm固定位2个、φ30mm固定位3个（尺寸允许偏差±3mm）；5、试管架：一体式，采用有机玻璃制作、规格：≥280mm×69mm×92mm（±5mm），试管架一端为三层有机玻璃板、规格≥198mm×69mm×92mm（±5mm）、上两层分别开有≥φ30mm孔2个、φ26mm孔4个、φ21mm孔5个、φ18mm孔5个用于固定试管（尺寸允许偏差±3mm）、另一端为6根有机玻璃立柱、规格：≥φ7.8mm×55mm（±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9E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A5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02123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69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41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C4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944.00 </w:t>
            </w:r>
          </w:p>
        </w:tc>
      </w:tr>
      <w:tr w14:paraId="77220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E5C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4AA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一字螺丝刀</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D30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Ф6mm，长150mm，工作端带磁性。</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B0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8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0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3B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C1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r>
      <w:tr w14:paraId="501AC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924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98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十字螺丝刀</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746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Ф6mm，长150mm，工作端带磁性。</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2F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9A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EA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FB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1F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r>
      <w:tr w14:paraId="76877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7C4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12A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675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CE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劳仕达</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5C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5B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28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B0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2B1A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0C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E9E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钢锤</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834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0.25kg，羊角锤。</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81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8B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27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19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DF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7451E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85D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1C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三角锉</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43B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250mm，带柄。</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06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2D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1B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8A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C25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1CDB0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0DB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B4F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98E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刀口式，材质为不锈钢管、钢管或黄铜管，每组不少于 4 支，外径分别为 9 mm、8 mm、7 mm、6 mm，并配一支带柄金属通扦</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96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B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DC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3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89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34.00 </w:t>
            </w:r>
          </w:p>
        </w:tc>
      </w:tr>
      <w:tr w14:paraId="3E645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B1C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33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打孔夹板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5C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导向夹板、夹板、连接杆、蝶形螺母等构成。2、导向夹板、夹板采用ABS工程塑料或实木制作，外形尺寸不小于180×40×12mm；3、供打孔用的通孔孔径依次为φ6.5、φ8.5、φ10.5、φ12.5；4、连接杆采用M5×80mm的标准件，有效丝长不小于50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06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27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J02021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91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92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B4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r>
      <w:tr w14:paraId="32EE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40C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29D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打孔器刮刀</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B89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锥形刀体、手柄、刮刀片及调节螺丝构成。2、锥形刀体底径φ13mm，长48mm；手柄采用酚醛塑料压制，长70mm，宽20mm；刮刀片长60mm，宽15mm；3、调节螺丝采用φ14mm的圆钢制作，总长30mm，调节螺钉手柄长度9mm，外表滚花。</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4F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16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30199000601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6A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F3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C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r>
      <w:tr w14:paraId="27B30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D86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27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电动钻孔器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A08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钻头可拆卸，应配有2个（含）以上不同孔径的钻头。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46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2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4F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B6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FB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1335.00 </w:t>
            </w:r>
          </w:p>
        </w:tc>
      </w:tr>
      <w:tr w14:paraId="2D0E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D9F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7B1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98A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双盘、单杠杆、等臂，非封闭式横梁由铝合金制成。2、刀子：钢制成。3、最大称量为：100g,标尺称量为:0-5g,分度值e=d：0.1g,秤盘直径：84mm。4、规格：210mm×84mm×135mm。5、标尺光洁平直，连接部位固紧，分度线均匀，游码起点对准零线，移动时松紧适宜，当杠杆受到轻微冲击时，游码不移位。刀子垂直地紧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2C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百灵</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2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JPT-1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F5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72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2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1288.00 </w:t>
            </w:r>
          </w:p>
        </w:tc>
      </w:tr>
      <w:tr w14:paraId="61AF3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A95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949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E94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双盘、单杠杆、等臂，非封闭式横梁由铝合金制成。2、刀子：钢制成。3、最大称量为：500g,标尺称量为:0-5g,分度值e=d：0.5g,秤盘直径：84mm。4、规格：210mm×84mm×135mm。5、标尺光洁平直，连接部位固紧，分度线均匀，游码起点对准零线，移动时松紧适宜，当杠杆受到轻微冲击时，游码不移位。刀子垂直地紧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7E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百灵</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11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JPT-5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E8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33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8F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143.00 </w:t>
            </w:r>
          </w:p>
        </w:tc>
      </w:tr>
      <w:tr w14:paraId="1429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BAB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4B6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3A7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 g，0.1 g</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61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百灵</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F5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DT1000M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86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77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9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386.00 </w:t>
            </w:r>
          </w:p>
        </w:tc>
      </w:tr>
      <w:tr w14:paraId="78231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D3D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62D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红液温度计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1EB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红液，0℃～100℃，分度值1℃，示值误差＜1.5℃</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5D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C3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84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41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DD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56.00 </w:t>
            </w:r>
          </w:p>
        </w:tc>
      </w:tr>
      <w:tr w14:paraId="1E536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4C8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B8E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水银温度计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D8E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水银，0℃～200℃，分度值1℃，示值误差＜0.5℃</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E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B1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47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CD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E7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r>
      <w:tr w14:paraId="66253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2F0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014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多用电表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245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成：由电表、反射镜、硅二极管保护装置和电笔组成；2、材质：磁、金属、塑料；3、规格：具有22档基本量程，测量范围：直流电流：0μA～50μA～500μA，0mA～5mA～50mA～500mA；直流电压：0V～0.25V～0.5V～1V～2.5V～10V～50V～250V，交流电压：0V～10V～50V～250V～500V～1000V；电阻：R×1Ω，R×10Ω，R×100Ω，R×1kΩ，，R×10kΩ，100kΩ，R×1MΩ；4、用途：供中小学实验中测量电流、电压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92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E6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MF47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45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AB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1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152.00 </w:t>
            </w:r>
          </w:p>
        </w:tc>
      </w:tr>
      <w:tr w14:paraId="243A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F9D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948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酸度计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75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1、笔式，测量范围：0.0~14.0pH，温度0-50℃32-122F；</w:t>
            </w:r>
          </w:p>
          <w:p w14:paraId="56B30C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2、解析度：PH:0.1PH，温度：0.1℃ 1F</w:t>
            </w:r>
          </w:p>
          <w:p w14:paraId="63D010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3、准备度：PH：±0.2PH 温度：1℃/2F</w:t>
            </w:r>
          </w:p>
          <w:p w14:paraId="2D6B36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4、PH：25℃三点校准，显示数仁4.0、6.9、9.2</w:t>
            </w:r>
          </w:p>
          <w:p w14:paraId="08B632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5、工作温度：0-50℃（32-122F)</w:t>
            </w:r>
          </w:p>
          <w:p w14:paraId="5B789D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6、电源：1.5V电池*4PCS</w:t>
            </w:r>
          </w:p>
          <w:p w14:paraId="4F62D93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7、尺寸：Φ40*190mm</w:t>
            </w:r>
          </w:p>
          <w:p w14:paraId="2F0CFA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8、PH缓冲剂（硼砂，邻苯二甲酸氢钾，混合磷酸盐）各一包</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52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AA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A8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79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CB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450.00 </w:t>
            </w:r>
          </w:p>
        </w:tc>
      </w:tr>
      <w:tr w14:paraId="5E181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E8C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7BB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教学支架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D06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铸铁底板尺寸（210mmｘ135mm）1kg,冲压烧瓶夹，大小圈（Φ110mm/Φ70mm），铝合金平行夹，垂直夹，钢材直径（Φ6.6mm,立杆Φ11.3mmｘ615mm）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5E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9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7D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4E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2A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1680.00 </w:t>
            </w:r>
          </w:p>
        </w:tc>
      </w:tr>
      <w:tr w14:paraId="4AA44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96A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F63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三脚架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BA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外径Φ90mm，内径Φ74mm 厚度4.3mm，支撑脚直径Φ5.7mm，高156mm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0F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2B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C8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8D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BF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154.00 </w:t>
            </w:r>
          </w:p>
        </w:tc>
      </w:tr>
      <w:tr w14:paraId="01BCB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70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D62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5AC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塑料制，8 孔，孔径 21 mm，立柱粘结</w:t>
            </w:r>
          </w:p>
          <w:p w14:paraId="03974A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牢固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C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3D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8孔，21mm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52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5E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88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238.00 </w:t>
            </w:r>
          </w:p>
        </w:tc>
      </w:tr>
      <w:tr w14:paraId="58390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8E4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185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1D9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有机玻璃8孔 ，孔径 25 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3A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C1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8孔，25mm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8C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AE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2F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96.00 </w:t>
            </w:r>
          </w:p>
        </w:tc>
      </w:tr>
      <w:tr w14:paraId="77CCF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36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213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DA8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有机玻璃8孔 ，孔径 35 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22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87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8孔，35mm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9E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B1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6C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102.00 </w:t>
            </w:r>
          </w:p>
        </w:tc>
      </w:tr>
      <w:tr w14:paraId="37CD7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58D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233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467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铁制喷塑双孔，2孔铁漏斗架</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0D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94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3F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3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1C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r>
      <w:tr w14:paraId="4BF32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AFB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61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滴定台</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C8F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铸铁底座尺寸300±3mm×150±2mm，重量≥2.3kg，立杆用直径Φ11mm的圆钢制成， 长度不小于550mm。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4C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AE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99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B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89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r>
      <w:tr w14:paraId="23B8F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2C2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229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滴定夹</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2B0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1、由铝合金制成，蝶式结构，外形尺寸为200mm×110mm。2、两端能夹持20mm（含）以下直径的滴定管，两管平行。3、当两管盛满液体后，不下滑。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18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ED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03011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28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25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C9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r>
      <w:tr w14:paraId="00BFB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99E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8E4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多用滴管架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2F3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1、组成：产品由三层架板、两块侧板组装而成；2、材质：为ABS塑料制；3、规格：20孔；底部有圆形凹槽。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8B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D8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03012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13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F2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C5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224.00 </w:t>
            </w:r>
          </w:p>
        </w:tc>
      </w:tr>
      <w:tr w14:paraId="52F77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1BC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25F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FEB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10mL,高硼硅玻璃制造.量筒全高：135±5ｍｍ。最高刻度线至筒顶：≥25ｍｍ。量筒壁厚：≥1ｍｍ。最小分度：0．2ｍｌ,允差±0.1ml,刻线清晰。</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88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BE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5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80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19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98.00 </w:t>
            </w:r>
          </w:p>
        </w:tc>
      </w:tr>
      <w:tr w14:paraId="179B2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8D3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CC8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CDA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25mL,高硼硅玻璃制造 量筒全高：160±5ｍｍ。最高刻度线至筒顶≥25ｍｍ。最高刻度线至內底最小距离85mm。壁厚≥1ｍｍ。最小分度：0.5ｍｌ。允差±0.25ml.刻线清晰</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1F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7D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4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F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0D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112.00 </w:t>
            </w:r>
          </w:p>
        </w:tc>
      </w:tr>
      <w:tr w14:paraId="18066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F42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5F4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CC1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50mL,高硼硅玻璃制造.量筒全高：195±5ｍｍ。最高刻度线至筒顶≥30ｍｍ。量筒外径：26±1ｍｍ。底座外径：50±3ｍｍ。壁厚≥1ｍｍ。最小分度：1ｍｌ,允差±0.25ml，刻线清晰.</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CA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9C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3C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5A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37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126.00 </w:t>
            </w:r>
          </w:p>
        </w:tc>
      </w:tr>
      <w:tr w14:paraId="61928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0C9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408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3EE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100mL,高硼硅玻璃制造.量筒全高：250±10ｍｍ。最高刻度线至筒顶≥30ｍｍ。量筒外径：31±1ｍｍ。底座外径：62±3ｍｍ。壁厚≥1ｍｍ。最小分度：1ｍｌ,允差±0.5ml，刻线清晰。</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B8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A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BC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C6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D5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r>
      <w:tr w14:paraId="11EA4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A5C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675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9A4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500mL,高硼硅玻璃制造.量筒全高：350±10ｍｍ。最高刻度线至筒顶：≥50ｍｍ。壁厚≥1.2ｍｍ。最小分度：5ｍｌ,允差±2.5ml。</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A6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F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9B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EE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37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r>
      <w:tr w14:paraId="4956D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FD3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D67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FE8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250mL,采用高硼硅玻璃制造.全高：220±10mm,瓶颈內径15.5±1.5mm：瓶体外径：80mm±1mm,瓶底直径：55mm.瓶身最小壁厚≥0.8mm。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61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4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B6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E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ED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r>
      <w:tr w14:paraId="6BCB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743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6A4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F54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500mL采用高硼硅玻璃制造.全高：260±10mm,瓶颈内径19±2mm：瓶体外径：100mm,瓶底直径：70mm.瓶体最小壁厚≥0.8mm。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9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0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D6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42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9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38.00 </w:t>
            </w:r>
          </w:p>
        </w:tc>
      </w:tr>
      <w:tr w14:paraId="12FE7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0BD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5F0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577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式，25mL，采用高硼硅玻璃制造.由量管、活塞组成。全长≤600mm,分度线长：300～400mm。最小分度：0．1ｍｌ。刻度线至管颈囗距一等：90±20。刻度线至管颈距二等：90±30。活动芯孔径：2mm；3；活塞下管内径：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4C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C7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酸式，25mL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D1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79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71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44.00 </w:t>
            </w:r>
          </w:p>
        </w:tc>
      </w:tr>
      <w:tr w14:paraId="4722C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079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298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FE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碱式，25mL，采用高硼硅玻璃制造.全长≤570mm,分度线长：300～400mm。最小分度：0．1ｍｌ。刻度线至管颈距一等：90±20。刻度线至管颈距二等：90±30。量管下端胖大处理：硅胶管与玻璃球搭配适度，（5×7）硅胶管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96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A0B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碱式，25mL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6F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67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72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 </w:t>
            </w:r>
          </w:p>
        </w:tc>
      </w:tr>
      <w:tr w14:paraId="546D0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E43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680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B28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25mL,高硼硅材质，酸碱两用滴定管，四氟活塞</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06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FC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聚四氟乙烯，25mL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3B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57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24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328.00 </w:t>
            </w:r>
          </w:p>
        </w:tc>
      </w:tr>
      <w:tr w14:paraId="3A8F4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85A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268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2A6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Φ12mm×75mm,采用高硼硅玻璃制造 .试管高：70±5ｍｍ。 试管外径：12±0．5ｍｍ。试管厚：1ｍｍ。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AA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23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12mm×75mm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F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0.80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4C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C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48.00 </w:t>
            </w:r>
          </w:p>
        </w:tc>
      </w:tr>
      <w:tr w14:paraId="628D7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A0E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003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046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Φ15mm×150mm,采用高硼硅玻璃制造 .试管高：150±5ｍｍ。 试管外径：15±0．5ｍｍ。试管厚：1.2ｍｍ。囗部做卷边处加厚处理。</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83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04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15mm×150mm/1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2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F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B9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r>
      <w:tr w14:paraId="2F8B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0CF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F49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737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Φ18mm×180mm,采用高硼硅玻璃制造 .试管高：180±5ｍｍ。 试管外径：18±0．5ｍｍ。试管厚：1.2ｍｍ,囗部做卷边处加厚处理。</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26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5EB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18mm×180mm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6C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28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A2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r>
      <w:tr w14:paraId="649FE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C21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9F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D35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Φ20mm×200mm,采用高硼硅玻璃制造 .试管高：200±5ｍｍ。 试管外径：20±0．5ｍｍ。试管厚：1.3ｍｍ,囗部做卷边处加厚处理。</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E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4D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20mm×200mm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7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A4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52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r>
      <w:tr w14:paraId="20EFB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1A2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83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692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Φ32mm×200mm,采用高硼硅玻璃制造 .试管高：200±5ｍｍ。 试管外径：32±0．5ｍｍ。试管厚：1.5ｍｍ,囗部做卷边处加厚处理。</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E9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59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32mm×200mm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5D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C0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06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r>
      <w:tr w14:paraId="14FEC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349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663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口部具支试管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36B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Φ20mm×200mm,采用高硼硅玻璃制造，全长200±5mm，外径20±1mm,壁厚≥1.2mm.卷口，支管直径8±1mm,长度35±5mm.支管到管囗距离25±3mm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2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E3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20mm×200mm/1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5A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1B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46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r>
      <w:tr w14:paraId="0A6DB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4EC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A21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硬质玻璃管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A2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Φ15mm×150mm,采用高硼硅玻璃制造,卷口Ф15±0.5,长度150±6mm.壁厚1.2±0.3mm, 管口应卷囗加厚</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ED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39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15mm×150mm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7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0F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66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26A3B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ED1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35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硬质玻璃管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7DA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Φ20mm×250mm,采用高硼硅玻璃制造,卷口Ф20±0.5,长度250±5mm.壁厚1.2±0.3mm, 管口应卷囗加厚</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36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54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20mm×250mm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A6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4D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B0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6F285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D6E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532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D1B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10mL,采用高硼硅玻璃制造，全高35±1mm，杯直径26±0.5mm，壁厚≥0.7mm,杯口应卷边加厚，底部圆正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5E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6F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FB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D9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F7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90.00 </w:t>
            </w:r>
          </w:p>
        </w:tc>
      </w:tr>
      <w:tr w14:paraId="20E1F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419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AC2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594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25mL,采用高硼硅玻璃制造，全高50±1mm，杯直径34±0.5mm，壁厚≥0.7mm,杯口应卷边加厚，底部圆正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04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C09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64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34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32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105.00 </w:t>
            </w:r>
          </w:p>
        </w:tc>
      </w:tr>
      <w:tr w14:paraId="347B0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11A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E9A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26F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50mL,采用高硼硅玻璃制造，全高60±2mm，杯直径42±1mm，壁厚≥0.8mm,杯口应卷边加厚，底部圆正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36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92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13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9D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5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00FDA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DCD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9CC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F91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100mL,采用高硼硅玻璃制造，全高70±2mm，杯直径50±1mm，壁厚≥0.9mm,杯口应卷边加厚，底部圆正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A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1E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100mL/12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EA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A7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39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r>
      <w:tr w14:paraId="304EB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268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DB0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B70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250mL,采用高硼硅玻璃制造，全高95±2mm，杯直径70±2mm，壁厚≥1.1mm,杯口应卷边加厚，底部圆正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B1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C7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B7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42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1E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r>
      <w:tr w14:paraId="57084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83F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36A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6C8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规格500ml,采用高硼硅玻璃制造</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51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52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27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41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85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34B1E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C7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A42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B7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1000mL,采用高硼硅玻璃制造，全高145±3mm，杯直径105±2mm，壁厚≥1.3mm,杯口应卷边加厚，底部圆正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31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F2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BA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2A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2A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63.00 </w:t>
            </w:r>
          </w:p>
        </w:tc>
      </w:tr>
      <w:tr w14:paraId="5E9A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B05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AF5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26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圆底、长颈，250mL，采用高硼硅玻璃制造，全高145±3mm，瓶外径85±2mm，壁厚≥0.9mm,瓶颈外径34±1.5mm.管口应卷边加厚，底部圆正.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13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0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250mL，圆底</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8B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2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17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208.00 </w:t>
            </w:r>
          </w:p>
        </w:tc>
      </w:tr>
      <w:tr w14:paraId="3EC54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90E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A79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F43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250mL，平底,采用高硼硅玻璃制造，全高145±3mm，瓶外径85±2mm，壁厚≥0.9mm,瓶颈外径34±1.5mm.管口应卷边加厚，底部圆正.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C3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22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250mL，平底</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50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15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63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48.00 </w:t>
            </w:r>
          </w:p>
        </w:tc>
      </w:tr>
      <w:tr w14:paraId="1A6D4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60C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24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1C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100mL,采用高硼硅玻璃制造，全高105±3mm，瓶身外径64±1.5mm，瓶颈外径22±1mm.壁厚＞0.8mm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D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4C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5F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42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8E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330.00 </w:t>
            </w:r>
          </w:p>
        </w:tc>
      </w:tr>
      <w:tr w14:paraId="7F04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EC6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AAB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4A6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250mL,采用高硼硅玻璃制造，全高145±3mm，瓶身外径85±2mm，瓶颈外径34±1.5mm.壁厚＞0.9mm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05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4B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4D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96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40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170.00 </w:t>
            </w:r>
          </w:p>
        </w:tc>
      </w:tr>
      <w:tr w14:paraId="07AF8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A66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D44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蒸馏烧瓶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EB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250mL,采用高硼硅玻璃制造，全高200±10mm，瓶身外径85±2mm，瓶颈外径34±1.5mm.壁厚＞0.9mm,支管14口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49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95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EC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16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FA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44.00 </w:t>
            </w:r>
          </w:p>
        </w:tc>
      </w:tr>
      <w:tr w14:paraId="60EE8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DAE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3FC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D3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125mL,附毛玻璃片.采用高硼硅玻璃制造，全高110±5.瓶外径54±2mm,壁厚≥1.2mm.瓶底厚≥1.8mm.毛玻璃片边长65±5mm,毛玻片厚2±1mm.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2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27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77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A5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B1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550.00 </w:t>
            </w:r>
          </w:p>
        </w:tc>
      </w:tr>
      <w:tr w14:paraId="21335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31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00F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81D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250mL,附毛玻璃片.采用高硼硅玻璃制造，全高130±5.瓶外径68±2mm,壁厚≥1.3mm.瓶底厚≥2mm.毛玻璃片边长65±5mm,毛玻片厚2±1mm.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C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4B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03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61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C3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044EE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23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5E7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液封除毒气集气瓶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401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250mL,高硼硅玻璃制造。1、外形尺寸：外径70±3mm,瓶身高180±5mm,液封部位高40±3mm.盖直径45±1mm.盖高80±10mm.配胶塞及燃烧匙.</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D94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D7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64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CA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5D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315.00 </w:t>
            </w:r>
          </w:p>
        </w:tc>
      </w:tr>
      <w:tr w14:paraId="2E37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A41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C0E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734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60mL,采用高硼硅玻璃制造，瓶全高100±5mm，瓶身直径47±2mm,瓶身厚≥1mm.瓶底厚≥1.5mm.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2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A3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B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8B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03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750.00 </w:t>
            </w:r>
          </w:p>
        </w:tc>
      </w:tr>
      <w:tr w14:paraId="35292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CD2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C43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2B7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125mL,采用高硼硅玻璃制造，瓶全高110±4mm，瓶身直径54±2mm,瓶身厚≥1.2mm.瓶底厚≥1.8mm.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06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9D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6A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1F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6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252.00 </w:t>
            </w:r>
          </w:p>
        </w:tc>
      </w:tr>
      <w:tr w14:paraId="6558B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058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950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13D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250mL,采用高硼硅玻璃制造，瓶全高142±8mm，瓶身直径68±2mm,瓶身厚≥1.3mm.瓶底厚≥2mm.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08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4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70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D8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71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308.00 </w:t>
            </w:r>
          </w:p>
        </w:tc>
      </w:tr>
      <w:tr w14:paraId="29AD3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F3D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4B3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BDD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500mL,采用透明钠钙或高硼硅玻璃制造，瓶全高172±8mm，瓶身直径83±3mm,瓶身厚≥1.3mm.瓶底厚≥2mm.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FC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37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91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BC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16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 </w:t>
            </w:r>
          </w:p>
        </w:tc>
      </w:tr>
      <w:tr w14:paraId="12435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850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333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69D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60mL,采用茶色钠钙，瓶全高100±5mm，瓶身直径47±2mm,瓶身厚≥1mm.瓶底厚≥1.8mm.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92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FB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茶，60mL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B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06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6A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90.00 </w:t>
            </w:r>
          </w:p>
        </w:tc>
      </w:tr>
      <w:tr w14:paraId="02147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501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03A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F0F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125mL,采用茶色钠钙，瓶全高120±8mm，瓶身直径54±2mm,瓶身厚≥1mm.瓶底厚≥1.5mm.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08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33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茶，125mL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4E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FA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4B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 </w:t>
            </w:r>
          </w:p>
        </w:tc>
      </w:tr>
      <w:tr w14:paraId="7AE54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520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88A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0E8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250mL,采用茶色钠钙，瓶全高142±8mm，瓶身直径68±2mm,瓶身厚≥1.3mm.瓶底厚≥2mm.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EF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FF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茶/250mL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54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E0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A4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45.00 </w:t>
            </w:r>
          </w:p>
        </w:tc>
      </w:tr>
      <w:tr w14:paraId="408DC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57F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924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3B6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60mL,采用高硼硅玻璃制造，瓶全高100±5mm，瓶身直径47±2mm,瓶身厚≥1mm.瓶底厚≥1.5mm.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DA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C1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5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E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02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r>
      <w:tr w14:paraId="575C2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64A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023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A2A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125mL,采用高硼硅玻璃制造，瓶全高120±8mm，瓶身直径54±2mm,瓶身厚≥1.2mm.瓶底厚≥1.8mm.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2A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C3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C6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AC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00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1800.00 </w:t>
            </w:r>
          </w:p>
        </w:tc>
      </w:tr>
      <w:tr w14:paraId="65372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FF8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59B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FF8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250mL,采用高硼硅玻璃制造，瓶全高142±8mm，瓶身直径68±2mm,瓶身厚≥1.3mm.瓶底厚≥2mm.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D3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A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DC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1B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31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220.00 </w:t>
            </w:r>
          </w:p>
        </w:tc>
      </w:tr>
      <w:tr w14:paraId="044F5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3A1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FBF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B6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500mL,采用高硼硅玻璃制造，瓶全高172±8mm，瓶身直径83±3mm,瓶身厚≥1.3mm.瓶底厚≥2mm.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AC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AB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7D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F2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74B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160.00 </w:t>
            </w:r>
          </w:p>
        </w:tc>
      </w:tr>
      <w:tr w14:paraId="44D8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745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8CE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D68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1000mL,采用高硼硅玻璃制造，瓶全高213±8mm，瓶身直径104±3mm,瓶身厚≥1.7mm.瓶底厚≥2.5mm.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F2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F0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DD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D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B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r>
      <w:tr w14:paraId="10E94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B03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178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C22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2500mL,采用高硼硅玻璃制造，瓶全高284±10mm，瓶身直径142±5mm,瓶身厚≥2mm.瓶底厚≥3mm.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2D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E0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4A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5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DD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 </w:t>
            </w:r>
          </w:p>
        </w:tc>
      </w:tr>
      <w:tr w14:paraId="65910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FC8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8D7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F9D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60mL,采用茶色钠钙，瓶全高100±5mm，瓶身直径47±2mm,瓶身厚≥1mm.瓶底厚≥1.5mm.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7F7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89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茶，60mL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46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3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78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274C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051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8A3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4AB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125mL,采用茶色钠钙玻，瓶全高120±8mm，瓶身直径54±2mm,瓶身厚≥1.2mm.瓶底厚≥1.8mm.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44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57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茶，125mL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F5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51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38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98.00 </w:t>
            </w:r>
          </w:p>
        </w:tc>
      </w:tr>
      <w:tr w14:paraId="1B5FF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78C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E8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A9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250mL,采用茶色钠钙，瓶全高142±8mm，瓶身直径68±2mm,瓶身厚≥1.3mm.瓶底厚≥2mm.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97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78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茶，250mL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4B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1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4A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r>
      <w:tr w14:paraId="413E0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5CD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44D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108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500mL,采用透明钠钙，瓶全高172±8mm，瓶身直径83±3mm,瓶身厚≥1.3mm.瓶底厚≥2mm.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A3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E8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茶，500mL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1E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DE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2C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 </w:t>
            </w:r>
          </w:p>
        </w:tc>
      </w:tr>
      <w:tr w14:paraId="121F0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70D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C7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F15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1000mL,采用茶色钠钙，瓶全高213±8mm，瓶身直径104±3mm,瓶身厚≥1.7mm.瓶底厚≥2.5mm.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4A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5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茶，1000mL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0D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13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FD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r>
      <w:tr w14:paraId="16915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02E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2E2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AEA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30ML，采用透明钠钙，瓶全高73±5mm，瓶外径38±2mm,瓶厚＞1mm.滴管全高85±5mm.滴管口距瓶底距3.5±1.5mm.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9C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E6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AE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F5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E3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0FC62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62F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94A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61B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60mL,采用高硼硅玻璃制造，瓶全高90±5mm，瓶外径47±2mm,瓶厚＞1mm.滴管全高92±5mm.滴管口距瓶底距3.5±1.5mm.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02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2F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D0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39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B7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r>
      <w:tr w14:paraId="78066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DD1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1CF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4CC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30mL,采用茶色钠钙，瓶全高73±5mm，瓶外径38±2mm,瓶厚＞1mm.滴管全高85±5mm.滴管口距瓶底距3.5±1.5mm.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2B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2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茶，30mL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3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FD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D7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2C106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408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C78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E17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60mL,采用茶色钠钙，瓶全高90±5mm，瓶外径47±2mm,瓶厚＞1mm.滴管全高92±5mm.滴管口距瓶底距3.5±1.5mm.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94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E7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茶，60mL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9E9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7A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32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4B284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78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F0D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41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150mL，单头,透明钠钙制造.由灯座、灯塞、灯盖、灯芯组成。全高95mm±4mm；灯体高70mm±2mm。灯体直径：84±5mm.灯底直径60±3mm；灯口直径20±2mm。灯颈高25±5mm.灯体壁厚≥2mm,配纯棉灯芯,磨砂细腻.</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98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5D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8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E7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D8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84.00 </w:t>
            </w:r>
          </w:p>
        </w:tc>
      </w:tr>
      <w:tr w14:paraId="76A95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626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369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2C9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160MM，透明钠钙制造.全高：220±10ｍｍ。 器身內径150±5mm.盖外径205±5mm.底直径95±5mm.器身高135±10mm.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5E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F6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99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3B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9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82.00 </w:t>
            </w:r>
          </w:p>
        </w:tc>
      </w:tr>
      <w:tr w14:paraId="4B6FC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CFF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B0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气体发生器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36B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 ，采用高硼硅玻璃制造.全高291±5mm.中球高：80±3ｍ.球斗颈大头內径24±2mm.斗柄小头直径17±3mm.上球璧厚＞1.5mm.底座两球中心距110±5mm.半球外径：128±2ｍｍ。连接口直径31±3ｍｍ。球体,半球壁厚：＞2mm 。要求：气体发生器的固体加料口径不小于2.5cm.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64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E5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62007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7D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1A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88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189.00 </w:t>
            </w:r>
          </w:p>
        </w:tc>
      </w:tr>
      <w:tr w14:paraId="51120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8FF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600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冷凝器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9B8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直形，300mm，采用高硼硅玻璃制造.外套管长：300±15ｍｍ。外套管外径32±1ｍｍ。上管长：75±3.5ｍｍ。上管外径：22±1ｍｍ。下管长：115±6ｍｍ。内芯管外径：12±0．5ｍ.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5F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33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300mm，直形</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80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C0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45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82.00 </w:t>
            </w:r>
          </w:p>
        </w:tc>
      </w:tr>
      <w:tr w14:paraId="14B9A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DF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675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牛角管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CF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Φ18mm×150mm,采用高硼硅玻璃制造 ,弯形角度105度,与冷凝器配套.</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C1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66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62023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16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5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90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r>
      <w:tr w14:paraId="6E69B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BBF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ECF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8C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60mm,采用高硼硅玻璃制造，外形尺寸：漏斗外径60±2mm.斗柄长60±5mm，斗茎外径7—8mm，斗及斗柄壁厚1-1.5mm.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FC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92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ED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8E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F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84.00 </w:t>
            </w:r>
          </w:p>
        </w:tc>
      </w:tr>
      <w:tr w14:paraId="4A928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B97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B52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40A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90mm,采用高硼硅玻璃制造，外形尺寸：斗径90±3mm，斗高85±1mm，斗柄长90±5mm，斗柄外径10—11mm，壁厚≥1.5mm.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18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5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4A3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D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65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43B2A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E6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A9A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安全漏斗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9BA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直形，高硼硅玻璃制造 漏斗球直径：40±3ｍｍ。漏斗长：52±3ｍｍ。下管长：300±10ｍｍ。下管直径：7～8ｍｍ。斗壁厚度：1～1．3ｍｍ。</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C5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81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直形</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53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E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60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126.00 </w:t>
            </w:r>
          </w:p>
        </w:tc>
      </w:tr>
      <w:tr w14:paraId="2C08F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C0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3FE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安全漏斗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9EA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双球,高硼硅玻璃制造 漏斗球直径：40±3ｍｍ。漏斗长：52±3ｍｍ。下管长：300±10ｍｍ。下管直径：7～8ｍｍ。斗壁厚度：1～1．3ｍｍ.二小球径20±2mm.弯曲部位全宽44±4mm.全高60±5mm.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95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4C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双球</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A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A0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C5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34.00 </w:t>
            </w:r>
          </w:p>
        </w:tc>
      </w:tr>
      <w:tr w14:paraId="289BD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C44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3F5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分液漏斗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224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60mL，锥型,瓶塞应有凹槽，瓶口有气孔。</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9AD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3C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60mL，锥型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88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36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D4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195.00 </w:t>
            </w:r>
          </w:p>
        </w:tc>
      </w:tr>
      <w:tr w14:paraId="68D05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78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C6D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分液漏斗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5D8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50mL，高硼硅玻璃制造  漏斗球外径：51±1mm.球高80±5mm.球厚：≥1ｍｍ。下管外径：9.5±0.5ｍｍ。 下管长：60±3ｍｍ。活塞芯孔径：≥2mm,上塞开槽.漏斗囗部有孔.执行标准：QB/T 2110-95</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4F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D8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50mL，球型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00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42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E3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235.00 </w:t>
            </w:r>
          </w:p>
        </w:tc>
      </w:tr>
      <w:tr w14:paraId="1FC0D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9D7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D49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567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T形,Φ7mm～8mm，采用高硼硅玻璃制造，横长100±10mm，直径7-8mm,支管长50±5mm.壁厚≥1mm.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C1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20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 形</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DE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C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1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r>
      <w:tr w14:paraId="3CCF9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96E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AC1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A1F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Y形,Φ7mm～8mm，采用高硼硅玻璃制造，全高100±10mm，直径7-8mm,支管长50±5mm.壁厚≥1mm.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2B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1C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 形</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78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A5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8F3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r>
      <w:tr w14:paraId="2166D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58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F8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EE1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100mm,采用高硼硅玻璃制造</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89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98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25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CC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FF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r>
      <w:tr w14:paraId="4309D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757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6BC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12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150mm,采用高硼硅玻璃制造，玻璃部位全长130±10mm，上管卷口外径10±1mm,流液嘴外径2-3mm.壁厚≥1mm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67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5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6D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23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14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r>
      <w:tr w14:paraId="7FFFB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471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9F2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194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单球，150mm，采用高硼硅玻璃制造，上管外径15±1mm,上管长80±5mm.球外径30MM±3mm，球长40±5mm.下支管长25±3mm，壁厚≥1mm，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06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A4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145mm，单球</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D4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72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18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 </w:t>
            </w:r>
          </w:p>
        </w:tc>
      </w:tr>
      <w:tr w14:paraId="0AF1C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FD6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516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171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Φ15mm×150mm，U型,采用高硼硅玻璃制造，管外径15±1mm,全高150±5mm.两管间距30±5mm.壁厚≥1mm，支管外径6-7mm.支管长30±5mm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60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B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 mm ×150 mm，U型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C8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F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70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r>
      <w:tr w14:paraId="5F213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7FA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FB5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玻璃活塞</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C1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直形2号.采用高硼硅玻璃制造 。2号活塞孔径≥2mm。两支管直径7-8mm， 两支管长度120±10mm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F3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DD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直形2号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6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5E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3A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r>
      <w:tr w14:paraId="338DE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55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401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圆水槽</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D1B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Φ210 mm ×110 mm，采用透明钠钙玻璃制造，全高100±5mm，外径210±5mm,壁厚≥3mm.沿高10±2mm。沿径238±10mm.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F1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BB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210mm×110mm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84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5B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9F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r>
      <w:tr w14:paraId="46C79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1A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F75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圆水槽</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13A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φ270mm×140mm.采用钠钙玻或高硼硅璃制造，全高140±12mm，外径270±10mm,壁厚≥3mm.沿高10±2mm。沿径280±10mm。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9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70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270mm×140mm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AC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72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FB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164.00 </w:t>
            </w:r>
          </w:p>
        </w:tc>
      </w:tr>
      <w:tr w14:paraId="0DA61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14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D79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坩埚钳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CA4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200mm，不锈钢材料：；全长≥200mm，蛋形圈≥27mm.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35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CFE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E3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6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0A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160.00 </w:t>
            </w:r>
          </w:p>
        </w:tc>
      </w:tr>
      <w:tr w14:paraId="7F0F4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338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631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烧杯夹</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39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201不锈钢.长度大于240mm，最大夹持直径不少于90mm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4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67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DD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30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14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 </w:t>
            </w:r>
          </w:p>
        </w:tc>
      </w:tr>
      <w:tr w14:paraId="4DA21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971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6E4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562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不锈钢制，平头，长125mm，钢板厚1.2mm，前部应有防滑脱锯齿。</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4A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78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9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79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E4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64.00 </w:t>
            </w:r>
          </w:p>
        </w:tc>
      </w:tr>
      <w:tr w14:paraId="3F188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CE7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2C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试管夹</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7DC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木制外形尺寸200×20×</w:t>
            </w:r>
          </w:p>
          <w:p w14:paraId="745B80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11mm，张口不少于30mm.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B5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63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DA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0B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DB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48.00 </w:t>
            </w:r>
          </w:p>
        </w:tc>
      </w:tr>
      <w:tr w14:paraId="1E04B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B35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87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止水皮管夹</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ADD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Φ3mm钢丝制成，作防锈处理，夹持角度≥60º，弹性好，不漏液。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2EB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51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E7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6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9C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r>
      <w:tr w14:paraId="08A5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BBA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0E2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螺旋皮管夹</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2E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由支架管和带压板的螺杆等组成。外形尺寸为33mm×20mm×8mm，旋转方便，不易变形，压板厚度≥1mm。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4B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BC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3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98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5D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r>
      <w:tr w14:paraId="21C93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5C0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93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石棉网</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486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金属网尺寸不小于125mm×125mm，金属网上所附陶土圈为双面附着的正圆形，直径不小于Φ100㎜，厚度为3㎜左右.</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29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92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64032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17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62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9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 </w:t>
            </w:r>
          </w:p>
        </w:tc>
      </w:tr>
      <w:tr w14:paraId="63A9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5DC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FAE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燃烧匙</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EC4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用紫铜制成，手柄杆长度不小于300±5mmmm。紫铜,直径Φ20±1mm.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D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29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64041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FC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1B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5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 </w:t>
            </w:r>
          </w:p>
        </w:tc>
      </w:tr>
      <w:tr w14:paraId="780C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B65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45B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药匙</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4A5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长度≥13cm，带小勺，材质为金属、牛角或塑料。</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06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E8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64042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AE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E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11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r>
      <w:tr w14:paraId="6FA57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89F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B62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7B8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 5 mm ～6 mm，由高硼硅玻璃制造。玻管外径5～6±0.5mm.长：500-600mm）。壁厚：1.2～1．4mm。两端烤光滑.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92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D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F3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A0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8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175.00 </w:t>
            </w:r>
          </w:p>
        </w:tc>
      </w:tr>
      <w:tr w14:paraId="01387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77E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34C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C8C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 7 mm ～8 mm，高硼硅玻璃制造。玻管外径7～8±0.5mm长：500-600mm.壁厚：1.2～1．5mm。两端烤光滑.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81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B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E4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D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FD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r>
      <w:tr w14:paraId="1A142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55A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A43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玻璃弯管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1DF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Φ7mm～Φ8mm，高硼硅材质，分别为60,90,120度各种角度，尺寸200*70mm。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D2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6E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18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2D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91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94.00 </w:t>
            </w:r>
          </w:p>
        </w:tc>
      </w:tr>
      <w:tr w14:paraId="61CA4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A4E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56E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39A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Φ5mm～6mm,高硼硅玻璃制造.玻棒外径5～6±0.5mm、长度300±30mm.两端烤光滑,玻棒圆正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1D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54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4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EE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42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228.00 </w:t>
            </w:r>
          </w:p>
        </w:tc>
      </w:tr>
      <w:tr w14:paraId="578CA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D4A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15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4FD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Φ7mm～8mm,粗细均匀，两端烧结使其光滑。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7A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C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40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45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7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228.00 </w:t>
            </w:r>
          </w:p>
        </w:tc>
      </w:tr>
      <w:tr w14:paraId="477F5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25C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B28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橡胶塞</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6D2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000、00、0～10号,白色，质地均匀。</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BC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51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64061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F7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BF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58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424.00 </w:t>
            </w:r>
          </w:p>
        </w:tc>
      </w:tr>
      <w:tr w14:paraId="44273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F8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792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B70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外径9mm，内径6mm,乳白色，具有耐油、耐酸碱、耐压等特性。</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D3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9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64062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5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4E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5E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r>
      <w:tr w14:paraId="073F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F98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EBC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45A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外径7mm，内径5mm,弹力好，拉力范围可在自身的6倍，回弹力100%。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70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1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7mm*5mm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F2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22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E1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r>
      <w:tr w14:paraId="7ED00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536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CE4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4F7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外径7mm，内径5mm,弹力好，拉力范围可在自身的6倍，回弹力100%。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5D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2B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7mm*5mm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DE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0C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7E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r>
      <w:tr w14:paraId="2EF76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A31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EB1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3E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外径9mm，内径6mm,弹力好，拉力范围可在自身的6倍，回弹力100%。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EE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E9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9mm*6mm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8A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B2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0F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r>
      <w:tr w14:paraId="6774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901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4AD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11C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Φ12mm,手持部分顶端应为环状，顶部要有刷丝，铁丝不可外露。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6B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57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B8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5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5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r>
      <w:tr w14:paraId="734B6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77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B81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2AA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Φ18mm,手持部分顶端应为环状，顶部要有刷丝，铁丝不可外露。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8D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18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67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04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8D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r>
      <w:tr w14:paraId="05719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11D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04D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ED4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Φ32mm,手持部分顶端应为环状，顶部要有刷丝，铁丝不可外露。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86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45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Φ32mm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CA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55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F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3EB29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5F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14D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烧瓶刷</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B3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250mL烧瓶用,手持部分顶端应为环状，顶部要有刷丝，铁丝不可外露。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B4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E3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64072（250ml）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37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56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58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r>
      <w:tr w14:paraId="726AB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F57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2E8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烧瓶刷</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C25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500mL烧瓶用,手持部分顶端应为环状，顶部要有刷丝，铁丝不可外露。</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4C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58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64072（500ml）</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72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C7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C6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r>
      <w:tr w14:paraId="3698D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B0E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026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结晶皿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904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80mm，采用高硼硅玻璃制造，全高45±1mm，外径80±1mm,壁厚1.2-2mm.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AA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7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C9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D5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9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 </w:t>
            </w:r>
          </w:p>
        </w:tc>
      </w:tr>
      <w:tr w14:paraId="4EEF4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559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4A4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DCD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60mm,采用高硼硅玻璃制造，皿外径60±2mm,壁厚1-1.5mm.无划痕,气泡气线,压痕</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D7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80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CC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5C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6D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154.00 </w:t>
            </w:r>
          </w:p>
        </w:tc>
      </w:tr>
      <w:tr w14:paraId="18498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9ED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C5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185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100mm,采用高硼硅玻璃制造，皿外径100±4mm,壁厚1-1.5mm.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4C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7D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22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48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6F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20EDC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B07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580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FA7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60mm,采用理化瓷制造，全高36±2mm，口外径70±3mm,壁厚4±2mm.带研柱</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6C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06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瓷，60mm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FA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0C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1D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98.00 </w:t>
            </w:r>
          </w:p>
        </w:tc>
      </w:tr>
      <w:tr w14:paraId="489F6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5E7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02F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3A0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100mm,采用理化瓷制造，全高40±3mm，口外径98±5mm,壁厚8±2mm.带研柱。</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36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12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瓷，100mm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BD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C7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56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r>
      <w:tr w14:paraId="1D684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46E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485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蒸发皿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B8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100mm,采用理化瓷制造，全高39±3mm，口外径91±3mm,壁厚1-1.5mm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EF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0E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瓷，100mm/39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19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74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2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84.00 </w:t>
            </w:r>
          </w:p>
        </w:tc>
      </w:tr>
      <w:tr w14:paraId="6253C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1F7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C3A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蒸发皿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41C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120mm,瓷制，耐受温度≥800℃。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2E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E89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瓷，120mm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82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CC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63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 </w:t>
            </w:r>
          </w:p>
        </w:tc>
      </w:tr>
      <w:tr w14:paraId="48F86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CA0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7EC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反应板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810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采用理化瓷制造,白色6穴,尺寸为长80±2mm.宽50mm.厚10±2mm.穴径13±1mm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5F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9E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64091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18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1E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29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56.00 </w:t>
            </w:r>
          </w:p>
        </w:tc>
      </w:tr>
      <w:tr w14:paraId="4B9F5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E6A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CA0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井穴板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9B1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透明塑料，9孔，每孔0.7mL，可以重复使用。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B8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65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64092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BE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E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26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r>
      <w:tr w14:paraId="303D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F71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54C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井穴板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E08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6穴.5ml由透明的聚苯乙烯的材料制造.全长82±2mm.全宽58±2mm.全高22±1mm.附井穴盖6个及导气管3x300mm6根.</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E0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5D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64093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6D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FF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64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126.00 </w:t>
            </w:r>
          </w:p>
        </w:tc>
      </w:tr>
      <w:tr w14:paraId="28475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06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4A0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塑料多用滴管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91B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1、规格：4mL；2、塑料材质。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6D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21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64094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28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0.20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04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08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r>
      <w:tr w14:paraId="0E290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61D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483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塑料洗瓶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CDD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250ML，为乳白色塑料制品，采用PP料生产，化学耐受性好，无生物毒性。2、造型为有一喷出水咀的瓶体，出喷水咀口径为1mm，水位应与盛水口等高。3、盛水口应有螺旋瓶盖，盖紧后不应漏水，喷水靠挤压瓶体使水从喷水咀喷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B7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29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1A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B6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BD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224.00 </w:t>
            </w:r>
          </w:p>
        </w:tc>
      </w:tr>
      <w:tr w14:paraId="2ABA5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A1E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A73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塑料水槽</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D16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250mm×180mm×100mm。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02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61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250mm×180mm×100mm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B1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F3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E3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476.00 </w:t>
            </w:r>
          </w:p>
        </w:tc>
      </w:tr>
      <w:tr w14:paraId="36D44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93A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37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集气瓶挂扣器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64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1、塑料制；125mL，2、适用于排水法收集气体、倒置集气瓶用。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B5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7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ED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29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D7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364.00 </w:t>
            </w:r>
          </w:p>
        </w:tc>
      </w:tr>
      <w:tr w14:paraId="4D084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E68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24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集气瓶挂扣器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072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1、塑料制；250mL，2、适用于排水法收集气体、倒置集气瓶用。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75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48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76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D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C5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r>
      <w:tr w14:paraId="1ECAD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757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0DA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酒精喷灯</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91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坐式，铜制，壶体容积≥300mL，火焰高度为150mm～180mm，火焰温度为960℃±60℃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AC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D6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J2609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A4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A4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47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280.00 </w:t>
            </w:r>
          </w:p>
        </w:tc>
      </w:tr>
      <w:tr w14:paraId="749AB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4F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8BB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储气装置</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495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成：由底座、手柄、支架、气球嘴、锁紧螺母、贮气球、气嘴、手压球、气胆阀门等各部分组成，2、材质：底座铸铁材质；手柄为金属材质；支架为金属材质、左右两端各1个吸附装置；贮气球为玻璃材质；3、规格：底座三脚状；手柄长度为142mm；支架为U型；贮气球容积2000ml；4、贮气装置为球形设计，适用于中学化学中气体贮存。</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39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F1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06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76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C2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190.00 </w:t>
            </w:r>
          </w:p>
        </w:tc>
      </w:tr>
      <w:tr w14:paraId="7AFA3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579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8AE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初中化学实验材料</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D52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含黄铜片、硬铝片、火柴、蜡烛、木板、电池、电珠、砂纸、面粉、凡士林等。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4D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61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30808000101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40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C8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F4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481.00 </w:t>
            </w:r>
          </w:p>
        </w:tc>
      </w:tr>
      <w:tr w14:paraId="39E87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00C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8B4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金属矿物、金属及合金标本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FB2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盒上盖采用透明浮法玻璃制作，下盖由环保厚卡纸加工制作而成，标本盒尺寸不小于21.7*17.1*3.2cm，上下盖可以打开，便于学生更直观的观察，不易破损，接合紧密。2、标本分别为磁铁矿、赤铁矿、生铁、铁合金、锌矿、镀锌板、铝土矿、铝合金、铜矿、铜合金、钛矿、钛合金等12种。3、标本应固定牢固，不易脱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3C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55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DA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4E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85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57.00 </w:t>
            </w:r>
          </w:p>
        </w:tc>
      </w:tr>
      <w:tr w14:paraId="067DE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A55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995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溶液导电演示器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8EA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外形尺寸：288mm*208mm*80mm，电表式，10 mA，数码直接显示电流大小，同时有5个指示灯显示导电状态，串联电位器 1 kΩ ，置于校准档时，调旋钮直接校准。五组溶液同时比较，1×6 开关（其中一档校准），每档有对应的指示灯。采用不锈钢电极5对，液体缸5个，仪器供电直接插220V市电（方便演示应用）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82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D8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30308000803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7E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F1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9C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944.00 </w:t>
            </w:r>
          </w:p>
        </w:tc>
      </w:tr>
      <w:tr w14:paraId="4863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D0C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495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微型溶液导电实验器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16E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线路示数一块（装有仪器的电路线路）、发光2极管6个、电解槽1个组成。2.改变溶液深度和调节电压、电珠亮、暗明显，实验效果好，能完成试验过程。3.供电:直流4～6Ｖ，7号干电池4节。4.外型尺寸：157mm*90mm*45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8A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5F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26011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D1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23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26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1290.00 </w:t>
            </w:r>
          </w:p>
        </w:tc>
      </w:tr>
      <w:tr w14:paraId="67846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F37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B5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水电解演示器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670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2支有双刻度的四氟芯活塞电解支管，不锈钢骨架的双塑料固定夹，T形硅胶三通，硅胶双塞电极，双色连接导线，加液漏斗，加细不锈钢试验喷嘴组成。电解刻钱容量20ml，在3一12V2A电压电流作用下，3分钟内电解生成20ml：10ml的氢气和氧气</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57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60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89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A4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EE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1145.00 </w:t>
            </w:r>
          </w:p>
        </w:tc>
      </w:tr>
      <w:tr w14:paraId="0B6EC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DEF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9E1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金刚石结构模型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E81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1、供化学、物理有关晶体结构的数学内容演示用，能增强学生的空间概念，有利于理解晶体结构的特征。2、由彩色球和键等组成。3、碳原子：Φ 30 mm 的 4 孔黑色塑料球 30 个；化学键：Φ 3 mm×35 mm 镀镍金属杆 40 根，材质ABS。。</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A1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39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92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81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F2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223.00 </w:t>
            </w:r>
          </w:p>
        </w:tc>
      </w:tr>
      <w:tr w14:paraId="15013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4EE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D6F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石墨结构模型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9F3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 由塑料球、连接杆、底座等组成；塑料球：直径为30±2mm，材料为PP，颜色为黑色，数量为39只；塑料球为5孔；连接杆为金属键，尺寸为直径3mm×90mm，数量为14根，直径3mm×50mm，数量为45根；底座为透明有机塑料制，形状为六边形顶角间直径为650mm±5mm，厚度不小于3mm；6、石墨结构模型高度为230mm±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98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79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7F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A3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3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223.00 </w:t>
            </w:r>
          </w:p>
        </w:tc>
      </w:tr>
      <w:tr w14:paraId="24FCF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D47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8AE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碳-60结构模型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4EF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1、供搭建以单质形态存在的C60分子结构用。2、产品组件均采用工程塑料制作，碳原子：Φ 30mm 的 3 孔黑色塑料球 60 个；化学键：Φ 6mm×25mm 的镀镍金属杆 90 根，材质ABS。</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88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3C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DD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75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05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334.00 </w:t>
            </w:r>
          </w:p>
        </w:tc>
      </w:tr>
      <w:tr w14:paraId="29979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7E3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BC5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碘升华凝华管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626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34mm×28mm，应采用无色透明硼硅酸盐玻璃制造，手柄与主管应连接平滑牢固，不应偏歪；主管应加碘后密封，两端面呈球面凹形，手柄靠近主管处应密封；玻璃仪器均匀透明无气泡，耐用，不易碎，采用酒精灯加热不易变形。</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07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76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J30032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E9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C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F4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160.00 </w:t>
            </w:r>
          </w:p>
        </w:tc>
      </w:tr>
      <w:tr w14:paraId="7479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327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6EA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分子结构模型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A4D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球棍式或比例式；Φ40mm塑料球：碳原子（黑色）4个，氧原子（红色）13个，氮原子（深蓝色）2个，硫原子（黄色）2个；Φ30mm塑料球：氢原子（白色）12个能够完成水、氢气、氧气、二氧化碳等分子模型的搭建。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57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E5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F8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60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19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302.00 </w:t>
            </w:r>
          </w:p>
        </w:tc>
      </w:tr>
      <w:tr w14:paraId="308A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100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549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氯化钠晶体结构模型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B99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1、由彩色橡胶球和塑料键结构，配备部件有：氯化钠6孔绿球14只、6孔银灰球13只、塑料短键54根。2、氯化钠绿球的直径为15mm，银灰球直径为20mm，塑料键长25mm，整个产品的外形尺寸为：115mm*115mm*115mm。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3A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C6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64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24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D7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223.00 </w:t>
            </w:r>
          </w:p>
        </w:tc>
      </w:tr>
      <w:tr w14:paraId="1B94A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91A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89E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元素周期表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0A9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带轴，≥150cm×110cm，字迹信息清晰，易于观看。</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6F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奥科育龙</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CE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52041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93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F3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C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84.00 </w:t>
            </w:r>
          </w:p>
        </w:tc>
      </w:tr>
      <w:tr w14:paraId="2CB1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030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E2D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原油常见馏分标本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58C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分别为原油、溶剂油、汽油、航空煤油、煤油、柴油、润滑油、石蜡、沥青等9种。2、标本盒上盖采用透明浮法玻璃制作，下盖由环保厚卡纸加工制作而成，标本盒尺寸不小于21.7*17.1*3.2cm，上下盖可以打开，便于学生更直观的观察，不易破损，接合紧密。3、标本应固定牢固，不易脱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9F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C6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5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9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D3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57.00 </w:t>
            </w:r>
          </w:p>
        </w:tc>
      </w:tr>
      <w:tr w14:paraId="2A6A9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698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818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炼铁高炉模型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470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炼铁高炉模型是炼铁的主要设备，它由炉喉、炉身、炉腰、炉腹、炉缸等五个部分组成。有两个进口：进料口和进风口；三个出口：出铁口、出渣口和高炉煤气出口。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45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22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47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3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DF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267.00 </w:t>
            </w:r>
          </w:p>
        </w:tc>
      </w:tr>
      <w:tr w14:paraId="628BE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78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9D2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合成有机高分子材料标本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785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分别为塑料类：聚乙烯、聚丙烯、聚氯乙烯、聚苯乙烯；橡胶类：丁苯、顺丁、氯丁、丁晴；合成纤维类：锦纶、涤纶、晴纶、维纶、丙纶、氯纶等15种。2、标本盒上盖采用透明浮法玻璃制作，下盖由环保厚卡纸加工制作而成，标本盒尺寸不小于21.7*17.1*3.2cm，上下盖可以打开，便于学生更直观的观察，不易破损，接合紧密。3、标本应固定牢固，不易脱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0F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43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3F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34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B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57.00 </w:t>
            </w:r>
          </w:p>
        </w:tc>
      </w:tr>
      <w:tr w14:paraId="43949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6DC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BE4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新型无机非金属材料标本</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30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选用氧化铝陶瓷、氮化硅陶瓷、光导纤维等不少于5种材质组成。2、标本盒上盖采用透明浮法玻璃制作，下盖由环保厚卡纸加工制作而成，标本盒尺寸不小于21.7*17.1*3.2cm，上下盖可以打开，便于学生更直观的观察，不易破损，接合紧密。3、标本应固定牢固，不易脱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1F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7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00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F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A2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57.00 </w:t>
            </w:r>
          </w:p>
        </w:tc>
      </w:tr>
      <w:tr w14:paraId="644A3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4B14D4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初中物理仪器</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49EE34F6">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7C52F104">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92DC6">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022EE">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00C92">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4E4E2">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A82A0">
            <w:pPr>
              <w:jc w:val="center"/>
              <w:rPr>
                <w:rFonts w:hint="eastAsia" w:ascii="宋体" w:hAnsi="宋体" w:eastAsia="宋体" w:cs="宋体"/>
                <w:i w:val="0"/>
                <w:iCs w:val="0"/>
                <w:color w:val="000000"/>
                <w:sz w:val="20"/>
                <w:szCs w:val="20"/>
                <w:u w:val="none"/>
              </w:rPr>
            </w:pPr>
          </w:p>
        </w:tc>
      </w:tr>
      <w:tr w14:paraId="4C30E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A0D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BFA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工作服</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BA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涤卡，可分为大中小号</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3A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E8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E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A5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2A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2C24E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B31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F45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机械危害防护手套</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066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HPPE纤维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C2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C1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A9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F9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C1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r>
      <w:tr w14:paraId="2A35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264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EC1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套袖</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041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PU皮</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DE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9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88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AB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C9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96.00 </w:t>
            </w:r>
          </w:p>
        </w:tc>
      </w:tr>
      <w:tr w14:paraId="7BBC2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EF7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315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激光防护镜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1F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激光类实验用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88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6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7A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7E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F4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420.00 </w:t>
            </w:r>
          </w:p>
        </w:tc>
      </w:tr>
      <w:tr w14:paraId="6658F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3FD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635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EE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防机械冲击</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F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FF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7A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5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7F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r>
      <w:tr w14:paraId="3B5B3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49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E22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简易急救箱</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DFC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12寸，箱体采用铝合金材质，内置13种日常急需用品</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B2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和美</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CCB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52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E7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A30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229.00 </w:t>
            </w:r>
          </w:p>
        </w:tc>
      </w:tr>
      <w:tr w14:paraId="1F9DD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771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D90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吹风机</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878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便携性能:手柄不可折叠，电吹风最大功率:≥2000W，电吹风档位:≥3档。</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AE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万家风</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7A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7E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9B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69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228.00 </w:t>
            </w:r>
          </w:p>
        </w:tc>
      </w:tr>
      <w:tr w14:paraId="7A1A1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D82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4E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仪器车</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CD0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 mm×500mm×950 mm，车轮Φ75 mm，厚25 mm；一轮带刹车，车轮固定，双层不锈钢托盘。</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82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9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7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7C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B6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1716.00 </w:t>
            </w:r>
          </w:p>
        </w:tc>
      </w:tr>
      <w:tr w14:paraId="2CCD0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EA4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C3B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小托盘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2A8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23*17*6CM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A6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BF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23*17*6CM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BE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2B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1F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 </w:t>
            </w:r>
          </w:p>
        </w:tc>
      </w:tr>
      <w:tr w14:paraId="540B9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852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687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大托盘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66B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41*29*9CM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7E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66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41*29*9CM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F8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A8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69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34E1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153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44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174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承重大于3kg</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96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BF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0212321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6B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EA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28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134.00 </w:t>
            </w:r>
          </w:p>
        </w:tc>
      </w:tr>
      <w:tr w14:paraId="43C2D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CB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0B5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一字螺丝刀</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DFF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Φ6mm，长150mm；Φ3mm，长75mm；工作部带磁性，硬度不低于HRC48；旋杆采用铬钒钢，长度不小于100mm，应经镀铬防锈处理；手柄采用高强度PP+高强性TPR注塑成型</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BA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04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54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C9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2E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 </w:t>
            </w:r>
          </w:p>
        </w:tc>
      </w:tr>
      <w:tr w14:paraId="22E9C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AF4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DF3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十字螺丝刀</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06B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Φ6 mm，长 150 mm；Φ3 mm，长 75 mm；工作部带磁性，硬度不低于 HRC48；旋杆采用铬钒钢，长度不小于 100 mm，应经镀铬防锈处理；手柄采用高强度 PP+高强性 TPR 注塑</w:t>
            </w:r>
          </w:p>
          <w:p w14:paraId="13F5A2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成型</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57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F2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F4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59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4E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 </w:t>
            </w:r>
          </w:p>
        </w:tc>
      </w:tr>
      <w:tr w14:paraId="2073F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70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581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剥线钳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A85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Φ0.5mm～2.5mm；刃口闭合状态间隙应不大于0.3mm，刃口错位应不大于0.2mm；钳口硬度不低于HRA65或HRC30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0F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C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E0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AE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FB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r>
      <w:tr w14:paraId="3EDE2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1A4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405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F5C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160mm，抗弯强度1120N，扭力矩15N·m，15°；剪切性能Φ16mm钢丝，580N；夹持面硬度不低于44HRC；PVC环保手柄，在不大于18N的力作用下撑开角度不小于22°</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51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劳仕达</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E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81014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D6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92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61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2B859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162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FCE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尖嘴钳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3CD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160mm，抗弯强度710N，剪切性能Φ1.6mm钢丝，570N；在不大于18N的力作用下撑开角度不小于22°，硬度不低于44HRC，PVC手柄</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B3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劳仕达</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DE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67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F5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5B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27.00 </w:t>
            </w:r>
          </w:p>
        </w:tc>
      </w:tr>
      <w:tr w14:paraId="42594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96A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70C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平口钳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ED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普通机用平口钳；钳口宽度100mm，最大张开度100mm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BD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9B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81025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34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5C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EF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167.00 </w:t>
            </w:r>
          </w:p>
        </w:tc>
      </w:tr>
      <w:tr w14:paraId="2C0F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64D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C70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斜口钳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D72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125mm，双刃刀</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47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FA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125mm/1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C9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F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9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r>
      <w:tr w14:paraId="4727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10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EC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砂纸</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4F4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干磨砂纸，P36～P50、P150～P220、P1000～P2000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98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ED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P36～P50、P150～P220、P1000～P2000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B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8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34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210.00 </w:t>
            </w:r>
          </w:p>
        </w:tc>
      </w:tr>
      <w:tr w14:paraId="2F80D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243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757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民用剪刀</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5EF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长170mm，用于剪布</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4F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54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81032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6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30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25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r>
      <w:tr w14:paraId="6A6BA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43B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62A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电烙铁套装</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E6A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20W内热式，含烙铁架</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04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宏观</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53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39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6A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11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76.00 </w:t>
            </w:r>
          </w:p>
        </w:tc>
      </w:tr>
      <w:tr w14:paraId="7455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7F5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2E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焊锡膏</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top"/>
          </w:tcPr>
          <w:p w14:paraId="4CA09B3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100G/盒</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CA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宏观</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62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17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21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48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31.00 </w:t>
            </w:r>
          </w:p>
        </w:tc>
      </w:tr>
      <w:tr w14:paraId="5121C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D0C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14D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焊锡丝</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4B6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无铅</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0A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宏观</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06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150g/卷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FF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DF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D6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325.00 </w:t>
            </w:r>
          </w:p>
        </w:tc>
      </w:tr>
      <w:tr w14:paraId="0FBA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E8A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90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松香</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FF8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助焊</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6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宏观</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43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50g/盒</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20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66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BF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85.00 </w:t>
            </w:r>
          </w:p>
        </w:tc>
      </w:tr>
      <w:tr w14:paraId="79296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077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D97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B8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齿口式，不锈钢材质，壁厚1㎜冷拔无缝钢管，每组 4 支</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F7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9E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020021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42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05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2F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92.00 </w:t>
            </w:r>
          </w:p>
        </w:tc>
      </w:tr>
      <w:tr w14:paraId="154AE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52B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8C6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打孔夹板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B8B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硬木或硬塑料</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C4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FB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J02021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73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47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03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r>
      <w:tr w14:paraId="36507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D86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B71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锥子</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E0A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锥头长77mm，锥杆直径渐变</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F5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2E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AB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1B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0C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34.00 </w:t>
            </w:r>
          </w:p>
        </w:tc>
      </w:tr>
      <w:tr w14:paraId="47537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B32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876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53E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304不锈钢，平头，长125mm，钢板厚1.2mm，镊子前部应有防滑脱锯齿状</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F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7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B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6D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2F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r>
      <w:tr w14:paraId="59AFE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3B0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C7E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水准器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66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气泡水准器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1F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36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02022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85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D6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A1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38.00 </w:t>
            </w:r>
          </w:p>
        </w:tc>
      </w:tr>
      <w:tr w14:paraId="012D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3A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979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红液温度计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77C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量程-20℃～100℃，分度值1℃，示值误差&lt;±1.5℃</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E2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63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4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84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7E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r>
      <w:tr w14:paraId="56C91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66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923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数字温度计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D49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1、手持式，外形尺寸：长205*宽74*高30mm（±2mm）   2、量程-30 ℃～200 ℃，分辨力 0.1 ℃，误差&lt;±1.5 ℃；</w:t>
            </w:r>
          </w:p>
          <w:p w14:paraId="2563C8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3、不接电脑，可独立运行，自带显示屏，表盘显示区域尺寸：长48 mm（±1mm）×宽24mm（±1mm），有背光。4、有最大/最小 锁存等功能； 5、电池：4节7号AAA级</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01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27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J13007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F3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B5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78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686.00 </w:t>
            </w:r>
          </w:p>
        </w:tc>
      </w:tr>
      <w:tr w14:paraId="26B0D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50D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2B3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内聚力演示器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9D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2个铅圆柱体、旋转式刮削器、挤压器和2根扳杆组成；圆柱体尺寸约Φ20mm×50mm，铅柱镶铁部分长度约为铅圆柱长度的1/2，挤压架应采用铁质结构，2个铅圆柱体应能装入挤压器中，通过螺旋实现挤压；挤压器螺旋挤压的最大和最小距离差应≥35mm，挤压器装入铅圆柱挤压至人力不能继续挤压时，在挤压方向的形变应≤0.25mm；刮削器由转柄、刀片和刀轴组成，削平的两铅圆柱体端面压在一起后，承受轴向拉力应≥60N</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D3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F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5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AD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4C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190.00 </w:t>
            </w:r>
          </w:p>
        </w:tc>
      </w:tr>
      <w:tr w14:paraId="6DC6F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1E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CA9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食用色素</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123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红色，30ML/瓶</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1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味佳厨</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39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34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96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27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r>
      <w:tr w14:paraId="37A54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A9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4BA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钢直尺</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797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1000mm，1mm。0mm～50mm分度值0.5mm，其余分度值为1mm；材料为1Cr18Ni9、1Cr13或其他类似性能材料，硬度应不低于342HV；刻度面平面度误差应≤0.25mm，允许误差应≤±0.15mm；需有计量器具制造许可证标志</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DC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67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B7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CC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77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1170.00 </w:t>
            </w:r>
          </w:p>
        </w:tc>
      </w:tr>
      <w:tr w14:paraId="7DFEB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549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13D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机械秒表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CF1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1、组成：机械秒表及收纳盒组成；2、材质：机械秒表采用不锈钢发条，单金属光摆轮，镍其合金游丝及锚式擒纵机构。分度值 0.1S。</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75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奋迅</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6B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99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8C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DA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8204.00 </w:t>
            </w:r>
          </w:p>
        </w:tc>
      </w:tr>
      <w:tr w14:paraId="3ED9D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C88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05E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电子秒表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F8D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专用型，全时段分辨力0.01s；有防震、防水功能，电池更换周期不小于1.5年</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E2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沙逊</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3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ZS-2D</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C5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8F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D3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560.00 </w:t>
            </w:r>
          </w:p>
        </w:tc>
      </w:tr>
      <w:tr w14:paraId="0ABE4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C5E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A9B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斜面小车</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BD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斜面、小车、摩擦块、支撑杆、砝码桶和摩擦材料等，与教学支架配套使用；斜面板≥915mm×100mm×20mm，一端应有滑轮、缓冲或捕获小车的装置；斜面板工作面平面度误差应小于2mm；附摩擦材料丁晴橡胶、砂纸、棉布等，有摩擦材料的固定夹</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50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8D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21054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3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54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95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1960.00 </w:t>
            </w:r>
          </w:p>
        </w:tc>
      </w:tr>
      <w:tr w14:paraId="7CF6B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DB2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CA7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螺旋弹簧组</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B33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1、组成：5种螺旋弹簧计组成；螺旋弹簧计表面镀镍防护，弹簧上端为园环，下端有三角片，杆勾，指针组成2、材质：螺旋弹簧计为金属材质；3、规格：5N、3N、2N、1N、0.5N各1；4、用途：用于测量物体受力大小。</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0A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1B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4C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62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C9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420.00 </w:t>
            </w:r>
          </w:p>
        </w:tc>
      </w:tr>
      <w:tr w14:paraId="797AD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735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E9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演示测力计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02D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平板式；量程0N</w:t>
            </w:r>
            <w:r>
              <w:rPr>
                <w:rStyle w:val="11"/>
                <w:lang w:val="en-US" w:eastAsia="zh-CN" w:bidi="ar"/>
              </w:rPr>
              <w:t>〜</w:t>
            </w:r>
            <w:r>
              <w:rPr>
                <w:rStyle w:val="9"/>
                <w:lang w:val="en-US" w:eastAsia="zh-CN" w:bidi="ar"/>
              </w:rPr>
              <w:t>2N，分度值0.1N；示值误差≤1/4分度，升降示差≤1/2分度，重复性偏差≤1/4分度</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2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BE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J04027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53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A4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6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r>
      <w:tr w14:paraId="7A01E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2E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A8D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条形盒测力计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937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量程0N</w:t>
            </w:r>
            <w:r>
              <w:rPr>
                <w:rStyle w:val="11"/>
                <w:lang w:val="en-US" w:eastAsia="zh-CN" w:bidi="ar"/>
              </w:rPr>
              <w:t>〜</w:t>
            </w:r>
            <w:r>
              <w:rPr>
                <w:rStyle w:val="9"/>
                <w:lang w:val="en-US" w:eastAsia="zh-CN" w:bidi="ar"/>
              </w:rPr>
              <w:t>1N，分度值0.02N；示值误差≤1/2分度，升降示差≤1/2分度，重复性偏差≤1/4分度</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7B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D9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J00701-1N</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0C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7A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A9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238.00 </w:t>
            </w:r>
          </w:p>
        </w:tc>
      </w:tr>
      <w:tr w14:paraId="52577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478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7EB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条形盒测力计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8AF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量程0N</w:t>
            </w:r>
            <w:r>
              <w:rPr>
                <w:rStyle w:val="11"/>
                <w:lang w:val="en-US" w:eastAsia="zh-CN" w:bidi="ar"/>
              </w:rPr>
              <w:t>〜</w:t>
            </w:r>
            <w:r>
              <w:rPr>
                <w:rStyle w:val="9"/>
                <w:lang w:val="en-US" w:eastAsia="zh-CN" w:bidi="ar"/>
              </w:rPr>
              <w:t>2.5N，分度值0.05N；示值误差≤1/4分度，升降示差≤1/2分度，重复性偏差≤1/4分度</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85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12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J00701-2.5N</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F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7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2C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238.00 </w:t>
            </w:r>
          </w:p>
        </w:tc>
      </w:tr>
      <w:tr w14:paraId="5A971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D35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C33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条形盒测力计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85F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量程0N</w:t>
            </w:r>
            <w:r>
              <w:rPr>
                <w:rStyle w:val="11"/>
                <w:lang w:val="en-US" w:eastAsia="zh-CN" w:bidi="ar"/>
              </w:rPr>
              <w:t>〜</w:t>
            </w:r>
            <w:r>
              <w:rPr>
                <w:rStyle w:val="9"/>
                <w:lang w:val="en-US" w:eastAsia="zh-CN" w:bidi="ar"/>
              </w:rPr>
              <w:t>5N，分度值0.1N；示值误差≤1/4分度，升降示差≤1/2分度，重复性偏差≤1/4分度</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2B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55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J00701-5N</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F0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8D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F2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238.00 </w:t>
            </w:r>
          </w:p>
        </w:tc>
      </w:tr>
      <w:tr w14:paraId="53420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10E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2A2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条形盒测力计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113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量程0N</w:t>
            </w:r>
            <w:r>
              <w:rPr>
                <w:rStyle w:val="11"/>
                <w:lang w:val="en-US" w:eastAsia="zh-CN" w:bidi="ar"/>
              </w:rPr>
              <w:t>〜</w:t>
            </w:r>
            <w:r>
              <w:rPr>
                <w:rStyle w:val="9"/>
                <w:lang w:val="en-US" w:eastAsia="zh-CN" w:bidi="ar"/>
              </w:rPr>
              <w:t>10N，分度值0.2N；示值误差≤1/4分度，升降示差≤1/2分度，重复性偏差≤1/4分度</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E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A6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J00701-10N</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20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BD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5E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238.00 </w:t>
            </w:r>
          </w:p>
        </w:tc>
      </w:tr>
      <w:tr w14:paraId="47FF2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09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769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数字测力计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6C03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高分辨率：0.001。</w:t>
            </w:r>
          </w:p>
          <w:p w14:paraId="4053F7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三种测量模式自由切换（实时、 峰值、第一峰值）。</w:t>
            </w:r>
          </w:p>
          <w:p w14:paraId="3E235D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四种计测单位自由切换：N/（牛顿）、Kg/（千克）、Ib/（磅）、Oz/（央司)。</w:t>
            </w:r>
          </w:p>
          <w:p w14:paraId="05A74A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可设定上下限做统计分析，通过上下限设定超过限定范围可使蜂鸣器报需。</w:t>
            </w:r>
          </w:p>
          <w:p w14:paraId="7EFB4B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在长时间无操作的情况下自动关机达到省电效果。</w:t>
            </w:r>
          </w:p>
          <w:p w14:paraId="4A040B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  主机外形尺寸：198mm*73mm*30mm，电池：4节7号AAA级</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0D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源墅</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95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2N</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B3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7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5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686.00 </w:t>
            </w:r>
          </w:p>
        </w:tc>
      </w:tr>
      <w:tr w14:paraId="15062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0A0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3CD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压力和压强演示器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E1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压强小桌，尺寸≥200mm×100mm×100mm；配套多孔弹性材料，尺寸≥220mm×120mm×50mm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C8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E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08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14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12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86.00 </w:t>
            </w:r>
          </w:p>
        </w:tc>
      </w:tr>
      <w:tr w14:paraId="22DE6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AEE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D2B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压力作用效果演示器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DB6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由3组规格相同的长方体金属块、带刻度的透明长方体容器、硬海绵块组成；跟金属块的3个面积对应的3块海绵应受力形变均匀；透明塑料盒带刻度，金属块和海绵方便取出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A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30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30307102302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8B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9C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9A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214.00 </w:t>
            </w:r>
          </w:p>
        </w:tc>
      </w:tr>
      <w:tr w14:paraId="4EC5C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257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232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液体内部压强实验器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D03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由承压盒、支杆、过渡接头、硅橡胶管、硅橡胶膜组成；承压盒内径Φ36mm～Φ38mm，硅橡胶膜厚0.5mm，支杆长度不小于300mm，有手动转动机构，有标尺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0A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BF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J21015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26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76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E9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1316.00 </w:t>
            </w:r>
          </w:p>
        </w:tc>
      </w:tr>
      <w:tr w14:paraId="78837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B7D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B3E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微小压强计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0F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由U形管、标度板、三通连接管、硅橡胶管、弹簧止水夹和连有塑料管的注射器组成；U形管外径6mm，高不小于380mm，能沿标度方向移动不小于10mm，能固定；标尺长300mm，0分度在中间，最小分度线为5mm；气密性好</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0B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20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J21016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19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BD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B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266.00 </w:t>
            </w:r>
          </w:p>
        </w:tc>
      </w:tr>
      <w:tr w14:paraId="48666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444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246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透明盛液筒</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CF9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高300mm±5mm，筒底外径≥110mm，壁厚≥1.5mm。筒身有深度标尺，标尺长≥250mm，分度值1mm，透光率应≥90％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C0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7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02115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1B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2D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08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504.00 </w:t>
            </w:r>
          </w:p>
        </w:tc>
      </w:tr>
      <w:tr w14:paraId="685E7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A7B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8E4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液体对器壁压强演示器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0C3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透明圆筒壁同一直线上不同高度处应有3个喷嘴，对面应有1个喷嘴；配4个喷嘴塞或盖，有表示深度的标尺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29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62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30307101901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72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9D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C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r>
      <w:tr w14:paraId="6902C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4E7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EC9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连通器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46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由粗直管、细直管、细弯折管、细带球管等组成，尺寸210mm×210mm×120mm，底座应平稳；粗管外径30mm，细管外径12mm，无色透明材料透光率≥90％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3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3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J2140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C5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C8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DD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82.00 </w:t>
            </w:r>
          </w:p>
        </w:tc>
      </w:tr>
      <w:tr w14:paraId="41C28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59A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230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E1A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外径9mm、内径6mm，拉伸强度≥21MPa，扯断伸长率≥700％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E5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5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9mm*6mm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8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BC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67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r>
      <w:tr w14:paraId="3ADAD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368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917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A13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外径6mm、内径4mm，拉伸强度≥21MPa，扯断伸长率≥700％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CC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94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6mm*4mm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95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10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6F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r>
      <w:tr w14:paraId="03BF0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7B2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731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马德堡半球</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0F4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1、材质：铸铁半球；半球与拉手一次成型；2、用途：用于中学物理讲解大气压强时做马德堡半球实验使用。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48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C7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30307102101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35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2A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D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286.00 </w:t>
            </w:r>
          </w:p>
        </w:tc>
      </w:tr>
      <w:tr w14:paraId="50444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226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F7A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空盒气压计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355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1．测量范围：800～1060hPa</w:t>
            </w:r>
          </w:p>
          <w:p w14:paraId="3FCBC3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2．示度盘最小分值：1hpa,误差：1.5 hPa</w:t>
            </w:r>
          </w:p>
          <w:p w14:paraId="16FC71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温度范围：-10℃～+40℃</w:t>
            </w:r>
          </w:p>
          <w:p w14:paraId="748501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示度盘最小分值：1℃</w:t>
            </w:r>
          </w:p>
          <w:p w14:paraId="340E5F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5.仪器重量：＜1.1Kg</w:t>
            </w:r>
          </w:p>
          <w:p w14:paraId="00735E7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6.仪器尺寸：170mm*170mm*145mm</w:t>
            </w:r>
          </w:p>
          <w:p w14:paraId="5805F2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AE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50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DYM3型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9F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AE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69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772.00 </w:t>
            </w:r>
          </w:p>
        </w:tc>
      </w:tr>
      <w:tr w14:paraId="5DE65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AC5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3FC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流体压强与流速关系演示器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037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气体式，由气体流动管道、气体接入部件、压强观测部件组成，应带气源</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03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B7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30307102401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E0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0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70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858.00 </w:t>
            </w:r>
          </w:p>
        </w:tc>
      </w:tr>
      <w:tr w14:paraId="548A4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99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CCA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流体压强与流速关系演示器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F5B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液体式，由液体流动管道、液体接入部件、</w:t>
            </w:r>
          </w:p>
          <w:p w14:paraId="7C3767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液体回收部件、压强观测部件 4 部分组成</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63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30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30307102402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D4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A3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6F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1030.00 </w:t>
            </w:r>
          </w:p>
        </w:tc>
      </w:tr>
      <w:tr w14:paraId="45C7A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291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EFC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流体压强与流速关系演示器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3D9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气体/液体两用式</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1E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14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30307102411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44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79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5C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1202.00 </w:t>
            </w:r>
          </w:p>
        </w:tc>
      </w:tr>
      <w:tr w14:paraId="76C08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1D7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A6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飞机升力原理演示器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6E9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由机翼模型（或飞机模型，硬质塑料制成）、平行风源风机、底座、滑杆等组成，机翼下表面水平；若有调速电位器的Ⅱ类电器，金属外壳（以及与金属外壳相连的螺母）不应露在外</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61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D4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21037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18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DA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2D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826.00 </w:t>
            </w:r>
          </w:p>
        </w:tc>
      </w:tr>
      <w:tr w14:paraId="1042D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90F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291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杠杆</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2C4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由杠杆、轴、调平装置和6个挂钩组成，挂钩在标尺上能连续移动，杠杆长≥500mm，木杠杆尺端需包头加固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B0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7E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21030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AB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B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B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364.00 </w:t>
            </w:r>
          </w:p>
        </w:tc>
      </w:tr>
      <w:tr w14:paraId="5B5AB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F2E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201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演示滑轮组</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54F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由单滑轮2件、三并滑轮2件、三串滑轮2件、支杆滑轮2件组成，附滑轮绳；额定负荷：单滑轮9.8N，串及并滑轮为19.6N，支杆滑轮为9.8N；满负荷时，单、支杆滑轮的效率不应低于90％，并、串滑轮的效率不应低于75％</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78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69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J04021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87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3F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56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204.00 </w:t>
            </w:r>
          </w:p>
        </w:tc>
      </w:tr>
      <w:tr w14:paraId="78251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372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F82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滑轮组</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147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单滑轮4件、二并滑轮2件、二串滑轮2件、支杆滑轮2件构成，每个滑轮组中至少有1个可止动滑轮，附滑轮绳；额定负荷：单滑轮9.8N，串及并滑轮为19.6N，支杆滑轮为9.8N；满负荷时，单、支杆滑轮的效率不应低于90％，并、串滑轮的效率不应低于75％</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557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0A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J2122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AF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23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F1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938.00 </w:t>
            </w:r>
          </w:p>
        </w:tc>
      </w:tr>
      <w:tr w14:paraId="35A83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54A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A9B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音叉</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0CB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256Hz±0.3Hz；由音叉、共鸣箱、音叉槌等组成；松木共鸣箱，尺寸300mm×80mm×40mm；在环境噪声不大于30dB的室内，用音叉槌敲击音叉，距音叉1000mm处声强应不小于90dB</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42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C2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34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13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5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602.00 </w:t>
            </w:r>
          </w:p>
        </w:tc>
      </w:tr>
      <w:tr w14:paraId="56D9B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419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C9C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音叉</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860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512Hz±0.4Hz；由音叉、共鸣箱、音叉槌等组成；松木共鸣箱，尺寸140mm×80mm×40mm；在环境噪声不大于30dB的室内，用音叉槌敲击音叉，距音叉1000mm处声强应不小于90dB</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DE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C6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A1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44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DF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602.00 </w:t>
            </w:r>
          </w:p>
        </w:tc>
      </w:tr>
      <w:tr w14:paraId="50A34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0E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0D5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电铃</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D7F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在15m范围内铃声清晰，立式，高约20CM,宽约12CM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FC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学友</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76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24013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FD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71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BD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86.00 </w:t>
            </w:r>
          </w:p>
        </w:tc>
      </w:tr>
      <w:tr w14:paraId="0A188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87D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A4B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声传播演示器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E1B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透明可密封容器、音频发生器、扬声器（含放大器）、传声棒、连接皮管等组成；可密封容器密封性好，能将容器内气压抽到低于-0.085MPa，并在10s内保持气压低于-0.080MPa；可演示声音在气体、液体、固体中的传播以及真空不能传声等实验</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A8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98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9D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3D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50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496.00 </w:t>
            </w:r>
          </w:p>
        </w:tc>
      </w:tr>
      <w:tr w14:paraId="4084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9CB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9A4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旋片真空泵</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4F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相，油封旋片式直联泵2XZ-0.5型，底座采用2.5mm厚的钢板，铝合金机壳；进气口应为台阶口，外径8mm，配有内径6.3mm±0.75mm、长2.0m的压缩空气用橡胶管。电气安全要求：Ⅰ类电器使用三极插头，外壳接保护接地线，电源与外壳抗电强度1500V；Ⅱ类电器使用二极插头，电源与外壳抗电强度3000V</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12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挺威</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14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TW-1A</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2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1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7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2060.00 </w:t>
            </w:r>
          </w:p>
        </w:tc>
      </w:tr>
      <w:tr w14:paraId="5528E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7E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368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抽气盘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1F6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1.由底座、塑料钟罩、电铃、阀门、橡皮垫圈等组成。</w:t>
            </w:r>
          </w:p>
          <w:p w14:paraId="2A1A95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2.钟罩的外形端正、厚度均匀、内外表面要清洁，外径160㎜，高200㎜，密封性良好。</w:t>
            </w:r>
          </w:p>
          <w:p w14:paraId="7923F7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3.在规定的使用期限范围内，真空度保持稳定。</w:t>
            </w:r>
          </w:p>
          <w:p w14:paraId="28348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4.底座表面平整、无溶迹、缩迹，不变形，无破边、凹凸不平等不良缺陷</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F7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DC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02016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DA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F7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7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 </w:t>
            </w:r>
          </w:p>
        </w:tc>
      </w:tr>
      <w:tr w14:paraId="47BEA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3E5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88B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发音齿轮</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025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由三片齿板、转动轴等组成。2、齿轮用钢材制成，外形尺寸φ78×134mm。3、三片齿板的顶圆直径约为φ78mm，齿的分布均匀，齿片应平整，无毛刺。4、三片齿板相距23mm，顺序装在转动轴上，装配应牢固端正，不得有松动现象。5、三片齿板表面镀铬，其余表面镀锌。6、产品应符合JY224-87《发音齿轮》的要求。7、符合JY0001－2003《教学仪器一般质量要求》的有关规定。</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AE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F0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30307200201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A3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54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6C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68.00 </w:t>
            </w:r>
          </w:p>
        </w:tc>
      </w:tr>
      <w:tr w14:paraId="32C9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ECF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EC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手摇离心转台</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8E5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机座、主动轮（带手柄）、从动轮、支杆等组成；从动轮与主动轮的转速比不低于6的整数倍，支杆直径10mm，全长140mm，支杆装配中心与从动轮轴的距离为140mm±1mm；从动轮轴孔上段为圆柱孔，下段为圆锥孔，锥度为1:20，大端直径10mm，上偏差允许＋0.15mm；深度不小于45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2E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74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J2129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6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16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14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430.00 </w:t>
            </w:r>
          </w:p>
        </w:tc>
      </w:tr>
      <w:tr w14:paraId="28624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259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1FB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教学示波器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6B4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结构：外壳采用全金属材质一次成型，表面喷漆，上表面设有把手。　　技术要求：　　1垂直　　1.1频率响应：直流DC～5MHZ，≤3dB；交流10HZ～5MHZ，≤3dB。　　1.2偏转因素：≤20mVpp/格；　　1.3输入阻容：1MΩ±0.1MΩ；　　1.4衰减倍率:1、10、100、1000 四挡误差±10%；　　1.5输入耐压:400V（DC+ACpp）；　　2扫描　　2.1扫描频率:10Hz～100kHz分四档、10Hz～100Hz、100Hz～10kHz、10kHz～100kHz；　　3水平　　3.1频率响应：DC～500kHz ，≤ 3dB；　　3.2偏转因素：≤100mVpp/格；　　3.3输入阻容：1MΩ±0.1MΩ；　　4校准信号　　4.1波形：方波；　　4.2频率：100 HZ ±10 HZ；　　4.3幅度：100mVpp±5mVpp；　　5、示波管有效显示面积：8格×10格  1格=8mm，余辉：中；　　6、消耗功率：30VA；　　7、尺寸≥（165mm×300mm×440mm）。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0F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光扬</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2F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15020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60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2454.00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F5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6F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4908.00 </w:t>
            </w:r>
          </w:p>
        </w:tc>
      </w:tr>
      <w:tr w14:paraId="4C99E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185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90A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凹面镜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0CC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本仪器由凹面镜、镜框、支架、镜座等组成，凹面镜的直径为100mm,焦距为-65mm。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08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季光</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64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J25002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77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DF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2D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52.00 </w:t>
            </w:r>
          </w:p>
        </w:tc>
      </w:tr>
      <w:tr w14:paraId="2AE19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C17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DCA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凸面镜</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489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本仪器由凸面镜、镜框、支架、镜座等组成，凸面镜的直径为100mm,焦距为-65mm。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9A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季光</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B4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F3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11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35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52.00 </w:t>
            </w:r>
          </w:p>
        </w:tc>
      </w:tr>
      <w:tr w14:paraId="37F88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5ED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F0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光的传播、反射、折射实验器c</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DE7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1、初中物理分组仪器，仪器主要由底座、刻度圆盘、激光笔和相应镜片组成。</w:t>
            </w:r>
          </w:p>
          <w:p w14:paraId="106442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2、圆盘上应有放置激光笔的支架，激光笔在支架上方便固定和调节。</w:t>
            </w:r>
          </w:p>
          <w:p w14:paraId="735970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3、圆盘中央应方便放置各种实验附件。</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E5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季光</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2A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25011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B4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F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DE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1806.00 </w:t>
            </w:r>
          </w:p>
        </w:tc>
      </w:tr>
      <w:tr w14:paraId="6E56E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B47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4D3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平面镜成像实验器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58B5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仪器由平面镜、漫反射镜、支架、蜡烛台座（物像台）、三角尺等组成。蓝色塑料盒包装</w:t>
            </w:r>
          </w:p>
          <w:p w14:paraId="7269B6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2.平面镜尺寸不小于110mm×80mm，四周经打磨处理，或镶边框。</w:t>
            </w:r>
          </w:p>
          <w:p w14:paraId="68DD0C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3.60°直角三角尺有效刻度不小于100mm。</w:t>
            </w:r>
          </w:p>
          <w:p w14:paraId="643C03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4.物像台高度不小于40mm。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74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季光</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3F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J25010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D9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A4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C2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378.00 </w:t>
            </w:r>
          </w:p>
        </w:tc>
      </w:tr>
      <w:tr w14:paraId="7C957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19E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1EC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透明水槽</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7AF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250mm×180mm×100mm，透明塑料制，透光率≥85％，壁厚≥2mm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AA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CF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250mm×180mm×100mm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C6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19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00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 </w:t>
            </w:r>
          </w:p>
        </w:tc>
      </w:tr>
      <w:tr w14:paraId="7672B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0AC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AED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透镜及其应用实验器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405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1、产品使用低压6-8V光源、凸透镜、凹透镜、透镜夹持柄、光屏、具有独立实验的望远镜模型、显微镜模型、照相机模型等器件组成。</w:t>
            </w:r>
          </w:p>
          <w:p w14:paraId="0894BF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2、产品应能较好完成中学物理教学内容中关于透镜焦距的测量以及照相机、望远镜、投影仪原理的演示和实验。</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F8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季光</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9D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J25009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A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89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F3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1316.00 </w:t>
            </w:r>
          </w:p>
        </w:tc>
      </w:tr>
      <w:tr w14:paraId="19056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5EE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68F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白光的色散与合成演示器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9DB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光源、三棱镜、三棱镜台、光屏、支承等组成；两块棱镜应配对，用ZF3玻璃制，其折射率之差不大于0.003，中部色散之差不大于0.0004。实验效果：做白光的色散实验时，可见光区域内光谱连续清晰；能把白光色散后的七色光谱带还原成白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D8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64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A2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11F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B6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172.00 </w:t>
            </w:r>
          </w:p>
        </w:tc>
      </w:tr>
      <w:tr w14:paraId="01E7E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790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861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光的三原色合成实验器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08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仪器使用光源为红、绿、蓝发光二极管。2、工作电压：DC4.5V内置（3节5号电池）也可外接电源，三色光分别为开关控制、实验时单色光斑在观察屏上的直径30±１mm（可直视）。3、三色光斑互相重叠部分呈白色，红、蓝色光斑重叠部分为品红色，红、绿色光斑重叠部分为黄色，蓝、绿色光斑重叠部分为青色，实验效果明显。</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D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海门天补</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D8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G-CHS-CD-6/0.3 CD型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B6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CE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9C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6412.00 </w:t>
            </w:r>
          </w:p>
        </w:tc>
      </w:tr>
      <w:tr w14:paraId="3AD91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C0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D0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光具盘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D2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离型、磁吸附式。矩形光盘长≥650mm，宽≥240mm；圆形光盘直径≥250mm。盘面分四个象限，以一条直径为始边，分别刻有0°～90°刻度。半导体激光光源，可显示5条平行光。光学零件：梯形玻砖1件，等腰直角棱镜1件，半圆柱透镜1件，小双凹柱透镜1件，小双凸柱透镜1件，双凸透镜1件，大双凸柱透镜1件，平面镜1件，凹凸柱面镜1件，正三棱镜2件</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D9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季光</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24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7F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7E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3C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1116.00 </w:t>
            </w:r>
          </w:p>
        </w:tc>
      </w:tr>
      <w:tr w14:paraId="7B599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90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60F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激光光学演示仪</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A6C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产品由激光器、扩束器、分束器、演示屏、度盘、移动尺及光学附件组成。　激光束经分束器在演示屏上呈现的三条光束基本相同。</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86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学友</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41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25017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23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1931.00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26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E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3862.00 </w:t>
            </w:r>
          </w:p>
        </w:tc>
      </w:tr>
      <w:tr w14:paraId="6C31D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B87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EF6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光具座</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CA0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导轨：采用φ16双轨结构；与基准平面的不平行度≤1mm。2、平行光源：光源用电压6-8V，功率≥3W的灯泡。3、透镜：双凸透镜：F=100±2mm，φ=40mm；F=50±2mm，φ=30mm；F=300±12mm，φ=50mm；F=-75±4.5mm，φ=30mm；4、标尺：总长为960mm,宽为18mm；刻线长度900mm,最小刻度为1mm,刻线间距误差≤0.1mm，尺全长刻线误差≤±0.5mm；5、滑块：四个滑块和支架的插杆孔中心，应在一条线上，指示刻线与标尺间隙≤3mm，插杆应准直，表面镀铬。</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E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季光</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27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A8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4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EB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2884.00 </w:t>
            </w:r>
          </w:p>
        </w:tc>
      </w:tr>
      <w:tr w14:paraId="3F479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F7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005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擦镜纸</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075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20cm×15cm，纸纹细密</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87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长里百灵</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80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20cm×15cm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EB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F7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AA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r>
      <w:tr w14:paraId="0ACBD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783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10F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玻棒（附丝绸）</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0C4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或有机玻棒(附丝绸)，丝绸面积≥350mm×350mm。在规定工作条件下，用丝绸裹住玻棒（或有机玻棒），做一次快速拉出，棒上所带的电荷用D－YDQ－Z－100型指针验电器检验张角≥30°（≥50°）</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66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学友</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DA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B6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39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12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546.00 </w:t>
            </w:r>
          </w:p>
        </w:tc>
      </w:tr>
      <w:tr w14:paraId="61AE2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DC9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591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胶棒（附毛皮）</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77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或聚碳酸酯棒(附毛皮)，毛皮面积≥150mm×150mm。在规定工作条件下，用毛皮裹胶棒（或聚碳酸脂棒），做一次快速拉出，棒上所带的电荷用D－YDQ－Z－100型指针验电器检验张角≥30°（≥45°）</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2C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学友</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0A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F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E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8F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238.00 </w:t>
            </w:r>
          </w:p>
        </w:tc>
      </w:tr>
      <w:tr w14:paraId="265B4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72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37D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电磁实验用旋转架</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DF4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由底座、转轴和转台等组成。转台应采用静 电绝缘材料制成，转台内应有一凹槽.</w:t>
            </w:r>
          </w:p>
          <w:p w14:paraId="7420D5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搭配条形磁铁，玻棒，胶棒使用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EF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20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J225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3A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FF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0D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270.00 </w:t>
            </w:r>
          </w:p>
        </w:tc>
      </w:tr>
      <w:tr w14:paraId="2AAC4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4E3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6E9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验电器连接杆</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93D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含导电杆、绝缘手柄等。导电杆直径≥2 mm长度≥250 mm；绝缘柄直径≥10 mm，长度</w:t>
            </w:r>
          </w:p>
          <w:p w14:paraId="7DDC00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 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DE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40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23042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EF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D3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F8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 </w:t>
            </w:r>
          </w:p>
        </w:tc>
      </w:tr>
      <w:tr w14:paraId="4E4C0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FF2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AC1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箔片验电器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0B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外壳、圆盘、导电杆、绝缘子、箔片、中位卡、接线柱和底座等组成。外壳应由不能带静电的材料制成，观察面应采用透明材料，透明材料透光率≥90%；箔片长度≥25mm。性能要求：相对湿度≤65%环境，圆盘上面加8kV直流高压，箔片张开与中位片角度应≥45°；移去高压后，箔片张开角度保持30°以上的时间≥10min</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B7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B0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07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24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50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96.00 </w:t>
            </w:r>
          </w:p>
        </w:tc>
      </w:tr>
      <w:tr w14:paraId="11BC0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E76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5CC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感应起电机</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2FB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感应起电机适用于大、中学物理和小学自然课教学用，起电盘直径为φ275mm规格的起电机。工作时能够连续获得大量电荷，因而获得较高的静电压（数万伏左右），是完成静电实验时静电源，而且本身也能作一系列实验，如火花放电和电容器</w:t>
            </w:r>
          </w:p>
          <w:p w14:paraId="016F31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1、温度20、相对湿度为65%和环境中，摇柄转120转/分时，火花放电距离大于或等于55mm。</w:t>
            </w:r>
          </w:p>
          <w:p w14:paraId="131193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2、温度5-30范围，相对湿度小于80%的条件下，仪器正常工作，火花放电距离大于或等于30mm。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30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CD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45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C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4E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1144.00 </w:t>
            </w:r>
          </w:p>
        </w:tc>
      </w:tr>
      <w:tr w14:paraId="12283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A5D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B5F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条形磁铁</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B78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D-CG-LT-180，表面磁感应强度≥0.07T</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46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3A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30307400204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BB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B0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2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938.00 </w:t>
            </w:r>
          </w:p>
        </w:tc>
      </w:tr>
      <w:tr w14:paraId="51C79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581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5B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蹄形磁铁</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2C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D-CG-LU-100，表面磁感应强度≥0.055T</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23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54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30307400305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43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21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E5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1176.00 </w:t>
            </w:r>
          </w:p>
        </w:tc>
      </w:tr>
      <w:tr w14:paraId="6F2A8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8F8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62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翼形磁针</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79E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2支，针体140mm×8mm，座Φ71mm×112mm，磁针体中间铆接铜轴承套，内嵌玻璃轴承，平均磁感应强度≥9mT</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BA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C6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30307400801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8D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8C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7E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r>
      <w:tr w14:paraId="48EAB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A82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F1E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菱形小磁针</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41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16支，磁针28mm×8mm，座Φ25mm×25mm，磁针体中间铆接铜轴承套，内嵌玻璃轴承，平均磁感应强度≥5mT</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25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A9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J11006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97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1B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4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336.00 </w:t>
            </w:r>
          </w:p>
        </w:tc>
      </w:tr>
      <w:tr w14:paraId="1F490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EF3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E34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磁感线演示器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633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无色透明塑料外壳，油封铁粉式，仪器尺寸不小于200mm×120mm；环境温度大于10℃时，摇匀铁粉时间每次≤20s</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DB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E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A0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1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50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204.00 </w:t>
            </w:r>
          </w:p>
        </w:tc>
      </w:tr>
      <w:tr w14:paraId="42111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4FF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439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立体磁感线演示器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8F2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永磁、电磁场</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9E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88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30307401101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E2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D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FF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318.00 </w:t>
            </w:r>
          </w:p>
        </w:tc>
      </w:tr>
      <w:tr w14:paraId="41B8B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5A0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98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磁感线演示板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74C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每块板上有130以上个空穴，内含自由活动小铁棒</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27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8E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30307401201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50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E7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04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204.00 </w:t>
            </w:r>
          </w:p>
        </w:tc>
      </w:tr>
      <w:tr w14:paraId="6E5BE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17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3AF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稳压直流电源</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C9B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1、电源采用全金属结构，面板为铝合金氧化面板，字符、标识采用冲压或雕刻，防止脱落。</w:t>
            </w:r>
          </w:p>
          <w:p w14:paraId="7BA562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2、因电源属发热电器，严禁用塑料机箱或PVC面板。</w:t>
            </w:r>
          </w:p>
          <w:p w14:paraId="202E44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3、输出端子采用φ4mm防脱帽插、接两用铜芯接线柱（可插可接）。</w:t>
            </w:r>
          </w:p>
          <w:p w14:paraId="4D536D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4、直流稳压输出：（双路独立）：</w:t>
            </w:r>
          </w:p>
          <w:p w14:paraId="7938CA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⑴额定电压Ⅰ：0V—15V连续可调。    （298元）</w:t>
            </w:r>
          </w:p>
          <w:p w14:paraId="22DB54D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⑵额定电压Ⅱ：0V—15V连续可调。</w:t>
            </w:r>
          </w:p>
          <w:p w14:paraId="03A64C7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⑶额定电流：Ⅰ＝Ⅱ≥1.5A。具有过载、短路双重自动保护。</w:t>
            </w:r>
          </w:p>
          <w:p w14:paraId="13BB39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⑷直流稳压Ⅰ、Ⅱ输出可独立或串联使用，并具有输出短路自检保护和短路提示功能，短路排除后应能自动恢复输出。</w:t>
            </w:r>
          </w:p>
          <w:p w14:paraId="36E482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5、直流输出特性：</w:t>
            </w:r>
          </w:p>
          <w:p w14:paraId="58BB65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a、各档电压偏调：不大于±（1%U标+0.1V）。</w:t>
            </w:r>
          </w:p>
          <w:p w14:paraId="03CB4D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b、电压稳定性：输入电压在198V-242V间变化，在满载时各档输出电压变化量不大于1%U标+0.1V。</w:t>
            </w:r>
          </w:p>
          <w:p w14:paraId="189B29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c、负载稳定性：输入电压保持220V不变，负载电流在0至满载范围内变化，各档输出电压变化量不大于1%U标+0.1V。</w:t>
            </w:r>
          </w:p>
          <w:p w14:paraId="7605B8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d、纹波电压：电源保持220V，满载时纹波电压不大于0.1%U标（有效值）。</w:t>
            </w:r>
          </w:p>
          <w:p w14:paraId="2FC098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6、过载保护：</w:t>
            </w:r>
          </w:p>
          <w:p w14:paraId="123CA0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a、直流稳压输出在额定电流值内，应能点亮不大于额定输出电流的白炽灯。负载大于额定电流1.1－1.5倍时，应过载保护。</w:t>
            </w:r>
          </w:p>
          <w:p w14:paraId="4EAE91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b、各档输出电路短路时应能自动关断。</w:t>
            </w:r>
          </w:p>
          <w:p w14:paraId="371DDF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7、连续工作时间不小于8h。</w:t>
            </w:r>
          </w:p>
          <w:p w14:paraId="4D3FED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8、绝缘电阻实验应遵循JY0009-90中4.4.3的规定，电压实验遵循JY0009－90中4.4.4规定。</w:t>
            </w:r>
          </w:p>
          <w:p w14:paraId="6AEED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9、产品符合JY0361－1999《教学电源》有关规定。</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68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9F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30102001801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08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D2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C3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1848.00 </w:t>
            </w:r>
          </w:p>
        </w:tc>
      </w:tr>
      <w:tr w14:paraId="464E7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0AC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CE2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教学电源</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F837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1、电源外壳采用金属结构，</w:t>
            </w:r>
          </w:p>
          <w:p w14:paraId="1FF631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直流压输出</w:t>
            </w:r>
          </w:p>
          <w:p w14:paraId="5E9142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①标称电压:1.5V、3V、4.5V、6V、9V、12V共六档可调。</w:t>
            </w:r>
          </w:p>
          <w:p w14:paraId="289C34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②输出电流:2A。</w:t>
            </w:r>
          </w:p>
          <w:p w14:paraId="28D68A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③电压定性:档不大于350mv。</w:t>
            </w:r>
          </w:p>
          <w:p w14:paraId="54192D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3纹波电压:每档不大于15mv。</w:t>
            </w:r>
          </w:p>
          <w:p w14:paraId="2E986B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③保护电流:在1×(105-1.6)间,自动保护。</w:t>
            </w:r>
          </w:p>
          <w:p w14:paraId="576AC3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4直流大电流输出:40A,10S土2S自动定时关机。</w:t>
            </w:r>
          </w:p>
          <w:p w14:paraId="70C2AB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2、交流输出 </w:t>
            </w:r>
          </w:p>
          <w:p w14:paraId="18C92B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①标称电压:2V、4V、6V、8V、10V、12V共六档可调。</w:t>
            </w:r>
          </w:p>
          <w:p w14:paraId="64C0B1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②输出电流:5A。</w:t>
            </w:r>
          </w:p>
          <w:p w14:paraId="508948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③空载电压:每档不大于1.1U+0.3V。</w:t>
            </w:r>
          </w:p>
          <w:p w14:paraId="1D5ECB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④满较电压:每档不小于0.9U标一03V。</w:t>
            </w:r>
          </w:p>
          <w:p w14:paraId="172EFA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5保护电流:在1×(1.1~1.6)间,自动保护。</w:t>
            </w:r>
          </w:p>
          <w:p w14:paraId="0279FF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3、工作条件</w:t>
            </w:r>
          </w:p>
          <w:p w14:paraId="38BD6F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①环境温度:0一+40℃</w:t>
            </w:r>
          </w:p>
          <w:p w14:paraId="06C7EF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②相对器度:≤80%(40℃)</w:t>
            </w:r>
          </w:p>
          <w:p w14:paraId="1D5B7D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Q电源电:AC220Y+10%</w:t>
            </w:r>
          </w:p>
          <w:p w14:paraId="203391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工作时还工作8h(40A,5A除外)。</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21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81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BC3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31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A7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1600.00 </w:t>
            </w:r>
          </w:p>
        </w:tc>
      </w:tr>
      <w:tr w14:paraId="03C6B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9FE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715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电流磁场演示器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22B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直流导线、圆线圈、螺线管的磁场分布</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D2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1E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24006</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AC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CA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2C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190.00 </w:t>
            </w:r>
          </w:p>
        </w:tc>
      </w:tr>
      <w:tr w14:paraId="0A380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D60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C30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蹄形电磁铁</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263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磁路总长度不小于220mm，两磁极面中心距离不小于40mm，线圈骨架两端有接线柱、焊片及垫圈，工作电流≤1A，工作电压≤6V，连续工作20min后线圈温升应不大于75℃，吸力≥49N，剩余磁力≤5.88N</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A4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E8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24011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F8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99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6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218.00 </w:t>
            </w:r>
          </w:p>
        </w:tc>
      </w:tr>
      <w:tr w14:paraId="7D760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2C5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25F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原副线圈</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A95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原线圈：0.56mmQZ型漆包线310～330匝，线圈架内径11mm，绕线宽度57mm；副线圈：0.25mmQZ型漆包线670～680匝，线圈架内径24mm，绕线宽度52mm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BC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5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30307401701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70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5A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1A0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462.00 </w:t>
            </w:r>
          </w:p>
        </w:tc>
      </w:tr>
      <w:tr w14:paraId="76041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C80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8B2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螺线管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180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透明底板，纯铜漆包线，单层绕线，线圈绕</w:t>
            </w:r>
          </w:p>
          <w:p w14:paraId="538CBF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向清晰可见，宜附带手柄磁针</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F8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28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30307410301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1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3D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69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1120.00 </w:t>
            </w:r>
          </w:p>
        </w:tc>
      </w:tr>
      <w:tr w14:paraId="295E5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652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698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充磁器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FCC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充磁时间自动控制功能，外壳为非铁磁性材料，线圈轴向长度不小于80mm，能充两极间距大于28mm、磁极截面积小于42mm×24mm的U形磁铁以及截面积小于42mm×24mm的条形磁铁，电源与线圈骨架以及外壳金属件之间抗电强度3000V</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46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E8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02023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EB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55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DA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540.00 </w:t>
            </w:r>
          </w:p>
        </w:tc>
      </w:tr>
      <w:tr w14:paraId="4C38A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A05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A08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演示电磁继电器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529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演示电磁继电器的构造及工作原理，检测合格。</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B7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83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24014</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DA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A7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8E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486.00 </w:t>
            </w:r>
          </w:p>
        </w:tc>
      </w:tr>
      <w:tr w14:paraId="408BE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AF1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618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方形线圈</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B34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方形线圈（一）、用途：</w:t>
            </w:r>
          </w:p>
          <w:p w14:paraId="39D10D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1、演示磁场对电流作用：磁场方向、电流方向和磁场对电流作用力方向之间的关系——左手定则。</w:t>
            </w:r>
          </w:p>
          <w:p w14:paraId="7C992A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2、演示在电磁感应现象中，磁场方向，导体运动方向和感生电流方向之间的关系——右手定则。</w:t>
            </w:r>
          </w:p>
          <w:p w14:paraId="2D96A4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3、演示奥期特实验——电流的磁场和电感应。</w:t>
            </w:r>
          </w:p>
          <w:p w14:paraId="7781B4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（二）、左手定则：</w:t>
            </w:r>
          </w:p>
          <w:p w14:paraId="77DBF3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线圈固定在方座支架上，接入4-6V直流电源，并且在电路中串接一个电键和滑动变阻器，用U085蹄形磁铁跨在线圈外，使磁铁两磁极间连极与线圈平面平行。当电路接通时线圈即绕竖直轴向一定方向转动。如果将电流方向或磁场方向改变，则线圈的转动方向也跟着改</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E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45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30307424101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D6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7C5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11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434.00 </w:t>
            </w:r>
          </w:p>
        </w:tc>
      </w:tr>
      <w:tr w14:paraId="45F2A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173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089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手摇交直流发电机</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860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手摇交直流发电机，主要供中学物理和小学自然演示交直发电机的结构和工作原理使用。此外还可作小功率电源使用。</w:t>
            </w:r>
          </w:p>
          <w:p w14:paraId="0504C0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1、输出空载电压:转子转速为1200～1600 转/分时，交直流空载电压≥8V。</w:t>
            </w:r>
          </w:p>
          <w:p w14:paraId="6EB113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2、输出负载电压:转子转速为1200～1600转/分时，串入4.8V，0.3A小灯泡。负载电压≥5V。</w:t>
            </w:r>
          </w:p>
          <w:p w14:paraId="45F457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3、本仪器两个电刷放在换向器两边时，输出时为交流电,放在换向器中间时输出为直流电。</w:t>
            </w:r>
          </w:p>
          <w:p w14:paraId="580097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4、转子与极靴的距离≤1.5mm，无碰撞和摩擦</w:t>
            </w:r>
          </w:p>
          <w:p w14:paraId="54D3FA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5、整机使用性能:手摇2分钟，皮带不打滑，不松脱;电刷不变形，不移位、发电正常。</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5E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48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24019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CA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C2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7C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668.00 </w:t>
            </w:r>
          </w:p>
        </w:tc>
      </w:tr>
      <w:tr w14:paraId="23CAA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D44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AC9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滚摆</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B81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包括摆体（摆轮和摆轴）、悬线和支架等。摆轮采用金属材质，直径125mm；摆轴采用钢材制作，直径8mm，长160mm；支架高460mm，横梁长300mm；摆体质量为0.6kg～0.8kg。摆体前10次的回升累计递减量应≤65mm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0B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AD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21033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6C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6F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D1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 </w:t>
            </w:r>
          </w:p>
        </w:tc>
      </w:tr>
      <w:tr w14:paraId="2CDA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76B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7C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气体做功内能减少演示器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EF7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由气体做功部分和温度测量部分组成，做功部分应由贮气筒、安全阀、压力表、活塞及活塞筒、进气阀、出气阀等组成，固定在底座上。测量部分应由温度传感器、数显温度表等组成。电压6V，电流≤50mA</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D1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启星动力</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71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QX-J-QNS-01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50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72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2E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1550.00 </w:t>
            </w:r>
          </w:p>
        </w:tc>
      </w:tr>
      <w:tr w14:paraId="350DC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9CB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28C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空气压缩引火仪</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38F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产品由气缸、底座、端盖、活塞等组成。2． 气缸由有机玻璃制成，缸长不小于130mm，外径不小于φ25mm，内径φ10mm。缸体透明度好，表面无划痕。3． 底座直径φ65mm，底座与缸体连接牢固，放置平稳。活塞与气缸气密性应良好。4． 手柄直径φ40mm，表面应光滑、无毛刺；活塞杆直径φ8mm，表面镀铬，手柄与活塞杆连接牢固并具有足够的机械强度。5． 产品在正常的冲击力作用下，实验效果应明显。6． 连续压缩引火100次，密封圈的使用效果不变。</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16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22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22203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4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40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2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98.00 </w:t>
            </w:r>
          </w:p>
        </w:tc>
      </w:tr>
      <w:tr w14:paraId="2DAE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719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911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汽油机模型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DF6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四冲程，单缸，示结构原理。由进气管、进气阀、排气管、排气阀、气缸、活塞、连杆、曲轴、火花塞、齿轮凸轮总成、飞轮、挺杆等组成。手动转动，活塞运动压缩比6:1～8:1，整体高不小于300mm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AD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启星动力</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B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QX-QYJ-01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04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5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0C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1488.00 </w:t>
            </w:r>
          </w:p>
        </w:tc>
      </w:tr>
      <w:tr w14:paraId="34548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BE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300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柴油机模型</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8BE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四冲程，单缸，示结构原理。由进气管、进气阀、排气管、排气阀、气缸、活塞、连杆、曲轴、喷油嘴、齿轮凸轮总成、飞轮、挺杆组成。手动转动，活塞运动压缩比14∶1～16∶1，整体高不小于300mm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26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启星动力</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91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QX-CYJ-01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F4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F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C3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1488.00 </w:t>
            </w:r>
          </w:p>
        </w:tc>
      </w:tr>
      <w:tr w14:paraId="753CE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7A2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B7F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演示电表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105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2.5级，直流电流：200μA、0.5A、2.5A，直流电压：2.5V、10V，检流：－100μA～100μA，电压灵敏度：5kΩ/V</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6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F2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1B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AC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0E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772.00 </w:t>
            </w:r>
          </w:p>
        </w:tc>
      </w:tr>
      <w:tr w14:paraId="25374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9F7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469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数字演示电表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E12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位，双面显示，同一物理量能自动转换量程。直流电流：200μA、2mA、20mA、200mA、2A、20A，不确定度0.2％；直流电压：2V、20V、200V，不确定度0.1％；电阻：200Ω、2kΩ、20kΩ、200kΩ、2MΩ、20MΩ，不确定度0.2％；交流电压：2V、20V、200V、700V，不确定度0.5％；交流电流：2mA、20mA、200mA、2A，不确定度1.0％。2A、20A自动过载保护，故障排除自动恢复。交流供电，采用II类变压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33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AF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4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09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03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2918.00 </w:t>
            </w:r>
          </w:p>
        </w:tc>
      </w:tr>
      <w:tr w14:paraId="4C685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6A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BA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直流电流表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17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机械指针式，准确度为2.5级，量程为：-0.2A-0-0.6A，-1-0-3A；三旋钮式接线柱，座式，具零点调节器。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D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81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61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E5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44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1980.00 </w:t>
            </w:r>
          </w:p>
        </w:tc>
      </w:tr>
      <w:tr w14:paraId="4FEDA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417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357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直流电压表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E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机械指针式，准确度为2.5级，量程为：-1V-0-3V — -5V-0-15V；三旋钮式接线柱，座式，具零点调节器。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3C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564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0DB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F6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5F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1980.00 </w:t>
            </w:r>
          </w:p>
        </w:tc>
      </w:tr>
      <w:tr w14:paraId="1CCE9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9E9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361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多用电表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214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成：由电表、反射镜、硅二极管保护装置和电笔组成；2、材质：磁、金属、塑料；3、规格：具有22档基本量程，测量范围：直流电流：0μA～50μA～500μA，0mA～5mA～50mA～500mA；直流电压：0V～0.25V～0.5V～1V～2.5V～10V～50V～250V，交流电压：0V～10V～50V～250V～500V～1000V；电阻：R×1Ω，R×10Ω，R×100Ω，R×1kΩ，，R×10kΩ，100kΩ，R×1MΩ；4、用途：供中小学实验中测量电流、电压等。</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84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1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MF47</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EB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70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A1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304.00 </w:t>
            </w:r>
          </w:p>
        </w:tc>
      </w:tr>
      <w:tr w14:paraId="0744D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201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E28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多用电表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CAE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1、数字式，4-1/2位；2、电压﹑电流﹑电阻﹑温度测试﹑频率测试﹑电容﹑二极管测试。</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17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00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770G</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F0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CF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86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1092.00 </w:t>
            </w:r>
          </w:p>
        </w:tc>
      </w:tr>
      <w:tr w14:paraId="0EBBE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997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392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灵敏电流计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F00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式三接线柱，测量范围：-300µA～0～300µA。误差：≤5μA。G0档表头内阻80～125Ω；G1档表头2.内阻4kΩ～3.0kΩ。具零点调节器标度尺刻度均匀，弧长不小于75mm,工作位置与水平面成45°角；输出端子全部采用不脱落式铜材接线柱，Φ4mm铜芯香蕉插、可穿及接线三种功能。及0.4mm厚铝材刻度标牌!每只表都贴有防划保护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93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存真</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3D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C5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CC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E2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924.00 </w:t>
            </w:r>
          </w:p>
        </w:tc>
      </w:tr>
      <w:tr w14:paraId="1F498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467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07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教学用E10螺口灯座</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17D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小灯座由底板、接线柱，灯座组成</w:t>
            </w:r>
          </w:p>
          <w:p w14:paraId="05C6AE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螺口,螺母,连接片均为铜质</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19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28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8A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CD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B6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210.00 </w:t>
            </w:r>
          </w:p>
        </w:tc>
      </w:tr>
      <w:tr w14:paraId="1F60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A22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BF7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电珠（小灯泡）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BFC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1、规格：1.5V、0.3A，螺口；2、用途：用于物理电学实验。</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CC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EA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1.5V</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92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8D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D6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r>
      <w:tr w14:paraId="365F4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96E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2F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电珠（小灯泡）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02A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1、规格：2.5V、0.3A，螺口；2、用途：用于物理电学实验。</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06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A7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2.5V</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1D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44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CF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r>
      <w:tr w14:paraId="72D35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476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B01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电珠（小灯泡）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C97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1、规格：3.8V、0.3A，螺口；2、用途：用于物理电学实验。</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35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D6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3.8V</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EA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C1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90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r>
      <w:tr w14:paraId="5C0A2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518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7C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电珠（小灯泡）</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0E1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1、规格：6V、0.5A，螺口；2、用途：用于物理电学实验。</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57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28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6V</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8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A0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46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r>
      <w:tr w14:paraId="595A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506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C7D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单刀开关</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E09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1、组成：由底座、开关动片、开关定片、接线柱组成；2、材质：底座为黑色塑料制；3、规格：底座大70mm×30mm；4、用途：用于中学电路实验中。</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B8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B1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23011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45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7B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BD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 </w:t>
            </w:r>
          </w:p>
        </w:tc>
      </w:tr>
      <w:tr w14:paraId="487FF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87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D92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滑动变阻器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31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5Ω，3A；电阻5Ω；额定电流3A。电阻值误差应≤5％。用标准线径的老康铜丝，合金铝支架，方形滑杆,铜质滑鞍,磷铜接触片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7E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思中</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36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J23541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42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E1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0B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r>
      <w:tr w14:paraId="238CB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099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B1D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滑动变阻器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6CB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20Ω，2A；电阻20Ω；额定电流2A。电阻值误差应≤5％。用标准线径的老康铜丝，合金铝支架，六棱铜滑杆,铜质滑鞍,磷铜接触片,规格≥230×85×53mm，质量≥0.4kg。</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81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三磊</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E8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J23542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A78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38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3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2220.00 </w:t>
            </w:r>
          </w:p>
        </w:tc>
      </w:tr>
      <w:tr w14:paraId="54276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C89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2FF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滑动变阻器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C0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50Ω，1.5A；电阻50Ω；额定电流1.5A。电阻值误差应≤5％。用标准线径的老康铜丝，合金铝支架，六棱铜滑杆,铜质滑鞍,磷铜接触片,规格≥230×85×53mm，质量≥0.4kg。</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9C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思中</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D7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J23543</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F1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40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F8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1079.00 </w:t>
            </w:r>
          </w:p>
        </w:tc>
      </w:tr>
      <w:tr w14:paraId="30BD8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1DB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28B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电阻圈</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834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5Ω，10Ω，15Ω电阻丝用康铜，经氧化处理，生成绝缘层，绕成空心螺旋状，置于长方形胶木底座，两端固定接线柱。</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D0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思中</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24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J2358</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A0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A1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CB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952.00 </w:t>
            </w:r>
          </w:p>
        </w:tc>
      </w:tr>
      <w:tr w14:paraId="32B9C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F82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D0A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插头导线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914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1、4MM插头导线；2、纯铜1.5平方；3、长度：0.5m。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C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AF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SJ1210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1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48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FB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r>
      <w:tr w14:paraId="24B95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E06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BC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接线夹导线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95F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1、纯铜鳄鱼夹；2、纯铜1.5平方；3、长度：0.5m。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4B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0F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SJ1211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73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29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56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r>
      <w:tr w14:paraId="135A1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E44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1A3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接线叉导线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091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1、接线叉导线；2、纯铜1.5平方；3、长度：0.5m。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D5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10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SJ1212</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A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51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15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r>
      <w:tr w14:paraId="23C9B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38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49F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组合接头导线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B98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1、一头纯铜鳄鱼夹、一头4mm香蕉插头；2、纯铜1平方；3、长度：0.5m。</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99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FC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SJ1209</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4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3F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42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r>
      <w:tr w14:paraId="6B8CA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071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3B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焦耳定律演示器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E2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1.整体尺寸：≥长465 mm ×宽138 mm × 高343 mm。</w:t>
            </w:r>
          </w:p>
          <w:p w14:paraId="0D3AFF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2.面板：优质亚克力，表面光滑，硬度高，不易变形。</w:t>
            </w:r>
          </w:p>
          <w:p w14:paraId="4B44C3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3.边框：金属材质，黑色，坚固耐用，起到良好的保护和支撑作用。</w:t>
            </w:r>
          </w:p>
          <w:p w14:paraId="1D00627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4.电源部分：采用优质导线和电子元件，确保电路稳定和安全；</w:t>
            </w:r>
          </w:p>
          <w:p w14:paraId="32181D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使用电压：220v；</w:t>
            </w:r>
          </w:p>
          <w:p w14:paraId="36F3B8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总开关：控制整个演示器的电源通断，船型开关设计，操作方便。</w:t>
            </w:r>
          </w:p>
          <w:p w14:paraId="33FA2F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5.电阻元件：</w:t>
            </w:r>
          </w:p>
          <w:p w14:paraId="180DB4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电阻箱：两个，分别标注 5Ω 和 10Ω，可通过香蕉插头接入电路的电阻值，精度高，误差小，材质为金属合金，寿命长且散热性能良好；</w:t>
            </w:r>
          </w:p>
          <w:p w14:paraId="20060C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固定电阻：两个 10 欧姆的固定电阻，用于演示并联电路中的电流和热量关系；</w:t>
            </w:r>
          </w:p>
          <w:p w14:paraId="0A0776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电流表：两个，分别测量不同支路的电流，量程 0 - 3A分辨率0.1A。</w:t>
            </w:r>
          </w:p>
          <w:p w14:paraId="211A9F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6.显示方式：数字显示，清晰直观，便于读取数据；</w:t>
            </w:r>
          </w:p>
          <w:p w14:paraId="1CE36A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温度表：两个，分别测量不同电阻元件附近的温度变化，量程0 - 100℃，充分满足实验中温度测量范围；</w:t>
            </w:r>
          </w:p>
          <w:p w14:paraId="7E60B3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数字显示，实时显示温度变化，方便观察焦耳热效应导致的温度升高情况。</w:t>
            </w:r>
          </w:p>
          <w:p w14:paraId="2D93AF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7.并联开关 A、B：用于控制并联电路的通断，船型开关设计，操作简单，触点接触良好，电阻小，减少对电路的影响。</w:t>
            </w:r>
          </w:p>
          <w:p w14:paraId="36A864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8.演示功能：</w:t>
            </w:r>
          </w:p>
          <w:p w14:paraId="627C5E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可通过改变电阻值、电流大小等参数，直观演示焦耳定律（Q = I²Rt），即电流通过导体产生的热量与电流的平方、导体的电阻和通电时间成正比；</w:t>
            </w:r>
          </w:p>
          <w:p w14:paraId="78616B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能够演示串联电路和并联电路中电流、电阻与热量的关系，帮助学生理解电路基本原理和焦耳定律的应用；</w:t>
            </w:r>
          </w:p>
          <w:p w14:paraId="53EAD2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实时显示电流和温度数据，使学生能够清晰观察到电流变化对热量产生（温度升高）的影响，增强实验的直观性和教学效果。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B2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8B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23035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4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DD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A4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1220.00 </w:t>
            </w:r>
          </w:p>
        </w:tc>
      </w:tr>
      <w:tr w14:paraId="1CBD4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7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CE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低压测电器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114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笔式，氖泡式，测电极长度不少于10mm，100V～500V，辉光应稳定不闪烁</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5E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F1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43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13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3F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r>
      <w:tr w14:paraId="60B67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F66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42E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家庭电路示教板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52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部分：三线10A插头与电网连接，开启式闸刀开关、铅熔断器（保险丝）盒、单相机械式有功电能表（2.0级，5A）。负荷部分：三极和二极插座、三极和二极插头、螺口灯座（E27）1个、插口灯座（E27）1个、倒扳开关、拉线开关、白炽灯泡（E27卡口或E27LED螺口灯泡）、卡口－螺口转换器（有卡口灯座时配）。插座、开关均为明装式，软导线（截面积0.5mm2）。火线用红色，零线用蓝色，保护地线用黄绿双色。示教板应能竖立在桌上。开关电极应为左面是零线，右面是火线，三极插座上面是保护接地线。底板可用木板或塑料板</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57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1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30807000305</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E6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35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AF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1716.00 </w:t>
            </w:r>
          </w:p>
        </w:tc>
      </w:tr>
      <w:tr w14:paraId="40977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E65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599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安全用电示教板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D46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供电，能演示以下模式：一手接触火线，经脚和大地触电；一手接触火线，不经脚和大地安全（脚下绝缘）；二手分别接触火线和零线触电（脚站在地面或绝缘）；一手接触漏电（连接火线）的设备（例如电动机），经脚和大地触电；跨步电压触电</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43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新华辰</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72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30307310601</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7D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704.00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95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1E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1408.00 </w:t>
            </w:r>
          </w:p>
        </w:tc>
      </w:tr>
      <w:tr w14:paraId="75219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DCF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BDA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保险丝作用演示器</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0F1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使用电源:交流198V-242V，50HZ。2、面板应采用阻燃材料或金属面板，长度≥450mm,高度≥300mm,具有线路实验压降显示表和实验工作电流表，有相应的实验电路图,电路图应绘制正确,清晰,不易脱落,图形符号应符合JY0001的有关规定。3、绝缘实验导线或裸实验导线用的接线柱应是铜质,接线柱间的距离≥280mm.绝缘实验导线或裸实验导线与接线柱连接后,导线与面板间的距离≥80mm。4、接保险丝的接线柱为铜质.两接线柱间的距离≥80mm。5、电路开关开合松紧适宜、控制准确、接线柱、灯泡口接触良好、各连接件连接方便可靠。6、实验材料及要求：保险丝额定电流1A，长度≥5m；保险丝额定电流2A，长度≥5m；保险丝额定电流3A，长度≥5m；保险丝额定电流5A，长度≥5m；铜导线单芯，直径≥0.5mm，长≥80mm，数量≥10根；绝缘实验导线额定电流3A，长≥290mm，数量≥30根；裸实验导线单芯，直径≤0.7mm，长≥285mm，数量≥10根；短路导线多芯铜线，长≥150mm，两端有接线夹；负载（灯泡）12V50W数量≥4只；负载（灯泡）12V10W数量≥2只。7、保险丝在长时间通过额定电流时不熔断，通过大于二倍额定电流时短时间熔断。8、绝缘实验导线的芯心为金属合金导线，外套为无毒塑料管或纸管；当通过电流大于二倍额定电流时，绝缘实验导线的外套管，应能冒烟，燃烧。9、交流电压表和交流电流表为竖直式大指针表。准确度等级≥2.5级，其他应符合JY0330的有关要求。10、在9m外观看实验应清晰。11、当输入电压为220V时。电源输出空载电压≤14.5V，额定电流时负载电压≥12V，额定电流值≥10A。12、用裸实验导线连接电路，并在接保险丝的两接线柱间接铜导线，接入产品规定的最大负载，通电5分钟后将负载短路，保持5分钟，关闭电源，重新开启电源，仪器应能正常工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62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金三角</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EB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D-BX-DY-B-5-5型</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F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F1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86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2400.00 </w:t>
            </w:r>
          </w:p>
        </w:tc>
      </w:tr>
      <w:tr w14:paraId="76F51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666387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饮水设备报价单</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18C3735C">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03C9EDEB">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1020C">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8E05B">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E7255">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B845B">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0437B">
            <w:pPr>
              <w:jc w:val="center"/>
              <w:rPr>
                <w:rFonts w:hint="eastAsia" w:ascii="宋体" w:hAnsi="宋体" w:eastAsia="宋体" w:cs="宋体"/>
                <w:i w:val="0"/>
                <w:iCs w:val="0"/>
                <w:color w:val="000000"/>
                <w:sz w:val="20"/>
                <w:szCs w:val="20"/>
                <w:u w:val="none"/>
              </w:rPr>
            </w:pPr>
          </w:p>
        </w:tc>
      </w:tr>
      <w:tr w14:paraId="2D985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AC9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302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饮水机  </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577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尺寸（长*宽*高）：500×509×1455mm(允许偏离±5%)</w:t>
            </w:r>
          </w:p>
          <w:p w14:paraId="0CDB4B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电源：220V 50Hz</w:t>
            </w:r>
          </w:p>
          <w:p w14:paraId="11559A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功率：≥2KW</w:t>
            </w:r>
          </w:p>
          <w:p w14:paraId="173BA0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水胆容量：≥15L</w:t>
            </w:r>
          </w:p>
          <w:p w14:paraId="73F563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出水方式：一开一温</w:t>
            </w:r>
          </w:p>
          <w:p w14:paraId="409A62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制水能力：开水≥20L/h；温开水≥60L/h</w:t>
            </w:r>
          </w:p>
          <w:p w14:paraId="3CBCA8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1.过滤配置：不低于6级过滤，净水流量≥1.06L/min；内胆容量：≥15L（提供与投标产品型号一致的整机《涉及饮用水卫生安全产品卫生许可批件》复印件）额定净水量≥13000升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BC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碧涞</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F9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JN-A-2A20G-RO</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4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7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D5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62300.00 </w:t>
            </w:r>
          </w:p>
        </w:tc>
      </w:tr>
      <w:tr w14:paraId="19EB7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99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817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饮水机  </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F7D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尺寸（长*宽*高）：1000*509*1455(允许偏离±5%)</w:t>
            </w:r>
          </w:p>
          <w:p w14:paraId="14BBB1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电源：380V 50Hz</w:t>
            </w:r>
          </w:p>
          <w:p w14:paraId="0C2ADE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功率：≥2KW</w:t>
            </w:r>
          </w:p>
          <w:p w14:paraId="1AED95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水胆容量：≥35L</w:t>
            </w:r>
          </w:p>
          <w:p w14:paraId="4BD3E0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出水方式：一开三温</w:t>
            </w:r>
          </w:p>
          <w:p w14:paraId="7A5286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制水能力：开水≥80L/h；温开水≥350L/h</w:t>
            </w:r>
          </w:p>
          <w:p w14:paraId="78A988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1.过滤配置：不低于6级过滤，净水流量≥1.06L/min；内胆容量：≥35L（提供与投标产品型号一致的整机《涉及饮用水卫生安全产品卫生许可批件》复印件）额定净水量≥13000升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7D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碧涞</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BA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JN-A-4A60G-RO</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D0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BB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1C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13850.00 </w:t>
            </w:r>
          </w:p>
        </w:tc>
      </w:tr>
      <w:tr w14:paraId="214D3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4AE279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窗帘</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3A7C7999">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7C5F259F">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617DE">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D7B21">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EA3EE">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56A68">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EE9EE">
            <w:pPr>
              <w:jc w:val="center"/>
              <w:rPr>
                <w:rFonts w:hint="eastAsia" w:ascii="宋体" w:hAnsi="宋体" w:eastAsia="宋体" w:cs="宋体"/>
                <w:i w:val="0"/>
                <w:iCs w:val="0"/>
                <w:color w:val="000000"/>
                <w:sz w:val="20"/>
                <w:szCs w:val="20"/>
                <w:u w:val="none"/>
              </w:rPr>
            </w:pPr>
          </w:p>
        </w:tc>
      </w:tr>
      <w:tr w14:paraId="74C55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065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565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普通教室窗帘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BF8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含窗帘布、轨道，配件，安装等。</w:t>
            </w:r>
          </w:p>
          <w:p w14:paraId="1985DA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窗帘布：面料成分：100%聚酯纤维，遮光率：80%以上，PH值：5.7，甲醛含量：无，异味：无，大肠杆菌（8099）抑菌率：78%，可萃取的重金属（镉）0.02mg/kg，可萃取的重金属（铅）&lt;0.16mg/kg，阻燃:B1级，防紫外线性能：T(UVA)av(%)0.05，T(UVB)av(%)0.05，UPF(/)&gt;50，密度9（根/10cm)经密：1237.2，纬密：376.8，可分解致癌芳香胺染料：符合GB 18401-2010（c类）标准，色牢度：5级。</w:t>
            </w:r>
          </w:p>
          <w:p w14:paraId="772C35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纱帘布：面料成分：100%聚酯纤维，遮光率：日间条件下5米外看不见屋内人员，PH值：5.4，甲醛含量：无，异味：无，大肠杆菌（8099）抑菌率：79%，可萃取的重金属（镉）0.03mg/kg</w:t>
            </w:r>
          </w:p>
          <w:p w14:paraId="29F0A4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可萃取的重金属（铅）&lt;0.16mg/kg，阻燃:B1级，可分解致癌芳香胺染料：符合GB 18401-2010（c类）标准，色牢度：5级  </w:t>
            </w:r>
          </w:p>
          <w:p w14:paraId="151284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轨道：内含消音皮带，泳铝合金方形轨道：壁厚≥1.5MM重量≥0.6KG/M,规格2.6CM*2.7CM 防腐蚀、耐磨性好、承载强度高不易变形。承重20KG以上，8米内证不弯曲。滑轮：采用不锈钢环、不锈钢支架、铝条和塑料滑轮。</w:t>
            </w:r>
          </w:p>
          <w:p w14:paraId="4CB9A1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配件：加工安装辅料包含穿带、挂钩、铅线、安装码、涨丝、自攻钉、吊轮。</w:t>
            </w:r>
          </w:p>
          <w:p w14:paraId="730432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加工安装：窗帘按1.8倍褶加工，所有窗帘两侧各加31公分，作为预留量。所有滑轨采用交错安装方式以达到更好的遮光效果.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20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F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12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6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87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21240.00 </w:t>
            </w:r>
          </w:p>
        </w:tc>
      </w:tr>
      <w:tr w14:paraId="1B6F4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846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CFB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专业教室窗帘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94B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含窗帘布、轨道，配件，安装等。</w:t>
            </w:r>
          </w:p>
          <w:p w14:paraId="28614F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窗帘布：面料成分：100%聚酯纤维，遮光率：80%以上，PH值：5.7，甲醛含量：无，异味：无，大肠杆菌（8099）抑菌率：78%，可萃取的重金属（镉）0.02mg/kg，可萃取的重金属（铅）&lt;0.16mg/kg，阻燃:B1级，防紫外线性能：T(UVA)av(%)0.05，T(UVB)av(%)0.05，UPF(/)&gt;50，密度9（根/10cm)经密：1237.2，纬密：376.8，可分解致癌芳香胺染料：符合GB 18401-2010（c类）标准，色牢度：5级。</w:t>
            </w:r>
          </w:p>
          <w:p w14:paraId="16B793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纱帘布：面料成分：100%聚酯纤维，遮光率：日间条件下5米外看不见屋内人员，PH值：5.4，甲醛含量：无，异味：无，大肠杆菌（8099）抑菌率：79%，可萃取的重金属（镉）0.03mg/kg</w:t>
            </w:r>
          </w:p>
          <w:p w14:paraId="7BEBA2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可萃取的重金属（铅）&lt;0.16mg/kg，阻燃:B1级，可分解致癌芳香胺染料：符合GB 18401-2010（c类）标准，色牢度：5级  </w:t>
            </w:r>
          </w:p>
          <w:p w14:paraId="1F324F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轨道：内含消音皮带，泳铝合金方形轨道：壁厚≥1.5MM重量≥0.6KG/M,规格2.6CM*2.7CM 防腐蚀、耐磨性好、承载强度高不易变形。承重20KG以上，8米内证不弯曲。滑轮：采用不锈钢环、不锈钢支架、铝条和塑料滑轮。</w:t>
            </w:r>
          </w:p>
          <w:p w14:paraId="3AF4CC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配件：加工安装辅料包含穿带、挂钩、铅线、安装码、涨丝、自攻钉、吊轮。</w:t>
            </w:r>
          </w:p>
          <w:p w14:paraId="6C7C8A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加工安装：窗帘按1.8倍褶加工，所有窗帘两侧各加31公分，作为预留量。所有滑轨采用交错安装方式以达到更好的遮光效果.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F9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0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D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3B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9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35040.00 </w:t>
            </w:r>
          </w:p>
        </w:tc>
      </w:tr>
      <w:tr w14:paraId="2A958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59B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693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女生宿舍楼道窗帘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94E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含窗帘布、轨道，配件，安装等。</w:t>
            </w:r>
          </w:p>
          <w:p w14:paraId="346222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窗帘布：面料成分：100%聚酯纤维，遮光率：80%以上，PH值：5.7，甲醛含量：无，异味：无，大肠杆菌（8099）抑菌率：78%，可萃取的重金属（镉）0.02mg/kg，可萃取的重金属（铅）&lt;0.16mg/kg，阻燃:B1级，防紫外线性能：T(UVA)av(%)0.05，T(UVB)av(%)0.05，UPF(/)&gt;50，密度9（根/10cm)经密：1237.2，纬密：376.8，可分解致癌芳香胺染料：符合GB 18401-2010（c类）标准，色牢度：5级。</w:t>
            </w:r>
          </w:p>
          <w:p w14:paraId="6ACF1B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纱帘布：面料成分：100%聚酯纤维，遮光率：日间条件下5米外看不见屋内人员，PH值：5.4，甲醛含量：无，异味：无，大肠杆菌（8099）抑菌率：79%，可萃取的重金属（镉）0.03mg/kg</w:t>
            </w:r>
          </w:p>
          <w:p w14:paraId="218E20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可萃取的重金属（铅）&lt;0.16mg/kg，阻燃:B1级，可分解致癌芳香胺染料：符合GB 18401-2010（c类）标准，色牢度：5级  </w:t>
            </w:r>
          </w:p>
          <w:p w14:paraId="2F9609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轨道：内含消音皮带，泳铝合金方形轨道：壁厚≥1.5MM重量≥0.6KG/M,规格2.6CM*2.7CM 防腐蚀、耐磨性好、承载强度高不易变形。承重20KG以上，8米内证不弯曲。滑轮：采用不锈钢环、不锈钢支架、铝条和塑料滑轮。</w:t>
            </w:r>
          </w:p>
          <w:p w14:paraId="7E9743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配件：加工安装辅料包含穿带、挂钩、铅线、安装码、涨丝、自攻钉、吊轮。</w:t>
            </w:r>
          </w:p>
          <w:p w14:paraId="7FAE53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加工安装：窗帘按1.8倍褶加工，所有窗帘两侧各加31公分，作为预留量。所有滑轨采用交错安装方式以达到更好的遮光效果.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FC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AA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33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D4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6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42840.00 </w:t>
            </w:r>
          </w:p>
        </w:tc>
      </w:tr>
      <w:tr w14:paraId="579A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53D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CF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女生宿舍窗帘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44E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含窗帘布、轨道，配件，安装等。</w:t>
            </w:r>
          </w:p>
          <w:p w14:paraId="3E4E2CD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窗帘布：面料成分：100%聚酯纤维，遮光率：80%以上，PH值：5.7，甲醛含量：无，异味：无，大肠杆菌（8099）抑菌率：78%，可萃取的重金属（镉）0.02mg/kg，可萃取的重金属（铅）&lt;0.16mg/kg，阻燃:B1级，防紫外线性能：T(UVA)av(%)0.05，T(UVB)av(%)0.05，UPF(/)&gt;50，密度9（根/10cm)经密：1237.2，纬密：376.8，可分解致癌芳香胺染料：符合GB 18401-2010（c类）标准，色牢度：5级。</w:t>
            </w:r>
          </w:p>
          <w:p w14:paraId="7216DA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纱帘布：面料成分：100%聚酯纤维，遮光率：日间条件下5米外看不见屋内人员，PH值：5.4，甲醛含量：无，异味：无，大肠杆菌（8099）抑菌率：79%，可萃取的重金属（镉）0.03mg/kg</w:t>
            </w:r>
          </w:p>
          <w:p w14:paraId="5ECE33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可萃取的重金属（铅）&lt;0.16mg/kg，阻燃:B1级，可分解致癌芳香胺染料：符合GB 18401-2010（c类）标准，色牢度：5级  </w:t>
            </w:r>
          </w:p>
          <w:p w14:paraId="1DFCC3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轨道：内含消音皮带，泳铝合金方形轨道：壁厚≥1.5MM重量≥0.6KG/M,规格2.6CM*2.7CM 防腐蚀、耐磨性好、承载强度高不易变形。承重20KG以上，8米内证不弯曲。滑轮：采用不锈钢环、不锈钢支架、铝条和塑料滑轮。</w:t>
            </w:r>
          </w:p>
          <w:p w14:paraId="51D3B1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配件：加工安装辅料包含穿带、挂钩、铅线、安装码、涨丝、自攻钉、吊轮。</w:t>
            </w:r>
          </w:p>
          <w:p w14:paraId="063AEC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加工安装：窗帘按1.8倍褶加工，所有窗帘两侧各加31公分，作为预留量。所有滑轨采用交错安装方式以达到更好的遮光效果.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3A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8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AE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2A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13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33360.00 </w:t>
            </w:r>
          </w:p>
        </w:tc>
      </w:tr>
      <w:tr w14:paraId="415D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3CD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D0F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男生宿舍（南侧）窗帘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914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含窗帘布、轨道，配件，安装等。</w:t>
            </w:r>
          </w:p>
          <w:p w14:paraId="1F46DB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窗帘布：面料成分：100%聚酯纤维，遮光率：80%以上，PH值：5.7，甲醛含量：无，异味：无，大肠杆菌（8099）抑菌率：78%，可萃取的重金属（镉）0.02mg/kg，可萃取的重金属（铅）&lt;0.16mg/kg，阻燃:B1级，防紫外线性能：T(UVA)av(%)0.05，T(UVB)av(%)0.05，UPF(/)&gt;50，密度9（根/10cm)经密：1237.2，纬密：376.8，可分解致癌芳香胺染料：符合GB 18401-2010（c类）标准，色牢度：5级。</w:t>
            </w:r>
          </w:p>
          <w:p w14:paraId="5E803F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纱帘布：面料成分：100%聚酯纤维，遮光率：日间条件下5米外看不见屋内人员，PH值：5.4，甲醛含量：无，异味：无，大肠杆菌（8099）抑菌率：79%，可萃取的重金属（镉）0.03mg/kg</w:t>
            </w:r>
          </w:p>
          <w:p w14:paraId="537A43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可萃取的重金属（铅）&lt;0.16mg/kg，阻燃:B1级，可分解致癌芳香胺染料：符合GB 18401-2010（c类）标准，色牢度：5级  </w:t>
            </w:r>
          </w:p>
          <w:p w14:paraId="688E56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轨道：内含消音皮带，泳铝合金方形轨道：壁厚≥1.5MM重量≥0.6KG/M,规格2.6CM*2.7CM 防腐蚀、耐磨性好、承载强度高不易变形。承重20KG以上，8米内证不弯曲。滑轮：采用不锈钢环、不锈钢支架、铝条和塑料滑轮。</w:t>
            </w:r>
          </w:p>
          <w:p w14:paraId="31D531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配件：加工安装辅料包含穿带、挂钩、铅线、安装码、涨丝、自攻钉、吊轮。</w:t>
            </w:r>
          </w:p>
          <w:p w14:paraId="66310F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加工安装：窗帘按1.8倍褶加工，所有窗帘两侧各加31公分，作为预留量。所有滑轨采用交错安装方式以达到更好的遮光效果.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47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2B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6B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C6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07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52560.00 </w:t>
            </w:r>
          </w:p>
        </w:tc>
      </w:tr>
      <w:tr w14:paraId="063FD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7A3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3FC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男生宿舍（北侧）窗帘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9FB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含窗帘布、轨道，配件，安装等。</w:t>
            </w:r>
          </w:p>
          <w:p w14:paraId="67E735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窗帘布：面料成分：100%聚酯纤维，遮光率：80%以上，PH值：5.7，甲醛含量：无，异味：无，大肠杆菌（8099）抑菌率：78%，可萃取的重金属（镉）0.02mg/kg，可萃取的重金属（铅）&lt;0.16mg/kg，阻燃:B1级，防紫外线性能：T(UVA)av(%)0.05，T(UVB)av(%)0.05，UPF(/)&gt;50，密度9（根/10cm)经密：1237.2，纬密：376.8，可分解致癌芳香胺染料：符合GB 18401-2010（c类）标准，色牢度：5级。</w:t>
            </w:r>
          </w:p>
          <w:p w14:paraId="2638C5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纱帘布：面料成分：100%聚酯纤维，遮光率：日间条件下5米外看不见屋内人员，PH值：5.4，甲醛含量：无，异味：无，大肠杆菌（8099）抑菌率：79%，可萃取的重金属（镉）0.03mg/kg</w:t>
            </w:r>
          </w:p>
          <w:p w14:paraId="5E9B85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可萃取的重金属（铅）&lt;0.16mg/kg，阻燃:B1级，可分解致癌芳香胺染料：符合GB 18401-2010（c类）标准，色牢度：5级  </w:t>
            </w:r>
          </w:p>
          <w:p w14:paraId="48FF0D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轨道：内含消音皮带，泳铝合金方形轨道：壁厚≥1.5MM重量≥0.6KG/M,规格2.6CM*2.7CM 防腐蚀、耐磨性好、承载强度高不易变形。承重20KG以上，8米内证不弯曲。滑轮：采用不锈钢环、不锈钢支架、铝条和塑料滑轮。</w:t>
            </w:r>
          </w:p>
          <w:p w14:paraId="01478D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配件：加工安装辅料包含穿带、挂钩、铅线、安装码、涨丝、自攻钉、吊轮。</w:t>
            </w:r>
          </w:p>
          <w:p w14:paraId="5E2D16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加工安装：窗帘按1.8倍褶加工，所有窗帘两侧各加31公分，作为预留量。所有滑轨采用交错安装方式以达到更好的遮光效果.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1B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7E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FB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2D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ED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12720.00 </w:t>
            </w:r>
          </w:p>
        </w:tc>
      </w:tr>
      <w:tr w14:paraId="70EEF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B70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A61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教职工宿舍窗帘</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A33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含窗帘布、轨道，配件，安装等。</w:t>
            </w:r>
          </w:p>
          <w:p w14:paraId="28CB32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窗帘布：面料成分：100%聚酯纤维，遮光率：80%以上，PH值：5.7，甲醛含量：无，异味：无，大肠杆菌（8099）抑菌率：78%，可萃取的重金属（镉）0.02mg/kg，可萃取的重金属（铅）&lt;0.16mg/kg，阻燃:B1级，防紫外线性能：T(UVA)av(%)0.05，T(UVB)av(%)0.05，UPF(/)&gt;50，密度9（根/10cm)经密：1237.2，纬密：376.8，可分解致癌芳香胺染料：符合GB 18401-2010（c类）标准，色牢度：5级。</w:t>
            </w:r>
          </w:p>
          <w:p w14:paraId="1503F5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纱帘布：面料成分：100%聚酯纤维，遮光率：日间条件下5米外看不见屋内人员，PH值：5.4，甲醛含量：无，异味：无，大肠杆菌（8099）抑菌率：79%，可萃取的重金属（镉）0.03mg/kg</w:t>
            </w:r>
          </w:p>
          <w:p w14:paraId="6D66FF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可萃取的重金属（铅）&lt;0.16mg/kg，阻燃:B1级，可分解致癌芳香胺染料：符合GB 18401-2010（c类）标准，色牢度：5级  </w:t>
            </w:r>
          </w:p>
          <w:p w14:paraId="19F903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轨道：内含消音皮带，泳铝合金方形轨道：壁厚≥1.5MM重量≥0.6KG/M,规格2.6CM*2.7CM 防腐蚀、耐磨性好、承载强度高不易变形。承重20KG以上，8米内证不弯曲。滑轮：采用不锈钢环、不锈钢支架、铝条和塑料滑轮。</w:t>
            </w:r>
          </w:p>
          <w:p w14:paraId="48CA2C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配件：加工安装辅料包含穿带、挂钩、铅线、安装码、涨丝、自攻钉、吊轮。</w:t>
            </w:r>
          </w:p>
          <w:p w14:paraId="162BEB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加工安装：窗帘按1.8倍褶加工，所有窗帘两侧各加31公分，作为预留量。所有滑轨采用交错安装方式以达到更好的遮光效果.</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E9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97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惠峰昱熙定制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96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2C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A3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23760.00 </w:t>
            </w:r>
          </w:p>
        </w:tc>
      </w:tr>
      <w:tr w14:paraId="31CE4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722C74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家具清单</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158FD60F">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45CEB747">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BA182">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5110B">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07513">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68730">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5FA1">
            <w:pPr>
              <w:jc w:val="center"/>
              <w:rPr>
                <w:rFonts w:hint="eastAsia" w:ascii="宋体" w:hAnsi="宋体" w:eastAsia="宋体" w:cs="宋体"/>
                <w:i w:val="0"/>
                <w:iCs w:val="0"/>
                <w:color w:val="000000"/>
                <w:sz w:val="20"/>
                <w:szCs w:val="20"/>
                <w:u w:val="none"/>
              </w:rPr>
            </w:pPr>
          </w:p>
        </w:tc>
      </w:tr>
      <w:tr w14:paraId="29430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7E1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B87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课桌椅</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505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规格：600mm*400mm*（760mm-670mm）</w:t>
            </w:r>
          </w:p>
          <w:p w14:paraId="6E03AF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桌面：600mm*400mm*18mm，材质为三聚氰胺板四周一次成型注塑封边，设有放置铅笔笔槽。</w:t>
            </w:r>
          </w:p>
          <w:p w14:paraId="5D8993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桌架：下插管为椭圆管，壁厚1.2mm，桌腿上标有永久性高度刻度标志，桌面下面两侧配有挂钩。</w:t>
            </w:r>
          </w:p>
          <w:p w14:paraId="1E64F5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14:paraId="25455B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工艺： 1.除锈：所用金属材料要经过除油除锈后优质粉末静电喷涂处理处理。</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14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国丰文仪</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9E7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600mm*400mm*（760mm-670mm）</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DC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648.00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63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7A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58320.00 </w:t>
            </w:r>
          </w:p>
        </w:tc>
      </w:tr>
      <w:tr w14:paraId="28574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465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1CC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双层床</w:t>
            </w:r>
          </w:p>
        </w:tc>
        <w:tc>
          <w:tcPr>
            <w:tcW w:w="2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E68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规格：900*2000*2100</w:t>
            </w:r>
          </w:p>
          <w:p w14:paraId="6F1D0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要求】钢管壁厚：床腿≥1.8。床枉≥1.5。床带≥1.2。床梯≥1.2，有防滑功能。护栏：壁厚≥1.2。20*20方钢管焊接，壁厚≥1.2。固定安全可靠。床板采用18厚通长松木实木板。床板两面刨光。两层床板之间的层间净高≥1050。配优质棕垫。</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E5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国丰文仪</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F2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900*2000*2100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04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1396.00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FB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56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83760.00 </w:t>
            </w:r>
          </w:p>
        </w:tc>
      </w:tr>
      <w:tr w14:paraId="786FA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981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931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床垫</w:t>
            </w:r>
          </w:p>
        </w:tc>
        <w:tc>
          <w:tcPr>
            <w:tcW w:w="2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B9AFF">
            <w:pPr>
              <w:jc w:val="center"/>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C1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国丰文仪</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74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900*2000*2100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CD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379.00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2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80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22740.00 </w:t>
            </w:r>
          </w:p>
        </w:tc>
      </w:tr>
      <w:tr w14:paraId="41BB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7F2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61B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二屉桌</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81E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规格：900*500*750基材：桌面基材采用E1级优质三氯氰胺饰面人造板，优质环保材料封边。桌架钢管壁厚＝1.5mm；</w:t>
            </w:r>
          </w:p>
          <w:p w14:paraId="16B727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结构：桌面下设两个抽屉</w:t>
            </w:r>
          </w:p>
          <w:p w14:paraId="77415F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五金件：优质五金件，配优质尼龙脚垫。</w:t>
            </w:r>
          </w:p>
          <w:p w14:paraId="1C97FD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表面处理：经除锈、除油处理，优质静电喷塑处理。</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7D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国丰文仪</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FA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900*500*750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32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4A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F0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16920.00 </w:t>
            </w:r>
          </w:p>
        </w:tc>
      </w:tr>
      <w:tr w14:paraId="4DDCC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2FA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90E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五星椅</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BD3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规格：常规</w:t>
            </w:r>
          </w:p>
          <w:p w14:paraId="14A2510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靠背坐垫：中空吹塑材料</w:t>
            </w:r>
          </w:p>
          <w:p w14:paraId="386D63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钢管椅架, 钢制部件表面经除油除锈后塑粉静电喷塑处理。配优质尼龙套脚。</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E4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国丰文仪</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D4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0F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99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18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5500.00 </w:t>
            </w:r>
          </w:p>
        </w:tc>
      </w:tr>
      <w:tr w14:paraId="22C94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095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8FF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餐桌椅</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36C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餐桌1200*600*750，餐椅1200*220*400桌面与椅面均为优质塑钢材质，防水，防污</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FD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国丰文仪</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D2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1200*600*750</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6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1456.00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8C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0F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87360.00 </w:t>
            </w:r>
          </w:p>
        </w:tc>
      </w:tr>
      <w:tr w14:paraId="69223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5734B1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空调预算</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0E7C2476">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01D15C5A">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5FF5B">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EC29E">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61134">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BD59">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BDA24">
            <w:pPr>
              <w:jc w:val="center"/>
              <w:rPr>
                <w:rFonts w:hint="eastAsia" w:ascii="宋体" w:hAnsi="宋体" w:eastAsia="宋体" w:cs="宋体"/>
                <w:i w:val="0"/>
                <w:iCs w:val="0"/>
                <w:color w:val="000000"/>
                <w:sz w:val="20"/>
                <w:szCs w:val="20"/>
                <w:u w:val="none"/>
              </w:rPr>
            </w:pPr>
          </w:p>
        </w:tc>
      </w:tr>
      <w:tr w14:paraId="3C3B8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nil"/>
            </w:tcBorders>
            <w:shd w:val="clear" w:color="auto" w:fill="auto"/>
            <w:vAlign w:val="center"/>
          </w:tcPr>
          <w:p w14:paraId="38384F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二、安装及材料</w:t>
            </w:r>
          </w:p>
        </w:tc>
        <w:tc>
          <w:tcPr>
            <w:tcW w:w="260" w:type="pct"/>
            <w:tcBorders>
              <w:top w:val="single" w:color="000000" w:sz="4" w:space="0"/>
              <w:left w:val="nil"/>
              <w:bottom w:val="single" w:color="000000" w:sz="4" w:space="0"/>
              <w:right w:val="single" w:color="000000" w:sz="4" w:space="0"/>
            </w:tcBorders>
            <w:shd w:val="clear" w:color="auto" w:fill="auto"/>
            <w:vAlign w:val="center"/>
          </w:tcPr>
          <w:p w14:paraId="70B25737">
            <w:pPr>
              <w:jc w:val="left"/>
              <w:rPr>
                <w:rFonts w:hint="eastAsia" w:ascii="宋体" w:hAnsi="宋体" w:eastAsia="宋体" w:cs="宋体"/>
                <w:i w:val="0"/>
                <w:iCs w:val="0"/>
                <w:color w:val="000000"/>
                <w:sz w:val="20"/>
                <w:szCs w:val="20"/>
                <w:u w:val="none"/>
              </w:rPr>
            </w:pPr>
          </w:p>
        </w:tc>
        <w:tc>
          <w:tcPr>
            <w:tcW w:w="2500" w:type="pct"/>
            <w:tcBorders>
              <w:top w:val="single" w:color="000000" w:sz="4" w:space="0"/>
              <w:left w:val="nil"/>
              <w:bottom w:val="single" w:color="000000" w:sz="4" w:space="0"/>
              <w:right w:val="single" w:color="000000" w:sz="4" w:space="0"/>
            </w:tcBorders>
            <w:shd w:val="clear" w:color="auto" w:fill="auto"/>
            <w:vAlign w:val="center"/>
          </w:tcPr>
          <w:p w14:paraId="76E462CD">
            <w:pPr>
              <w:jc w:val="left"/>
              <w:rPr>
                <w:rFonts w:hint="eastAsia" w:ascii="宋体" w:hAnsi="宋体" w:eastAsia="宋体" w:cs="宋体"/>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5056C">
            <w:pPr>
              <w:jc w:val="center"/>
              <w:rPr>
                <w:rFonts w:hint="eastAsia" w:ascii="宋体" w:hAnsi="宋体" w:eastAsia="宋体" w:cs="宋体"/>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211A">
            <w:pPr>
              <w:jc w:val="center"/>
              <w:rPr>
                <w:rFonts w:hint="eastAsia" w:ascii="宋体" w:hAnsi="宋体" w:eastAsia="宋体" w:cs="宋体"/>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D7F73">
            <w:pPr>
              <w:jc w:val="center"/>
              <w:rPr>
                <w:rFonts w:hint="eastAsia" w:ascii="宋体" w:hAnsi="宋体" w:eastAsia="宋体" w:cs="宋体"/>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90887">
            <w:pPr>
              <w:jc w:val="center"/>
              <w:rPr>
                <w:rFonts w:hint="eastAsia" w:ascii="宋体" w:hAnsi="宋体" w:eastAsia="宋体" w:cs="宋体"/>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B8F27">
            <w:pPr>
              <w:jc w:val="center"/>
              <w:rPr>
                <w:rFonts w:hint="eastAsia" w:ascii="宋体" w:hAnsi="宋体" w:eastAsia="宋体" w:cs="宋体"/>
                <w:i w:val="0"/>
                <w:iCs w:val="0"/>
                <w:color w:val="000000"/>
                <w:sz w:val="20"/>
                <w:szCs w:val="20"/>
                <w:u w:val="none"/>
              </w:rPr>
            </w:pPr>
          </w:p>
        </w:tc>
      </w:tr>
      <w:tr w14:paraId="7270F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FD5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485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不绣钢支架或减震垫</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7D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空调原厂专用不锈钢支架，适用于1.5P空调</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92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长泽金属</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A7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长泽金属定制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AB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91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67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4800.00 </w:t>
            </w:r>
          </w:p>
        </w:tc>
      </w:tr>
      <w:tr w14:paraId="64783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F1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B4E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不绣钢支架或减震垫</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C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空调原厂专用不锈钢支架，适用于2P-3P空调</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6A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长泽金属</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7F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长泽金属定制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75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52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7E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2100.00 </w:t>
            </w:r>
          </w:p>
        </w:tc>
      </w:tr>
      <w:tr w14:paraId="57789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C07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0AD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空调加长管线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D08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适用于1.5P空调，纯紫铜管，包含铜管、保温、软水管、电源线、包扎带</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E0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宏泰铜管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2B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宏泰铜管定制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E9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D2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9F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18400.00 </w:t>
            </w:r>
          </w:p>
        </w:tc>
      </w:tr>
      <w:tr w14:paraId="47B0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B0C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7BD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空调加长管线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FC0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适用于2P空调，纯紫铜管，包含铜管、保温、软水管、电源线、包扎带</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4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宏泰铜管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1D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宏泰铜管定制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C7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7D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D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4200.00 </w:t>
            </w:r>
          </w:p>
        </w:tc>
      </w:tr>
      <w:tr w14:paraId="47F0D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69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7E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空调加长管线</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EC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适用于3P空调，纯紫铜管，包含铜管、保温、软水管、电源线、包扎带</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E0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宏泰铜管</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98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宏泰铜管定制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4B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6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03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4AD0F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6C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39F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25A空气开关</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D8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25A漏电保护开关，适用于3P空调</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D5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正脉电气</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E4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正脉电气定制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BA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AC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0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r>
      <w:tr w14:paraId="58EF6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8E8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9B1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空调外机装饰外罩</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3B8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设计、制作、调色、安装。材质：铝合金板，形式：穿孔板，通长型的，三排。铝板厚度：2.5mm，孔隙率：50%，产品属性：防火、防水、吸音降噪、隔热；表面处理：氟碳喷涂，易拆检修：侧面为可开启。其它要求：不易沾污、不易褪色、不易腐蚀、使用寿命长久；板面光滑平整；由面板、加强筋和角码组成，每1.5米做加固处理，安全可靠、质量过硬。</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C6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凯麦金属</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8F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凯麦金属定制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7F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E5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89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99400.00 </w:t>
            </w:r>
          </w:p>
        </w:tc>
      </w:tr>
      <w:tr w14:paraId="529D7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16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619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拆旧机</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6F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适用于挂机空调</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D7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比萨</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71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比萨定制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B0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0C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14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11400.00 </w:t>
            </w:r>
          </w:p>
        </w:tc>
      </w:tr>
      <w:tr w14:paraId="3A273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DF2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F9E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拆旧机</w:t>
            </w:r>
          </w:p>
        </w:tc>
        <w:tc>
          <w:tcPr>
            <w:tcW w:w="2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16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适用于柜机空调</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7A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比萨</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89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比萨定制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31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250.00 </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39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C1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r>
      <w:tr w14:paraId="6391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nil"/>
              <w:right w:val="single" w:color="000000" w:sz="4" w:space="0"/>
            </w:tcBorders>
            <w:shd w:val="clear" w:color="auto" w:fill="auto"/>
            <w:vAlign w:val="center"/>
          </w:tcPr>
          <w:p w14:paraId="4B9035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60" w:type="pct"/>
            <w:tcBorders>
              <w:top w:val="single" w:color="000000" w:sz="4" w:space="0"/>
              <w:left w:val="single" w:color="000000" w:sz="4" w:space="0"/>
              <w:bottom w:val="nil"/>
              <w:right w:val="single" w:color="000000" w:sz="4" w:space="0"/>
            </w:tcBorders>
            <w:shd w:val="clear" w:color="auto" w:fill="auto"/>
            <w:vAlign w:val="center"/>
          </w:tcPr>
          <w:p w14:paraId="0D3270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吊车或吊篮租赁费</w:t>
            </w: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690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吊装室外机及空调罩，25吨重量，臂展15米以上，每个台班使用8个小时</w:t>
            </w:r>
          </w:p>
        </w:tc>
        <w:tc>
          <w:tcPr>
            <w:tcW w:w="326" w:type="pct"/>
            <w:tcBorders>
              <w:top w:val="single" w:color="000000" w:sz="4" w:space="0"/>
              <w:left w:val="single" w:color="000000" w:sz="4" w:space="0"/>
              <w:bottom w:val="nil"/>
              <w:right w:val="single" w:color="000000" w:sz="4" w:space="0"/>
            </w:tcBorders>
            <w:shd w:val="clear" w:color="auto" w:fill="auto"/>
            <w:vAlign w:val="center"/>
          </w:tcPr>
          <w:p w14:paraId="0FBDC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金沙</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B5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金沙定制</w:t>
            </w:r>
          </w:p>
        </w:tc>
        <w:tc>
          <w:tcPr>
            <w:tcW w:w="379" w:type="pct"/>
            <w:tcBorders>
              <w:top w:val="single" w:color="000000" w:sz="4" w:space="0"/>
              <w:left w:val="single" w:color="000000" w:sz="4" w:space="0"/>
              <w:bottom w:val="nil"/>
              <w:right w:val="single" w:color="000000" w:sz="4" w:space="0"/>
            </w:tcBorders>
            <w:shd w:val="clear" w:color="auto" w:fill="auto"/>
            <w:vAlign w:val="center"/>
          </w:tcPr>
          <w:p w14:paraId="28159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312" w:type="pct"/>
            <w:tcBorders>
              <w:top w:val="single" w:color="000000" w:sz="4" w:space="0"/>
              <w:left w:val="single" w:color="000000" w:sz="4" w:space="0"/>
              <w:bottom w:val="nil"/>
              <w:right w:val="single" w:color="000000" w:sz="4" w:space="0"/>
            </w:tcBorders>
            <w:shd w:val="clear" w:color="auto" w:fill="auto"/>
            <w:vAlign w:val="center"/>
          </w:tcPr>
          <w:p w14:paraId="2B296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FA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r>
      <w:tr w14:paraId="44A41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CFF1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总价（元）</w:t>
            </w: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7E946">
            <w:pPr>
              <w:jc w:val="right"/>
              <w:rPr>
                <w:rFonts w:hint="eastAsia" w:ascii="宋体" w:hAnsi="宋体" w:eastAsia="宋体" w:cs="宋体"/>
                <w:b/>
                <w:bCs/>
                <w:i w:val="0"/>
                <w:iCs w:val="0"/>
                <w:color w:val="000000"/>
                <w:sz w:val="20"/>
                <w:szCs w:val="20"/>
                <w:u w:val="none"/>
              </w:rPr>
            </w:pPr>
          </w:p>
        </w:tc>
        <w:tc>
          <w:tcPr>
            <w:tcW w:w="2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BBF96">
            <w:pPr>
              <w:jc w:val="right"/>
              <w:rPr>
                <w:rFonts w:hint="eastAsia" w:ascii="宋体" w:hAnsi="宋体" w:eastAsia="宋体" w:cs="宋体"/>
                <w:b/>
                <w:bCs/>
                <w:i w:val="0"/>
                <w:iCs w:val="0"/>
                <w:color w:val="000000"/>
                <w:sz w:val="20"/>
                <w:szCs w:val="20"/>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6BF29">
            <w:pPr>
              <w:jc w:val="right"/>
              <w:rPr>
                <w:rFonts w:hint="eastAsia" w:ascii="宋体" w:hAnsi="宋体" w:eastAsia="宋体" w:cs="宋体"/>
                <w:b/>
                <w:bCs/>
                <w:i w:val="0"/>
                <w:iCs w:val="0"/>
                <w:color w:val="000000"/>
                <w:sz w:val="20"/>
                <w:szCs w:val="20"/>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81E2">
            <w:pPr>
              <w:jc w:val="right"/>
              <w:rPr>
                <w:rFonts w:hint="eastAsia" w:ascii="宋体" w:hAnsi="宋体" w:eastAsia="宋体" w:cs="宋体"/>
                <w:b/>
                <w:bCs/>
                <w:i w:val="0"/>
                <w:iCs w:val="0"/>
                <w:color w:val="000000"/>
                <w:sz w:val="20"/>
                <w:szCs w:val="20"/>
                <w:u w:val="none"/>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76952">
            <w:pPr>
              <w:jc w:val="right"/>
              <w:rPr>
                <w:rFonts w:hint="eastAsia" w:ascii="宋体" w:hAnsi="宋体" w:eastAsia="宋体" w:cs="宋体"/>
                <w:b/>
                <w:bCs/>
                <w:i w:val="0"/>
                <w:iCs w:val="0"/>
                <w:color w:val="000000"/>
                <w:sz w:val="20"/>
                <w:szCs w:val="20"/>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FF55C">
            <w:pPr>
              <w:rPr>
                <w:rFonts w:hint="eastAsia" w:ascii="宋体" w:hAnsi="宋体" w:eastAsia="宋体" w:cs="宋体"/>
                <w:b/>
                <w:bCs/>
                <w:i w:val="0"/>
                <w:iCs w:val="0"/>
                <w:color w:val="000000"/>
                <w:sz w:val="20"/>
                <w:szCs w:val="20"/>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B559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1569800.00 </w:t>
            </w:r>
          </w:p>
        </w:tc>
      </w:tr>
    </w:tbl>
    <w:p w14:paraId="1C5A8BE7">
      <w:pPr>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乾坤律师" w:date="2026-08-24T11:49:42Z" w:initials="">
    <w:p w14:paraId="2B48CC75">
      <w:pPr>
        <w:pStyle w:val="2"/>
        <w:rPr>
          <w:rFonts w:hint="default" w:eastAsia="宋体"/>
          <w:lang w:val="en-US" w:eastAsia="zh-CN"/>
        </w:rPr>
      </w:pPr>
      <w:r>
        <w:rPr>
          <w:rFonts w:hint="eastAsia"/>
          <w:lang w:val="en-US" w:eastAsia="zh-CN"/>
        </w:rPr>
        <w:t>经登录“企查查”未查询到该公司存在失信被执行、被行政处罚信息。</w:t>
      </w:r>
    </w:p>
  </w:comment>
  <w:comment w:id="1" w:author="乾坤律师" w:date="2026-08-24T11:54:04Z" w:initials="">
    <w:p w14:paraId="0F429218">
      <w:pPr>
        <w:pStyle w:val="2"/>
        <w:rPr>
          <w:rFonts w:hint="default" w:eastAsia="宋体"/>
          <w:lang w:val="en-US" w:eastAsia="zh-CN"/>
        </w:rPr>
      </w:pPr>
      <w:r>
        <w:rPr>
          <w:rFonts w:hint="eastAsia"/>
          <w:lang w:val="en-US" w:eastAsia="zh-CN"/>
        </w:rPr>
        <w:t>请贵单位核实与招标文件内容是否一致，根据《</w:t>
      </w:r>
      <w:r>
        <w:rPr>
          <w:rFonts w:ascii="Times New Roman" w:hAnsi="Times New Roman"/>
          <w:b w:val="0"/>
          <w:i w:val="0"/>
          <w:color w:val="000000"/>
          <w:sz w:val="33"/>
        </w:rPr>
        <w:t>中华人民共和国招标投标法实施条例</w:t>
      </w:r>
      <w:r>
        <w:rPr>
          <w:rFonts w:hint="eastAsia"/>
          <w:b w:val="0"/>
          <w:i w:val="0"/>
          <w:color w:val="000000"/>
          <w:sz w:val="33"/>
          <w:lang w:eastAsia="zh-CN"/>
        </w:rPr>
        <w:t>》</w:t>
      </w:r>
      <w:r>
        <w:rPr>
          <w:rFonts w:hint="eastAsia"/>
          <w:b w:val="0"/>
          <w:i w:val="0"/>
          <w:color w:val="000000"/>
          <w:sz w:val="33"/>
          <w:lang w:val="en-US" w:eastAsia="zh-CN"/>
        </w:rPr>
        <w:t>规定，应保持一致</w:t>
      </w:r>
    </w:p>
  </w:comment>
  <w:comment w:id="2" w:author="乾坤律师" w:date="2026-08-24T11:57:41Z" w:initials="">
    <w:p w14:paraId="4DCB1AA0">
      <w:pPr>
        <w:pStyle w:val="2"/>
        <w:rPr>
          <w:rFonts w:hint="eastAsia" w:eastAsia="宋体"/>
          <w:lang w:val="en-US" w:eastAsia="zh-CN"/>
        </w:rPr>
      </w:pPr>
      <w:r>
        <w:rPr>
          <w:rFonts w:hint="eastAsia"/>
          <w:lang w:val="en-US" w:eastAsia="zh-CN"/>
        </w:rPr>
        <w:t>同上</w:t>
      </w:r>
      <w:bookmarkStart w:id="0" w:name="_GoBack"/>
      <w:bookmarkEnd w:id="0"/>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B48CC75" w15:done="0"/>
  <w15:commentEx w15:paraId="0F429218" w15:done="0"/>
  <w15:commentEx w15:paraId="4DCB1AA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A65705"/>
    <w:multiLevelType w:val="multilevel"/>
    <w:tmpl w:val="18A65705"/>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乾坤律师">
    <w15:presenceInfo w15:providerId="WPS Office" w15:userId="3162884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ZmU5ZDU4MjE1YWFlNWM3OTZlNzc4ZTk4ZmUxN2QifQ=="/>
  </w:docVars>
  <w:rsids>
    <w:rsidRoot w:val="382E0A70"/>
    <w:rsid w:val="055A49CE"/>
    <w:rsid w:val="07472185"/>
    <w:rsid w:val="082E45DF"/>
    <w:rsid w:val="382E0A70"/>
    <w:rsid w:val="49C5668D"/>
    <w:rsid w:val="4EDC53DC"/>
    <w:rsid w:val="5FA31F76"/>
    <w:rsid w:val="7EFD2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next w:val="4"/>
    <w:qFormat/>
    <w:uiPriority w:val="99"/>
    <w:pPr>
      <w:tabs>
        <w:tab w:val="left" w:pos="567"/>
      </w:tabs>
      <w:spacing w:before="120" w:line="22" w:lineRule="atLeast"/>
    </w:pPr>
    <w:rPr>
      <w:rFonts w:ascii="宋体" w:hAnsi="宋体"/>
      <w:sz w:val="24"/>
    </w:rPr>
  </w:style>
  <w:style w:type="paragraph" w:styleId="4">
    <w:name w:val="Body Text First Indent"/>
    <w:basedOn w:val="3"/>
    <w:qFormat/>
    <w:uiPriority w:val="0"/>
    <w:pPr>
      <w:ind w:firstLine="420" w:firstLineChars="100"/>
    </w:pPr>
    <w:rPr>
      <w:rFonts w:ascii="Calibri" w:hAnsi="Calibri"/>
    </w:rPr>
  </w:style>
  <w:style w:type="paragraph" w:styleId="5">
    <w:name w:val="Plain Text"/>
    <w:basedOn w:val="1"/>
    <w:qFormat/>
    <w:uiPriority w:val="0"/>
    <w:rPr>
      <w:rFonts w:hint="eastAsia" w:ascii="宋体" w:hAnsi="Courier New"/>
      <w:szCs w:val="20"/>
    </w:rPr>
  </w:style>
  <w:style w:type="paragraph" w:customStyle="1" w:styleId="8">
    <w:name w:val="正文首行缩进1"/>
    <w:basedOn w:val="3"/>
    <w:next w:val="3"/>
    <w:autoRedefine/>
    <w:qFormat/>
    <w:uiPriority w:val="99"/>
    <w:pPr>
      <w:tabs>
        <w:tab w:val="left" w:pos="420"/>
      </w:tabs>
      <w:ind w:firstLine="420" w:firstLineChars="100"/>
    </w:pPr>
  </w:style>
  <w:style w:type="character" w:customStyle="1" w:styleId="9">
    <w:name w:val="font41"/>
    <w:basedOn w:val="7"/>
    <w:qFormat/>
    <w:uiPriority w:val="0"/>
    <w:rPr>
      <w:rFonts w:hint="eastAsia" w:ascii="宋体" w:hAnsi="宋体" w:eastAsia="宋体" w:cs="宋体"/>
      <w:color w:val="000000"/>
      <w:sz w:val="20"/>
      <w:szCs w:val="20"/>
      <w:u w:val="none"/>
    </w:rPr>
  </w:style>
  <w:style w:type="character" w:customStyle="1" w:styleId="10">
    <w:name w:val="font101"/>
    <w:basedOn w:val="7"/>
    <w:qFormat/>
    <w:uiPriority w:val="0"/>
    <w:rPr>
      <w:rFonts w:hint="default" w:ascii="Times New Roman" w:hAnsi="Times New Roman" w:cs="Times New Roman"/>
      <w:color w:val="000000"/>
      <w:sz w:val="20"/>
      <w:szCs w:val="20"/>
      <w:u w:val="none"/>
    </w:rPr>
  </w:style>
  <w:style w:type="character" w:customStyle="1" w:styleId="11">
    <w:name w:val="font112"/>
    <w:basedOn w:val="7"/>
    <w:qFormat/>
    <w:uiPriority w:val="0"/>
    <w:rPr>
      <w:rFonts w:ascii="Arial Unicode MS" w:hAnsi="Arial Unicode MS" w:eastAsia="Arial Unicode MS" w:cs="Arial Unicode MS"/>
      <w:color w:val="000000"/>
      <w:sz w:val="20"/>
      <w:szCs w:val="20"/>
      <w:u w:val="non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116</Pages>
  <Words>5014</Words>
  <Characters>5275</Characters>
  <Lines>0</Lines>
  <Paragraphs>0</Paragraphs>
  <TotalTime>1</TotalTime>
  <ScaleCrop>false</ScaleCrop>
  <LinksUpToDate>false</LinksUpToDate>
  <CharactersWithSpaces>5645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2026-08-18T06:55:00Z</dcterms:created>
  <dc:creator>ABC</dc:creator>
  <cp:lastModifiedBy>乾坤律师</cp:lastModifiedBy>
  <dcterms:modified xsi:type="dcterms:W3CDTF">2026-08-24T03:58:26Z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1AA6E1D8A1E14E78AF7F58E47C790A12_11</vt:lpwstr>
  </property>
  <property fmtid="{D5CDD505-2E9C-101B-9397-08002B2CF9AE}" pid="4" name="KSOTemplateDocerSaveRecord">
    <vt:lpwstr>eyJoZGlkIjoiOTBmNTNkZDg4YWI0MDkzYjA0YmU4NTAyZWIzM2I1YTEiLCJ1c2VySWQiOiI0MzkyNDAxNjUifQ==</vt:lpwstr>
  </property>
</Properties>
</file>