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A953" w14:textId="77777777" w:rsidR="00D55F2C" w:rsidRPr="00B52670" w:rsidRDefault="00D55F2C" w:rsidP="00D55F2C">
      <w:pPr>
        <w:spacing w:line="360" w:lineRule="auto"/>
        <w:jc w:val="center"/>
        <w:outlineLvl w:val="0"/>
        <w:rPr>
          <w:rFonts w:ascii="仿宋" w:eastAsia="仿宋" w:hAnsi="仿宋" w:cs="Arial" w:hint="eastAsia"/>
          <w:b/>
          <w:sz w:val="36"/>
          <w:szCs w:val="36"/>
        </w:rPr>
      </w:pPr>
      <w:bookmarkStart w:id="0" w:name="OLE_LINK2"/>
      <w:r w:rsidRPr="00B52670">
        <w:rPr>
          <w:rFonts w:ascii="仿宋" w:eastAsia="仿宋" w:hAnsi="仿宋" w:cs="Arial"/>
          <w:b/>
          <w:sz w:val="36"/>
          <w:szCs w:val="36"/>
        </w:rPr>
        <w:t>采购需求</w:t>
      </w:r>
    </w:p>
    <w:p w14:paraId="4515B583" w14:textId="77777777" w:rsidR="00D55F2C" w:rsidRPr="00B52670" w:rsidRDefault="00D55F2C" w:rsidP="00D55F2C">
      <w:pPr>
        <w:pStyle w:val="a9"/>
        <w:numPr>
          <w:ilvl w:val="0"/>
          <w:numId w:val="1"/>
        </w:numPr>
        <w:tabs>
          <w:tab w:val="left" w:pos="312"/>
        </w:tabs>
        <w:spacing w:line="360" w:lineRule="auto"/>
        <w:rPr>
          <w:rFonts w:ascii="仿宋" w:eastAsia="仿宋" w:hAnsi="仿宋" w:cs="Arial" w:hint="eastAsia"/>
          <w:b/>
          <w:sz w:val="24"/>
        </w:rPr>
      </w:pPr>
      <w:bookmarkStart w:id="1" w:name="_Hlk115353985"/>
      <w:bookmarkStart w:id="2" w:name="_Hlk116664371"/>
      <w:bookmarkStart w:id="3" w:name="_Hlk204256862"/>
      <w:r w:rsidRPr="00B52670">
        <w:rPr>
          <w:rFonts w:ascii="仿宋" w:eastAsia="仿宋" w:hAnsi="仿宋" w:cs="Arial"/>
          <w:b/>
          <w:sz w:val="24"/>
        </w:rPr>
        <w:t>采购标的</w:t>
      </w:r>
    </w:p>
    <w:p w14:paraId="6CE12CB1" w14:textId="77777777" w:rsidR="00D55F2C" w:rsidRPr="00B52670" w:rsidRDefault="00D55F2C" w:rsidP="00D55F2C">
      <w:pPr>
        <w:spacing w:line="360" w:lineRule="auto"/>
        <w:contextualSpacing/>
        <w:rPr>
          <w:rFonts w:ascii="仿宋" w:eastAsia="仿宋" w:hAnsi="仿宋" w:cs="Arial" w:hint="eastAsia"/>
          <w:b/>
          <w:sz w:val="24"/>
        </w:rPr>
      </w:pPr>
      <w:r w:rsidRPr="00B52670">
        <w:rPr>
          <w:rFonts w:ascii="仿宋" w:eastAsia="仿宋" w:hAnsi="仿宋" w:cs="Arial"/>
          <w:bCs/>
          <w:sz w:val="24"/>
        </w:rPr>
        <w:t>1. 采购标的（货物需求一览表或简要服务内容及数量）</w:t>
      </w:r>
    </w:p>
    <w:p w14:paraId="157C74CB" w14:textId="77777777" w:rsidR="00D55F2C" w:rsidRPr="00B52670" w:rsidRDefault="00D55F2C" w:rsidP="00D55F2C">
      <w:pPr>
        <w:spacing w:line="360" w:lineRule="auto"/>
        <w:contextualSpacing/>
        <w:rPr>
          <w:rFonts w:ascii="仿宋" w:eastAsia="仿宋" w:hAnsi="仿宋" w:cs="Arial" w:hint="eastAsia"/>
          <w:bCs/>
          <w:sz w:val="24"/>
        </w:rPr>
      </w:pPr>
      <w:bookmarkStart w:id="4" w:name="_Hlk110870460"/>
      <w:r w:rsidRPr="00B52670">
        <w:rPr>
          <w:rFonts w:ascii="仿宋" w:eastAsia="仿宋" w:hAnsi="仿宋" w:cs="Arial"/>
          <w:bCs/>
          <w:sz w:val="24"/>
        </w:rPr>
        <w:t>2. 项目背景/项目概述（如有）</w:t>
      </w:r>
    </w:p>
    <w:p w14:paraId="62995833" w14:textId="77777777" w:rsidR="00D55F2C" w:rsidRPr="00D6152F" w:rsidRDefault="00D55F2C" w:rsidP="00D55F2C">
      <w:pPr>
        <w:spacing w:line="360" w:lineRule="auto"/>
        <w:contextualSpacing/>
        <w:rPr>
          <w:rFonts w:ascii="仿宋" w:eastAsia="仿宋" w:hAnsi="仿宋" w:cs="Arial" w:hint="eastAsia"/>
          <w:bCs/>
          <w:sz w:val="24"/>
        </w:rPr>
      </w:pPr>
      <w:r>
        <w:rPr>
          <w:rFonts w:ascii="仿宋" w:eastAsia="仿宋" w:hAnsi="仿宋" w:cs="Arial" w:hint="eastAsia"/>
          <w:sz w:val="24"/>
        </w:rPr>
        <w:t>公立医院高质量发展数据加工处理服务采购项目</w:t>
      </w:r>
    </w:p>
    <w:bookmarkEnd w:id="4"/>
    <w:p w14:paraId="2FD98F2B" w14:textId="77777777" w:rsidR="00D55F2C" w:rsidRPr="00B52670" w:rsidRDefault="00D55F2C" w:rsidP="00D55F2C">
      <w:pPr>
        <w:pStyle w:val="a9"/>
        <w:numPr>
          <w:ilvl w:val="0"/>
          <w:numId w:val="1"/>
        </w:numPr>
        <w:tabs>
          <w:tab w:val="left" w:pos="312"/>
        </w:tabs>
        <w:spacing w:line="360" w:lineRule="auto"/>
        <w:rPr>
          <w:rFonts w:ascii="仿宋" w:eastAsia="仿宋" w:hAnsi="仿宋" w:cs="Arial" w:hint="eastAsia"/>
          <w:b/>
          <w:sz w:val="24"/>
        </w:rPr>
      </w:pPr>
      <w:r w:rsidRPr="00B52670">
        <w:rPr>
          <w:rFonts w:ascii="仿宋" w:eastAsia="仿宋" w:hAnsi="仿宋" w:cs="Arial"/>
          <w:b/>
          <w:sz w:val="24"/>
        </w:rPr>
        <w:t>商务要求</w:t>
      </w:r>
    </w:p>
    <w:p w14:paraId="48563B03" w14:textId="77777777" w:rsidR="00D55F2C" w:rsidRPr="00B52670" w:rsidRDefault="00D55F2C" w:rsidP="00D55F2C">
      <w:pPr>
        <w:spacing w:line="360" w:lineRule="auto"/>
        <w:contextualSpacing/>
        <w:rPr>
          <w:rFonts w:ascii="仿宋" w:eastAsia="仿宋" w:hAnsi="仿宋" w:cs="Arial" w:hint="eastAsia"/>
          <w:sz w:val="24"/>
        </w:rPr>
      </w:pPr>
      <w:r w:rsidRPr="00B52670">
        <w:rPr>
          <w:rFonts w:ascii="仿宋" w:eastAsia="仿宋" w:hAnsi="仿宋" w:cs="Arial"/>
          <w:sz w:val="24"/>
        </w:rPr>
        <w:t xml:space="preserve">1. 实施的时间和地点： </w:t>
      </w:r>
    </w:p>
    <w:p w14:paraId="2F22CC7D" w14:textId="77777777" w:rsidR="00D55F2C" w:rsidRPr="00B52670" w:rsidRDefault="00D55F2C" w:rsidP="00D55F2C">
      <w:pPr>
        <w:spacing w:line="360" w:lineRule="auto"/>
        <w:contextualSpacing/>
        <w:rPr>
          <w:rFonts w:ascii="仿宋" w:eastAsia="仿宋" w:hAnsi="仿宋" w:cs="Arial" w:hint="eastAsia"/>
          <w:iCs/>
          <w:sz w:val="24"/>
        </w:rPr>
      </w:pPr>
      <w:r w:rsidRPr="00B52670">
        <w:rPr>
          <w:rFonts w:ascii="仿宋" w:eastAsia="仿宋" w:hAnsi="仿宋" w:cs="Arial"/>
          <w:iCs/>
          <w:sz w:val="24"/>
        </w:rPr>
        <w:t>时间：</w:t>
      </w:r>
      <w:r w:rsidRPr="00776A9A">
        <w:rPr>
          <w:rFonts w:ascii="仿宋" w:eastAsia="仿宋" w:hAnsi="仿宋" w:cs="Arial" w:hint="eastAsia"/>
          <w:sz w:val="24"/>
        </w:rPr>
        <w:t>自合同签订之日起至合同项下全部义务履行完毕止</w:t>
      </w:r>
      <w:r>
        <w:rPr>
          <w:rFonts w:ascii="仿宋" w:eastAsia="仿宋" w:hAnsi="仿宋" w:cs="Arial" w:hint="eastAsia"/>
          <w:sz w:val="24"/>
        </w:rPr>
        <w:t>。</w:t>
      </w:r>
    </w:p>
    <w:p w14:paraId="650BAE8D" w14:textId="77777777" w:rsidR="00D55F2C" w:rsidRPr="00B52670" w:rsidRDefault="00D55F2C" w:rsidP="00D55F2C">
      <w:pPr>
        <w:spacing w:line="360" w:lineRule="auto"/>
        <w:contextualSpacing/>
        <w:rPr>
          <w:rFonts w:ascii="仿宋" w:eastAsia="仿宋" w:hAnsi="仿宋" w:cs="Arial" w:hint="eastAsia"/>
          <w:iCs/>
          <w:sz w:val="24"/>
        </w:rPr>
      </w:pPr>
      <w:r w:rsidRPr="00B52670">
        <w:rPr>
          <w:rFonts w:ascii="仿宋" w:eastAsia="仿宋" w:hAnsi="仿宋" w:cs="Arial"/>
          <w:iCs/>
          <w:sz w:val="24"/>
        </w:rPr>
        <w:t>地点：</w:t>
      </w:r>
      <w:r w:rsidRPr="00B52670">
        <w:rPr>
          <w:rFonts w:ascii="仿宋" w:eastAsia="仿宋" w:hAnsi="仿宋" w:cs="Arial"/>
          <w:sz w:val="24"/>
        </w:rPr>
        <w:t>北京市海淀医院指定地点。</w:t>
      </w:r>
    </w:p>
    <w:p w14:paraId="0C343A95" w14:textId="77777777" w:rsidR="00D55F2C" w:rsidRPr="00B52670" w:rsidRDefault="00D55F2C" w:rsidP="00D55F2C">
      <w:pPr>
        <w:spacing w:line="360" w:lineRule="auto"/>
        <w:contextualSpacing/>
        <w:rPr>
          <w:rFonts w:ascii="仿宋" w:eastAsia="仿宋" w:hAnsi="仿宋" w:cs="Arial" w:hint="eastAsia"/>
          <w:sz w:val="24"/>
        </w:rPr>
      </w:pPr>
      <w:r w:rsidRPr="00B52670">
        <w:rPr>
          <w:rFonts w:ascii="仿宋" w:eastAsia="仿宋" w:hAnsi="仿宋" w:cs="Arial"/>
          <w:sz w:val="24"/>
        </w:rPr>
        <w:t>2. 付款条件：</w:t>
      </w:r>
      <w:r w:rsidRPr="00B52670">
        <w:rPr>
          <w:rFonts w:ascii="仿宋" w:eastAsia="仿宋" w:hAnsi="仿宋" w:cs="Arial" w:hint="eastAsia"/>
          <w:sz w:val="24"/>
        </w:rPr>
        <w:t>详见采购合同</w:t>
      </w:r>
      <w:r w:rsidRPr="00B52670">
        <w:rPr>
          <w:rFonts w:ascii="仿宋" w:eastAsia="仿宋" w:hAnsi="仿宋" w:cs="Arial"/>
          <w:sz w:val="24"/>
        </w:rPr>
        <w:t xml:space="preserve"> </w:t>
      </w:r>
    </w:p>
    <w:p w14:paraId="4AB8140F" w14:textId="77777777" w:rsidR="00D55F2C" w:rsidRPr="00B52670" w:rsidRDefault="00D55F2C" w:rsidP="00D55F2C">
      <w:pPr>
        <w:spacing w:line="360" w:lineRule="auto"/>
        <w:contextualSpacing/>
        <w:rPr>
          <w:rFonts w:ascii="仿宋" w:eastAsia="仿宋" w:hAnsi="仿宋" w:cs="Arial" w:hint="eastAsia"/>
          <w:sz w:val="24"/>
        </w:rPr>
      </w:pPr>
      <w:r w:rsidRPr="00B52670">
        <w:rPr>
          <w:rFonts w:ascii="仿宋" w:eastAsia="仿宋" w:hAnsi="仿宋" w:cs="Arial"/>
          <w:sz w:val="24"/>
        </w:rPr>
        <w:t>3. 包装和运输（如适用，须满足《关于印发〈商品包装政府采购需求标准（试行）〉、〈快递包装政府采购需求标准（试行）〉的通知》（财办库﹝2020﹞123号））</w:t>
      </w:r>
    </w:p>
    <w:p w14:paraId="12E66A8E" w14:textId="77777777" w:rsidR="00D55F2C" w:rsidRPr="00B52670" w:rsidRDefault="00D55F2C" w:rsidP="00D55F2C">
      <w:pPr>
        <w:spacing w:line="360" w:lineRule="auto"/>
        <w:contextualSpacing/>
        <w:rPr>
          <w:rFonts w:ascii="仿宋" w:eastAsia="仿宋" w:hAnsi="仿宋" w:cs="Arial" w:hint="eastAsia"/>
          <w:sz w:val="24"/>
        </w:rPr>
      </w:pPr>
      <w:r w:rsidRPr="00B52670">
        <w:rPr>
          <w:rFonts w:ascii="仿宋" w:eastAsia="仿宋" w:hAnsi="仿宋" w:cs="Arial"/>
          <w:sz w:val="24"/>
        </w:rPr>
        <w:t>4. 售后服务（质保期）：详见（六）货物技术规格具体要求</w:t>
      </w:r>
    </w:p>
    <w:p w14:paraId="2C927AAA" w14:textId="77777777" w:rsidR="00D55F2C" w:rsidRPr="00B52670" w:rsidRDefault="00D55F2C" w:rsidP="00D55F2C">
      <w:pPr>
        <w:spacing w:line="360" w:lineRule="auto"/>
        <w:contextualSpacing/>
        <w:rPr>
          <w:rFonts w:ascii="仿宋" w:eastAsia="仿宋" w:hAnsi="仿宋" w:cs="Arial" w:hint="eastAsia"/>
          <w:sz w:val="24"/>
        </w:rPr>
      </w:pPr>
      <w:r w:rsidRPr="00B52670">
        <w:rPr>
          <w:rFonts w:ascii="仿宋" w:eastAsia="仿宋" w:hAnsi="仿宋" w:cs="Arial"/>
          <w:sz w:val="24"/>
        </w:rPr>
        <w:t>5. 保险（如适用）：详见合同条款</w:t>
      </w:r>
    </w:p>
    <w:p w14:paraId="0A78A4A0" w14:textId="77777777" w:rsidR="00D55F2C" w:rsidRPr="00B52670" w:rsidRDefault="00D55F2C" w:rsidP="00D55F2C">
      <w:pPr>
        <w:pStyle w:val="a9"/>
        <w:numPr>
          <w:ilvl w:val="0"/>
          <w:numId w:val="1"/>
        </w:numPr>
        <w:tabs>
          <w:tab w:val="left" w:pos="312"/>
        </w:tabs>
        <w:spacing w:line="360" w:lineRule="auto"/>
        <w:rPr>
          <w:rFonts w:ascii="仿宋" w:eastAsia="仿宋" w:hAnsi="仿宋" w:cs="Arial" w:hint="eastAsia"/>
          <w:b/>
          <w:sz w:val="24"/>
        </w:rPr>
      </w:pPr>
      <w:r w:rsidRPr="00B52670">
        <w:rPr>
          <w:rFonts w:ascii="仿宋" w:eastAsia="仿宋" w:hAnsi="仿宋" w:cs="Arial"/>
          <w:b/>
          <w:sz w:val="24"/>
        </w:rPr>
        <w:t>技术要求</w:t>
      </w:r>
    </w:p>
    <w:p w14:paraId="515051EF" w14:textId="77777777" w:rsidR="00D55F2C" w:rsidRPr="00B52670" w:rsidRDefault="00D55F2C" w:rsidP="00D55F2C">
      <w:pPr>
        <w:spacing w:line="360" w:lineRule="auto"/>
        <w:contextualSpacing/>
        <w:rPr>
          <w:rFonts w:ascii="仿宋" w:eastAsia="仿宋" w:hAnsi="仿宋" w:cs="Arial" w:hint="eastAsia"/>
          <w:sz w:val="24"/>
        </w:rPr>
      </w:pPr>
      <w:r w:rsidRPr="00B52670">
        <w:rPr>
          <w:rFonts w:ascii="仿宋" w:eastAsia="仿宋" w:hAnsi="仿宋" w:cs="Arial"/>
          <w:sz w:val="24"/>
        </w:rPr>
        <w:t>（一）基本要求</w:t>
      </w:r>
    </w:p>
    <w:p w14:paraId="1164266D" w14:textId="77777777" w:rsidR="00D55F2C" w:rsidRPr="00B52670" w:rsidRDefault="00D55F2C" w:rsidP="00D55F2C">
      <w:pPr>
        <w:spacing w:line="360" w:lineRule="auto"/>
        <w:contextualSpacing/>
        <w:rPr>
          <w:rFonts w:ascii="仿宋" w:eastAsia="仿宋" w:hAnsi="仿宋" w:cs="Arial" w:hint="eastAsia"/>
          <w:sz w:val="24"/>
        </w:rPr>
      </w:pPr>
      <w:r w:rsidRPr="00B52670">
        <w:rPr>
          <w:rFonts w:ascii="仿宋" w:eastAsia="仿宋" w:hAnsi="仿宋" w:cs="Arial"/>
          <w:sz w:val="24"/>
        </w:rPr>
        <w:t>1. 采购标的需实现的功能或者目标：</w:t>
      </w:r>
    </w:p>
    <w:p w14:paraId="4A22ECF4" w14:textId="77777777" w:rsidR="00D55F2C" w:rsidRPr="00B52670" w:rsidRDefault="00D55F2C" w:rsidP="00D55F2C">
      <w:pPr>
        <w:spacing w:line="360" w:lineRule="auto"/>
        <w:contextualSpacing/>
        <w:rPr>
          <w:rFonts w:ascii="仿宋" w:eastAsia="仿宋" w:hAnsi="仿宋" w:cs="Arial" w:hint="eastAsia"/>
          <w:sz w:val="24"/>
        </w:rPr>
      </w:pPr>
      <w:r w:rsidRPr="00B52670">
        <w:rPr>
          <w:rFonts w:ascii="仿宋" w:eastAsia="仿宋" w:hAnsi="仿宋" w:cs="Arial"/>
          <w:sz w:val="24"/>
        </w:rPr>
        <w:t>本次招标</w:t>
      </w:r>
      <w:r w:rsidRPr="00B52670">
        <w:rPr>
          <w:rFonts w:ascii="仿宋" w:eastAsia="仿宋" w:hAnsi="仿宋" w:cs="Arial"/>
          <w:bCs/>
          <w:sz w:val="24"/>
        </w:rPr>
        <w:t>为</w:t>
      </w:r>
      <w:r>
        <w:rPr>
          <w:rFonts w:ascii="仿宋" w:eastAsia="仿宋" w:hAnsi="仿宋" w:cs="Arial" w:hint="eastAsia"/>
          <w:sz w:val="24"/>
          <w:u w:val="single"/>
        </w:rPr>
        <w:t>公立医院高质量发展数据加工处理服务采购项目</w:t>
      </w:r>
      <w:r w:rsidRPr="00B52670">
        <w:rPr>
          <w:rFonts w:ascii="仿宋" w:eastAsia="仿宋" w:hAnsi="仿宋" w:cs="Arial"/>
          <w:sz w:val="24"/>
        </w:rPr>
        <w:t>，投标人应根据招标文件所提出的采购需求，综合考虑产品的适用性。投标人应以技术先进的产品、优良的服务和优惠的价格，充分显示自己的竞争实力。</w:t>
      </w:r>
    </w:p>
    <w:p w14:paraId="38E91FD0"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2.需执行的国家相关标准、行业标准、地方标准或者其他标准、规范：</w:t>
      </w:r>
    </w:p>
    <w:p w14:paraId="627639DD"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2.1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6C96C22D"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3.为落实政府采购政策需满足的要求：</w:t>
      </w:r>
    </w:p>
    <w:p w14:paraId="6EA431F4"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3.1</w:t>
      </w:r>
      <w:r w:rsidRPr="00D55F2C">
        <w:rPr>
          <w:rFonts w:ascii="仿宋" w:eastAsia="仿宋" w:hAnsi="仿宋" w:cs="Arial"/>
          <w:bCs/>
          <w:sz w:val="24"/>
        </w:rPr>
        <w:tab/>
        <w:t>中小企业、监狱企业及残疾人福利性单位；</w:t>
      </w:r>
    </w:p>
    <w:p w14:paraId="2C1D565A"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3.2</w:t>
      </w:r>
      <w:r w:rsidRPr="00D55F2C">
        <w:rPr>
          <w:rFonts w:ascii="仿宋" w:eastAsia="仿宋" w:hAnsi="仿宋" w:cs="Arial"/>
          <w:bCs/>
          <w:sz w:val="24"/>
        </w:rPr>
        <w:tab/>
        <w:t>政府采购节能产品、环境标志产品；</w:t>
      </w:r>
    </w:p>
    <w:p w14:paraId="7C868625"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lastRenderedPageBreak/>
        <w:t>（二）采购标的需满足的服务标准、效率要求：</w:t>
      </w:r>
    </w:p>
    <w:p w14:paraId="4FD53645"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1.</w:t>
      </w:r>
      <w:r w:rsidRPr="00D55F2C">
        <w:rPr>
          <w:rFonts w:ascii="仿宋" w:eastAsia="仿宋" w:hAnsi="仿宋" w:cs="Arial"/>
          <w:bCs/>
          <w:sz w:val="24"/>
        </w:rPr>
        <w:tab/>
        <w:t>供货及时周到，产品质量或包装如不符合国家规定标准和合同规定、出现破损或数量短缺情况，应及时补充货物。</w:t>
      </w:r>
    </w:p>
    <w:p w14:paraId="418FE695"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2.</w:t>
      </w:r>
      <w:r w:rsidRPr="00D55F2C">
        <w:rPr>
          <w:rFonts w:ascii="仿宋" w:eastAsia="仿宋" w:hAnsi="仿宋" w:cs="Arial"/>
          <w:bCs/>
          <w:sz w:val="24"/>
        </w:rPr>
        <w:tab/>
        <w:t>投标人应有能力做好售后服务工作和提供技术保障，应在境内有售后服务机构，有能力相当的服务人员。投标人应提供有关其售后服务的信息，包括名称、建立时间、技术人员的数量、联系人和联系方式情况，以及买方能在本项目下得到的有效的售后服务计划和承诺。</w:t>
      </w:r>
    </w:p>
    <w:p w14:paraId="488DC316"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3.</w:t>
      </w:r>
      <w:r w:rsidRPr="00D55F2C">
        <w:rPr>
          <w:rFonts w:ascii="仿宋" w:eastAsia="仿宋" w:hAnsi="仿宋" w:cs="Arial"/>
          <w:bCs/>
          <w:sz w:val="24"/>
        </w:rPr>
        <w:tab/>
        <w:t>对于新用产品，投标人应做好相关的培训工作，并承担由此产生的所有费用。投标人应提供相应的培训服务方案。</w:t>
      </w:r>
    </w:p>
    <w:p w14:paraId="0181FE7C"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（三）验收标准</w:t>
      </w:r>
    </w:p>
    <w:p w14:paraId="730C8634"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42856AB5"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2. 货物运抵采购项目（标的）交付的地点后，采购人组织验收，由采购人组织验收小组，对货物的数量、外观、包装、质量、安全、功能及性能等进行验收，项目验收依据为采购合同、招标文件和投标文件。验收小组将根据验收情况制作验收备忘录并签署验收意见。</w:t>
      </w:r>
    </w:p>
    <w:p w14:paraId="135B83D7"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3.投标人应负责使所供计量仪器通过计量部门的验收，并承担相关费用（包括运费）。若需要，应在检测期间提供备用仪器，以便不影响采购人的使用。</w:t>
      </w:r>
    </w:p>
    <w:p w14:paraId="38DD79AA"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（四）采购标的的其他技术、服务等要求：</w:t>
      </w:r>
    </w:p>
    <w:p w14:paraId="23914F31"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1.</w:t>
      </w:r>
      <w:r w:rsidRPr="00D55F2C">
        <w:rPr>
          <w:rFonts w:ascii="仿宋" w:eastAsia="仿宋" w:hAnsi="仿宋" w:cs="Arial"/>
          <w:bCs/>
          <w:sz w:val="24"/>
        </w:rPr>
        <w:tab/>
        <w:t>本次采购投标人应负责产品配送，并建立相关配送管理档案，采购人必要时将会要求投标人进行紧急供货，投标人应提供详细的产品配送服务方案。</w:t>
      </w:r>
    </w:p>
    <w:p w14:paraId="1897DBE0"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（五）技术支持材料要求：</w:t>
      </w:r>
    </w:p>
    <w:p w14:paraId="14DAE862"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1、投标人在响应采购需求时，应就“货物技术规格具体要求”进行逐条响应，并针对每个产品提供技术支持资料。如投标人未就“货物技术规格具体要求”进行逐条响应或未提供的所投产品的技术支持资料或提供的技术支持资料与所投产品不一致或不能体现招标文件的技术要求的，评标委员会可不予承认，并可认为该技术应答不符合招标文件要求。由此产生的评标风险，由投标人自行</w:t>
      </w:r>
      <w:r w:rsidRPr="00D55F2C">
        <w:rPr>
          <w:rFonts w:ascii="仿宋" w:eastAsia="仿宋" w:hAnsi="仿宋" w:cs="Arial"/>
          <w:bCs/>
          <w:sz w:val="24"/>
        </w:rPr>
        <w:lastRenderedPageBreak/>
        <w:t>承担。</w:t>
      </w:r>
    </w:p>
    <w:p w14:paraId="2D11C06F" w14:textId="77777777" w:rsidR="00D55F2C" w:rsidRPr="00D55F2C" w:rsidRDefault="00D55F2C" w:rsidP="00D55F2C">
      <w:pPr>
        <w:spacing w:line="360" w:lineRule="auto"/>
        <w:rPr>
          <w:rFonts w:ascii="仿宋" w:eastAsia="仿宋" w:hAnsi="仿宋" w:cs="Arial" w:hint="eastAsia"/>
          <w:bCs/>
          <w:sz w:val="24"/>
        </w:rPr>
      </w:pPr>
      <w:r w:rsidRPr="00D55F2C">
        <w:rPr>
          <w:rFonts w:ascii="仿宋" w:eastAsia="仿宋" w:hAnsi="仿宋" w:cs="Arial"/>
          <w:bCs/>
          <w:sz w:val="24"/>
        </w:rPr>
        <w:t>2、对于技术规格要求中标注“</w:t>
      </w:r>
      <w:r w:rsidRPr="00D55F2C">
        <w:rPr>
          <w:rFonts w:ascii="仿宋" w:eastAsia="仿宋" w:hAnsi="仿宋" w:cs="Segoe UI Symbol"/>
          <w:bCs/>
          <w:sz w:val="24"/>
        </w:rPr>
        <w:t>★</w:t>
      </w:r>
      <w:r w:rsidRPr="00D55F2C">
        <w:rPr>
          <w:rFonts w:ascii="仿宋" w:eastAsia="仿宋" w:hAnsi="仿宋" w:cs="Arial"/>
          <w:bCs/>
          <w:sz w:val="24"/>
        </w:rPr>
        <w:t>”“▲”号或“#”号（如有）的技术参数，在应答采购需求偏离表时具体到技术支持资料页码及条目号。</w:t>
      </w:r>
    </w:p>
    <w:p w14:paraId="1D102B15" w14:textId="77777777" w:rsidR="00D55F2C" w:rsidRPr="00D55F2C" w:rsidRDefault="00D55F2C" w:rsidP="00D55F2C">
      <w:pPr>
        <w:spacing w:line="360" w:lineRule="auto"/>
        <w:rPr>
          <w:rFonts w:ascii="仿宋" w:eastAsia="仿宋" w:hAnsi="仿宋" w:cs="Arial" w:hint="eastAsia"/>
          <w:bCs/>
          <w:i/>
          <w:iCs/>
          <w:sz w:val="24"/>
        </w:rPr>
      </w:pPr>
      <w:bookmarkStart w:id="5" w:name="_Hlk116309730"/>
      <w:r w:rsidRPr="00D55F2C">
        <w:rPr>
          <w:rFonts w:ascii="仿宋" w:eastAsia="仿宋" w:hAnsi="仿宋" w:cs="Arial"/>
          <w:sz w:val="24"/>
        </w:rPr>
        <w:t>（六）</w:t>
      </w:r>
      <w:r w:rsidRPr="00D55F2C">
        <w:rPr>
          <w:rFonts w:ascii="仿宋" w:eastAsia="仿宋" w:hAnsi="仿宋" w:cs="Arial"/>
          <w:bCs/>
          <w:sz w:val="24"/>
        </w:rPr>
        <w:t>技术规格具体要求</w:t>
      </w:r>
      <w:bookmarkStart w:id="6" w:name="_Hlk118874770"/>
    </w:p>
    <w:bookmarkEnd w:id="1"/>
    <w:bookmarkEnd w:id="2"/>
    <w:bookmarkEnd w:id="3"/>
    <w:bookmarkEnd w:id="5"/>
    <w:bookmarkEnd w:id="6"/>
    <w:p w14:paraId="1051866B" w14:textId="77777777" w:rsidR="00D55F2C" w:rsidRDefault="00D55F2C" w:rsidP="00D55F2C">
      <w:pPr>
        <w:spacing w:line="440" w:lineRule="exact"/>
        <w:ind w:firstLineChars="200" w:firstLine="562"/>
        <w:jc w:val="center"/>
        <w:rPr>
          <w:rFonts w:ascii="仿宋" w:eastAsia="仿宋" w:hAnsi="仿宋" w:hint="eastAsia"/>
          <w:b/>
          <w:bCs/>
          <w:sz w:val="28"/>
          <w:szCs w:val="28"/>
        </w:rPr>
      </w:pPr>
    </w:p>
    <w:p w14:paraId="229E7CC8" w14:textId="77777777" w:rsidR="00D55F2C" w:rsidRPr="00DA7BDD" w:rsidRDefault="00D55F2C" w:rsidP="00D55F2C">
      <w:pPr>
        <w:spacing w:line="440" w:lineRule="exact"/>
        <w:ind w:firstLineChars="200" w:firstLine="562"/>
        <w:jc w:val="center"/>
        <w:rPr>
          <w:rFonts w:ascii="仿宋" w:eastAsia="仿宋" w:hAnsi="仿宋" w:hint="eastAsia"/>
          <w:b/>
          <w:bCs/>
          <w:sz w:val="28"/>
          <w:szCs w:val="28"/>
        </w:rPr>
      </w:pPr>
      <w:r w:rsidRPr="00DA7BDD">
        <w:rPr>
          <w:rFonts w:ascii="仿宋" w:eastAsia="仿宋" w:hAnsi="仿宋" w:hint="eastAsia"/>
          <w:b/>
          <w:bCs/>
          <w:sz w:val="28"/>
          <w:szCs w:val="28"/>
        </w:rPr>
        <w:t>海淀区域慢病数据治理服务需求参数</w:t>
      </w:r>
    </w:p>
    <w:p w14:paraId="3525CA31" w14:textId="77777777" w:rsidR="00D55F2C" w:rsidRPr="00E35CC8" w:rsidRDefault="00D55F2C" w:rsidP="00D55F2C">
      <w:pPr>
        <w:spacing w:line="440" w:lineRule="exact"/>
        <w:rPr>
          <w:rFonts w:ascii="仿宋" w:eastAsia="仿宋" w:hAnsi="仿宋" w:hint="eastAsia"/>
          <w:sz w:val="24"/>
        </w:rPr>
      </w:pPr>
      <w:r w:rsidRPr="00E35CC8">
        <w:rPr>
          <w:rFonts w:ascii="仿宋" w:eastAsia="仿宋" w:hAnsi="仿宋" w:hint="eastAsia"/>
          <w:sz w:val="24"/>
        </w:rPr>
        <w:t>一、项目名称：</w:t>
      </w:r>
      <w:r>
        <w:rPr>
          <w:rFonts w:ascii="仿宋" w:eastAsia="仿宋" w:hAnsi="仿宋" w:cs="Arial"/>
          <w:sz w:val="24"/>
        </w:rPr>
        <w:t>公立医院高质量发展数据加工处理服务采购项目</w:t>
      </w:r>
    </w:p>
    <w:p w14:paraId="05CA82DC" w14:textId="77777777" w:rsidR="00D55F2C" w:rsidRPr="00E35CC8" w:rsidRDefault="00D55F2C" w:rsidP="00D55F2C">
      <w:pPr>
        <w:spacing w:line="440" w:lineRule="exact"/>
        <w:rPr>
          <w:rFonts w:ascii="仿宋" w:eastAsia="仿宋" w:hAnsi="仿宋" w:hint="eastAsia"/>
          <w:sz w:val="24"/>
        </w:rPr>
      </w:pPr>
      <w:r w:rsidRPr="00E35CC8">
        <w:rPr>
          <w:rFonts w:ascii="仿宋" w:eastAsia="仿宋" w:hAnsi="仿宋" w:hint="eastAsia"/>
          <w:sz w:val="24"/>
        </w:rPr>
        <w:t>二、预算金额：</w:t>
      </w:r>
      <w:r w:rsidRPr="00E35CC8">
        <w:rPr>
          <w:rFonts w:ascii="仿宋" w:eastAsia="仿宋" w:hAnsi="仿宋"/>
          <w:sz w:val="24"/>
        </w:rPr>
        <w:t>97</w:t>
      </w:r>
      <w:r w:rsidRPr="00E35CC8">
        <w:rPr>
          <w:rFonts w:ascii="仿宋" w:eastAsia="仿宋" w:hAnsi="仿宋" w:hint="eastAsia"/>
          <w:sz w:val="24"/>
        </w:rPr>
        <w:t>万元 （财政资金）   数量：1套</w:t>
      </w:r>
    </w:p>
    <w:p w14:paraId="450AE938" w14:textId="77777777" w:rsidR="00D55F2C" w:rsidRPr="00E35CC8" w:rsidRDefault="00D55F2C" w:rsidP="00D55F2C">
      <w:pPr>
        <w:spacing w:line="440" w:lineRule="exact"/>
        <w:rPr>
          <w:rFonts w:ascii="仿宋" w:eastAsia="仿宋" w:hAnsi="仿宋" w:hint="eastAsia"/>
          <w:sz w:val="24"/>
        </w:rPr>
      </w:pPr>
      <w:r w:rsidRPr="00E35CC8">
        <w:rPr>
          <w:rFonts w:ascii="仿宋" w:eastAsia="仿宋" w:hAnsi="仿宋" w:hint="eastAsia"/>
          <w:sz w:val="24"/>
        </w:rPr>
        <w:t>三、服务质保期：两年</w:t>
      </w:r>
    </w:p>
    <w:p w14:paraId="4EA1E521" w14:textId="77777777" w:rsidR="00D55F2C" w:rsidRPr="00E35CC8" w:rsidRDefault="00D55F2C" w:rsidP="00D55F2C">
      <w:pPr>
        <w:spacing w:line="440" w:lineRule="exact"/>
        <w:rPr>
          <w:rFonts w:ascii="仿宋" w:eastAsia="仿宋" w:hAnsi="仿宋" w:hint="eastAsia"/>
          <w:sz w:val="24"/>
        </w:rPr>
      </w:pPr>
      <w:r w:rsidRPr="00E35CC8">
        <w:rPr>
          <w:rFonts w:ascii="仿宋" w:eastAsia="仿宋" w:hAnsi="仿宋" w:hint="eastAsia"/>
          <w:sz w:val="24"/>
        </w:rPr>
        <w:t>四、功能需求：</w:t>
      </w:r>
    </w:p>
    <w:p w14:paraId="33E01062" w14:textId="77777777" w:rsidR="00D55F2C" w:rsidRPr="00E35CC8" w:rsidRDefault="00D55F2C" w:rsidP="00D55F2C">
      <w:pPr>
        <w:numPr>
          <w:ilvl w:val="0"/>
          <w:numId w:val="2"/>
        </w:numPr>
        <w:spacing w:line="360" w:lineRule="auto"/>
        <w:rPr>
          <w:rFonts w:ascii="仿宋" w:eastAsia="仿宋" w:hAnsi="仿宋" w:hint="eastAsia"/>
          <w:sz w:val="24"/>
        </w:rPr>
      </w:pPr>
      <w:r w:rsidRPr="00E35CC8">
        <w:rPr>
          <w:rFonts w:ascii="仿宋" w:eastAsia="仿宋" w:hAnsi="仿宋" w:hint="eastAsia"/>
          <w:sz w:val="24"/>
        </w:rPr>
        <w:t>以“海淀区卫健委现有门诊/住院/电子病历/检验检查/手术操作/高值耗材”等业务系统为数据源，完成历史5年原始慢病数据的汇聚与清洗。</w:t>
      </w:r>
    </w:p>
    <w:p w14:paraId="35E160EF" w14:textId="77777777" w:rsidR="00D55F2C" w:rsidRPr="00E35CC8" w:rsidRDefault="00D55F2C" w:rsidP="00D55F2C">
      <w:pPr>
        <w:numPr>
          <w:ilvl w:val="0"/>
          <w:numId w:val="2"/>
        </w:numPr>
        <w:spacing w:line="360" w:lineRule="auto"/>
        <w:rPr>
          <w:rFonts w:ascii="仿宋" w:eastAsia="仿宋" w:hAnsi="仿宋" w:hint="eastAsia"/>
          <w:sz w:val="24"/>
        </w:rPr>
      </w:pPr>
      <w:r w:rsidRPr="00E35CC8">
        <w:rPr>
          <w:rFonts w:ascii="仿宋" w:eastAsia="仿宋" w:hAnsi="仿宋" w:hint="eastAsia"/>
          <w:sz w:val="24"/>
        </w:rPr>
        <w:t>以CKM（心肾代谢综合征）为切入点，形成系统性且分层化的数据处理流程，并从中提取现有CKM真实病例，形成CKM回顾性队列。</w:t>
      </w:r>
    </w:p>
    <w:p w14:paraId="225088CB" w14:textId="77777777" w:rsidR="00D55F2C" w:rsidRPr="00E35CC8" w:rsidRDefault="00D55F2C" w:rsidP="00D55F2C">
      <w:pPr>
        <w:numPr>
          <w:ilvl w:val="0"/>
          <w:numId w:val="2"/>
        </w:numPr>
        <w:spacing w:line="360" w:lineRule="auto"/>
        <w:rPr>
          <w:rFonts w:ascii="仿宋" w:eastAsia="仿宋" w:hAnsi="仿宋" w:hint="eastAsia"/>
          <w:sz w:val="24"/>
        </w:rPr>
      </w:pPr>
      <w:r w:rsidRPr="00E35CC8">
        <w:rPr>
          <w:rFonts w:ascii="仿宋" w:eastAsia="仿宋" w:hAnsi="仿宋" w:hint="eastAsia"/>
          <w:sz w:val="24"/>
        </w:rPr>
        <w:t>输出通用数据处理框架+CKM专病流程模板，使后续任何疾病（糖尿病、慢阻肺等）可“一键套用”。</w:t>
      </w:r>
    </w:p>
    <w:p w14:paraId="069C90AB" w14:textId="77777777" w:rsidR="00D55F2C" w:rsidRPr="00E35CC8" w:rsidRDefault="00D55F2C" w:rsidP="00D55F2C">
      <w:pPr>
        <w:numPr>
          <w:ilvl w:val="0"/>
          <w:numId w:val="2"/>
        </w:numPr>
        <w:spacing w:line="440" w:lineRule="exact"/>
        <w:rPr>
          <w:rFonts w:ascii="仿宋" w:eastAsia="仿宋" w:hAnsi="仿宋" w:hint="eastAsia"/>
          <w:sz w:val="24"/>
        </w:rPr>
      </w:pPr>
      <w:r w:rsidRPr="00E35CC8">
        <w:rPr>
          <w:rFonts w:ascii="仿宋" w:eastAsia="仿宋" w:hAnsi="仿宋" w:hint="eastAsia"/>
          <w:sz w:val="24"/>
        </w:rPr>
        <w:t>设计面向“海淀区慢病数据平台”的相关数据规范（含数据字典、API、质量校验规则），确保未来区级系统可直接调用并增量更新。</w:t>
      </w:r>
    </w:p>
    <w:p w14:paraId="3F669716" w14:textId="77777777" w:rsidR="00D55F2C" w:rsidRPr="00E35CC8" w:rsidRDefault="00D55F2C" w:rsidP="00D55F2C">
      <w:pPr>
        <w:numPr>
          <w:ilvl w:val="0"/>
          <w:numId w:val="2"/>
        </w:numPr>
        <w:spacing w:line="440" w:lineRule="exact"/>
        <w:rPr>
          <w:rFonts w:ascii="仿宋" w:eastAsia="仿宋" w:hAnsi="仿宋" w:hint="eastAsia"/>
          <w:sz w:val="24"/>
        </w:rPr>
      </w:pPr>
      <w:r w:rsidRPr="00E35CC8">
        <w:rPr>
          <w:rFonts w:ascii="仿宋" w:eastAsia="仿宋" w:hAnsi="仿宋" w:hint="eastAsia"/>
          <w:sz w:val="24"/>
        </w:rPr>
        <w:t>团队支持：项目团队必须配备以下资质人员：“项目管理 + 数据分析师 + 医学事务 + 客服”多学科团队，提供7×12小时在线支持。</w:t>
      </w:r>
    </w:p>
    <w:p w14:paraId="5DBEEBDA" w14:textId="77777777" w:rsidR="00D55F2C" w:rsidRPr="00E35CC8" w:rsidRDefault="00D55F2C" w:rsidP="00D55F2C">
      <w:pPr>
        <w:ind w:firstLineChars="200" w:firstLine="480"/>
        <w:rPr>
          <w:rFonts w:ascii="仿宋" w:eastAsia="仿宋" w:hAnsi="仿宋" w:hint="eastAsia"/>
          <w:sz w:val="24"/>
        </w:rPr>
      </w:pPr>
    </w:p>
    <w:p w14:paraId="006AE144" w14:textId="77777777" w:rsidR="00D55F2C" w:rsidRPr="00E35CC8" w:rsidRDefault="00D55F2C" w:rsidP="00D55F2C">
      <w:pPr>
        <w:ind w:firstLineChars="200" w:firstLine="480"/>
        <w:rPr>
          <w:rFonts w:ascii="仿宋" w:eastAsia="仿宋" w:hAnsi="仿宋" w:hint="eastAsia"/>
          <w:sz w:val="24"/>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6918"/>
      </w:tblGrid>
      <w:tr w:rsidR="00D55F2C" w:rsidRPr="00E35CC8" w14:paraId="3FCE2BC7" w14:textId="77777777" w:rsidTr="001E1C3A">
        <w:trPr>
          <w:trHeight w:val="340"/>
        </w:trPr>
        <w:tc>
          <w:tcPr>
            <w:tcW w:w="0" w:type="auto"/>
            <w:vAlign w:val="center"/>
          </w:tcPr>
          <w:p w14:paraId="1F50A3BB" w14:textId="77777777" w:rsidR="00D55F2C" w:rsidRPr="00E35CC8" w:rsidRDefault="00D55F2C" w:rsidP="001E1C3A">
            <w:pPr>
              <w:widowControl/>
              <w:jc w:val="cente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项目</w:t>
            </w:r>
          </w:p>
        </w:tc>
        <w:tc>
          <w:tcPr>
            <w:tcW w:w="0" w:type="auto"/>
            <w:vAlign w:val="center"/>
          </w:tcPr>
          <w:p w14:paraId="73A5EEFC" w14:textId="77777777" w:rsidR="00D55F2C" w:rsidRPr="00E35CC8" w:rsidRDefault="00D55F2C" w:rsidP="001E1C3A">
            <w:pPr>
              <w:widowControl/>
              <w:jc w:val="cente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内容</w:t>
            </w:r>
          </w:p>
        </w:tc>
      </w:tr>
      <w:tr w:rsidR="00D55F2C" w:rsidRPr="00E35CC8" w14:paraId="49E38D5F" w14:textId="77777777" w:rsidTr="001E1C3A">
        <w:trPr>
          <w:trHeight w:val="360"/>
        </w:trPr>
        <w:tc>
          <w:tcPr>
            <w:tcW w:w="0" w:type="auto"/>
            <w:vMerge w:val="restart"/>
            <w:vAlign w:val="center"/>
          </w:tcPr>
          <w:p w14:paraId="637234A7" w14:textId="77777777" w:rsidR="00D55F2C" w:rsidRPr="00E35CC8" w:rsidRDefault="00D55F2C" w:rsidP="001E1C3A">
            <w:pPr>
              <w:widowControl/>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原始数据清点 &amp; 质量评估服务</w:t>
            </w:r>
          </w:p>
        </w:tc>
        <w:tc>
          <w:tcPr>
            <w:tcW w:w="0" w:type="auto"/>
            <w:vAlign w:val="center"/>
          </w:tcPr>
          <w:p w14:paraId="2F5ACFD3"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数据覆盖范围清点：医疗机构，表单，数据时间范围。</w:t>
            </w:r>
          </w:p>
        </w:tc>
      </w:tr>
      <w:tr w:rsidR="00D55F2C" w:rsidRPr="00E35CC8" w14:paraId="389E138D" w14:textId="77777777" w:rsidTr="001E1C3A">
        <w:trPr>
          <w:trHeight w:val="1020"/>
        </w:trPr>
        <w:tc>
          <w:tcPr>
            <w:tcW w:w="0" w:type="auto"/>
            <w:vMerge/>
            <w:vAlign w:val="center"/>
          </w:tcPr>
          <w:p w14:paraId="39B3466F"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2DA1F0C2"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数据量清点 ：按年度、医疗机构、表单、字段四级汇总记录条数，对数值型字段，需额外统计非空记录条数、唯一值个数、最大值、最小值。提供Excel总览表（1张），含上述全部统计维度。</w:t>
            </w:r>
          </w:p>
        </w:tc>
      </w:tr>
      <w:tr w:rsidR="00D55F2C" w:rsidRPr="00E35CC8" w14:paraId="18456976" w14:textId="77777777" w:rsidTr="001E1C3A">
        <w:trPr>
          <w:trHeight w:val="2120"/>
        </w:trPr>
        <w:tc>
          <w:tcPr>
            <w:tcW w:w="0" w:type="auto"/>
            <w:vMerge/>
            <w:vAlign w:val="center"/>
          </w:tcPr>
          <w:p w14:paraId="2360D03B"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54213043"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数据字段清点：按照最小清点单元 = “医疗机构-表单-字段”三级。必须清点的表类型：1. 患者基本信息表 2. 诊断记录表 3. 医嘱/处方表  4. 检验结果表 5. 检查报告表 6. 手术记录表  7.耗材使用记录表  8. 费用明细表。每个字段需记录中文名、英文名、数据类型、长度、是否主键/外键、是否可空。对于代码型字段（如性别、诊断编码、药品编码），需单独附“代码值域表”。</w:t>
            </w:r>
          </w:p>
        </w:tc>
      </w:tr>
      <w:tr w:rsidR="00D55F2C" w:rsidRPr="00E35CC8" w14:paraId="2BDECA16" w14:textId="77777777" w:rsidTr="001E1C3A">
        <w:trPr>
          <w:trHeight w:val="1020"/>
        </w:trPr>
        <w:tc>
          <w:tcPr>
            <w:tcW w:w="0" w:type="auto"/>
            <w:vMerge/>
            <w:vAlign w:val="center"/>
          </w:tcPr>
          <w:p w14:paraId="39EB95A8"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1DD913F1"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变量级缺失模式分析：需按医疗机构+表单+时间范围+患者类型（门诊/住院）等分层统计缺失率，识别非随机缺失机制（如某科室某年检验项目集中缺失）。</w:t>
            </w:r>
          </w:p>
        </w:tc>
      </w:tr>
      <w:tr w:rsidR="00D55F2C" w:rsidRPr="00E35CC8" w14:paraId="4DE8CC9A" w14:textId="77777777" w:rsidTr="001E1C3A">
        <w:trPr>
          <w:trHeight w:val="340"/>
        </w:trPr>
        <w:tc>
          <w:tcPr>
            <w:tcW w:w="0" w:type="auto"/>
            <w:vMerge/>
            <w:vAlign w:val="center"/>
          </w:tcPr>
          <w:p w14:paraId="1CFB770D"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7612E504"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异常值识别方法：需说明采用何种规则标记异常值。</w:t>
            </w:r>
          </w:p>
        </w:tc>
      </w:tr>
      <w:tr w:rsidR="00D55F2C" w:rsidRPr="00E35CC8" w14:paraId="668B000B" w14:textId="77777777" w:rsidTr="001E1C3A">
        <w:trPr>
          <w:trHeight w:val="680"/>
        </w:trPr>
        <w:tc>
          <w:tcPr>
            <w:tcW w:w="0" w:type="auto"/>
            <w:vMerge/>
            <w:vAlign w:val="center"/>
          </w:tcPr>
          <w:p w14:paraId="76FE1D6A"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0DBB53D0"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重复记录定义规则：需明确**“同一患者+同一检查项目+同一天”**为重复，避免误删多次合理检查。</w:t>
            </w:r>
          </w:p>
        </w:tc>
      </w:tr>
      <w:tr w:rsidR="00D55F2C" w:rsidRPr="00E35CC8" w14:paraId="5E0119A6" w14:textId="77777777" w:rsidTr="001E1C3A">
        <w:trPr>
          <w:trHeight w:val="680"/>
        </w:trPr>
        <w:tc>
          <w:tcPr>
            <w:tcW w:w="0" w:type="auto"/>
            <w:vMerge/>
            <w:vAlign w:val="center"/>
          </w:tcPr>
          <w:p w14:paraId="7D8D89A6"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39E69579"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时间轴一致性校验：需校验**“入院时间 ≤ 手术时间 ≤ 出院时间”**等基本逻辑，标记时间冲突记录。</w:t>
            </w:r>
          </w:p>
        </w:tc>
      </w:tr>
      <w:tr w:rsidR="00D55F2C" w:rsidRPr="00E35CC8" w14:paraId="4C510325" w14:textId="77777777" w:rsidTr="001E1C3A">
        <w:trPr>
          <w:trHeight w:val="680"/>
        </w:trPr>
        <w:tc>
          <w:tcPr>
            <w:tcW w:w="0" w:type="auto"/>
            <w:vMerge w:val="restart"/>
            <w:vAlign w:val="center"/>
          </w:tcPr>
          <w:p w14:paraId="6B41D536" w14:textId="77777777" w:rsidR="00D55F2C" w:rsidRPr="00E35CC8" w:rsidRDefault="00D55F2C" w:rsidP="001E1C3A">
            <w:pPr>
              <w:widowControl/>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通用清洗框架设计服务</w:t>
            </w:r>
          </w:p>
        </w:tc>
        <w:tc>
          <w:tcPr>
            <w:tcW w:w="0" w:type="auto"/>
            <w:vAlign w:val="center"/>
          </w:tcPr>
          <w:p w14:paraId="579D65A3"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实验室指标需统一单位（如肌酐统一为μmol/L，葡萄糖统一为mmol/L），并提供转换公式与参考区间表。</w:t>
            </w:r>
          </w:p>
        </w:tc>
      </w:tr>
      <w:tr w:rsidR="00D55F2C" w:rsidRPr="00E35CC8" w14:paraId="193561E3" w14:textId="77777777" w:rsidTr="001E1C3A">
        <w:trPr>
          <w:trHeight w:val="680"/>
        </w:trPr>
        <w:tc>
          <w:tcPr>
            <w:tcW w:w="0" w:type="auto"/>
            <w:vMerge/>
            <w:vAlign w:val="center"/>
          </w:tcPr>
          <w:p w14:paraId="5AF26F9E"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21B0DDB0"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缺失值处理策略：需区分**“确实未做” vs “做了但未记录”**，避免后续分析误插补。</w:t>
            </w:r>
          </w:p>
        </w:tc>
      </w:tr>
      <w:tr w:rsidR="00D55F2C" w:rsidRPr="00E35CC8" w14:paraId="188BB87A" w14:textId="77777777" w:rsidTr="001E1C3A">
        <w:trPr>
          <w:trHeight w:val="1020"/>
        </w:trPr>
        <w:tc>
          <w:tcPr>
            <w:tcW w:w="0" w:type="auto"/>
            <w:vMerge/>
            <w:vAlign w:val="center"/>
          </w:tcPr>
          <w:p w14:paraId="2FF8F6BD"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7D1E901E"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衍生变量构造模板：需预置以下科研常用变量构造逻辑：eGFR（CKD-EPI 2021公式）；BMI = 体重(kg) / 身高</w:t>
            </w:r>
            <w:r w:rsidRPr="00E35CC8">
              <w:rPr>
                <w:rFonts w:ascii="Calibri" w:eastAsia="仿宋" w:hAnsi="Calibri" w:cs="Calibri"/>
                <w:color w:val="000000"/>
                <w:kern w:val="0"/>
                <w:sz w:val="24"/>
                <w:lang w:bidi="ar"/>
              </w:rPr>
              <w:t>²</w:t>
            </w:r>
            <w:r w:rsidRPr="00E35CC8">
              <w:rPr>
                <w:rFonts w:ascii="仿宋" w:eastAsia="仿宋" w:hAnsi="仿宋" w:cs="宋体" w:hint="eastAsia"/>
                <w:color w:val="000000"/>
                <w:kern w:val="0"/>
                <w:sz w:val="24"/>
                <w:lang w:bidi="ar"/>
              </w:rPr>
              <w:t>(m</w:t>
            </w:r>
            <w:r w:rsidRPr="00E35CC8">
              <w:rPr>
                <w:rFonts w:ascii="Calibri" w:eastAsia="仿宋" w:hAnsi="Calibri" w:cs="Calibri"/>
                <w:color w:val="000000"/>
                <w:kern w:val="0"/>
                <w:sz w:val="24"/>
                <w:lang w:bidi="ar"/>
              </w:rPr>
              <w:t>²</w:t>
            </w:r>
            <w:r w:rsidRPr="00E35CC8">
              <w:rPr>
                <w:rFonts w:ascii="仿宋" w:eastAsia="仿宋" w:hAnsi="仿宋" w:cs="宋体" w:hint="eastAsia"/>
                <w:color w:val="000000"/>
                <w:kern w:val="0"/>
                <w:sz w:val="24"/>
                <w:lang w:bidi="ar"/>
              </w:rPr>
              <w:t>)，处理单位不一致与异常值（如BMI &gt; 60）；Charlson合并症指数，需附权重表与代码实现</w:t>
            </w:r>
          </w:p>
        </w:tc>
      </w:tr>
      <w:tr w:rsidR="00D55F2C" w:rsidRPr="00E35CC8" w14:paraId="7F6263C2" w14:textId="77777777" w:rsidTr="001E1C3A">
        <w:trPr>
          <w:trHeight w:val="680"/>
        </w:trPr>
        <w:tc>
          <w:tcPr>
            <w:tcW w:w="0" w:type="auto"/>
            <w:vMerge/>
            <w:vAlign w:val="center"/>
          </w:tcPr>
          <w:p w14:paraId="4330D140"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42D84F2E"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敏感性分析支持：框架需支持**“保留原始值 / 插补后值”双版本输出**，便于后续做敏感性分析。</w:t>
            </w:r>
          </w:p>
        </w:tc>
      </w:tr>
      <w:tr w:rsidR="00D55F2C" w:rsidRPr="00E35CC8" w14:paraId="1032B5DD" w14:textId="77777777" w:rsidTr="001E1C3A">
        <w:trPr>
          <w:trHeight w:val="340"/>
        </w:trPr>
        <w:tc>
          <w:tcPr>
            <w:tcW w:w="0" w:type="auto"/>
            <w:vMerge w:val="restart"/>
            <w:vAlign w:val="center"/>
          </w:tcPr>
          <w:p w14:paraId="7C9A17B0" w14:textId="77777777" w:rsidR="00D55F2C" w:rsidRPr="00E35CC8" w:rsidRDefault="00D55F2C" w:rsidP="001E1C3A">
            <w:pPr>
              <w:widowControl/>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CKM 队列数据治理服务</w:t>
            </w:r>
          </w:p>
        </w:tc>
        <w:tc>
          <w:tcPr>
            <w:tcW w:w="0" w:type="auto"/>
            <w:vAlign w:val="center"/>
          </w:tcPr>
          <w:p w14:paraId="3E8BB1D9"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CKM定义与分期标准：需明确采用2023 AHA联合共识，</w:t>
            </w:r>
          </w:p>
        </w:tc>
      </w:tr>
      <w:tr w:rsidR="00D55F2C" w:rsidRPr="00E35CC8" w14:paraId="0C97918A" w14:textId="77777777" w:rsidTr="001E1C3A">
        <w:trPr>
          <w:trHeight w:val="2020"/>
        </w:trPr>
        <w:tc>
          <w:tcPr>
            <w:tcW w:w="0" w:type="auto"/>
            <w:vMerge/>
            <w:vAlign w:val="center"/>
          </w:tcPr>
          <w:p w14:paraId="0477A592"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7D17940C" w14:textId="77777777" w:rsidR="00D55F2C" w:rsidRPr="00E35CC8" w:rsidRDefault="00D55F2C" w:rsidP="00D55F2C">
            <w:pPr>
              <w:pStyle w:val="af3"/>
              <w:numPr>
                <w:ilvl w:val="0"/>
                <w:numId w:val="3"/>
              </w:numPr>
              <w:jc w:val="both"/>
              <w:rPr>
                <w:rFonts w:ascii="仿宋" w:eastAsia="仿宋" w:hAnsi="仿宋" w:hint="eastAsia"/>
                <w:color w:val="000000"/>
              </w:rPr>
            </w:pPr>
            <w:r w:rsidRPr="00E35CC8">
              <w:rPr>
                <w:rFonts w:ascii="仿宋" w:eastAsia="仿宋" w:hAnsi="仿宋" w:hint="eastAsia"/>
                <w:color w:val="000000"/>
                <w:lang w:bidi="ar"/>
              </w:rPr>
              <w:t>提供以下表型算法：</w:t>
            </w:r>
            <w:r w:rsidRPr="00E35CC8">
              <w:rPr>
                <w:rFonts w:ascii="Courier New" w:eastAsia="仿宋" w:hAnsi="Courier New" w:cs="Courier New"/>
                <w:color w:val="000000"/>
                <w:lang w:bidi="ar"/>
              </w:rPr>
              <w:t>‌</w:t>
            </w:r>
            <w:r w:rsidRPr="00E35CC8">
              <w:rPr>
                <w:rFonts w:ascii="仿宋" w:eastAsia="仿宋" w:hAnsi="仿宋" w:hint="eastAsia"/>
                <w:color w:val="000000"/>
                <w:lang w:bidi="ar"/>
              </w:rPr>
              <w:t>0期：无CKM危险因素，体重指数（BMI）和腰围正常，血糖、血压、血脂正常，无CKD或亚临床CVD证据。</w:t>
            </w:r>
            <w:r w:rsidRPr="00E35CC8">
              <w:rPr>
                <w:rFonts w:ascii="Courier New" w:eastAsia="仿宋" w:hAnsi="Courier New" w:cs="Courier New"/>
                <w:color w:val="000000"/>
                <w:lang w:bidi="ar"/>
              </w:rPr>
              <w:t>‌</w:t>
            </w:r>
            <w:r w:rsidRPr="00E35CC8">
              <w:rPr>
                <w:rFonts w:ascii="仿宋" w:eastAsia="仿宋" w:hAnsi="仿宋" w:hint="eastAsia"/>
                <w:color w:val="000000"/>
                <w:lang w:bidi="ar"/>
              </w:rPr>
              <w:t>1期：存在超重/肥胖、腹型肥胖或功能异常的脂肪组织，但未合并其他代谢危险因素或CKD。BMI≥25kg/m</w:t>
            </w:r>
            <w:r w:rsidRPr="00E35CC8">
              <w:rPr>
                <w:rFonts w:ascii="Calibri" w:eastAsia="仿宋" w:hAnsi="Calibri" w:cs="Calibri"/>
                <w:color w:val="000000"/>
                <w:lang w:bidi="ar"/>
              </w:rPr>
              <w:t>²</w:t>
            </w:r>
            <w:r w:rsidRPr="00E35CC8">
              <w:rPr>
                <w:rFonts w:ascii="仿宋" w:eastAsia="仿宋" w:hAnsi="仿宋" w:cs="仿宋" w:hint="eastAsia"/>
                <w:color w:val="000000"/>
                <w:lang w:bidi="ar"/>
              </w:rPr>
              <w:t>（亚洲人群≥</w:t>
            </w:r>
            <w:r w:rsidRPr="00E35CC8">
              <w:rPr>
                <w:rFonts w:ascii="仿宋" w:eastAsia="仿宋" w:hAnsi="仿宋" w:hint="eastAsia"/>
                <w:color w:val="000000"/>
                <w:lang w:bidi="ar"/>
              </w:rPr>
              <w:t>23kg/m</w:t>
            </w:r>
            <w:r w:rsidRPr="00E35CC8">
              <w:rPr>
                <w:rFonts w:ascii="Calibri" w:eastAsia="仿宋" w:hAnsi="Calibri" w:cs="Calibri"/>
                <w:color w:val="000000"/>
                <w:lang w:bidi="ar"/>
              </w:rPr>
              <w:t>²</w:t>
            </w:r>
            <w:r w:rsidRPr="00E35CC8">
              <w:rPr>
                <w:rFonts w:ascii="仿宋" w:eastAsia="仿宋" w:hAnsi="仿宋" w:cs="仿宋" w:hint="eastAsia"/>
                <w:color w:val="000000"/>
                <w:lang w:bidi="ar"/>
              </w:rPr>
              <w:t>），女性腰围≥</w:t>
            </w:r>
            <w:r w:rsidRPr="00E35CC8">
              <w:rPr>
                <w:rFonts w:ascii="仿宋" w:eastAsia="仿宋" w:hAnsi="仿宋" w:hint="eastAsia"/>
                <w:color w:val="000000"/>
                <w:lang w:bidi="ar"/>
              </w:rPr>
              <w:t>88cm，男性≥102cm（亚洲人群女/男≥80/90cm），空腹血糖≥100-124mg/dl或糖化血红蛋白（HbA1c）在5.7%-6.4%。</w:t>
            </w:r>
            <w:r w:rsidRPr="00E35CC8">
              <w:rPr>
                <w:rFonts w:ascii="Courier New" w:eastAsia="仿宋" w:hAnsi="Courier New" w:cs="Courier New"/>
                <w:color w:val="000000"/>
                <w:lang w:bidi="ar"/>
              </w:rPr>
              <w:t>‌</w:t>
            </w:r>
            <w:r w:rsidRPr="00E35CC8">
              <w:rPr>
                <w:rFonts w:ascii="仿宋" w:eastAsia="仿宋" w:hAnsi="仿宋" w:hint="eastAsia"/>
                <w:color w:val="000000"/>
                <w:lang w:bidi="ar"/>
              </w:rPr>
              <w:t>2期：合并代谢危险因素（如高血压、糖尿病、代谢综合征）和/或中至高危CKD。</w:t>
            </w:r>
            <w:r w:rsidRPr="00E35CC8">
              <w:rPr>
                <w:rFonts w:ascii="Courier New" w:eastAsia="仿宋" w:hAnsi="Courier New" w:cs="Courier New"/>
                <w:color w:val="000000"/>
                <w:lang w:bidi="ar"/>
              </w:rPr>
              <w:t>‌</w:t>
            </w:r>
            <w:r w:rsidRPr="00E35CC8">
              <w:rPr>
                <w:rFonts w:ascii="仿宋" w:eastAsia="仿宋" w:hAnsi="仿宋" w:hint="eastAsia"/>
                <w:color w:val="000000"/>
                <w:lang w:bidi="ar"/>
              </w:rPr>
              <w:t>3期：合并亚临床CVD（如冠状动脉钙化、外周动脉疾病等），或处于同等危险程度的慢性肾脏病。</w:t>
            </w:r>
            <w:r w:rsidRPr="00E35CC8">
              <w:rPr>
                <w:rFonts w:ascii="Courier New" w:eastAsia="仿宋" w:hAnsi="Courier New" w:cs="Courier New"/>
                <w:color w:val="000000"/>
                <w:lang w:bidi="ar"/>
              </w:rPr>
              <w:t>‌</w:t>
            </w:r>
            <w:r w:rsidRPr="00E35CC8">
              <w:rPr>
                <w:rFonts w:ascii="仿宋" w:eastAsia="仿宋" w:hAnsi="仿宋" w:hint="eastAsia"/>
                <w:color w:val="000000"/>
                <w:lang w:bidi="ar"/>
              </w:rPr>
              <w:t>4期：合并临床CVD（如冠心病、心力衰竭、卒中等），或处于极高危慢性肾脏病阶段。</w:t>
            </w:r>
          </w:p>
        </w:tc>
      </w:tr>
      <w:tr w:rsidR="00D55F2C" w:rsidRPr="00E35CC8" w14:paraId="0FA3A10D" w14:textId="77777777" w:rsidTr="001E1C3A">
        <w:trPr>
          <w:trHeight w:val="1020"/>
        </w:trPr>
        <w:tc>
          <w:tcPr>
            <w:tcW w:w="0" w:type="auto"/>
            <w:vMerge/>
            <w:vAlign w:val="center"/>
          </w:tcPr>
          <w:p w14:paraId="2DB7144E"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6392BE83"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用药暴露定义：“曾经使用”：≥1次处方记录；“持续使用”：≥3次处方，且覆盖≥90天窗口；需说明**“洗脱期”**如何处理（如GLP-1RA使用前是否需排除糖尿病诊断）</w:t>
            </w:r>
          </w:p>
        </w:tc>
      </w:tr>
      <w:tr w:rsidR="00D55F2C" w:rsidRPr="00E35CC8" w14:paraId="26F2E851" w14:textId="77777777" w:rsidTr="001E1C3A">
        <w:trPr>
          <w:trHeight w:val="340"/>
        </w:trPr>
        <w:tc>
          <w:tcPr>
            <w:tcW w:w="0" w:type="auto"/>
            <w:vMerge/>
            <w:vAlign w:val="center"/>
          </w:tcPr>
          <w:p w14:paraId="1366340F" w14:textId="77777777" w:rsidR="00D55F2C" w:rsidRPr="00E35CC8" w:rsidRDefault="00D55F2C" w:rsidP="001E1C3A">
            <w:pPr>
              <w:rPr>
                <w:rFonts w:ascii="仿宋" w:eastAsia="仿宋" w:hAnsi="仿宋" w:cs="宋体" w:hint="eastAsia"/>
                <w:color w:val="000000"/>
                <w:sz w:val="24"/>
              </w:rPr>
            </w:pPr>
          </w:p>
        </w:tc>
        <w:tc>
          <w:tcPr>
            <w:tcW w:w="0" w:type="auto"/>
            <w:vAlign w:val="center"/>
          </w:tcPr>
          <w:p w14:paraId="52E7F01A"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提供R/Python/SQL 脚本模板。</w:t>
            </w:r>
          </w:p>
        </w:tc>
      </w:tr>
      <w:tr w:rsidR="00D55F2C" w:rsidRPr="00E35CC8" w14:paraId="564ECD2B" w14:textId="77777777" w:rsidTr="001E1C3A">
        <w:trPr>
          <w:trHeight w:val="1360"/>
        </w:trPr>
        <w:tc>
          <w:tcPr>
            <w:tcW w:w="0" w:type="auto"/>
            <w:vMerge w:val="restart"/>
            <w:vAlign w:val="center"/>
          </w:tcPr>
          <w:p w14:paraId="4FC74138" w14:textId="77777777" w:rsidR="00D55F2C" w:rsidRPr="00E35CC8" w:rsidRDefault="00D55F2C" w:rsidP="001E1C3A">
            <w:pPr>
              <w:widowControl/>
              <w:jc w:val="cente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可套用流程模板服务 《专病队列治理流程模板》</w:t>
            </w:r>
          </w:p>
        </w:tc>
        <w:tc>
          <w:tcPr>
            <w:tcW w:w="0" w:type="auto"/>
            <w:vAlign w:val="center"/>
          </w:tcPr>
          <w:p w14:paraId="2A1DDA5C"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实验室指标取值的“科研窗口”规则：如：“基线eGFR”定义为首次入院7天内最低值；“随访eGFR”定义为出院后30±15天内的首次值；合并症识别窗口：需说明**“既往病史”与“新发合并症”如何区分（如使用1年清洗期**排除既往史）。</w:t>
            </w:r>
          </w:p>
        </w:tc>
      </w:tr>
      <w:tr w:rsidR="00D55F2C" w:rsidRPr="00E35CC8" w14:paraId="225AE803" w14:textId="77777777" w:rsidTr="001E1C3A">
        <w:trPr>
          <w:trHeight w:val="680"/>
        </w:trPr>
        <w:tc>
          <w:tcPr>
            <w:tcW w:w="0" w:type="auto"/>
            <w:vMerge/>
            <w:vAlign w:val="center"/>
          </w:tcPr>
          <w:p w14:paraId="2821CAFB" w14:textId="77777777" w:rsidR="00D55F2C" w:rsidRPr="00E35CC8" w:rsidRDefault="00D55F2C" w:rsidP="001E1C3A">
            <w:pPr>
              <w:jc w:val="center"/>
              <w:rPr>
                <w:rFonts w:ascii="仿宋" w:eastAsia="仿宋" w:hAnsi="仿宋" w:cs="宋体" w:hint="eastAsia"/>
                <w:color w:val="000000"/>
                <w:sz w:val="24"/>
              </w:rPr>
            </w:pPr>
          </w:p>
        </w:tc>
        <w:tc>
          <w:tcPr>
            <w:tcW w:w="0" w:type="auto"/>
            <w:vAlign w:val="center"/>
          </w:tcPr>
          <w:p w14:paraId="3374C94A"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入排条件结构化模板：每条规则需拆分为**“变量 + 运算符 + 阈值 + 时间窗口”**；</w:t>
            </w:r>
          </w:p>
        </w:tc>
      </w:tr>
      <w:tr w:rsidR="00D55F2C" w:rsidRPr="00E35CC8" w14:paraId="69DA3B1B" w14:textId="77777777" w:rsidTr="001E1C3A">
        <w:trPr>
          <w:trHeight w:val="680"/>
        </w:trPr>
        <w:tc>
          <w:tcPr>
            <w:tcW w:w="0" w:type="auto"/>
            <w:vMerge/>
            <w:vAlign w:val="center"/>
          </w:tcPr>
          <w:p w14:paraId="1483838C" w14:textId="77777777" w:rsidR="00D55F2C" w:rsidRPr="00E35CC8" w:rsidRDefault="00D55F2C" w:rsidP="001E1C3A">
            <w:pPr>
              <w:jc w:val="center"/>
              <w:rPr>
                <w:rFonts w:ascii="仿宋" w:eastAsia="仿宋" w:hAnsi="仿宋" w:cs="宋体" w:hint="eastAsia"/>
                <w:color w:val="000000"/>
                <w:sz w:val="24"/>
              </w:rPr>
            </w:pPr>
          </w:p>
        </w:tc>
        <w:tc>
          <w:tcPr>
            <w:tcW w:w="0" w:type="auto"/>
            <w:vAlign w:val="center"/>
          </w:tcPr>
          <w:p w14:paraId="145A5E24"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变量映射表模板：需提供**“科研变量名 + 来源表 + 来源字段 + 转换逻辑”**四列模板。</w:t>
            </w:r>
          </w:p>
        </w:tc>
      </w:tr>
      <w:tr w:rsidR="00D55F2C" w:rsidRPr="00E35CC8" w14:paraId="07A2FB20" w14:textId="77777777" w:rsidTr="001E1C3A">
        <w:trPr>
          <w:trHeight w:val="1060"/>
        </w:trPr>
        <w:tc>
          <w:tcPr>
            <w:tcW w:w="0" w:type="auto"/>
            <w:vAlign w:val="center"/>
          </w:tcPr>
          <w:p w14:paraId="741A6534" w14:textId="77777777" w:rsidR="00D55F2C" w:rsidRPr="00E35CC8" w:rsidRDefault="00D55F2C" w:rsidP="001E1C3A">
            <w:pPr>
              <w:widowControl/>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区级系统对接规范服务</w:t>
            </w:r>
          </w:p>
        </w:tc>
        <w:tc>
          <w:tcPr>
            <w:tcW w:w="0" w:type="auto"/>
            <w:vAlign w:val="center"/>
          </w:tcPr>
          <w:p w14:paraId="33A97966"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设计海淀区科研数据平台数据库接口规范，按月与海淀区慢病数据进行对接更新。</w:t>
            </w:r>
          </w:p>
        </w:tc>
      </w:tr>
      <w:tr w:rsidR="00D55F2C" w:rsidRPr="00E35CC8" w14:paraId="624E4D35" w14:textId="77777777" w:rsidTr="001E1C3A">
        <w:trPr>
          <w:trHeight w:val="680"/>
        </w:trPr>
        <w:tc>
          <w:tcPr>
            <w:tcW w:w="0" w:type="auto"/>
            <w:vMerge w:val="restart"/>
            <w:vAlign w:val="center"/>
          </w:tcPr>
          <w:p w14:paraId="1288AF87" w14:textId="77777777" w:rsidR="00D55F2C" w:rsidRPr="00E35CC8" w:rsidRDefault="00D55F2C" w:rsidP="001E1C3A">
            <w:pPr>
              <w:widowControl/>
              <w:jc w:val="cente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 xml:space="preserve">培训与运维 </w:t>
            </w:r>
          </w:p>
        </w:tc>
        <w:tc>
          <w:tcPr>
            <w:tcW w:w="0" w:type="auto"/>
            <w:vAlign w:val="center"/>
          </w:tcPr>
          <w:p w14:paraId="20C28AAA"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现场培训不少于2场，对象为数据工程师、临床医生、IT运维三类角色；从项目交付开始提供2年项目运维；运维期结束后依然不定期提供项目远程指导。</w:t>
            </w:r>
          </w:p>
        </w:tc>
      </w:tr>
      <w:tr w:rsidR="00D55F2C" w:rsidRPr="00E35CC8" w14:paraId="35033273" w14:textId="77777777" w:rsidTr="001E1C3A">
        <w:trPr>
          <w:trHeight w:val="680"/>
        </w:trPr>
        <w:tc>
          <w:tcPr>
            <w:tcW w:w="0" w:type="auto"/>
            <w:vMerge/>
            <w:vAlign w:val="center"/>
          </w:tcPr>
          <w:p w14:paraId="70F4E5F5" w14:textId="77777777" w:rsidR="00D55F2C" w:rsidRPr="00E35CC8" w:rsidRDefault="00D55F2C" w:rsidP="001E1C3A">
            <w:pPr>
              <w:jc w:val="center"/>
              <w:rPr>
                <w:rFonts w:ascii="仿宋" w:eastAsia="仿宋" w:hAnsi="仿宋" w:cs="宋体" w:hint="eastAsia"/>
                <w:color w:val="000000"/>
                <w:sz w:val="24"/>
              </w:rPr>
            </w:pPr>
          </w:p>
        </w:tc>
        <w:tc>
          <w:tcPr>
            <w:tcW w:w="0" w:type="auto"/>
            <w:vAlign w:val="center"/>
          </w:tcPr>
          <w:p w14:paraId="7E26E3EF"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培训案例包：需提供**“CKM队列构建全流程案例”**（含原始数据→清洗代码→变量构造→分期结果），学员可复现。</w:t>
            </w:r>
          </w:p>
        </w:tc>
      </w:tr>
      <w:tr w:rsidR="00D55F2C" w:rsidRPr="00E35CC8" w14:paraId="59B44B3B" w14:textId="77777777" w:rsidTr="001E1C3A">
        <w:trPr>
          <w:trHeight w:val="680"/>
        </w:trPr>
        <w:tc>
          <w:tcPr>
            <w:tcW w:w="0" w:type="auto"/>
            <w:vMerge/>
            <w:vAlign w:val="center"/>
          </w:tcPr>
          <w:p w14:paraId="56B32B89" w14:textId="77777777" w:rsidR="00D55F2C" w:rsidRPr="00E35CC8" w:rsidRDefault="00D55F2C" w:rsidP="001E1C3A">
            <w:pPr>
              <w:jc w:val="center"/>
              <w:rPr>
                <w:rFonts w:ascii="仿宋" w:eastAsia="仿宋" w:hAnsi="仿宋" w:cs="宋体" w:hint="eastAsia"/>
                <w:color w:val="000000"/>
                <w:sz w:val="24"/>
              </w:rPr>
            </w:pPr>
          </w:p>
        </w:tc>
        <w:tc>
          <w:tcPr>
            <w:tcW w:w="0" w:type="auto"/>
            <w:vAlign w:val="center"/>
          </w:tcPr>
          <w:p w14:paraId="329A04BB"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代码解释文档：每个清洗脚本需附带**“科研逻辑说明”**（如：为何剔除eGFR&lt;15的患者？为何用最低值而非均值？）</w:t>
            </w:r>
          </w:p>
        </w:tc>
      </w:tr>
      <w:tr w:rsidR="00D55F2C" w:rsidRPr="00E35CC8" w14:paraId="545BD76D" w14:textId="77777777" w:rsidTr="001E1C3A">
        <w:trPr>
          <w:trHeight w:val="720"/>
        </w:trPr>
        <w:tc>
          <w:tcPr>
            <w:tcW w:w="0" w:type="auto"/>
            <w:vAlign w:val="center"/>
          </w:tcPr>
          <w:p w14:paraId="74B6F357" w14:textId="77777777" w:rsidR="00D55F2C" w:rsidRPr="00E35CC8" w:rsidRDefault="00D55F2C" w:rsidP="001E1C3A">
            <w:pPr>
              <w:widowControl/>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其余专病队列（疼痛）本地化拓展服务</w:t>
            </w:r>
          </w:p>
        </w:tc>
        <w:tc>
          <w:tcPr>
            <w:tcW w:w="0" w:type="auto"/>
            <w:vAlign w:val="center"/>
          </w:tcPr>
          <w:p w14:paraId="29A259CD" w14:textId="77777777" w:rsidR="00D55F2C" w:rsidRPr="00E35CC8" w:rsidRDefault="00D55F2C" w:rsidP="00D55F2C">
            <w:pPr>
              <w:widowControl/>
              <w:numPr>
                <w:ilvl w:val="0"/>
                <w:numId w:val="3"/>
              </w:numPr>
              <w:textAlignment w:val="center"/>
              <w:rPr>
                <w:rFonts w:ascii="仿宋" w:eastAsia="仿宋" w:hAnsi="仿宋" w:cs="宋体" w:hint="eastAsia"/>
                <w:color w:val="000000"/>
                <w:sz w:val="24"/>
              </w:rPr>
            </w:pPr>
            <w:r w:rsidRPr="00E35CC8">
              <w:rPr>
                <w:rFonts w:ascii="仿宋" w:eastAsia="仿宋" w:hAnsi="仿宋" w:cs="宋体" w:hint="eastAsia"/>
                <w:color w:val="000000"/>
                <w:kern w:val="0"/>
                <w:sz w:val="24"/>
                <w:lang w:bidi="ar"/>
              </w:rPr>
              <w:t>建设疼痛专病队列，用以测试多队列建设的可扩展性</w:t>
            </w:r>
          </w:p>
        </w:tc>
      </w:tr>
      <w:tr w:rsidR="00D55F2C" w:rsidRPr="00E35CC8" w14:paraId="746CD52C" w14:textId="77777777" w:rsidTr="001E1C3A">
        <w:trPr>
          <w:trHeight w:val="720"/>
        </w:trPr>
        <w:tc>
          <w:tcPr>
            <w:tcW w:w="0" w:type="auto"/>
            <w:vAlign w:val="center"/>
          </w:tcPr>
          <w:p w14:paraId="62645526" w14:textId="77777777" w:rsidR="00D55F2C" w:rsidRPr="00E35CC8" w:rsidRDefault="00D55F2C" w:rsidP="001E1C3A">
            <w:pPr>
              <w:widowControl/>
              <w:textAlignment w:val="center"/>
              <w:rPr>
                <w:rFonts w:ascii="仿宋" w:eastAsia="仿宋" w:hAnsi="仿宋" w:cs="宋体" w:hint="eastAsia"/>
                <w:color w:val="000000"/>
                <w:kern w:val="0"/>
                <w:sz w:val="24"/>
                <w:lang w:bidi="ar"/>
              </w:rPr>
            </w:pPr>
            <w:r w:rsidRPr="00E35CC8">
              <w:rPr>
                <w:rFonts w:ascii="仿宋" w:eastAsia="仿宋" w:hAnsi="仿宋" w:cs="宋体" w:hint="eastAsia"/>
                <w:color w:val="000000"/>
                <w:kern w:val="0"/>
                <w:sz w:val="24"/>
                <w:lang w:bidi="ar"/>
              </w:rPr>
              <w:t>团队支持服务</w:t>
            </w:r>
          </w:p>
        </w:tc>
        <w:tc>
          <w:tcPr>
            <w:tcW w:w="0" w:type="auto"/>
            <w:vAlign w:val="center"/>
          </w:tcPr>
          <w:p w14:paraId="3E2389DE" w14:textId="77777777" w:rsidR="00D55F2C" w:rsidRPr="00E35CC8" w:rsidRDefault="00D55F2C" w:rsidP="00D55F2C">
            <w:pPr>
              <w:widowControl/>
              <w:numPr>
                <w:ilvl w:val="0"/>
                <w:numId w:val="3"/>
              </w:numPr>
              <w:textAlignment w:val="center"/>
              <w:rPr>
                <w:rFonts w:ascii="仿宋" w:eastAsia="仿宋" w:hAnsi="仿宋" w:cs="宋体" w:hint="eastAsia"/>
                <w:color w:val="000000"/>
                <w:kern w:val="0"/>
                <w:sz w:val="24"/>
                <w:lang w:bidi="ar"/>
              </w:rPr>
            </w:pPr>
            <w:r w:rsidRPr="00E35CC8">
              <w:rPr>
                <w:rFonts w:ascii="仿宋" w:eastAsia="仿宋" w:hAnsi="仿宋" w:cs="宋体" w:hint="eastAsia"/>
                <w:color w:val="000000"/>
                <w:kern w:val="0"/>
                <w:sz w:val="24"/>
                <w:lang w:bidi="ar"/>
              </w:rPr>
              <w:t>提供项目管理，数据分析师，医学事务，客服等多学科团队要求，</w:t>
            </w:r>
            <w:r w:rsidRPr="00E35CC8">
              <w:rPr>
                <w:rFonts w:ascii="仿宋" w:eastAsia="仿宋" w:hAnsi="仿宋" w:hint="eastAsia"/>
                <w:sz w:val="24"/>
              </w:rPr>
              <w:t>提供7×12小时在线支持。</w:t>
            </w:r>
          </w:p>
        </w:tc>
      </w:tr>
      <w:bookmarkEnd w:id="0"/>
    </w:tbl>
    <w:p w14:paraId="6E7D761A" w14:textId="51856858" w:rsidR="00C21930" w:rsidRPr="00D55F2C" w:rsidRDefault="00C21930">
      <w:pPr>
        <w:rPr>
          <w:rFonts w:hint="eastAsia"/>
        </w:rPr>
      </w:pPr>
    </w:p>
    <w:sectPr w:rsidR="00C21930" w:rsidRPr="00D55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A78F" w14:textId="77777777" w:rsidR="00BB0B8B" w:rsidRDefault="00BB0B8B" w:rsidP="00D55F2C">
      <w:pPr>
        <w:rPr>
          <w:rFonts w:hint="eastAsia"/>
        </w:rPr>
      </w:pPr>
      <w:r>
        <w:separator/>
      </w:r>
    </w:p>
  </w:endnote>
  <w:endnote w:type="continuationSeparator" w:id="0">
    <w:p w14:paraId="7C735A76" w14:textId="77777777" w:rsidR="00BB0B8B" w:rsidRDefault="00BB0B8B" w:rsidP="00D55F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6B40" w14:textId="77777777" w:rsidR="00BB0B8B" w:rsidRDefault="00BB0B8B" w:rsidP="00D55F2C">
      <w:pPr>
        <w:rPr>
          <w:rFonts w:hint="eastAsia"/>
        </w:rPr>
      </w:pPr>
      <w:r>
        <w:separator/>
      </w:r>
    </w:p>
  </w:footnote>
  <w:footnote w:type="continuationSeparator" w:id="0">
    <w:p w14:paraId="340DDAF1" w14:textId="77777777" w:rsidR="00BB0B8B" w:rsidRDefault="00BB0B8B" w:rsidP="00D55F2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EFF13E"/>
    <w:multiLevelType w:val="singleLevel"/>
    <w:tmpl w:val="E9EFF13E"/>
    <w:lvl w:ilvl="0">
      <w:start w:val="1"/>
      <w:numFmt w:val="decimal"/>
      <w:lvlText w:val="%1."/>
      <w:lvlJc w:val="left"/>
      <w:pPr>
        <w:ind w:left="425" w:hanging="425"/>
      </w:pPr>
      <w:rPr>
        <w:rFonts w:hint="default"/>
      </w:rPr>
    </w:lvl>
  </w:abstractNum>
  <w:abstractNum w:abstractNumId="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77D7F6E"/>
    <w:multiLevelType w:val="singleLevel"/>
    <w:tmpl w:val="577D7F6E"/>
    <w:lvl w:ilvl="0">
      <w:start w:val="1"/>
      <w:numFmt w:val="bullet"/>
      <w:lvlText w:val=""/>
      <w:lvlJc w:val="left"/>
      <w:pPr>
        <w:ind w:left="420" w:hanging="420"/>
      </w:pPr>
      <w:rPr>
        <w:rFonts w:ascii="Wingdings" w:hAnsi="Wingdings" w:hint="default"/>
      </w:rPr>
    </w:lvl>
  </w:abstractNum>
  <w:num w:numId="1" w16cid:durableId="401101485">
    <w:abstractNumId w:val="1"/>
  </w:num>
  <w:num w:numId="2" w16cid:durableId="1709838431">
    <w:abstractNumId w:val="0"/>
  </w:num>
  <w:num w:numId="3" w16cid:durableId="842938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591E"/>
    <w:rsid w:val="00040B94"/>
    <w:rsid w:val="00041120"/>
    <w:rsid w:val="0008183A"/>
    <w:rsid w:val="000C1200"/>
    <w:rsid w:val="00154B7C"/>
    <w:rsid w:val="00215BF0"/>
    <w:rsid w:val="0027591E"/>
    <w:rsid w:val="004E2A34"/>
    <w:rsid w:val="00523EEB"/>
    <w:rsid w:val="0056180E"/>
    <w:rsid w:val="00573F52"/>
    <w:rsid w:val="006A01C5"/>
    <w:rsid w:val="006B27C8"/>
    <w:rsid w:val="00902BCA"/>
    <w:rsid w:val="0090535B"/>
    <w:rsid w:val="009E40B2"/>
    <w:rsid w:val="00A50BB2"/>
    <w:rsid w:val="00AA6BAC"/>
    <w:rsid w:val="00AE4E8B"/>
    <w:rsid w:val="00B16D9F"/>
    <w:rsid w:val="00BB0B8B"/>
    <w:rsid w:val="00BB6AD8"/>
    <w:rsid w:val="00C21930"/>
    <w:rsid w:val="00C703E9"/>
    <w:rsid w:val="00CF7BC2"/>
    <w:rsid w:val="00D55F2C"/>
    <w:rsid w:val="00E37CD0"/>
    <w:rsid w:val="00F03B28"/>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B2174"/>
  <w15:chartTrackingRefBased/>
  <w15:docId w15:val="{2F0D89EE-6807-4A03-9566-83B61745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F2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7591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7591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591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7591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7591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7591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7591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91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7591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91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7591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7591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7591E"/>
    <w:rPr>
      <w:rFonts w:cstheme="majorBidi"/>
      <w:color w:val="0F4761" w:themeColor="accent1" w:themeShade="BF"/>
      <w:sz w:val="28"/>
      <w:szCs w:val="28"/>
    </w:rPr>
  </w:style>
  <w:style w:type="character" w:customStyle="1" w:styleId="50">
    <w:name w:val="标题 5 字符"/>
    <w:basedOn w:val="a0"/>
    <w:link w:val="5"/>
    <w:uiPriority w:val="9"/>
    <w:semiHidden/>
    <w:rsid w:val="0027591E"/>
    <w:rPr>
      <w:rFonts w:cstheme="majorBidi"/>
      <w:color w:val="0F4761" w:themeColor="accent1" w:themeShade="BF"/>
      <w:sz w:val="24"/>
      <w:szCs w:val="24"/>
    </w:rPr>
  </w:style>
  <w:style w:type="character" w:customStyle="1" w:styleId="60">
    <w:name w:val="标题 6 字符"/>
    <w:basedOn w:val="a0"/>
    <w:link w:val="6"/>
    <w:uiPriority w:val="9"/>
    <w:semiHidden/>
    <w:rsid w:val="0027591E"/>
    <w:rPr>
      <w:rFonts w:cstheme="majorBidi"/>
      <w:b/>
      <w:bCs/>
      <w:color w:val="0F4761" w:themeColor="accent1" w:themeShade="BF"/>
    </w:rPr>
  </w:style>
  <w:style w:type="character" w:customStyle="1" w:styleId="70">
    <w:name w:val="标题 7 字符"/>
    <w:basedOn w:val="a0"/>
    <w:link w:val="7"/>
    <w:uiPriority w:val="9"/>
    <w:semiHidden/>
    <w:rsid w:val="0027591E"/>
    <w:rPr>
      <w:rFonts w:cstheme="majorBidi"/>
      <w:b/>
      <w:bCs/>
      <w:color w:val="595959" w:themeColor="text1" w:themeTint="A6"/>
    </w:rPr>
  </w:style>
  <w:style w:type="character" w:customStyle="1" w:styleId="80">
    <w:name w:val="标题 8 字符"/>
    <w:basedOn w:val="a0"/>
    <w:link w:val="8"/>
    <w:uiPriority w:val="9"/>
    <w:semiHidden/>
    <w:rsid w:val="0027591E"/>
    <w:rPr>
      <w:rFonts w:cstheme="majorBidi"/>
      <w:color w:val="595959" w:themeColor="text1" w:themeTint="A6"/>
    </w:rPr>
  </w:style>
  <w:style w:type="character" w:customStyle="1" w:styleId="90">
    <w:name w:val="标题 9 字符"/>
    <w:basedOn w:val="a0"/>
    <w:link w:val="9"/>
    <w:uiPriority w:val="9"/>
    <w:semiHidden/>
    <w:rsid w:val="0027591E"/>
    <w:rPr>
      <w:rFonts w:eastAsiaTheme="majorEastAsia" w:cstheme="majorBidi"/>
      <w:color w:val="595959" w:themeColor="text1" w:themeTint="A6"/>
    </w:rPr>
  </w:style>
  <w:style w:type="paragraph" w:styleId="a3">
    <w:name w:val="Title"/>
    <w:basedOn w:val="a"/>
    <w:next w:val="a"/>
    <w:link w:val="a4"/>
    <w:uiPriority w:val="10"/>
    <w:qFormat/>
    <w:rsid w:val="002759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9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91E"/>
    <w:pPr>
      <w:spacing w:before="160" w:after="160"/>
      <w:jc w:val="center"/>
    </w:pPr>
    <w:rPr>
      <w:i/>
      <w:iCs/>
      <w:color w:val="404040" w:themeColor="text1" w:themeTint="BF"/>
    </w:rPr>
  </w:style>
  <w:style w:type="character" w:customStyle="1" w:styleId="a8">
    <w:name w:val="引用 字符"/>
    <w:basedOn w:val="a0"/>
    <w:link w:val="a7"/>
    <w:uiPriority w:val="29"/>
    <w:rsid w:val="0027591E"/>
    <w:rPr>
      <w:i/>
      <w:iCs/>
      <w:color w:val="404040" w:themeColor="text1" w:themeTint="BF"/>
    </w:rPr>
  </w:style>
  <w:style w:type="paragraph" w:styleId="a9">
    <w:name w:val="List Paragraph"/>
    <w:basedOn w:val="a"/>
    <w:link w:val="aa"/>
    <w:uiPriority w:val="34"/>
    <w:qFormat/>
    <w:rsid w:val="0027591E"/>
    <w:pPr>
      <w:ind w:left="720"/>
      <w:contextualSpacing/>
    </w:pPr>
  </w:style>
  <w:style w:type="character" w:styleId="ab">
    <w:name w:val="Intense Emphasis"/>
    <w:basedOn w:val="a0"/>
    <w:uiPriority w:val="21"/>
    <w:qFormat/>
    <w:rsid w:val="0027591E"/>
    <w:rPr>
      <w:i/>
      <w:iCs/>
      <w:color w:val="0F4761" w:themeColor="accent1" w:themeShade="BF"/>
    </w:rPr>
  </w:style>
  <w:style w:type="paragraph" w:styleId="ac">
    <w:name w:val="Intense Quote"/>
    <w:basedOn w:val="a"/>
    <w:next w:val="a"/>
    <w:link w:val="ad"/>
    <w:uiPriority w:val="30"/>
    <w:qFormat/>
    <w:rsid w:val="00275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27591E"/>
    <w:rPr>
      <w:i/>
      <w:iCs/>
      <w:color w:val="0F4761" w:themeColor="accent1" w:themeShade="BF"/>
    </w:rPr>
  </w:style>
  <w:style w:type="character" w:styleId="ae">
    <w:name w:val="Intense Reference"/>
    <w:basedOn w:val="a0"/>
    <w:uiPriority w:val="32"/>
    <w:qFormat/>
    <w:rsid w:val="0027591E"/>
    <w:rPr>
      <w:b/>
      <w:bCs/>
      <w:smallCaps/>
      <w:color w:val="0F4761" w:themeColor="accent1" w:themeShade="BF"/>
      <w:spacing w:val="5"/>
    </w:rPr>
  </w:style>
  <w:style w:type="paragraph" w:styleId="af">
    <w:name w:val="header"/>
    <w:basedOn w:val="a"/>
    <w:link w:val="af0"/>
    <w:uiPriority w:val="99"/>
    <w:unhideWhenUsed/>
    <w:rsid w:val="00D55F2C"/>
    <w:pPr>
      <w:tabs>
        <w:tab w:val="center" w:pos="4153"/>
        <w:tab w:val="right" w:pos="8306"/>
      </w:tabs>
      <w:snapToGrid w:val="0"/>
      <w:jc w:val="center"/>
    </w:pPr>
    <w:rPr>
      <w:sz w:val="18"/>
      <w:szCs w:val="18"/>
    </w:rPr>
  </w:style>
  <w:style w:type="character" w:customStyle="1" w:styleId="af0">
    <w:name w:val="页眉 字符"/>
    <w:basedOn w:val="a0"/>
    <w:link w:val="af"/>
    <w:uiPriority w:val="99"/>
    <w:rsid w:val="00D55F2C"/>
    <w:rPr>
      <w:sz w:val="18"/>
      <w:szCs w:val="18"/>
    </w:rPr>
  </w:style>
  <w:style w:type="paragraph" w:styleId="af1">
    <w:name w:val="footer"/>
    <w:basedOn w:val="a"/>
    <w:link w:val="af2"/>
    <w:uiPriority w:val="99"/>
    <w:unhideWhenUsed/>
    <w:rsid w:val="00D55F2C"/>
    <w:pPr>
      <w:tabs>
        <w:tab w:val="center" w:pos="4153"/>
        <w:tab w:val="right" w:pos="8306"/>
      </w:tabs>
      <w:snapToGrid w:val="0"/>
      <w:jc w:val="left"/>
    </w:pPr>
    <w:rPr>
      <w:sz w:val="18"/>
      <w:szCs w:val="18"/>
    </w:rPr>
  </w:style>
  <w:style w:type="character" w:customStyle="1" w:styleId="af2">
    <w:name w:val="页脚 字符"/>
    <w:basedOn w:val="a0"/>
    <w:link w:val="af1"/>
    <w:uiPriority w:val="99"/>
    <w:rsid w:val="00D55F2C"/>
    <w:rPr>
      <w:sz w:val="18"/>
      <w:szCs w:val="18"/>
    </w:rPr>
  </w:style>
  <w:style w:type="paragraph" w:styleId="af3">
    <w:name w:val="Normal (Web)"/>
    <w:basedOn w:val="a"/>
    <w:unhideWhenUsed/>
    <w:qFormat/>
    <w:rsid w:val="00D55F2C"/>
    <w:pPr>
      <w:widowControl/>
      <w:spacing w:before="100" w:beforeAutospacing="1" w:after="100" w:afterAutospacing="1"/>
      <w:jc w:val="left"/>
    </w:pPr>
    <w:rPr>
      <w:rFonts w:ascii="宋体" w:hAnsi="宋体" w:cs="宋体"/>
      <w:kern w:val="0"/>
      <w:sz w:val="24"/>
    </w:rPr>
  </w:style>
  <w:style w:type="character" w:customStyle="1" w:styleId="aa">
    <w:name w:val="列表段落 字符"/>
    <w:link w:val="a9"/>
    <w:uiPriority w:val="34"/>
    <w:qFormat/>
    <w:rsid w:val="00D55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1853</Words>
  <Characters>2002</Characters>
  <Application>Microsoft Office Word</Application>
  <DocSecurity>0</DocSecurity>
  <Lines>125</Lines>
  <Paragraphs>113</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2025-10-29T15:25:00Z</dcterms:created>
  <dcterms:modified xsi:type="dcterms:W3CDTF">2025-10-29T15:26:00Z</dcterms:modified>
</cp:coreProperties>
</file>