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A6F694">
      <w:pPr>
        <w:overflowPunct/>
        <w:bidi w:val="0"/>
        <w:spacing w:line="240" w:lineRule="auto"/>
        <w:rPr>
          <w:rFonts w:hint="eastAsia" w:asciiTheme="minorEastAsia" w:hAnsiTheme="minorEastAsia" w:eastAsiaTheme="minorEastAsia" w:cstheme="minorEastAsia"/>
          <w:b/>
          <w:bCs/>
          <w:color w:val="auto"/>
          <w:spacing w:val="0"/>
          <w:w w:val="100"/>
          <w:position w:val="0"/>
          <w:sz w:val="35"/>
          <w:szCs w:val="35"/>
          <w:highlight w:val="none"/>
        </w:rPr>
      </w:pPr>
      <w:bookmarkStart w:id="0" w:name="bookmark9"/>
      <w:bookmarkEnd w:id="0"/>
    </w:p>
    <w:p w14:paraId="4C8F4E95">
      <w:pPr>
        <w:pStyle w:val="5"/>
        <w:keepNext w:val="0"/>
        <w:keepLines w:val="0"/>
        <w:pageBreakBefore w:val="0"/>
        <w:widowControl/>
        <w:kinsoku w:val="0"/>
        <w:wordWrap/>
        <w:overflowPunct/>
        <w:topLinePunct w:val="0"/>
        <w:autoSpaceDE w:val="0"/>
        <w:autoSpaceDN w:val="0"/>
        <w:bidi w:val="0"/>
        <w:adjustRightInd w:val="0"/>
        <w:snapToGrid w:val="0"/>
        <w:spacing w:before="329" w:line="240" w:lineRule="auto"/>
        <w:jc w:val="center"/>
        <w:textAlignment w:val="baseline"/>
        <w:outlineLvl w:val="0"/>
        <w:rPr>
          <w:rFonts w:hint="eastAsia" w:asciiTheme="minorEastAsia" w:hAnsiTheme="minorEastAsia" w:eastAsiaTheme="minorEastAsia" w:cstheme="minorEastAsia"/>
          <w:color w:val="auto"/>
          <w:spacing w:val="0"/>
          <w:w w:val="100"/>
          <w:position w:val="0"/>
          <w:sz w:val="21"/>
          <w:highlight w:val="none"/>
        </w:rPr>
      </w:pPr>
      <w:bookmarkStart w:id="1" w:name="_Toc10468"/>
      <w:r>
        <w:rPr>
          <w:rFonts w:hint="eastAsia" w:asciiTheme="minorEastAsia" w:hAnsiTheme="minorEastAsia" w:eastAsiaTheme="minorEastAsia" w:cstheme="minorEastAsia"/>
          <w:b/>
          <w:bCs/>
          <w:color w:val="auto"/>
          <w:spacing w:val="0"/>
          <w:w w:val="100"/>
          <w:position w:val="0"/>
          <w:sz w:val="35"/>
          <w:szCs w:val="35"/>
          <w:highlight w:val="none"/>
        </w:rPr>
        <w:t>采购需求</w:t>
      </w:r>
      <w:bookmarkEnd w:id="1"/>
    </w:p>
    <w:p w14:paraId="462F32FF">
      <w:pPr>
        <w:overflowPunct/>
        <w:bidi w:val="0"/>
        <w:spacing w:line="240" w:lineRule="auto"/>
        <w:rPr>
          <w:rFonts w:hint="eastAsia" w:asciiTheme="minorEastAsia" w:hAnsiTheme="minorEastAsia" w:eastAsiaTheme="minorEastAsia" w:cstheme="minorEastAsia"/>
          <w:snapToGrid/>
          <w:color w:val="auto"/>
          <w:kern w:val="2"/>
          <w:sz w:val="24"/>
          <w:szCs w:val="24"/>
          <w:highlight w:val="none"/>
          <w:lang w:eastAsia="zh-CN"/>
        </w:rPr>
      </w:pPr>
    </w:p>
    <w:p w14:paraId="5F41B7DF">
      <w:pPr>
        <w:overflowPunct/>
        <w:bidi w:val="0"/>
        <w:spacing w:line="240" w:lineRule="auto"/>
        <w:rPr>
          <w:rFonts w:hint="eastAsia" w:asciiTheme="minorEastAsia" w:hAnsiTheme="minorEastAsia" w:eastAsiaTheme="minorEastAsia" w:cstheme="minorEastAsia"/>
          <w:snapToGrid/>
          <w:color w:val="auto"/>
          <w:kern w:val="0"/>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rPr>
        <w:t>一</w:t>
      </w:r>
      <w:r>
        <w:rPr>
          <w:rFonts w:hint="eastAsia" w:asciiTheme="minorEastAsia" w:hAnsiTheme="minorEastAsia" w:eastAsiaTheme="minorEastAsia" w:cstheme="minorEastAsia"/>
          <w:snapToGrid/>
          <w:color w:val="auto"/>
          <w:kern w:val="2"/>
          <w:sz w:val="24"/>
          <w:szCs w:val="24"/>
          <w:highlight w:val="none"/>
          <w:lang w:eastAsia="zh-CN"/>
        </w:rPr>
        <w:t>、项目编号：</w:t>
      </w:r>
      <w:r>
        <w:rPr>
          <w:rFonts w:hint="eastAsia" w:asciiTheme="minorEastAsia" w:hAnsiTheme="minorEastAsia" w:eastAsiaTheme="minorEastAsia" w:cstheme="minorEastAsia"/>
          <w:snapToGrid/>
          <w:color w:val="auto"/>
          <w:kern w:val="2"/>
          <w:sz w:val="24"/>
          <w:szCs w:val="24"/>
          <w:highlight w:val="none"/>
          <w:lang w:val="en-US" w:eastAsia="zh-CN"/>
        </w:rPr>
        <w:t>11011825210200010184-XM001</w:t>
      </w:r>
    </w:p>
    <w:p w14:paraId="22672A40">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rPr>
        <w:t>二、</w:t>
      </w:r>
      <w:r>
        <w:rPr>
          <w:rFonts w:hint="eastAsia" w:asciiTheme="minorEastAsia" w:hAnsiTheme="minorEastAsia" w:eastAsiaTheme="minorEastAsia" w:cstheme="minorEastAsia"/>
          <w:snapToGrid/>
          <w:color w:val="auto"/>
          <w:kern w:val="2"/>
          <w:sz w:val="24"/>
          <w:szCs w:val="24"/>
          <w:highlight w:val="none"/>
          <w:lang w:eastAsia="zh-CN"/>
        </w:rPr>
        <w:t>项目名称：密云区电子政务外网IPv6升级改造项目</w:t>
      </w:r>
    </w:p>
    <w:p w14:paraId="793BA7CF">
      <w:pPr>
        <w:pStyle w:val="2"/>
        <w:ind w:left="0" w:leftChars="0" w:firstLine="0" w:firstLineChars="0"/>
        <w:rPr>
          <w:rFonts w:hint="default"/>
          <w:highlight w:val="none"/>
          <w:lang w:val="en-US" w:eastAsia="zh-CN"/>
        </w:rPr>
      </w:pPr>
      <w:r>
        <w:rPr>
          <w:rFonts w:hint="eastAsia" w:asciiTheme="minorEastAsia" w:hAnsiTheme="minorEastAsia" w:eastAsiaTheme="minorEastAsia" w:cstheme="minorEastAsia"/>
          <w:snapToGrid/>
          <w:color w:val="auto"/>
          <w:kern w:val="2"/>
          <w:sz w:val="24"/>
          <w:szCs w:val="24"/>
          <w:highlight w:val="none"/>
          <w:lang w:val="en-US" w:eastAsia="zh-CN"/>
        </w:rPr>
        <w:t>三、项目的七部分</w:t>
      </w:r>
    </w:p>
    <w:tbl>
      <w:tblPr>
        <w:tblStyle w:val="20"/>
        <w:tblW w:w="6927"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76"/>
        <w:gridCol w:w="5151"/>
      </w:tblGrid>
      <w:tr w14:paraId="0CE47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3F1F5">
            <w:pPr>
              <w:pStyle w:val="2"/>
              <w:ind w:left="0" w:leftChars="0" w:firstLine="0" w:firstLineChars="0"/>
              <w:jc w:val="center"/>
              <w:rPr>
                <w:rFonts w:hint="eastAsia"/>
                <w:highlight w:val="none"/>
                <w:lang w:eastAsia="zh-CN"/>
              </w:rPr>
            </w:pPr>
            <w:r>
              <w:rPr>
                <w:rFonts w:hint="eastAsia"/>
                <w:highlight w:val="none"/>
                <w:lang w:val="en-US" w:eastAsia="zh-CN"/>
              </w:rPr>
              <w:t>序号</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FED0B">
            <w:pPr>
              <w:pStyle w:val="2"/>
              <w:ind w:left="0" w:leftChars="0" w:firstLine="0" w:firstLineChars="0"/>
              <w:jc w:val="left"/>
              <w:rPr>
                <w:rFonts w:hint="eastAsia"/>
                <w:highlight w:val="none"/>
                <w:lang w:eastAsia="zh-CN"/>
              </w:rPr>
            </w:pPr>
            <w:r>
              <w:rPr>
                <w:rFonts w:hint="eastAsia"/>
                <w:highlight w:val="none"/>
                <w:lang w:val="en-US" w:eastAsia="zh-CN"/>
              </w:rPr>
              <w:t>项目名称</w:t>
            </w:r>
          </w:p>
        </w:tc>
      </w:tr>
      <w:tr w14:paraId="0690A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A3F01">
            <w:pPr>
              <w:pStyle w:val="2"/>
              <w:ind w:left="0" w:leftChars="0" w:firstLine="0" w:firstLineChars="0"/>
              <w:jc w:val="center"/>
              <w:rPr>
                <w:rFonts w:hint="eastAsia"/>
                <w:highlight w:val="none"/>
                <w:lang w:eastAsia="zh-CN"/>
              </w:rPr>
            </w:pPr>
            <w:r>
              <w:rPr>
                <w:rFonts w:hint="eastAsia"/>
                <w:highlight w:val="none"/>
                <w:lang w:val="en-US" w:eastAsia="zh-CN"/>
              </w:rPr>
              <w:t>一</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27897">
            <w:pPr>
              <w:pStyle w:val="2"/>
              <w:ind w:left="0" w:leftChars="0" w:firstLine="0" w:firstLineChars="0"/>
              <w:jc w:val="left"/>
              <w:rPr>
                <w:rFonts w:hint="eastAsia"/>
                <w:highlight w:val="none"/>
                <w:lang w:eastAsia="zh-CN"/>
              </w:rPr>
            </w:pPr>
            <w:r>
              <w:rPr>
                <w:rFonts w:hint="eastAsia"/>
                <w:highlight w:val="none"/>
                <w:lang w:val="en-US" w:eastAsia="zh-CN"/>
              </w:rPr>
              <w:t>出口链路</w:t>
            </w:r>
          </w:p>
        </w:tc>
      </w:tr>
      <w:tr w14:paraId="478AB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D65E4">
            <w:pPr>
              <w:pStyle w:val="2"/>
              <w:ind w:left="0" w:leftChars="0" w:firstLine="0" w:firstLineChars="0"/>
              <w:jc w:val="center"/>
              <w:rPr>
                <w:rFonts w:hint="eastAsia"/>
                <w:highlight w:val="none"/>
                <w:lang w:eastAsia="zh-CN"/>
              </w:rPr>
            </w:pPr>
            <w:r>
              <w:rPr>
                <w:rFonts w:hint="eastAsia"/>
                <w:highlight w:val="none"/>
                <w:lang w:val="en-US" w:eastAsia="zh-CN"/>
              </w:rPr>
              <w:t>（一）</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30AA">
            <w:pPr>
              <w:pStyle w:val="2"/>
              <w:ind w:left="0" w:leftChars="0" w:firstLine="0" w:firstLineChars="0"/>
              <w:jc w:val="left"/>
              <w:rPr>
                <w:rFonts w:hint="eastAsia"/>
                <w:highlight w:val="none"/>
                <w:lang w:eastAsia="zh-CN"/>
              </w:rPr>
            </w:pPr>
            <w:r>
              <w:rPr>
                <w:rFonts w:hint="eastAsia"/>
                <w:highlight w:val="none"/>
                <w:lang w:val="en-US" w:eastAsia="zh-CN"/>
              </w:rPr>
              <w:t>互联网IPv6出口链路</w:t>
            </w:r>
          </w:p>
        </w:tc>
      </w:tr>
      <w:tr w14:paraId="7990C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46A1A">
            <w:pPr>
              <w:pStyle w:val="2"/>
              <w:ind w:left="0" w:leftChars="0" w:firstLine="0" w:firstLineChars="0"/>
              <w:jc w:val="center"/>
              <w:rPr>
                <w:rFonts w:hint="eastAsia"/>
                <w:highlight w:val="none"/>
                <w:lang w:eastAsia="zh-CN"/>
              </w:rPr>
            </w:pPr>
            <w:r>
              <w:rPr>
                <w:rFonts w:hint="eastAsia"/>
                <w:highlight w:val="none"/>
                <w:lang w:val="en-US" w:eastAsia="zh-CN"/>
              </w:rPr>
              <w:t>（二）</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06662">
            <w:pPr>
              <w:pStyle w:val="2"/>
              <w:ind w:left="0" w:leftChars="0" w:firstLine="0" w:firstLineChars="0"/>
              <w:jc w:val="left"/>
              <w:rPr>
                <w:rFonts w:hint="eastAsia"/>
                <w:highlight w:val="none"/>
                <w:lang w:eastAsia="zh-CN"/>
              </w:rPr>
            </w:pPr>
            <w:r>
              <w:rPr>
                <w:rFonts w:hint="eastAsia"/>
                <w:highlight w:val="none"/>
                <w:lang w:val="en-US" w:eastAsia="zh-CN"/>
              </w:rPr>
              <w:t>北京市电子政务外网出口链路</w:t>
            </w:r>
          </w:p>
        </w:tc>
      </w:tr>
      <w:tr w14:paraId="6EE38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B06C0">
            <w:pPr>
              <w:pStyle w:val="2"/>
              <w:ind w:left="0" w:leftChars="0" w:firstLine="0" w:firstLineChars="0"/>
              <w:jc w:val="center"/>
              <w:rPr>
                <w:rFonts w:hint="eastAsia"/>
                <w:highlight w:val="none"/>
                <w:lang w:eastAsia="zh-CN"/>
              </w:rPr>
            </w:pPr>
            <w:r>
              <w:rPr>
                <w:rFonts w:hint="eastAsia"/>
                <w:highlight w:val="none"/>
                <w:lang w:val="en-US" w:eastAsia="zh-CN"/>
              </w:rPr>
              <w:t>二</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F2EA9">
            <w:pPr>
              <w:pStyle w:val="2"/>
              <w:ind w:left="0" w:leftChars="0" w:firstLine="0" w:firstLineChars="0"/>
              <w:jc w:val="left"/>
              <w:rPr>
                <w:rFonts w:hint="eastAsia"/>
                <w:highlight w:val="none"/>
                <w:lang w:eastAsia="zh-CN"/>
              </w:rPr>
            </w:pPr>
            <w:r>
              <w:rPr>
                <w:rFonts w:hint="eastAsia"/>
                <w:highlight w:val="none"/>
                <w:lang w:val="en-US" w:eastAsia="zh-CN"/>
              </w:rPr>
              <w:t>内网安全设备</w:t>
            </w:r>
          </w:p>
        </w:tc>
      </w:tr>
      <w:tr w14:paraId="10B47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6107C">
            <w:pPr>
              <w:pStyle w:val="2"/>
              <w:ind w:left="0" w:leftChars="0" w:firstLine="0" w:firstLineChars="0"/>
              <w:jc w:val="center"/>
              <w:rPr>
                <w:rFonts w:hint="eastAsia"/>
                <w:highlight w:val="none"/>
                <w:lang w:eastAsia="zh-CN"/>
              </w:rPr>
            </w:pPr>
            <w:r>
              <w:rPr>
                <w:rFonts w:hint="eastAsia"/>
                <w:highlight w:val="none"/>
                <w:lang w:val="en-US" w:eastAsia="zh-CN"/>
              </w:rPr>
              <w:t>三</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85D07">
            <w:pPr>
              <w:pStyle w:val="2"/>
              <w:ind w:left="0" w:leftChars="0" w:firstLine="0" w:firstLineChars="0"/>
              <w:jc w:val="left"/>
              <w:rPr>
                <w:rFonts w:hint="eastAsia"/>
                <w:highlight w:val="none"/>
                <w:lang w:eastAsia="zh-CN"/>
              </w:rPr>
            </w:pPr>
            <w:r>
              <w:rPr>
                <w:rFonts w:hint="eastAsia"/>
                <w:highlight w:val="none"/>
                <w:lang w:val="en-US" w:eastAsia="zh-CN"/>
              </w:rPr>
              <w:t>IPv6协议转换平台</w:t>
            </w:r>
          </w:p>
        </w:tc>
      </w:tr>
      <w:tr w14:paraId="22E17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456BB">
            <w:pPr>
              <w:pStyle w:val="2"/>
              <w:ind w:left="0" w:leftChars="0" w:firstLine="0" w:firstLineChars="0"/>
              <w:jc w:val="center"/>
              <w:rPr>
                <w:rFonts w:hint="eastAsia"/>
                <w:highlight w:val="none"/>
                <w:lang w:eastAsia="zh-CN"/>
              </w:rPr>
            </w:pPr>
            <w:r>
              <w:rPr>
                <w:rFonts w:hint="eastAsia"/>
                <w:highlight w:val="none"/>
                <w:lang w:val="en-US" w:eastAsia="zh-CN"/>
              </w:rPr>
              <w:t>四</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B7734">
            <w:pPr>
              <w:pStyle w:val="2"/>
              <w:ind w:left="0" w:leftChars="0" w:firstLine="0" w:firstLineChars="0"/>
              <w:jc w:val="left"/>
              <w:rPr>
                <w:rFonts w:hint="eastAsia"/>
                <w:highlight w:val="none"/>
                <w:lang w:eastAsia="zh-CN"/>
              </w:rPr>
            </w:pPr>
            <w:r>
              <w:rPr>
                <w:rFonts w:hint="eastAsia"/>
                <w:highlight w:val="none"/>
                <w:lang w:val="en-US" w:eastAsia="zh-CN"/>
              </w:rPr>
              <w:t>域名及地址管理分配部分</w:t>
            </w:r>
          </w:p>
        </w:tc>
      </w:tr>
      <w:tr w14:paraId="57B21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EEBE">
            <w:pPr>
              <w:pStyle w:val="2"/>
              <w:ind w:left="0" w:leftChars="0" w:firstLine="0" w:firstLineChars="0"/>
              <w:jc w:val="center"/>
              <w:rPr>
                <w:rFonts w:hint="eastAsia"/>
                <w:highlight w:val="none"/>
                <w:lang w:eastAsia="zh-CN"/>
              </w:rPr>
            </w:pPr>
            <w:r>
              <w:rPr>
                <w:rFonts w:hint="eastAsia"/>
                <w:highlight w:val="none"/>
                <w:lang w:val="en-US" w:eastAsia="zh-CN"/>
              </w:rPr>
              <w:t>五</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78511">
            <w:pPr>
              <w:pStyle w:val="2"/>
              <w:ind w:left="0" w:leftChars="0" w:firstLine="0" w:firstLineChars="0"/>
              <w:jc w:val="left"/>
              <w:rPr>
                <w:rFonts w:hint="eastAsia"/>
                <w:highlight w:val="none"/>
                <w:lang w:eastAsia="zh-CN"/>
              </w:rPr>
            </w:pPr>
            <w:r>
              <w:rPr>
                <w:rFonts w:hint="eastAsia"/>
                <w:highlight w:val="none"/>
                <w:lang w:val="en-US" w:eastAsia="zh-CN"/>
              </w:rPr>
              <w:t>集中办公区网络设备升级改造部分</w:t>
            </w:r>
          </w:p>
        </w:tc>
      </w:tr>
      <w:tr w14:paraId="752AF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914FA">
            <w:pPr>
              <w:pStyle w:val="2"/>
              <w:ind w:left="0" w:leftChars="0" w:firstLine="0" w:firstLineChars="0"/>
              <w:jc w:val="center"/>
              <w:rPr>
                <w:rFonts w:hint="eastAsia"/>
                <w:highlight w:val="none"/>
                <w:lang w:eastAsia="zh-CN"/>
              </w:rPr>
            </w:pPr>
            <w:r>
              <w:rPr>
                <w:rFonts w:hint="eastAsia"/>
                <w:highlight w:val="none"/>
                <w:lang w:val="en-US" w:eastAsia="zh-CN"/>
              </w:rPr>
              <w:t>六</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A8BE6">
            <w:pPr>
              <w:pStyle w:val="2"/>
              <w:ind w:left="0" w:leftChars="0" w:firstLine="0" w:firstLineChars="0"/>
              <w:jc w:val="left"/>
              <w:rPr>
                <w:rFonts w:hint="eastAsia"/>
                <w:highlight w:val="none"/>
                <w:lang w:eastAsia="zh-CN"/>
              </w:rPr>
            </w:pPr>
            <w:r>
              <w:rPr>
                <w:rFonts w:hint="eastAsia"/>
                <w:highlight w:val="none"/>
                <w:lang w:val="en-US" w:eastAsia="zh-CN"/>
              </w:rPr>
              <w:t>集中办公区网络升级辅助施工部分</w:t>
            </w:r>
          </w:p>
        </w:tc>
      </w:tr>
      <w:tr w14:paraId="7877C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3D04E">
            <w:pPr>
              <w:pStyle w:val="2"/>
              <w:ind w:left="0" w:leftChars="0" w:firstLine="0" w:firstLineChars="0"/>
              <w:jc w:val="center"/>
              <w:rPr>
                <w:rFonts w:hint="eastAsia"/>
                <w:highlight w:val="none"/>
                <w:lang w:eastAsia="zh-CN"/>
              </w:rPr>
            </w:pPr>
            <w:r>
              <w:rPr>
                <w:rFonts w:hint="eastAsia"/>
                <w:highlight w:val="none"/>
                <w:lang w:val="en-US" w:eastAsia="zh-CN"/>
              </w:rPr>
              <w:t>七</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C5261">
            <w:pPr>
              <w:pStyle w:val="2"/>
              <w:ind w:left="0" w:leftChars="0" w:firstLine="0" w:firstLineChars="0"/>
              <w:jc w:val="left"/>
              <w:rPr>
                <w:rFonts w:hint="eastAsia"/>
                <w:highlight w:val="none"/>
                <w:lang w:eastAsia="zh-CN"/>
              </w:rPr>
            </w:pPr>
            <w:r>
              <w:rPr>
                <w:rFonts w:hint="eastAsia"/>
                <w:highlight w:val="none"/>
                <w:lang w:val="en-US" w:eastAsia="zh-CN"/>
              </w:rPr>
              <w:t>网络核心、集中办公区双栈调试费部分</w:t>
            </w:r>
          </w:p>
        </w:tc>
      </w:tr>
    </w:tbl>
    <w:p w14:paraId="265640BB">
      <w:pPr>
        <w:pStyle w:val="2"/>
        <w:rPr>
          <w:rFonts w:hint="eastAsia"/>
          <w:highlight w:val="none"/>
          <w:lang w:eastAsia="zh-CN"/>
        </w:rPr>
      </w:pPr>
    </w:p>
    <w:p w14:paraId="45FE7386">
      <w:pPr>
        <w:keepNext w:val="0"/>
        <w:keepLines w:val="0"/>
        <w:pageBreakBefore w:val="0"/>
        <w:widowControl w:val="0"/>
        <w:kinsoku/>
        <w:wordWrap/>
        <w:overflowPunct/>
        <w:topLinePunct w:val="0"/>
        <w:autoSpaceDE/>
        <w:autoSpaceDN/>
        <w:bidi w:val="0"/>
        <w:adjustRightInd/>
        <w:snapToGrid/>
        <w:spacing w:before="120" w:line="240" w:lineRule="auto"/>
        <w:ind w:left="240" w:hanging="240" w:hangingChars="10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rPr>
        <w:t>四、</w:t>
      </w:r>
      <w:r>
        <w:rPr>
          <w:rFonts w:hint="eastAsia" w:asciiTheme="minorEastAsia" w:hAnsiTheme="minorEastAsia" w:eastAsiaTheme="minorEastAsia" w:cstheme="minorEastAsia"/>
          <w:snapToGrid/>
          <w:color w:val="auto"/>
          <w:kern w:val="2"/>
          <w:sz w:val="24"/>
          <w:szCs w:val="24"/>
          <w:highlight w:val="none"/>
          <w:lang w:eastAsia="zh-CN"/>
        </w:rPr>
        <w:t>采购需求：</w:t>
      </w:r>
    </w:p>
    <w:p w14:paraId="114C830E">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b/>
          <w:snapToGrid/>
          <w:color w:val="auto"/>
          <w:kern w:val="2"/>
          <w:sz w:val="24"/>
          <w:szCs w:val="24"/>
          <w:highlight w:val="none"/>
          <w:lang w:eastAsia="zh-CN"/>
        </w:rPr>
      </w:pPr>
      <w:r>
        <w:rPr>
          <w:rFonts w:hint="eastAsia" w:asciiTheme="minorEastAsia" w:hAnsiTheme="minorEastAsia" w:eastAsiaTheme="minorEastAsia" w:cstheme="minorEastAsia"/>
          <w:b/>
          <w:snapToGrid/>
          <w:color w:val="auto"/>
          <w:kern w:val="2"/>
          <w:sz w:val="24"/>
          <w:szCs w:val="24"/>
          <w:highlight w:val="none"/>
          <w:lang w:eastAsia="zh-CN"/>
        </w:rPr>
        <w:t>（一）采购标的需实现的功能或者目标，以及为落实政府采购政策需满足的要求；</w:t>
      </w:r>
    </w:p>
    <w:p w14:paraId="7005E360">
      <w:pPr>
        <w:keepNext w:val="0"/>
        <w:keepLines w:val="0"/>
        <w:pageBreakBefore w:val="0"/>
        <w:widowControl w:val="0"/>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val="0"/>
          <w:snapToGrid/>
          <w:color w:val="auto"/>
          <w:kern w:val="2"/>
          <w:sz w:val="24"/>
          <w:szCs w:val="24"/>
          <w:highlight w:val="none"/>
          <w:lang w:val="en-US" w:eastAsia="zh-CN"/>
        </w:rPr>
      </w:pPr>
      <w:r>
        <w:rPr>
          <w:rFonts w:hint="eastAsia" w:asciiTheme="minorEastAsia" w:hAnsiTheme="minorEastAsia" w:eastAsiaTheme="minorEastAsia" w:cstheme="minorEastAsia"/>
          <w:b w:val="0"/>
          <w:bCs w:val="0"/>
          <w:snapToGrid/>
          <w:color w:val="auto"/>
          <w:kern w:val="2"/>
          <w:sz w:val="24"/>
          <w:szCs w:val="24"/>
          <w:highlight w:val="none"/>
          <w:lang w:val="en-US" w:eastAsia="zh-CN"/>
        </w:rPr>
        <w:t>为贯彻落实党中央、国务院关于建设网络强国和数字中国的战略部署，国务院办公厅于2017年印发《推进互联网协议第六版（IPv6）规模部署行动计划》，明确要求政务外网在 2025 年底前具备IPv6支撑能力，构建“高速、移动、安全、泛在” 的新一代信息基础设施。2023 年，工业和信息化部等八部门进一步发布《关于推进IPv6技术演进和应用创新发展的实施意见》，强调在政务网络中推广“IPv6+”技术（如分段路由、随流检测等），以提升网络安全隔离、快速开通恢复和故障定位能力，支撑政府治理水平全面提升。</w:t>
      </w:r>
    </w:p>
    <w:p w14:paraId="01ADBB5A">
      <w:pPr>
        <w:keepNext w:val="0"/>
        <w:keepLines w:val="0"/>
        <w:pageBreakBefore w:val="0"/>
        <w:widowControl w:val="0"/>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val="0"/>
          <w:snapToGrid/>
          <w:color w:val="auto"/>
          <w:kern w:val="2"/>
          <w:sz w:val="24"/>
          <w:szCs w:val="24"/>
          <w:highlight w:val="none"/>
          <w:lang w:val="en-US" w:eastAsia="zh-CN"/>
        </w:rPr>
      </w:pPr>
      <w:r>
        <w:rPr>
          <w:rFonts w:hint="eastAsia" w:asciiTheme="minorEastAsia" w:hAnsiTheme="minorEastAsia" w:eastAsiaTheme="minorEastAsia" w:cstheme="minorEastAsia"/>
          <w:b w:val="0"/>
          <w:bCs w:val="0"/>
          <w:snapToGrid/>
          <w:color w:val="auto"/>
          <w:kern w:val="2"/>
          <w:sz w:val="24"/>
          <w:szCs w:val="24"/>
          <w:highlight w:val="none"/>
          <w:lang w:val="en-US" w:eastAsia="zh-CN"/>
        </w:rPr>
        <w:t>本项目范围：</w:t>
      </w:r>
    </w:p>
    <w:p w14:paraId="02FF3A32">
      <w:pPr>
        <w:keepNext w:val="0"/>
        <w:keepLines w:val="0"/>
        <w:pageBreakBefore w:val="0"/>
        <w:widowControl w:val="0"/>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val="0"/>
          <w:snapToGrid/>
          <w:color w:val="auto"/>
          <w:kern w:val="2"/>
          <w:sz w:val="24"/>
          <w:szCs w:val="24"/>
          <w:highlight w:val="none"/>
          <w:lang w:val="en-US" w:eastAsia="zh-CN"/>
        </w:rPr>
      </w:pPr>
      <w:r>
        <w:rPr>
          <w:rFonts w:hint="eastAsia" w:asciiTheme="minorEastAsia" w:hAnsiTheme="minorEastAsia" w:eastAsiaTheme="minorEastAsia" w:cstheme="minorEastAsia"/>
          <w:b w:val="0"/>
          <w:bCs w:val="0"/>
          <w:snapToGrid/>
          <w:color w:val="auto"/>
          <w:kern w:val="2"/>
          <w:sz w:val="24"/>
          <w:szCs w:val="24"/>
          <w:highlight w:val="none"/>
          <w:lang w:val="en-US" w:eastAsia="zh-CN"/>
        </w:rPr>
        <w:t>为了在2025年年底内完成政务外网具备IPv6支撑能力的目标，开展此项招标活动，本项目涉及的范围包括密云区电子政务外网核心区、区政府集中办公区、政务服务和数据管理局集中办公区的IPv6升级改造，其他各委办局、乡镇、行政村、企业等不在本项目范围内。</w:t>
      </w:r>
    </w:p>
    <w:p w14:paraId="6A46DD71">
      <w:pPr>
        <w:keepNext w:val="0"/>
        <w:keepLines w:val="0"/>
        <w:pageBreakBefore w:val="0"/>
        <w:widowControl w:val="0"/>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val="0"/>
          <w:snapToGrid/>
          <w:color w:val="auto"/>
          <w:kern w:val="2"/>
          <w:sz w:val="24"/>
          <w:szCs w:val="24"/>
          <w:highlight w:val="none"/>
          <w:lang w:val="en-US" w:eastAsia="zh-CN"/>
        </w:rPr>
      </w:pPr>
      <w:r>
        <w:rPr>
          <w:rFonts w:hint="eastAsia" w:asciiTheme="minorEastAsia" w:hAnsiTheme="minorEastAsia" w:eastAsiaTheme="minorEastAsia" w:cstheme="minorEastAsia"/>
          <w:b w:val="0"/>
          <w:bCs w:val="0"/>
          <w:snapToGrid/>
          <w:color w:val="auto"/>
          <w:kern w:val="2"/>
          <w:sz w:val="24"/>
          <w:szCs w:val="24"/>
          <w:highlight w:val="none"/>
          <w:lang w:val="en-US" w:eastAsia="zh-CN"/>
        </w:rPr>
        <w:t>具体工作内容如下：</w:t>
      </w:r>
    </w:p>
    <w:p w14:paraId="497F933F">
      <w:pPr>
        <w:keepNext w:val="0"/>
        <w:keepLines w:val="0"/>
        <w:pageBreakBefore w:val="0"/>
        <w:widowControl w:val="0"/>
        <w:numPr>
          <w:ilvl w:val="0"/>
          <w:numId w:val="2"/>
        </w:numPr>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val="0"/>
          <w:snapToGrid/>
          <w:color w:val="auto"/>
          <w:kern w:val="2"/>
          <w:sz w:val="24"/>
          <w:szCs w:val="24"/>
          <w:highlight w:val="none"/>
          <w:lang w:val="en-US" w:eastAsia="zh-CN"/>
        </w:rPr>
      </w:pPr>
      <w:r>
        <w:rPr>
          <w:rFonts w:hint="eastAsia" w:asciiTheme="minorEastAsia" w:hAnsiTheme="minorEastAsia" w:eastAsiaTheme="minorEastAsia" w:cstheme="minorEastAsia"/>
          <w:b w:val="0"/>
          <w:bCs w:val="0"/>
          <w:snapToGrid/>
          <w:color w:val="auto"/>
          <w:kern w:val="2"/>
          <w:sz w:val="24"/>
          <w:szCs w:val="24"/>
          <w:highlight w:val="none"/>
          <w:lang w:val="en-US" w:eastAsia="zh-CN"/>
        </w:rPr>
        <w:t>替换老旧交换机，使网络平台支持双栈运行模式。</w:t>
      </w:r>
    </w:p>
    <w:p w14:paraId="2CE70A4C">
      <w:pPr>
        <w:keepNext w:val="0"/>
        <w:keepLines w:val="0"/>
        <w:pageBreakBefore w:val="0"/>
        <w:widowControl w:val="0"/>
        <w:numPr>
          <w:ilvl w:val="0"/>
          <w:numId w:val="2"/>
        </w:numPr>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val="0"/>
          <w:snapToGrid/>
          <w:color w:val="auto"/>
          <w:kern w:val="2"/>
          <w:sz w:val="24"/>
          <w:szCs w:val="24"/>
          <w:highlight w:val="none"/>
          <w:lang w:val="en-US" w:eastAsia="zh-CN"/>
        </w:rPr>
      </w:pPr>
      <w:r>
        <w:rPr>
          <w:rFonts w:hint="eastAsia" w:asciiTheme="minorEastAsia" w:hAnsiTheme="minorEastAsia" w:eastAsiaTheme="minorEastAsia" w:cstheme="minorEastAsia"/>
          <w:b w:val="0"/>
          <w:bCs w:val="0"/>
          <w:snapToGrid/>
          <w:color w:val="auto"/>
          <w:kern w:val="2"/>
          <w:sz w:val="24"/>
          <w:szCs w:val="24"/>
          <w:highlight w:val="none"/>
          <w:lang w:val="en-US" w:eastAsia="zh-CN"/>
        </w:rPr>
        <w:t>替换老旧安全设备，保证双栈模式下的网络安全。</w:t>
      </w:r>
    </w:p>
    <w:p w14:paraId="68BC9F53">
      <w:pPr>
        <w:keepNext w:val="0"/>
        <w:keepLines w:val="0"/>
        <w:pageBreakBefore w:val="0"/>
        <w:widowControl w:val="0"/>
        <w:numPr>
          <w:ilvl w:val="0"/>
          <w:numId w:val="2"/>
        </w:numPr>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val="0"/>
          <w:snapToGrid/>
          <w:color w:val="auto"/>
          <w:kern w:val="2"/>
          <w:sz w:val="24"/>
          <w:szCs w:val="24"/>
          <w:highlight w:val="none"/>
          <w:lang w:val="en-US" w:eastAsia="zh-CN"/>
        </w:rPr>
      </w:pPr>
      <w:r>
        <w:rPr>
          <w:rFonts w:hint="eastAsia" w:asciiTheme="minorEastAsia" w:hAnsiTheme="minorEastAsia" w:eastAsiaTheme="minorEastAsia" w:cstheme="minorEastAsia"/>
          <w:b w:val="0"/>
          <w:bCs w:val="0"/>
          <w:snapToGrid/>
          <w:color w:val="auto"/>
          <w:kern w:val="2"/>
          <w:sz w:val="24"/>
          <w:szCs w:val="24"/>
          <w:highlight w:val="none"/>
          <w:lang w:val="en-US" w:eastAsia="zh-CN"/>
        </w:rPr>
        <w:t>增加具备双栈支撑能力的域名解析、地址管理与分配系统。</w:t>
      </w:r>
    </w:p>
    <w:p w14:paraId="7949344B">
      <w:pPr>
        <w:keepNext w:val="0"/>
        <w:keepLines w:val="0"/>
        <w:pageBreakBefore w:val="0"/>
        <w:widowControl w:val="0"/>
        <w:numPr>
          <w:ilvl w:val="0"/>
          <w:numId w:val="2"/>
        </w:numPr>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val="0"/>
          <w:snapToGrid/>
          <w:color w:val="auto"/>
          <w:kern w:val="2"/>
          <w:sz w:val="24"/>
          <w:szCs w:val="24"/>
          <w:highlight w:val="none"/>
          <w:lang w:val="en-US" w:eastAsia="zh-CN"/>
        </w:rPr>
      </w:pPr>
      <w:r>
        <w:rPr>
          <w:rFonts w:hint="eastAsia" w:asciiTheme="minorEastAsia" w:hAnsiTheme="minorEastAsia" w:eastAsiaTheme="minorEastAsia" w:cstheme="minorEastAsia"/>
          <w:b w:val="0"/>
          <w:bCs w:val="0"/>
          <w:snapToGrid/>
          <w:color w:val="auto"/>
          <w:kern w:val="2"/>
          <w:sz w:val="24"/>
          <w:szCs w:val="24"/>
          <w:highlight w:val="none"/>
          <w:lang w:val="en-US" w:eastAsia="zh-CN"/>
        </w:rPr>
        <w:t>保证现有业务系统在双栈模式下稳定运行。</w:t>
      </w:r>
    </w:p>
    <w:p w14:paraId="63FD57C6">
      <w:pPr>
        <w:keepNext w:val="0"/>
        <w:keepLines w:val="0"/>
        <w:pageBreakBefore w:val="0"/>
        <w:widowControl w:val="0"/>
        <w:numPr>
          <w:ilvl w:val="0"/>
          <w:numId w:val="2"/>
        </w:numPr>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val="0"/>
          <w:snapToGrid/>
          <w:color w:val="auto"/>
          <w:kern w:val="2"/>
          <w:sz w:val="24"/>
          <w:szCs w:val="24"/>
          <w:highlight w:val="none"/>
          <w:lang w:val="en-US" w:eastAsia="zh-CN"/>
        </w:rPr>
      </w:pPr>
      <w:r>
        <w:rPr>
          <w:rFonts w:hint="eastAsia" w:asciiTheme="minorEastAsia" w:hAnsiTheme="minorEastAsia" w:eastAsiaTheme="minorEastAsia" w:cstheme="minorEastAsia"/>
          <w:b w:val="0"/>
          <w:bCs w:val="0"/>
          <w:snapToGrid/>
          <w:color w:val="auto"/>
          <w:kern w:val="2"/>
          <w:sz w:val="24"/>
          <w:szCs w:val="24"/>
          <w:highlight w:val="none"/>
          <w:lang w:val="en-US" w:eastAsia="zh-CN"/>
        </w:rPr>
        <w:t>全网IPv6地址规划。</w:t>
      </w:r>
    </w:p>
    <w:p w14:paraId="577B8CFC">
      <w:pPr>
        <w:keepNext w:val="0"/>
        <w:keepLines w:val="0"/>
        <w:pageBreakBefore w:val="0"/>
        <w:widowControl w:val="0"/>
        <w:numPr>
          <w:ilvl w:val="0"/>
          <w:numId w:val="2"/>
        </w:numPr>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val="0"/>
          <w:snapToGrid/>
          <w:color w:val="auto"/>
          <w:kern w:val="2"/>
          <w:sz w:val="24"/>
          <w:szCs w:val="24"/>
          <w:highlight w:val="none"/>
          <w:lang w:val="en-US" w:eastAsia="zh-CN"/>
        </w:rPr>
      </w:pPr>
      <w:r>
        <w:rPr>
          <w:rFonts w:hint="eastAsia" w:asciiTheme="minorEastAsia" w:hAnsiTheme="minorEastAsia" w:eastAsiaTheme="minorEastAsia" w:cstheme="minorEastAsia"/>
          <w:b w:val="0"/>
          <w:bCs w:val="0"/>
          <w:snapToGrid/>
          <w:color w:val="auto"/>
          <w:kern w:val="2"/>
          <w:sz w:val="24"/>
          <w:szCs w:val="24"/>
          <w:highlight w:val="none"/>
          <w:lang w:val="en-US" w:eastAsia="zh-CN"/>
        </w:rPr>
        <w:t>双栈模式下网络拓扑设计。</w:t>
      </w:r>
    </w:p>
    <w:p w14:paraId="58F68160">
      <w:pPr>
        <w:keepNext w:val="0"/>
        <w:keepLines w:val="0"/>
        <w:pageBreakBefore w:val="0"/>
        <w:widowControl w:val="0"/>
        <w:numPr>
          <w:ilvl w:val="0"/>
          <w:numId w:val="2"/>
        </w:numPr>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val="0"/>
          <w:snapToGrid/>
          <w:color w:val="auto"/>
          <w:kern w:val="2"/>
          <w:sz w:val="24"/>
          <w:szCs w:val="24"/>
          <w:highlight w:val="none"/>
          <w:lang w:val="en-US" w:eastAsia="zh-CN"/>
        </w:rPr>
      </w:pPr>
      <w:r>
        <w:rPr>
          <w:rFonts w:hint="eastAsia" w:asciiTheme="minorEastAsia" w:hAnsiTheme="minorEastAsia" w:eastAsiaTheme="minorEastAsia" w:cstheme="minorEastAsia"/>
          <w:b w:val="0"/>
          <w:bCs w:val="0"/>
          <w:snapToGrid/>
          <w:color w:val="auto"/>
          <w:kern w:val="2"/>
          <w:sz w:val="24"/>
          <w:szCs w:val="24"/>
          <w:highlight w:val="none"/>
          <w:lang w:val="en-US" w:eastAsia="zh-CN"/>
        </w:rPr>
        <w:t>双栈模式下的集成服务。</w:t>
      </w:r>
    </w:p>
    <w:p w14:paraId="6E99A40E">
      <w:pPr>
        <w:keepNext w:val="0"/>
        <w:keepLines w:val="0"/>
        <w:pageBreakBefore w:val="0"/>
        <w:widowControl w:val="0"/>
        <w:numPr>
          <w:ilvl w:val="0"/>
          <w:numId w:val="2"/>
        </w:numPr>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val="0"/>
          <w:snapToGrid/>
          <w:color w:val="auto"/>
          <w:kern w:val="2"/>
          <w:sz w:val="24"/>
          <w:szCs w:val="24"/>
          <w:highlight w:val="none"/>
          <w:lang w:val="en-US" w:eastAsia="zh-CN"/>
        </w:rPr>
      </w:pPr>
      <w:r>
        <w:rPr>
          <w:rFonts w:hint="eastAsia" w:asciiTheme="minorEastAsia" w:hAnsiTheme="minorEastAsia" w:eastAsiaTheme="minorEastAsia" w:cstheme="minorEastAsia"/>
          <w:b w:val="0"/>
          <w:bCs w:val="0"/>
          <w:snapToGrid/>
          <w:color w:val="auto"/>
          <w:kern w:val="2"/>
          <w:sz w:val="24"/>
          <w:szCs w:val="24"/>
          <w:highlight w:val="none"/>
          <w:lang w:val="en-US" w:eastAsia="zh-CN"/>
        </w:rPr>
        <w:t>售后及培训等。</w:t>
      </w:r>
    </w:p>
    <w:p w14:paraId="0A8480C9">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b/>
          <w:snapToGrid/>
          <w:color w:val="auto"/>
          <w:kern w:val="2"/>
          <w:sz w:val="24"/>
          <w:szCs w:val="24"/>
          <w:highlight w:val="none"/>
          <w:lang w:eastAsia="zh-CN"/>
        </w:rPr>
      </w:pPr>
      <w:r>
        <w:rPr>
          <w:rFonts w:hint="eastAsia" w:asciiTheme="minorEastAsia" w:hAnsiTheme="minorEastAsia" w:eastAsiaTheme="minorEastAsia" w:cstheme="minorEastAsia"/>
          <w:b/>
          <w:snapToGrid/>
          <w:color w:val="auto"/>
          <w:kern w:val="2"/>
          <w:sz w:val="24"/>
          <w:szCs w:val="24"/>
          <w:highlight w:val="none"/>
          <w:lang w:eastAsia="zh-CN"/>
        </w:rPr>
        <w:t>（二）采购标的需执行的国家相关标准、行业标准、地方标准或者其他标准、规范；</w:t>
      </w:r>
    </w:p>
    <w:p w14:paraId="1DB8A239">
      <w:pPr>
        <w:keepNext w:val="0"/>
        <w:keepLines w:val="0"/>
        <w:pageBreakBefore w:val="0"/>
        <w:widowControl w:val="0"/>
        <w:numPr>
          <w:ilvl w:val="0"/>
          <w:numId w:val="3"/>
        </w:numPr>
        <w:kinsoku/>
        <w:wordWrap/>
        <w:overflowPunct/>
        <w:topLinePunct w:val="0"/>
        <w:autoSpaceDE/>
        <w:autoSpaceDN/>
        <w:bidi w:val="0"/>
        <w:adjustRightInd/>
        <w:snapToGrid/>
        <w:spacing w:after="0" w:afterLines="0" w:line="240" w:lineRule="auto"/>
        <w:ind w:left="425" w:leftChars="0" w:right="0" w:rightChars="0" w:hanging="425" w:firstLineChars="0"/>
        <w:jc w:val="both"/>
        <w:textAlignment w:val="auto"/>
        <w:outlineLvl w:val="9"/>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中共中央办公厅、国务院办公厅印发的《推进互联网协议第六版（IPv6）规模部署行动计划》</w:t>
      </w:r>
    </w:p>
    <w:p w14:paraId="1BC646E4">
      <w:pPr>
        <w:keepNext w:val="0"/>
        <w:keepLines w:val="0"/>
        <w:pageBreakBefore w:val="0"/>
        <w:widowControl w:val="0"/>
        <w:numPr>
          <w:ilvl w:val="0"/>
          <w:numId w:val="3"/>
        </w:numPr>
        <w:kinsoku/>
        <w:wordWrap/>
        <w:overflowPunct/>
        <w:topLinePunct w:val="0"/>
        <w:autoSpaceDE/>
        <w:autoSpaceDN/>
        <w:bidi w:val="0"/>
        <w:adjustRightInd/>
        <w:snapToGrid/>
        <w:spacing w:before="0" w:after="120" w:line="240" w:lineRule="auto"/>
        <w:ind w:left="425" w:leftChars="0" w:right="0" w:rightChars="0" w:hanging="425" w:firstLineChars="0"/>
        <w:jc w:val="both"/>
        <w:textAlignment w:val="auto"/>
        <w:outlineLvl w:val="9"/>
        <w:rPr>
          <w:rFonts w:hint="eastAsia" w:asciiTheme="minorEastAsia" w:hAnsiTheme="minorEastAsia" w:eastAsiaTheme="minorEastAsia" w:cstheme="minorEastAsia"/>
          <w:b w:val="0"/>
          <w:bCs w:val="0"/>
          <w:color w:val="auto"/>
          <w:kern w:val="2"/>
          <w:sz w:val="24"/>
          <w:szCs w:val="24"/>
          <w:highlight w:val="none"/>
          <w:lang w:val="en-US" w:eastAsia="zh-CN" w:bidi="ar-SA"/>
        </w:rPr>
      </w:pPr>
      <w:r>
        <w:rPr>
          <w:rFonts w:hint="eastAsia" w:asciiTheme="minorEastAsia" w:hAnsiTheme="minorEastAsia" w:eastAsiaTheme="minorEastAsia" w:cstheme="minorEastAsia"/>
          <w:b w:val="0"/>
          <w:bCs w:val="0"/>
          <w:color w:val="auto"/>
          <w:kern w:val="2"/>
          <w:sz w:val="24"/>
          <w:szCs w:val="24"/>
          <w:highlight w:val="none"/>
          <w:lang w:val="en-US" w:eastAsia="zh-CN" w:bidi="ar-SA"/>
        </w:rPr>
        <w:t>工业和信息化部等八部门进一步发布《关于推进 IPv6 技术演进和应用创新发展的实施意见》</w:t>
      </w:r>
    </w:p>
    <w:p w14:paraId="41FD242B">
      <w:pPr>
        <w:keepNext w:val="0"/>
        <w:keepLines w:val="0"/>
        <w:pageBreakBefore w:val="0"/>
        <w:widowControl w:val="0"/>
        <w:numPr>
          <w:ilvl w:val="0"/>
          <w:numId w:val="3"/>
        </w:numPr>
        <w:kinsoku/>
        <w:wordWrap/>
        <w:overflowPunct/>
        <w:topLinePunct w:val="0"/>
        <w:autoSpaceDE/>
        <w:autoSpaceDN/>
        <w:bidi w:val="0"/>
        <w:adjustRightInd/>
        <w:snapToGrid/>
        <w:spacing w:before="0" w:after="120" w:line="240" w:lineRule="auto"/>
        <w:ind w:left="425" w:leftChars="0" w:right="0" w:rightChars="0" w:hanging="425" w:firstLineChars="0"/>
        <w:jc w:val="both"/>
        <w:textAlignment w:val="auto"/>
        <w:outlineLvl w:val="9"/>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《北京市经济和信息化局关于加快推进区级政务外网IPv6升级改造工作的通知》（京经信发[2024]57号文）文件。</w:t>
      </w:r>
    </w:p>
    <w:p w14:paraId="6579C356">
      <w:pPr>
        <w:keepNext w:val="0"/>
        <w:keepLines w:val="0"/>
        <w:pageBreakBefore w:val="0"/>
        <w:widowControl w:val="0"/>
        <w:numPr>
          <w:ilvl w:val="0"/>
          <w:numId w:val="3"/>
        </w:numPr>
        <w:kinsoku/>
        <w:wordWrap/>
        <w:overflowPunct/>
        <w:topLinePunct w:val="0"/>
        <w:autoSpaceDE/>
        <w:autoSpaceDN/>
        <w:bidi w:val="0"/>
        <w:adjustRightInd/>
        <w:snapToGrid/>
        <w:spacing w:before="0" w:after="120" w:line="240" w:lineRule="auto"/>
        <w:ind w:left="425" w:leftChars="0" w:right="0" w:rightChars="0" w:hanging="425" w:firstLineChars="0"/>
        <w:jc w:val="both"/>
        <w:textAlignment w:val="auto"/>
        <w:outlineLvl w:val="9"/>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《公共区域名系统（DNS）技术规范》GW0201-2024</w:t>
      </w:r>
    </w:p>
    <w:p w14:paraId="07711E3C">
      <w:pPr>
        <w:keepNext w:val="0"/>
        <w:keepLines w:val="0"/>
        <w:pageBreakBefore w:val="0"/>
        <w:widowControl w:val="0"/>
        <w:numPr>
          <w:ilvl w:val="0"/>
          <w:numId w:val="3"/>
        </w:numPr>
        <w:kinsoku/>
        <w:wordWrap/>
        <w:overflowPunct/>
        <w:topLinePunct w:val="0"/>
        <w:autoSpaceDE/>
        <w:autoSpaceDN/>
        <w:bidi w:val="0"/>
        <w:adjustRightInd/>
        <w:snapToGrid/>
        <w:spacing w:before="0" w:after="120" w:line="240" w:lineRule="auto"/>
        <w:ind w:left="425" w:leftChars="0" w:right="0" w:rightChars="0" w:hanging="425" w:firstLineChars="0"/>
        <w:jc w:val="both"/>
        <w:textAlignment w:val="auto"/>
        <w:outlineLvl w:val="9"/>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国家电子政务外网管理中心办公室印发的IPv6演进路线图和实施技术指南—政务外网</w:t>
      </w:r>
    </w:p>
    <w:p w14:paraId="0EE1C792">
      <w:pPr>
        <w:keepNext w:val="0"/>
        <w:keepLines w:val="0"/>
        <w:pageBreakBefore w:val="0"/>
        <w:widowControl w:val="0"/>
        <w:numPr>
          <w:ilvl w:val="0"/>
          <w:numId w:val="3"/>
        </w:numPr>
        <w:kinsoku/>
        <w:wordWrap/>
        <w:overflowPunct/>
        <w:topLinePunct w:val="0"/>
        <w:autoSpaceDE/>
        <w:autoSpaceDN/>
        <w:bidi w:val="0"/>
        <w:adjustRightInd/>
        <w:snapToGrid/>
        <w:spacing w:before="0" w:after="120" w:line="240" w:lineRule="auto"/>
        <w:ind w:left="425" w:leftChars="0" w:right="0" w:rightChars="0" w:hanging="425" w:firstLineChars="0"/>
        <w:jc w:val="both"/>
        <w:textAlignment w:val="auto"/>
        <w:outlineLvl w:val="9"/>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国家电子政务外网管理中心办公室关于政务外网IPv6演进技术白皮书（2021）</w:t>
      </w:r>
    </w:p>
    <w:p w14:paraId="345C46EF">
      <w:pPr>
        <w:keepNext w:val="0"/>
        <w:keepLines w:val="0"/>
        <w:pageBreakBefore w:val="0"/>
        <w:widowControl w:val="0"/>
        <w:numPr>
          <w:ilvl w:val="0"/>
          <w:numId w:val="3"/>
        </w:numPr>
        <w:kinsoku/>
        <w:wordWrap/>
        <w:overflowPunct/>
        <w:topLinePunct w:val="0"/>
        <w:autoSpaceDE/>
        <w:autoSpaceDN/>
        <w:bidi w:val="0"/>
        <w:adjustRightInd/>
        <w:snapToGrid/>
        <w:spacing w:before="0" w:after="120" w:line="240" w:lineRule="auto"/>
        <w:ind w:left="425" w:leftChars="0" w:right="0" w:rightChars="0" w:hanging="425" w:firstLineChars="0"/>
        <w:jc w:val="both"/>
        <w:textAlignment w:val="auto"/>
        <w:outlineLvl w:val="9"/>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国家电子政务外网IPv6地址规划征求意见稿</w:t>
      </w:r>
    </w:p>
    <w:p w14:paraId="3E0FA947">
      <w:pPr>
        <w:keepNext w:val="0"/>
        <w:keepLines w:val="0"/>
        <w:pageBreakBefore w:val="0"/>
        <w:widowControl w:val="0"/>
        <w:numPr>
          <w:ilvl w:val="0"/>
          <w:numId w:val="3"/>
        </w:numPr>
        <w:kinsoku/>
        <w:wordWrap/>
        <w:overflowPunct/>
        <w:topLinePunct w:val="0"/>
        <w:autoSpaceDE/>
        <w:autoSpaceDN/>
        <w:bidi w:val="0"/>
        <w:adjustRightInd/>
        <w:snapToGrid/>
        <w:spacing w:before="0" w:after="120" w:line="240" w:lineRule="auto"/>
        <w:ind w:left="425" w:leftChars="0" w:right="0" w:rightChars="0" w:hanging="425" w:firstLineChars="0"/>
        <w:jc w:val="both"/>
        <w:textAlignment w:val="auto"/>
        <w:outlineLvl w:val="9"/>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GB/T22239-2019信息安全技术网络安全等级保护基本要求</w:t>
      </w:r>
    </w:p>
    <w:p w14:paraId="7BEE0CC2">
      <w:pPr>
        <w:keepNext w:val="0"/>
        <w:keepLines w:val="0"/>
        <w:pageBreakBefore w:val="0"/>
        <w:widowControl w:val="0"/>
        <w:numPr>
          <w:ilvl w:val="0"/>
          <w:numId w:val="3"/>
        </w:numPr>
        <w:kinsoku/>
        <w:wordWrap/>
        <w:overflowPunct/>
        <w:topLinePunct w:val="0"/>
        <w:autoSpaceDE/>
        <w:autoSpaceDN/>
        <w:bidi w:val="0"/>
        <w:adjustRightInd/>
        <w:snapToGrid/>
        <w:spacing w:before="0" w:after="120" w:line="240" w:lineRule="auto"/>
        <w:ind w:left="425" w:leftChars="0" w:right="0" w:rightChars="0" w:hanging="425" w:firstLineChars="0"/>
        <w:jc w:val="both"/>
        <w:textAlignment w:val="auto"/>
        <w:outlineLvl w:val="9"/>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GB/T25058-2019信息安全技术信息系统安全等级保护实施指南</w:t>
      </w:r>
    </w:p>
    <w:p w14:paraId="57CA2400">
      <w:pPr>
        <w:keepNext w:val="0"/>
        <w:keepLines w:val="0"/>
        <w:pageBreakBefore w:val="0"/>
        <w:widowControl w:val="0"/>
        <w:numPr>
          <w:ilvl w:val="0"/>
          <w:numId w:val="3"/>
        </w:numPr>
        <w:kinsoku/>
        <w:wordWrap/>
        <w:overflowPunct/>
        <w:topLinePunct w:val="0"/>
        <w:autoSpaceDE/>
        <w:autoSpaceDN/>
        <w:bidi w:val="0"/>
        <w:adjustRightInd/>
        <w:snapToGrid/>
        <w:spacing w:before="0" w:after="120" w:line="240" w:lineRule="auto"/>
        <w:ind w:left="425" w:leftChars="0" w:right="0" w:rightChars="0" w:hanging="425" w:firstLineChars="0"/>
        <w:jc w:val="both"/>
        <w:textAlignment w:val="auto"/>
        <w:outlineLvl w:val="9"/>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GB/T 25070-2019信息安全技术网络安全等级保护安全设计技术要求</w:t>
      </w:r>
    </w:p>
    <w:p w14:paraId="4332E081">
      <w:pPr>
        <w:keepNext w:val="0"/>
        <w:keepLines w:val="0"/>
        <w:pageBreakBefore w:val="0"/>
        <w:widowControl w:val="0"/>
        <w:numPr>
          <w:ilvl w:val="0"/>
          <w:numId w:val="3"/>
        </w:numPr>
        <w:kinsoku/>
        <w:wordWrap/>
        <w:overflowPunct/>
        <w:topLinePunct w:val="0"/>
        <w:autoSpaceDE/>
        <w:autoSpaceDN/>
        <w:bidi w:val="0"/>
        <w:adjustRightInd/>
        <w:snapToGrid/>
        <w:spacing w:before="0" w:after="120" w:line="240" w:lineRule="auto"/>
        <w:ind w:left="425" w:leftChars="0" w:right="0" w:rightChars="0" w:hanging="425" w:firstLineChars="0"/>
        <w:jc w:val="both"/>
        <w:textAlignment w:val="auto"/>
        <w:outlineLvl w:val="9"/>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GB/T 20270-2006信息安全技术网络基础安全技术要求</w:t>
      </w:r>
    </w:p>
    <w:p w14:paraId="1DDFF46B">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b/>
          <w:snapToGrid/>
          <w:color w:val="auto"/>
          <w:kern w:val="2"/>
          <w:sz w:val="24"/>
          <w:szCs w:val="24"/>
          <w:highlight w:val="none"/>
          <w:lang w:eastAsia="zh-CN"/>
        </w:rPr>
      </w:pPr>
    </w:p>
    <w:p w14:paraId="4EBBAC19">
      <w:pPr>
        <w:pStyle w:val="2"/>
        <w:rPr>
          <w:rFonts w:hint="eastAsia" w:asciiTheme="minorEastAsia" w:hAnsiTheme="minorEastAsia" w:eastAsiaTheme="minorEastAsia" w:cstheme="minorEastAsia"/>
          <w:b/>
          <w:snapToGrid/>
          <w:color w:val="auto"/>
          <w:kern w:val="2"/>
          <w:sz w:val="24"/>
          <w:szCs w:val="24"/>
          <w:highlight w:val="none"/>
          <w:lang w:eastAsia="zh-CN"/>
        </w:rPr>
      </w:pPr>
    </w:p>
    <w:p w14:paraId="3E82EDE5">
      <w:pPr>
        <w:pStyle w:val="4"/>
        <w:rPr>
          <w:rFonts w:hint="eastAsia"/>
          <w:highlight w:val="none"/>
          <w:lang w:eastAsia="zh-CN"/>
        </w:rPr>
      </w:pPr>
    </w:p>
    <w:p w14:paraId="327D23FE">
      <w:pPr>
        <w:pStyle w:val="4"/>
        <w:rPr>
          <w:rFonts w:hint="eastAsia"/>
          <w:highlight w:val="none"/>
          <w:lang w:eastAsia="zh-CN"/>
        </w:rPr>
      </w:pPr>
    </w:p>
    <w:p w14:paraId="37217518">
      <w:pPr>
        <w:keepNext w:val="0"/>
        <w:keepLines w:val="0"/>
        <w:pageBreakBefore w:val="0"/>
        <w:widowControl w:val="0"/>
        <w:numPr>
          <w:ilvl w:val="0"/>
          <w:numId w:val="4"/>
        </w:numPr>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b/>
          <w:snapToGrid/>
          <w:color w:val="auto"/>
          <w:kern w:val="2"/>
          <w:sz w:val="24"/>
          <w:szCs w:val="24"/>
          <w:highlight w:val="none"/>
          <w:lang w:eastAsia="zh-CN"/>
        </w:rPr>
      </w:pPr>
      <w:r>
        <w:rPr>
          <w:rFonts w:hint="eastAsia" w:asciiTheme="minorEastAsia" w:hAnsiTheme="minorEastAsia" w:eastAsiaTheme="minorEastAsia" w:cstheme="minorEastAsia"/>
          <w:b/>
          <w:snapToGrid/>
          <w:color w:val="auto"/>
          <w:kern w:val="2"/>
          <w:sz w:val="24"/>
          <w:szCs w:val="24"/>
          <w:highlight w:val="none"/>
          <w:lang w:eastAsia="zh-CN"/>
        </w:rPr>
        <w:t>采购标的需求；</w:t>
      </w:r>
    </w:p>
    <w:p w14:paraId="1FCB0E69">
      <w:pPr>
        <w:pStyle w:val="2"/>
        <w:numPr>
          <w:ilvl w:val="0"/>
          <w:numId w:val="0"/>
        </w:numPr>
        <w:rPr>
          <w:rFonts w:hint="default"/>
          <w:highlight w:val="none"/>
          <w:lang w:val="en-US" w:eastAsia="zh-CN"/>
        </w:rPr>
      </w:pPr>
      <w:r>
        <w:rPr>
          <w:rFonts w:hint="eastAsia"/>
          <w:highlight w:val="none"/>
          <w:lang w:val="en-US" w:eastAsia="zh-CN"/>
        </w:rPr>
        <w:t>1.需求详细表</w:t>
      </w:r>
    </w:p>
    <w:tbl>
      <w:tblPr>
        <w:tblStyle w:val="20"/>
        <w:tblW w:w="920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12"/>
        <w:gridCol w:w="444"/>
        <w:gridCol w:w="844"/>
        <w:gridCol w:w="414"/>
        <w:gridCol w:w="268"/>
        <w:gridCol w:w="3339"/>
        <w:gridCol w:w="1156"/>
        <w:gridCol w:w="74"/>
        <w:gridCol w:w="1305"/>
        <w:gridCol w:w="751"/>
      </w:tblGrid>
      <w:tr w14:paraId="40500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2CF0D9">
            <w:pPr>
              <w:keepNext w:val="0"/>
              <w:keepLines w:val="0"/>
              <w:widowControl/>
              <w:suppressLineNumbers w:val="0"/>
              <w:jc w:val="center"/>
              <w:textAlignment w:val="center"/>
              <w:rPr>
                <w:rFonts w:ascii="仿宋" w:hAnsi="仿宋" w:eastAsia="仿宋" w:cs="仿宋"/>
                <w:b/>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序号</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38B2B2">
            <w:pPr>
              <w:keepNext w:val="0"/>
              <w:keepLines w:val="0"/>
              <w:widowControl/>
              <w:suppressLineNumbers w:val="0"/>
              <w:jc w:val="center"/>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设备名称</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051BA2">
            <w:pPr>
              <w:keepNext w:val="0"/>
              <w:keepLines w:val="0"/>
              <w:widowControl/>
              <w:suppressLineNumbers w:val="0"/>
              <w:jc w:val="center"/>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参数</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1601B7">
            <w:pPr>
              <w:keepNext w:val="0"/>
              <w:keepLines w:val="0"/>
              <w:widowControl/>
              <w:suppressLineNumbers w:val="0"/>
              <w:jc w:val="center"/>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单位</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80129C">
            <w:pPr>
              <w:keepNext w:val="0"/>
              <w:keepLines w:val="0"/>
              <w:widowControl/>
              <w:suppressLineNumbers w:val="0"/>
              <w:jc w:val="center"/>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数量</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17DACC">
            <w:pPr>
              <w:keepNext w:val="0"/>
              <w:keepLines w:val="0"/>
              <w:widowControl/>
              <w:suppressLineNumbers w:val="0"/>
              <w:jc w:val="center"/>
              <w:textAlignment w:val="center"/>
              <w:rPr>
                <w:rFonts w:hint="default" w:ascii="仿宋" w:hAnsi="仿宋" w:eastAsia="仿宋" w:cs="仿宋"/>
                <w:b/>
                <w:i w:val="0"/>
                <w:color w:val="auto"/>
                <w:kern w:val="0"/>
                <w:sz w:val="24"/>
                <w:szCs w:val="24"/>
                <w:highlight w:val="none"/>
                <w:u w:val="none"/>
                <w:lang w:val="en-US" w:eastAsia="zh-CN" w:bidi="ar"/>
              </w:rPr>
            </w:pPr>
            <w:r>
              <w:rPr>
                <w:rFonts w:hint="eastAsia" w:ascii="仿宋" w:hAnsi="仿宋" w:eastAsia="仿宋" w:cs="仿宋"/>
                <w:b/>
                <w:i w:val="0"/>
                <w:color w:val="auto"/>
                <w:kern w:val="0"/>
                <w:sz w:val="24"/>
                <w:szCs w:val="24"/>
                <w:highlight w:val="none"/>
                <w:u w:val="none"/>
                <w:lang w:val="en-US" w:eastAsia="zh-CN" w:bidi="ar"/>
              </w:rPr>
              <w:t>备注</w:t>
            </w:r>
          </w:p>
        </w:tc>
      </w:tr>
      <w:tr w14:paraId="3644C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207"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F18746">
            <w:pPr>
              <w:keepNext w:val="0"/>
              <w:keepLines w:val="0"/>
              <w:widowControl/>
              <w:suppressLineNumbers w:val="0"/>
              <w:jc w:val="left"/>
              <w:textAlignment w:val="center"/>
              <w:rPr>
                <w:rFonts w:hint="eastAsia" w:ascii="仿宋" w:hAnsi="仿宋" w:eastAsia="仿宋" w:cs="仿宋"/>
                <w:b/>
                <w:i w:val="0"/>
                <w:color w:val="auto"/>
                <w:kern w:val="0"/>
                <w:sz w:val="24"/>
                <w:szCs w:val="24"/>
                <w:highlight w:val="none"/>
                <w:u w:val="none"/>
                <w:lang w:val="en-US" w:eastAsia="zh-CN" w:bidi="ar"/>
              </w:rPr>
            </w:pPr>
            <w:r>
              <w:rPr>
                <w:rFonts w:hint="eastAsia" w:ascii="仿宋" w:hAnsi="仿宋" w:eastAsia="仿宋" w:cs="仿宋"/>
                <w:b/>
                <w:i w:val="0"/>
                <w:color w:val="auto"/>
                <w:kern w:val="0"/>
                <w:sz w:val="24"/>
                <w:szCs w:val="24"/>
                <w:highlight w:val="none"/>
                <w:u w:val="none"/>
                <w:lang w:val="en-US" w:eastAsia="zh-CN" w:bidi="ar"/>
              </w:rPr>
              <w:t>一、出口链路</w:t>
            </w:r>
          </w:p>
        </w:tc>
      </w:tr>
      <w:tr w14:paraId="692F1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207"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E0BC22">
            <w:pPr>
              <w:jc w:val="left"/>
              <w:rPr>
                <w:rFonts w:hint="eastAsia" w:ascii="仿宋" w:hAnsi="仿宋" w:eastAsia="仿宋" w:cs="仿宋"/>
                <w:b/>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（一）、互联网IPv6出口链路</w:t>
            </w:r>
          </w:p>
        </w:tc>
      </w:tr>
      <w:tr w14:paraId="7360A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21"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719C92">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AE5131">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防火墙</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3AD2DE">
            <w:pPr>
              <w:keepNext w:val="0"/>
              <w:keepLines w:val="0"/>
              <w:widowControl/>
              <w:suppressLineNumbers w:val="0"/>
              <w:jc w:val="left"/>
              <w:textAlignment w:val="center"/>
              <w:rPr>
                <w:rFonts w:hint="eastAsia"/>
                <w:highlight w:val="none"/>
              </w:rPr>
            </w:pPr>
            <w:r>
              <w:rPr>
                <w:rFonts w:hint="eastAsia" w:ascii="仿宋" w:hAnsi="仿宋" w:eastAsia="仿宋" w:cs="仿宋"/>
                <w:i w:val="0"/>
                <w:color w:val="auto"/>
                <w:kern w:val="0"/>
                <w:sz w:val="24"/>
                <w:szCs w:val="24"/>
                <w:highlight w:val="none"/>
                <w:u w:val="none"/>
                <w:lang w:val="en-US" w:eastAsia="zh-CN" w:bidi="ar"/>
              </w:rPr>
              <w:t>2U标准机架式,内存≥32G，1个MGMT口，1个HA口,冗余电源,至少4个万兆光口，4个扩展槽位,防火墙吞吐量≥50G，并发连接≥1200万，每秒新建连接≥36万，应用层吞吐量≥40G，IPSEC VPN隧道数≥2000，SSL VPN吞吐≥2.5G，SSL VPN并发用户数≥5000 。包含应用识别功能，含1年应用特征库升级许可。防病毒库3年升级服务许可；三年硬件免费保修服务。</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8AACC1">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A794CE">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16EE76">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2767D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4"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5D3642">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012F6B">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上网行为管理系统</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8D1739">
            <w:pPr>
              <w:keepNext w:val="0"/>
              <w:keepLines w:val="0"/>
              <w:widowControl/>
              <w:suppressLineNumbers w:val="0"/>
              <w:jc w:val="left"/>
              <w:textAlignment w:val="center"/>
              <w:rPr>
                <w:rFonts w:hint="eastAsia"/>
                <w:highlight w:val="none"/>
              </w:rPr>
            </w:pPr>
            <w:r>
              <w:rPr>
                <w:rFonts w:hint="eastAsia" w:ascii="仿宋" w:hAnsi="仿宋" w:eastAsia="仿宋" w:cs="仿宋"/>
                <w:i w:val="0"/>
                <w:color w:val="auto"/>
                <w:kern w:val="0"/>
                <w:sz w:val="24"/>
                <w:szCs w:val="24"/>
                <w:highlight w:val="none"/>
                <w:u w:val="none"/>
                <w:lang w:val="en-US" w:eastAsia="zh-CN" w:bidi="ar"/>
              </w:rPr>
              <w:t>2U标准机架式，至少6个千兆电接口，4个千兆光接口，4个万兆光口，1个扩展槽位。双电源，存储容量≥4T。网络层吞吐量≥27G，最大并发连接≥4000万，每秒新建连接≥40万，适用于6G带宽接入网络。提供三年免费特征库升级服务及三年硬件免费质保服务。</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83C863">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块</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58DFDC">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FD9FBF">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73392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60"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13878A">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84D536">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负载均衡</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694DAB">
            <w:pPr>
              <w:keepNext w:val="0"/>
              <w:keepLines w:val="0"/>
              <w:widowControl/>
              <w:suppressLineNumbers w:val="0"/>
              <w:jc w:val="left"/>
              <w:textAlignment w:val="center"/>
              <w:rPr>
                <w:rFonts w:hint="eastAsia"/>
                <w:highlight w:val="none"/>
              </w:rPr>
            </w:pPr>
            <w:r>
              <w:rPr>
                <w:rFonts w:hint="eastAsia" w:ascii="仿宋" w:hAnsi="仿宋" w:eastAsia="仿宋" w:cs="仿宋"/>
                <w:i w:val="0"/>
                <w:color w:val="auto"/>
                <w:kern w:val="0"/>
                <w:sz w:val="24"/>
                <w:szCs w:val="24"/>
                <w:highlight w:val="none"/>
                <w:u w:val="none"/>
                <w:lang w:val="en-US" w:eastAsia="zh-CN" w:bidi="ar"/>
              </w:rPr>
              <w:t>2U标准机架式,内存≥32G，至少标配6个千兆电口（含1个管理口，1个HA口）；4个千兆光口插槽；6个万兆光口插槽（含模块）,双电源,2个扩展槽位,负载均衡吞吐≥40G，并发连接≥2000万，四层新建≥60W，七层新建≥64W，三年硬件免费质保服务。</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AF68E2">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块</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D87316">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D640E7">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53CBA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EC95BC">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2281C2">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网络入侵防护系统</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4C9135">
            <w:pPr>
              <w:keepNext w:val="0"/>
              <w:keepLines w:val="0"/>
              <w:widowControl/>
              <w:suppressLineNumbers w:val="0"/>
              <w:jc w:val="left"/>
              <w:textAlignment w:val="center"/>
              <w:rPr>
                <w:rFonts w:hint="eastAsia"/>
                <w:highlight w:val="none"/>
              </w:rPr>
            </w:pPr>
            <w:r>
              <w:rPr>
                <w:rFonts w:hint="eastAsia" w:ascii="仿宋" w:hAnsi="仿宋" w:eastAsia="仿宋" w:cs="仿宋"/>
                <w:i w:val="0"/>
                <w:color w:val="auto"/>
                <w:kern w:val="0"/>
                <w:sz w:val="24"/>
                <w:szCs w:val="24"/>
                <w:highlight w:val="none"/>
                <w:u w:val="none"/>
                <w:lang w:val="en-US" w:eastAsia="zh-CN" w:bidi="ar"/>
              </w:rPr>
              <w:t>2U标准机架式,内存≥64G,至少2个千兆电口（含1个HA口和1个管理口），至少2个万兆SFP+插槽+光模块，支持Bypass，1个CONSOLE口,冗余电源,5个扩展槽位,整机吞吐率≥40Gbps，最大并发连接数≥2000万，IPS吞吐率≥20Gbps。3年攻击检测规则库、应用识别库、地理信息库升级许可； 1年僵尸主机规则库免费升级许可；三年硬件免费质保服务。</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23A701">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块</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3BB38E">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0AD732">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79810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6"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C83538">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5</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5C0159">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出口链路汇聚交换机</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2745F4">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至少24个万兆SFP+，6个40/100GE QSFP28，包转发率≥1620Mpps，交换容量≥4.8/25.6Tbps，带4个万兆单模模块</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9B201A">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C562AD">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36ABC1">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6DE02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207"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748ACA">
            <w:pPr>
              <w:keepNext w:val="0"/>
              <w:keepLines w:val="0"/>
              <w:widowControl/>
              <w:suppressLineNumbers w:val="0"/>
              <w:jc w:val="left"/>
              <w:textAlignment w:val="center"/>
              <w:rPr>
                <w:rFonts w:hint="eastAsia" w:ascii="仿宋" w:hAnsi="仿宋" w:eastAsia="仿宋" w:cs="仿宋"/>
                <w:b/>
                <w:i w:val="0"/>
                <w:color w:val="auto"/>
                <w:kern w:val="0"/>
                <w:sz w:val="24"/>
                <w:szCs w:val="24"/>
                <w:highlight w:val="none"/>
                <w:u w:val="none"/>
                <w:lang w:val="en-US" w:eastAsia="zh-CN" w:bidi="ar"/>
              </w:rPr>
            </w:pPr>
            <w:r>
              <w:rPr>
                <w:rFonts w:hint="eastAsia" w:ascii="仿宋" w:hAnsi="仿宋" w:eastAsia="仿宋" w:cs="仿宋"/>
                <w:b/>
                <w:i w:val="0"/>
                <w:color w:val="auto"/>
                <w:kern w:val="0"/>
                <w:sz w:val="24"/>
                <w:szCs w:val="24"/>
                <w:highlight w:val="none"/>
                <w:u w:val="none"/>
                <w:lang w:val="en-US" w:eastAsia="zh-CN" w:bidi="ar"/>
              </w:rPr>
              <w:t>（二)、北京市电子政务外网出口链路</w:t>
            </w:r>
          </w:p>
        </w:tc>
      </w:tr>
      <w:tr w14:paraId="25F94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96" w:hRule="atLeast"/>
        </w:trPr>
        <w:tc>
          <w:tcPr>
            <w:tcW w:w="1056" w:type="dxa"/>
            <w:gridSpan w:val="2"/>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2BD4FFF8">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1526" w:type="dxa"/>
            <w:gridSpan w:val="3"/>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1314472C">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防火墙（含防病毒网关）</w:t>
            </w:r>
          </w:p>
        </w:tc>
        <w:tc>
          <w:tcPr>
            <w:tcW w:w="3339" w:type="dxa"/>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731B0C57">
            <w:pPr>
              <w:keepNext w:val="0"/>
              <w:keepLines w:val="0"/>
              <w:widowControl/>
              <w:suppressLineNumbers w:val="0"/>
              <w:jc w:val="left"/>
              <w:textAlignment w:val="center"/>
              <w:rPr>
                <w:rFonts w:hint="eastAsia"/>
                <w:highlight w:val="none"/>
              </w:rPr>
            </w:pPr>
            <w:r>
              <w:rPr>
                <w:rFonts w:hint="eastAsia" w:ascii="仿宋" w:hAnsi="仿宋" w:eastAsia="仿宋" w:cs="仿宋"/>
                <w:i w:val="0"/>
                <w:color w:val="auto"/>
                <w:kern w:val="0"/>
                <w:sz w:val="24"/>
                <w:szCs w:val="24"/>
                <w:highlight w:val="none"/>
                <w:u w:val="none"/>
                <w:lang w:val="en-US" w:eastAsia="zh-CN" w:bidi="ar"/>
              </w:rPr>
              <w:t>2U机架式设备,内存≥16G。至少6个千兆电口，4个千兆光插槽,2个万兆光插槽。冗余电源,2个扩展槽位,防火墙吞吐≥20G，并发连接≥500万，每秒新建连接≥16万，应用层吞吐量≥16G，IPSEC VPN隧道数≥2000，SSL VPN吞吐量≥2.5G，SSL VPN并发用户数≥5000 。包含应用识别功能，含1年应用特征库升级许可。专业版快速扫描查杀病毒库3年免费升级服务许可；三年硬件免费质保服务。</w:t>
            </w:r>
          </w:p>
        </w:tc>
        <w:tc>
          <w:tcPr>
            <w:tcW w:w="1230" w:type="dxa"/>
            <w:gridSpan w:val="2"/>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5D45139C">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3967870C">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5E9660EF">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70391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207" w:type="dxa"/>
            <w:gridSpan w:val="10"/>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794CD330">
            <w:pPr>
              <w:keepNext w:val="0"/>
              <w:keepLines w:val="0"/>
              <w:widowControl/>
              <w:suppressLineNumbers w:val="0"/>
              <w:jc w:val="left"/>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二、内网安全设备</w:t>
            </w:r>
          </w:p>
        </w:tc>
      </w:tr>
      <w:tr w14:paraId="2C904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42" w:hRule="atLeast"/>
        </w:trPr>
        <w:tc>
          <w:tcPr>
            <w:tcW w:w="1056" w:type="dxa"/>
            <w:gridSpan w:val="2"/>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FC97F7">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1526" w:type="dxa"/>
            <w:gridSpan w:val="3"/>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CE9EAA">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堡垒机</w:t>
            </w:r>
          </w:p>
        </w:tc>
        <w:tc>
          <w:tcPr>
            <w:tcW w:w="3339"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AE1358">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U机架式设备。至少6个千兆电口，4个千兆光口，1个Console管理口。存储容量≥8TB，双电源，带液晶面板，3个扩展槽。字符并发≥1500，图形并发≥400。被管资源数量无限制，至少包含200个被管资源数授权。提供三年硬件免费质保服务。</w:t>
            </w:r>
          </w:p>
        </w:tc>
        <w:tc>
          <w:tcPr>
            <w:tcW w:w="1230" w:type="dxa"/>
            <w:gridSpan w:val="2"/>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B53163">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F6FB35">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FC77DD">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54B94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3" w:hRule="atLeast"/>
        </w:trPr>
        <w:tc>
          <w:tcPr>
            <w:tcW w:w="10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CB31B6">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w:t>
            </w:r>
          </w:p>
        </w:tc>
        <w:tc>
          <w:tcPr>
            <w:tcW w:w="8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4988CD">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双因素认证</w:t>
            </w:r>
          </w:p>
        </w:tc>
        <w:tc>
          <w:tcPr>
            <w:tcW w:w="68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B5803D">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动态密码认证模块</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D49F4C">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CKEY动态认证系统支持多种终端令牌模式认证，适应于VPN/Citrix/VMWare View、Vcenter/堡垒机/KVM/云主机/交换机/业务系统/操作系统/安全设备等。实现网络资产用户在帐号+静态密码认证基础上多增加一层保护。整体提升安全防护、满足三级等保。内置认证服务、资源管理、策略管理、账号管理、日志审计、集成动态令牌认证引擎、生物识别认证引擎和RADIUS、TACACS+、LDAP协议服务。支持500资产规模。</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060E72">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套</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156E3E">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2EE1E7">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4A657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7"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BE9BA3">
            <w:pPr>
              <w:jc w:val="center"/>
              <w:rPr>
                <w:rFonts w:hint="eastAsia" w:ascii="仿宋" w:hAnsi="仿宋" w:eastAsia="仿宋" w:cs="仿宋"/>
                <w:i w:val="0"/>
                <w:color w:val="auto"/>
                <w:sz w:val="24"/>
                <w:szCs w:val="24"/>
                <w:highlight w:val="none"/>
                <w:u w:val="none"/>
              </w:rPr>
            </w:pPr>
          </w:p>
        </w:tc>
        <w:tc>
          <w:tcPr>
            <w:tcW w:w="8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F1D69D">
            <w:pPr>
              <w:jc w:val="left"/>
              <w:rPr>
                <w:rFonts w:hint="eastAsia" w:ascii="仿宋" w:hAnsi="仿宋" w:eastAsia="仿宋" w:cs="仿宋"/>
                <w:i w:val="0"/>
                <w:color w:val="auto"/>
                <w:sz w:val="24"/>
                <w:szCs w:val="24"/>
                <w:highlight w:val="none"/>
                <w:u w:val="none"/>
              </w:rPr>
            </w:pPr>
          </w:p>
        </w:tc>
        <w:tc>
          <w:tcPr>
            <w:tcW w:w="68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1B2653">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资产接入授权</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B580FB">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接入资产授权license：实现多个业务系统对接，例如OA、ERP、CRM等；多个网络设备对接，交换机、vpn、堡垒机、防护墙、网闸、IDS等；多个云主机、云桌面、操作系统等接入授权。（每接入一个资产IP会占用一个资产授权许可）含3年license许可。</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662085">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授权</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AB25FC">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100</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6826EA">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48AC9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4"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012A84">
            <w:pPr>
              <w:jc w:val="center"/>
              <w:rPr>
                <w:rFonts w:hint="eastAsia" w:ascii="仿宋" w:hAnsi="仿宋" w:eastAsia="仿宋" w:cs="仿宋"/>
                <w:i w:val="0"/>
                <w:color w:val="auto"/>
                <w:sz w:val="24"/>
                <w:szCs w:val="24"/>
                <w:highlight w:val="none"/>
                <w:u w:val="none"/>
              </w:rPr>
            </w:pPr>
          </w:p>
        </w:tc>
        <w:tc>
          <w:tcPr>
            <w:tcW w:w="8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174FE7">
            <w:pPr>
              <w:jc w:val="left"/>
              <w:rPr>
                <w:rFonts w:hint="eastAsia" w:ascii="仿宋" w:hAnsi="仿宋" w:eastAsia="仿宋" w:cs="仿宋"/>
                <w:i w:val="0"/>
                <w:color w:val="auto"/>
                <w:sz w:val="24"/>
                <w:szCs w:val="24"/>
                <w:highlight w:val="none"/>
                <w:u w:val="none"/>
              </w:rPr>
            </w:pPr>
          </w:p>
        </w:tc>
        <w:tc>
          <w:tcPr>
            <w:tcW w:w="68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A4C288">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软件令牌</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BA9181">
            <w:pPr>
              <w:pStyle w:val="9"/>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软件令牌形式，每隔60秒变化一个密码，支持Ios/</w:t>
            </w:r>
            <w:r>
              <w:rPr>
                <w:highlight w:val="none"/>
              </w:rPr>
              <w:t>android</w:t>
            </w:r>
            <w:r>
              <w:rPr>
                <w:rFonts w:hint="eastAsia" w:ascii="仿宋" w:hAnsi="仿宋" w:eastAsia="仿宋" w:cs="仿宋"/>
                <w:i w:val="0"/>
                <w:color w:val="auto"/>
                <w:kern w:val="0"/>
                <w:sz w:val="24"/>
                <w:szCs w:val="24"/>
                <w:highlight w:val="none"/>
                <w:u w:val="none"/>
                <w:lang w:val="en-US" w:eastAsia="zh-CN" w:bidi="ar"/>
              </w:rPr>
              <w:t>安装。包含3年license许可。</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801D45">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个</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A82762">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5</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79267F">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07AF6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1D98B5">
            <w:pPr>
              <w:jc w:val="center"/>
              <w:rPr>
                <w:rFonts w:hint="eastAsia" w:ascii="仿宋" w:hAnsi="仿宋" w:eastAsia="仿宋" w:cs="仿宋"/>
                <w:i w:val="0"/>
                <w:color w:val="auto"/>
                <w:sz w:val="24"/>
                <w:szCs w:val="24"/>
                <w:highlight w:val="none"/>
                <w:u w:val="none"/>
              </w:rPr>
            </w:pPr>
          </w:p>
        </w:tc>
        <w:tc>
          <w:tcPr>
            <w:tcW w:w="8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B39E30">
            <w:pPr>
              <w:jc w:val="left"/>
              <w:rPr>
                <w:rFonts w:hint="eastAsia" w:ascii="仿宋" w:hAnsi="仿宋" w:eastAsia="仿宋" w:cs="仿宋"/>
                <w:i w:val="0"/>
                <w:color w:val="auto"/>
                <w:sz w:val="24"/>
                <w:szCs w:val="24"/>
                <w:highlight w:val="none"/>
                <w:u w:val="none"/>
              </w:rPr>
            </w:pPr>
          </w:p>
        </w:tc>
        <w:tc>
          <w:tcPr>
            <w:tcW w:w="68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F8DBF4">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用户账号许可</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DB4EF6">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员工账号用户授权许可。包含3年license许可。</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BED2C7">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个</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F07BA4">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5</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F8CEB9">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16E34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98"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956563">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5586CA">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VPN</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7F4EB8">
            <w:pPr>
              <w:keepNext w:val="0"/>
              <w:keepLines w:val="0"/>
              <w:widowControl/>
              <w:suppressLineNumbers w:val="0"/>
              <w:jc w:val="left"/>
              <w:textAlignment w:val="center"/>
              <w:rPr>
                <w:rFonts w:hint="eastAsia"/>
                <w:highlight w:val="none"/>
              </w:rPr>
            </w:pPr>
            <w:r>
              <w:rPr>
                <w:rFonts w:hint="eastAsia" w:ascii="仿宋" w:hAnsi="仿宋" w:eastAsia="仿宋" w:cs="仿宋"/>
                <w:i w:val="0"/>
                <w:color w:val="auto"/>
                <w:kern w:val="0"/>
                <w:sz w:val="24"/>
                <w:szCs w:val="24"/>
                <w:highlight w:val="none"/>
                <w:u w:val="none"/>
                <w:lang w:val="en-US" w:eastAsia="zh-CN" w:bidi="ar"/>
              </w:rPr>
              <w:t>标准2U机架式设备，1个RJ-45 Console口。至少8个10/100/1000M自适应电口，4个千兆SFP插槽，2个网络接口扩展槽位。2个USB口，交流冗余电源；整机吞吐率≥30Gbps，IPSec/SSL国密加解密吞吐率≥1Gbps，提供1000个SSL VPN并发用户授权，支持PC端和移动端同时接入。标配硬件加密卡，支持国家商用密码算法SM1、SM2、SM3、SM4，具备国家密码管理局发布的商用密码产品认证证书。提供三年产品硬件免费质保服务。</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518362">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53E2C9">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4D3D70">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3CFBF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7"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3CBBFE">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20D2DF">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网络审计</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09A4C9">
            <w:pPr>
              <w:keepNext w:val="0"/>
              <w:keepLines w:val="0"/>
              <w:widowControl/>
              <w:suppressLineNumbers w:val="0"/>
              <w:jc w:val="left"/>
              <w:textAlignment w:val="center"/>
              <w:rPr>
                <w:rFonts w:hint="eastAsia"/>
                <w:highlight w:val="none"/>
              </w:rPr>
            </w:pPr>
            <w:r>
              <w:rPr>
                <w:rFonts w:hint="eastAsia" w:ascii="仿宋" w:hAnsi="仿宋" w:eastAsia="仿宋" w:cs="仿宋"/>
                <w:i w:val="0"/>
                <w:color w:val="auto"/>
                <w:kern w:val="0"/>
                <w:sz w:val="24"/>
                <w:szCs w:val="24"/>
                <w:highlight w:val="none"/>
                <w:u w:val="none"/>
                <w:lang w:val="en-US" w:eastAsia="zh-CN" w:bidi="ar"/>
              </w:rPr>
              <w:t>标准2U机架式设备,内存≥32G，机械硬盘≥4T。至少2个千兆电口(1个管理，1个HA)，2个万兆光口含模块,冗余电源,2个扩展槽位。吞吐率≥8Gbps。包含数据库审计功能模块。包含应用识别功能，含1个云审计代理/Agent授权。三年硬件免费质保服务。</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A3158E">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907E68">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66C393">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53ECF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9" w:hRule="atLeast"/>
        </w:trPr>
        <w:tc>
          <w:tcPr>
            <w:tcW w:w="1056" w:type="dxa"/>
            <w:gridSpan w:val="2"/>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56F5198D">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5</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3B9EAA">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网络安全漏洞扫描系统</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AA639F">
            <w:pPr>
              <w:keepNext w:val="0"/>
              <w:keepLines w:val="0"/>
              <w:widowControl/>
              <w:suppressLineNumbers w:val="0"/>
              <w:jc w:val="left"/>
              <w:textAlignment w:val="center"/>
              <w:rPr>
                <w:rFonts w:hint="eastAsia"/>
                <w:highlight w:val="none"/>
              </w:rPr>
            </w:pPr>
            <w:r>
              <w:rPr>
                <w:rFonts w:hint="eastAsia" w:ascii="仿宋" w:hAnsi="仿宋" w:eastAsia="仿宋" w:cs="仿宋"/>
                <w:i w:val="0"/>
                <w:color w:val="auto"/>
                <w:kern w:val="0"/>
                <w:sz w:val="24"/>
                <w:szCs w:val="24"/>
                <w:highlight w:val="none"/>
                <w:u w:val="none"/>
                <w:lang w:val="en-US" w:eastAsia="zh-CN" w:bidi="ar"/>
              </w:rPr>
              <w:t>标准1U机架式设备。至少6个10/100/1000M Base-TX接口、4个千兆SFP接口，1个RJ45 Console口，2个USB接口，另具备2个接口扩展插槽，自带液晶屏，冗余电源。主机漏扫、配置核查、Web漏扫功能开通，主机漏扫和基线核查可扫描IP地址总数无限制，单任务最大可扫描≥300IP地址；主机漏扫并发扫描≥200IP地址；基线核查可核查Windows系列设备类型；Web漏扫可扫描子域名或IP总数量≥5个，Web漏扫并发≥5个子域名或IP。提供三年漏洞库免费升级服务及三年硬件免费质保服务。</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9EB5C2">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块</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69A1E8">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86B3EE">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66793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056" w:type="dxa"/>
            <w:gridSpan w:val="2"/>
            <w:vMerge w:val="restar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14D5B06F">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6</w:t>
            </w:r>
          </w:p>
        </w:tc>
        <w:tc>
          <w:tcPr>
            <w:tcW w:w="1526" w:type="dxa"/>
            <w:gridSpan w:val="3"/>
            <w:vMerge w:val="restart"/>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57137760">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态势感知平台流量探针</w:t>
            </w:r>
          </w:p>
        </w:tc>
        <w:tc>
          <w:tcPr>
            <w:tcW w:w="3339" w:type="dxa"/>
            <w:tcBorders>
              <w:top w:val="nil"/>
              <w:left w:val="nil"/>
              <w:bottom w:val="nil"/>
              <w:right w:val="nil"/>
            </w:tcBorders>
            <w:shd w:val="clear" w:color="auto" w:fill="auto"/>
            <w:tcMar>
              <w:top w:w="12" w:type="dxa"/>
              <w:left w:w="12" w:type="dxa"/>
              <w:right w:w="12" w:type="dxa"/>
            </w:tcMar>
            <w:vAlign w:val="center"/>
          </w:tcPr>
          <w:p w14:paraId="542E8BCC">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产品规格：标准2U机架式设备，冗余电源，1个RJ-45 Console口，1个10/100/1000 Base-Tx带外管理口。至少4个千兆电口，4个千兆光口，2万兆光口，6个扩展槽。硬盘≥8T，内存≥32G。</w:t>
            </w:r>
          </w:p>
        </w:tc>
        <w:tc>
          <w:tcPr>
            <w:tcW w:w="123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13CBE4">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vMerge w:val="restart"/>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6587FCE4">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vMerge w:val="restart"/>
            <w:tcBorders>
              <w:top w:val="single" w:color="000000" w:sz="4" w:space="0"/>
              <w:left w:val="single" w:color="000000" w:sz="4" w:space="0"/>
              <w:right w:val="single" w:color="auto" w:sz="4" w:space="0"/>
            </w:tcBorders>
            <w:shd w:val="clear" w:color="auto" w:fill="auto"/>
            <w:tcMar>
              <w:top w:w="12" w:type="dxa"/>
              <w:left w:w="12" w:type="dxa"/>
              <w:right w:w="12" w:type="dxa"/>
            </w:tcMar>
            <w:vAlign w:val="center"/>
          </w:tcPr>
          <w:p w14:paraId="0B95D37B">
            <w:pPr>
              <w:keepNext w:val="0"/>
              <w:keepLines w:val="0"/>
              <w:widowControl/>
              <w:suppressLineNumbers w:val="0"/>
              <w:jc w:val="left"/>
              <w:textAlignment w:val="center"/>
              <w:rPr>
                <w:rFonts w:hint="eastAsia" w:ascii="仿宋" w:hAnsi="仿宋" w:eastAsia="仿宋" w:cs="仿宋"/>
                <w:i w:val="0"/>
                <w:color w:val="auto"/>
                <w:kern w:val="0"/>
                <w:sz w:val="24"/>
                <w:szCs w:val="24"/>
                <w:highlight w:val="none"/>
                <w:u w:val="none"/>
                <w:lang w:val="en-US" w:eastAsia="zh-CN" w:bidi="ar"/>
              </w:rPr>
            </w:pPr>
          </w:p>
          <w:p w14:paraId="350214C8">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3DABD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79" w:hRule="atLeast"/>
        </w:trPr>
        <w:tc>
          <w:tcPr>
            <w:tcW w:w="1056"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28339822">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78B90889">
            <w:pPr>
              <w:jc w:val="left"/>
              <w:rPr>
                <w:rFonts w:hint="eastAsia" w:ascii="仿宋" w:hAnsi="仿宋" w:eastAsia="仿宋" w:cs="仿宋"/>
                <w:i w:val="0"/>
                <w:color w:val="auto"/>
                <w:sz w:val="24"/>
                <w:szCs w:val="24"/>
                <w:highlight w:val="none"/>
                <w:u w:val="none"/>
              </w:rPr>
            </w:pPr>
          </w:p>
        </w:tc>
        <w:tc>
          <w:tcPr>
            <w:tcW w:w="3339" w:type="dxa"/>
            <w:tcBorders>
              <w:top w:val="nil"/>
              <w:left w:val="nil"/>
              <w:bottom w:val="nil"/>
              <w:right w:val="nil"/>
            </w:tcBorders>
            <w:shd w:val="clear" w:color="auto" w:fill="auto"/>
            <w:tcMar>
              <w:top w:w="12" w:type="dxa"/>
              <w:left w:w="12" w:type="dxa"/>
              <w:right w:w="12" w:type="dxa"/>
            </w:tcMar>
            <w:vAlign w:val="center"/>
          </w:tcPr>
          <w:p w14:paraId="43C66AE9">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产品功能：产品内置双向检测引擎、威胁情报引擎、AV检测引擎、yara检测引擎和机器学习检测引擎，搭载2W+检测规则，支持60+应用层协议解析，能对流量中的威胁进行检测、文件中的威胁进行检测；支持检测已知威胁、未知威胁；能对实时发生的网络威胁进行检测，也能基于通信特征对部署前已感染的网络威胁进行检测，覆盖威胁的全生命周期。</w:t>
            </w: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8AA7E5">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713456A0">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right w:val="single" w:color="auto" w:sz="4" w:space="0"/>
            </w:tcBorders>
            <w:shd w:val="clear" w:color="auto" w:fill="auto"/>
            <w:tcMar>
              <w:top w:w="12" w:type="dxa"/>
              <w:left w:w="12" w:type="dxa"/>
              <w:right w:w="12" w:type="dxa"/>
            </w:tcMar>
            <w:vAlign w:val="center"/>
          </w:tcPr>
          <w:p w14:paraId="401677EC">
            <w:pPr>
              <w:jc w:val="center"/>
              <w:rPr>
                <w:rFonts w:hint="eastAsia" w:ascii="仿宋" w:hAnsi="仿宋" w:eastAsia="仿宋" w:cs="仿宋"/>
                <w:i w:val="0"/>
                <w:color w:val="auto"/>
                <w:sz w:val="24"/>
                <w:szCs w:val="24"/>
                <w:highlight w:val="none"/>
                <w:u w:val="none"/>
              </w:rPr>
            </w:pPr>
          </w:p>
        </w:tc>
      </w:tr>
      <w:tr w14:paraId="627C0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1" w:hRule="atLeast"/>
        </w:trPr>
        <w:tc>
          <w:tcPr>
            <w:tcW w:w="1056"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101E9F37">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1F06B862">
            <w:pPr>
              <w:jc w:val="left"/>
              <w:rPr>
                <w:rFonts w:hint="eastAsia" w:ascii="仿宋" w:hAnsi="仿宋" w:eastAsia="仿宋" w:cs="仿宋"/>
                <w:i w:val="0"/>
                <w:color w:val="auto"/>
                <w:sz w:val="24"/>
                <w:szCs w:val="24"/>
                <w:highlight w:val="none"/>
                <w:u w:val="none"/>
              </w:rPr>
            </w:pPr>
          </w:p>
        </w:tc>
        <w:tc>
          <w:tcPr>
            <w:tcW w:w="3339" w:type="dxa"/>
            <w:tcBorders>
              <w:top w:val="nil"/>
              <w:left w:val="nil"/>
              <w:bottom w:val="nil"/>
              <w:right w:val="nil"/>
            </w:tcBorders>
            <w:shd w:val="clear" w:color="auto" w:fill="auto"/>
            <w:tcMar>
              <w:top w:w="12" w:type="dxa"/>
              <w:left w:w="12" w:type="dxa"/>
              <w:right w:w="12" w:type="dxa"/>
            </w:tcMar>
            <w:vAlign w:val="center"/>
          </w:tcPr>
          <w:p w14:paraId="4FB5FD60">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产品性能：实际网络处理能力≥6Gbps，最大并发连接≥700万，每秒新建连接数≥5万。</w:t>
            </w: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84259C">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61612465">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right w:val="single" w:color="auto" w:sz="4" w:space="0"/>
            </w:tcBorders>
            <w:shd w:val="clear" w:color="auto" w:fill="auto"/>
            <w:tcMar>
              <w:top w:w="12" w:type="dxa"/>
              <w:left w:w="12" w:type="dxa"/>
              <w:right w:w="12" w:type="dxa"/>
            </w:tcMar>
            <w:vAlign w:val="center"/>
          </w:tcPr>
          <w:p w14:paraId="4450708F">
            <w:pPr>
              <w:jc w:val="center"/>
              <w:rPr>
                <w:rFonts w:hint="eastAsia" w:ascii="仿宋" w:hAnsi="仿宋" w:eastAsia="仿宋" w:cs="仿宋"/>
                <w:i w:val="0"/>
                <w:color w:val="auto"/>
                <w:sz w:val="24"/>
                <w:szCs w:val="24"/>
                <w:highlight w:val="none"/>
                <w:u w:val="none"/>
              </w:rPr>
            </w:pPr>
          </w:p>
        </w:tc>
      </w:tr>
      <w:tr w14:paraId="10284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1" w:hRule="atLeast"/>
        </w:trPr>
        <w:tc>
          <w:tcPr>
            <w:tcW w:w="1056"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5BD00230">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auto" w:sz="4" w:space="0"/>
              <w:bottom w:val="single" w:color="auto" w:sz="4" w:space="0"/>
              <w:right w:val="single" w:color="000000" w:sz="4" w:space="0"/>
            </w:tcBorders>
            <w:shd w:val="clear" w:color="auto" w:fill="auto"/>
            <w:tcMar>
              <w:top w:w="12" w:type="dxa"/>
              <w:left w:w="12" w:type="dxa"/>
              <w:right w:w="12" w:type="dxa"/>
            </w:tcMar>
            <w:vAlign w:val="center"/>
          </w:tcPr>
          <w:p w14:paraId="723626B3">
            <w:pPr>
              <w:jc w:val="left"/>
              <w:rPr>
                <w:rFonts w:hint="eastAsia" w:ascii="仿宋" w:hAnsi="仿宋" w:eastAsia="仿宋" w:cs="仿宋"/>
                <w:i w:val="0"/>
                <w:color w:val="auto"/>
                <w:sz w:val="24"/>
                <w:szCs w:val="24"/>
                <w:highlight w:val="none"/>
                <w:u w:val="none"/>
              </w:rPr>
            </w:pPr>
          </w:p>
        </w:tc>
        <w:tc>
          <w:tcPr>
            <w:tcW w:w="3339" w:type="dxa"/>
            <w:tcBorders>
              <w:top w:val="nil"/>
              <w:left w:val="nil"/>
              <w:bottom w:val="single" w:color="auto" w:sz="4" w:space="0"/>
              <w:right w:val="nil"/>
            </w:tcBorders>
            <w:shd w:val="clear" w:color="auto" w:fill="auto"/>
            <w:tcMar>
              <w:top w:w="12" w:type="dxa"/>
              <w:left w:w="12" w:type="dxa"/>
              <w:right w:w="12" w:type="dxa"/>
            </w:tcMar>
            <w:vAlign w:val="center"/>
          </w:tcPr>
          <w:p w14:paraId="27B9E060">
            <w:pPr>
              <w:pStyle w:val="2"/>
              <w:spacing w:line="240" w:lineRule="auto"/>
              <w:ind w:left="0" w:leftChars="0" w:firstLine="0" w:firstLineChars="0"/>
              <w:rPr>
                <w:rFonts w:hint="eastAsia"/>
                <w:highlight w:val="none"/>
              </w:rPr>
            </w:pPr>
            <w:r>
              <w:rPr>
                <w:rFonts w:hint="eastAsia" w:ascii="仿宋" w:hAnsi="仿宋" w:eastAsia="仿宋" w:cs="仿宋"/>
                <w:i w:val="0"/>
                <w:color w:val="auto"/>
                <w:kern w:val="0"/>
                <w:sz w:val="24"/>
                <w:szCs w:val="24"/>
                <w:highlight w:val="none"/>
                <w:u w:val="none"/>
                <w:lang w:val="en-US" w:eastAsia="zh-CN" w:bidi="ar"/>
              </w:rPr>
              <w:t>产品服务：三年免费威胁检测规则库、威胁情报库升级服务；三年产品免费保修服务升级服务，包含：硬件质保服务、技术支持服务、版本升级服务</w:t>
            </w:r>
          </w:p>
        </w:tc>
        <w:tc>
          <w:tcPr>
            <w:tcW w:w="1230" w:type="dxa"/>
            <w:gridSpan w:val="2"/>
            <w:vMerge w:val="continue"/>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7A736B1A">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auto" w:sz="4" w:space="0"/>
              <w:right w:val="single" w:color="auto" w:sz="4" w:space="0"/>
            </w:tcBorders>
            <w:shd w:val="clear" w:color="auto" w:fill="auto"/>
            <w:tcMar>
              <w:top w:w="12" w:type="dxa"/>
              <w:left w:w="12" w:type="dxa"/>
              <w:right w:w="12" w:type="dxa"/>
            </w:tcMar>
            <w:vAlign w:val="center"/>
          </w:tcPr>
          <w:p w14:paraId="186E62CB">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bottom w:val="single" w:color="auto" w:sz="4" w:space="0"/>
              <w:right w:val="single" w:color="auto" w:sz="4" w:space="0"/>
            </w:tcBorders>
            <w:shd w:val="clear" w:color="auto" w:fill="auto"/>
            <w:tcMar>
              <w:top w:w="12" w:type="dxa"/>
              <w:left w:w="12" w:type="dxa"/>
              <w:right w:w="12" w:type="dxa"/>
            </w:tcMar>
            <w:vAlign w:val="center"/>
          </w:tcPr>
          <w:p w14:paraId="4281F15F">
            <w:pPr>
              <w:jc w:val="center"/>
              <w:rPr>
                <w:rFonts w:hint="eastAsia" w:ascii="仿宋" w:hAnsi="仿宋" w:eastAsia="仿宋" w:cs="仿宋"/>
                <w:i w:val="0"/>
                <w:color w:val="auto"/>
                <w:sz w:val="24"/>
                <w:szCs w:val="24"/>
                <w:highlight w:val="none"/>
                <w:u w:val="none"/>
              </w:rPr>
            </w:pPr>
          </w:p>
        </w:tc>
      </w:tr>
      <w:tr w14:paraId="282BD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6" w:hRule="atLeast"/>
        </w:trPr>
        <w:tc>
          <w:tcPr>
            <w:tcW w:w="1056" w:type="dxa"/>
            <w:gridSpan w:val="2"/>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3F3F6E">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7</w:t>
            </w:r>
          </w:p>
        </w:tc>
        <w:tc>
          <w:tcPr>
            <w:tcW w:w="1526" w:type="dxa"/>
            <w:gridSpan w:val="3"/>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F0C02B">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安全域接入交换机</w:t>
            </w:r>
          </w:p>
        </w:tc>
        <w:tc>
          <w:tcPr>
            <w:tcW w:w="3339"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920369">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≥24个万兆SFP+，≥6个40/100GE QSFP28，包转发率≥1620Mpps，交换容量≥4.8/25.6Tbps，4个万兆单模模块</w:t>
            </w:r>
          </w:p>
        </w:tc>
        <w:tc>
          <w:tcPr>
            <w:tcW w:w="1230" w:type="dxa"/>
            <w:gridSpan w:val="2"/>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B4EBB4">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83F4B2">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00B7D3">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70E59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207"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9E1ECB">
            <w:pPr>
              <w:keepNext w:val="0"/>
              <w:keepLines w:val="0"/>
              <w:widowControl/>
              <w:suppressLineNumbers w:val="0"/>
              <w:jc w:val="left"/>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三、IPv6协议转换平台</w:t>
            </w:r>
          </w:p>
        </w:tc>
      </w:tr>
      <w:tr w14:paraId="7369A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45"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8C5F2A">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A3F29D">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IPv6协议转换平台</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270DFB">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一、服务器</w:t>
            </w:r>
            <w:r>
              <w:rPr>
                <w:rFonts w:hint="eastAsia" w:ascii="仿宋" w:hAnsi="仿宋" w:eastAsia="仿宋" w:cs="仿宋"/>
                <w:i w:val="0"/>
                <w:color w:val="auto"/>
                <w:kern w:val="0"/>
                <w:sz w:val="24"/>
                <w:szCs w:val="24"/>
                <w:highlight w:val="none"/>
                <w:u w:val="none"/>
                <w:lang w:val="en-US" w:eastAsia="zh-CN" w:bidi="ar"/>
              </w:rPr>
              <w:br w:type="textWrapping"/>
            </w:r>
            <w:r>
              <w:rPr>
                <w:rFonts w:hint="eastAsia" w:ascii="仿宋" w:hAnsi="仿宋" w:eastAsia="仿宋" w:cs="仿宋"/>
                <w:i w:val="0"/>
                <w:color w:val="auto"/>
                <w:kern w:val="0"/>
                <w:sz w:val="24"/>
                <w:szCs w:val="24"/>
                <w:highlight w:val="none"/>
                <w:u w:val="none"/>
                <w:lang w:val="en-US" w:eastAsia="zh-CN" w:bidi="ar"/>
              </w:rPr>
              <w:t>配置参数 国产CPU≥16核,DDR4 3200 内存≥64G,存储≥2T；千兆端口：4个；设备吞吐率≥2 Gbps；最大并发连接数≥200万，最大新建连接数2万个/秒；</w:t>
            </w:r>
            <w:r>
              <w:rPr>
                <w:rFonts w:hint="eastAsia" w:ascii="仿宋" w:hAnsi="仿宋" w:eastAsia="仿宋" w:cs="仿宋"/>
                <w:i w:val="0"/>
                <w:color w:val="auto"/>
                <w:kern w:val="0"/>
                <w:sz w:val="24"/>
                <w:szCs w:val="24"/>
                <w:highlight w:val="none"/>
                <w:u w:val="none"/>
                <w:lang w:val="en-US" w:eastAsia="zh-CN" w:bidi="ar"/>
              </w:rPr>
              <w:br w:type="textWrapping"/>
            </w:r>
            <w:r>
              <w:rPr>
                <w:rFonts w:hint="eastAsia" w:ascii="仿宋" w:hAnsi="仿宋" w:eastAsia="仿宋" w:cs="仿宋"/>
                <w:i w:val="0"/>
                <w:color w:val="auto"/>
                <w:kern w:val="0"/>
                <w:sz w:val="24"/>
                <w:szCs w:val="24"/>
                <w:highlight w:val="none"/>
                <w:u w:val="none"/>
                <w:lang w:val="en-US" w:eastAsia="zh-CN" w:bidi="ar"/>
              </w:rPr>
              <w:t xml:space="preserve">二、IPv6智能升级系统 </w:t>
            </w:r>
            <w:r>
              <w:rPr>
                <w:rFonts w:hint="eastAsia" w:ascii="仿宋" w:hAnsi="仿宋" w:eastAsia="仿宋" w:cs="仿宋"/>
                <w:i w:val="0"/>
                <w:color w:val="auto"/>
                <w:kern w:val="0"/>
                <w:sz w:val="24"/>
                <w:szCs w:val="24"/>
                <w:highlight w:val="none"/>
                <w:u w:val="none"/>
                <w:lang w:val="en-US" w:eastAsia="zh-CN" w:bidi="ar"/>
              </w:rPr>
              <w:br w:type="textWrapping"/>
            </w:r>
            <w:r>
              <w:rPr>
                <w:rFonts w:hint="eastAsia" w:ascii="仿宋" w:hAnsi="仿宋" w:eastAsia="仿宋" w:cs="仿宋"/>
                <w:i w:val="0"/>
                <w:color w:val="auto"/>
                <w:kern w:val="0"/>
                <w:sz w:val="24"/>
                <w:szCs w:val="24"/>
                <w:highlight w:val="none"/>
                <w:u w:val="none"/>
                <w:lang w:val="en-US" w:eastAsia="zh-CN" w:bidi="ar"/>
              </w:rPr>
              <w:t xml:space="preserve">三、IPv6WAF安全防护系统 </w:t>
            </w:r>
            <w:r>
              <w:rPr>
                <w:rFonts w:hint="eastAsia" w:ascii="仿宋" w:hAnsi="仿宋" w:eastAsia="仿宋" w:cs="仿宋"/>
                <w:i w:val="0"/>
                <w:color w:val="auto"/>
                <w:kern w:val="0"/>
                <w:sz w:val="24"/>
                <w:szCs w:val="24"/>
                <w:highlight w:val="none"/>
                <w:u w:val="none"/>
                <w:lang w:val="en-US" w:eastAsia="zh-CN" w:bidi="ar"/>
              </w:rPr>
              <w:br w:type="textWrapping"/>
            </w:r>
            <w:r>
              <w:rPr>
                <w:rFonts w:hint="eastAsia" w:ascii="仿宋" w:hAnsi="仿宋" w:eastAsia="仿宋" w:cs="仿宋"/>
                <w:i w:val="0"/>
                <w:color w:val="auto"/>
                <w:kern w:val="0"/>
                <w:sz w:val="24"/>
                <w:szCs w:val="24"/>
                <w:highlight w:val="none"/>
                <w:u w:val="none"/>
                <w:lang w:val="en-US" w:eastAsia="zh-CN" w:bidi="ar"/>
              </w:rPr>
              <w:t xml:space="preserve">四、IPv6防DDos攻击服务系统 </w:t>
            </w:r>
            <w:r>
              <w:rPr>
                <w:rFonts w:hint="eastAsia" w:ascii="仿宋" w:hAnsi="仿宋" w:eastAsia="仿宋" w:cs="仿宋"/>
                <w:i w:val="0"/>
                <w:color w:val="auto"/>
                <w:kern w:val="0"/>
                <w:sz w:val="24"/>
                <w:szCs w:val="24"/>
                <w:highlight w:val="none"/>
                <w:u w:val="none"/>
                <w:lang w:val="en-US" w:eastAsia="zh-CN" w:bidi="ar"/>
              </w:rPr>
              <w:br w:type="textWrapping"/>
            </w:r>
            <w:r>
              <w:rPr>
                <w:rFonts w:hint="eastAsia" w:ascii="仿宋" w:hAnsi="仿宋" w:eastAsia="仿宋" w:cs="仿宋"/>
                <w:i w:val="0"/>
                <w:color w:val="auto"/>
                <w:kern w:val="0"/>
                <w:sz w:val="24"/>
                <w:szCs w:val="24"/>
                <w:highlight w:val="none"/>
                <w:u w:val="none"/>
                <w:lang w:val="en-US" w:eastAsia="zh-CN" w:bidi="ar"/>
              </w:rPr>
              <w:t xml:space="preserve">五、三年免费运维服务 </w:t>
            </w:r>
            <w:r>
              <w:rPr>
                <w:rFonts w:hint="eastAsia" w:ascii="仿宋" w:hAnsi="仿宋" w:eastAsia="仿宋" w:cs="仿宋"/>
                <w:i w:val="0"/>
                <w:color w:val="auto"/>
                <w:kern w:val="0"/>
                <w:sz w:val="24"/>
                <w:szCs w:val="24"/>
                <w:highlight w:val="none"/>
                <w:u w:val="none"/>
                <w:lang w:val="en-US" w:eastAsia="zh-CN" w:bidi="ar"/>
              </w:rPr>
              <w:br w:type="textWrapping"/>
            </w:r>
            <w:r>
              <w:rPr>
                <w:rFonts w:hint="eastAsia" w:ascii="仿宋" w:hAnsi="仿宋" w:eastAsia="仿宋" w:cs="仿宋"/>
                <w:i w:val="0"/>
                <w:color w:val="auto"/>
                <w:kern w:val="0"/>
                <w:sz w:val="24"/>
                <w:szCs w:val="24"/>
                <w:highlight w:val="none"/>
                <w:u w:val="none"/>
                <w:lang w:val="en-US" w:eastAsia="zh-CN" w:bidi="ar"/>
              </w:rPr>
              <w:t xml:space="preserve">六、网站IPv6支持度检测服务 </w:t>
            </w:r>
          </w:p>
        </w:tc>
        <w:tc>
          <w:tcPr>
            <w:tcW w:w="1230" w:type="dxa"/>
            <w:gridSpan w:val="2"/>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14:paraId="17868593">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6EC7C4">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A5505E">
            <w:pPr>
              <w:keepNext w:val="0"/>
              <w:keepLines w:val="0"/>
              <w:widowControl/>
              <w:suppressLineNumbers w:val="0"/>
              <w:jc w:val="center"/>
              <w:textAlignment w:val="center"/>
              <w:rPr>
                <w:rFonts w:hint="default" w:ascii="仿宋" w:hAnsi="仿宋" w:eastAsia="仿宋" w:cs="仿宋"/>
                <w:i w:val="0"/>
                <w:color w:val="auto"/>
                <w:kern w:val="0"/>
                <w:sz w:val="24"/>
                <w:szCs w:val="24"/>
                <w:highlight w:val="none"/>
                <w:u w:val="none"/>
                <w:lang w:val="en-US" w:eastAsia="zh-CN" w:bidi="ar"/>
              </w:rPr>
            </w:pPr>
          </w:p>
        </w:tc>
      </w:tr>
      <w:tr w14:paraId="034D3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207"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9FDFC7">
            <w:pPr>
              <w:keepNext w:val="0"/>
              <w:keepLines w:val="0"/>
              <w:widowControl/>
              <w:suppressLineNumbers w:val="0"/>
              <w:jc w:val="left"/>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四、域名及地址管理分配部分</w:t>
            </w:r>
          </w:p>
        </w:tc>
      </w:tr>
      <w:tr w14:paraId="0DD48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45AF00">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15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CF7C91">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统一管理节点</w:t>
            </w:r>
          </w:p>
        </w:tc>
        <w:tc>
          <w:tcPr>
            <w:tcW w:w="3339" w:type="dxa"/>
            <w:tcBorders>
              <w:top w:val="nil"/>
              <w:left w:val="nil"/>
              <w:bottom w:val="nil"/>
              <w:right w:val="nil"/>
            </w:tcBorders>
            <w:shd w:val="clear" w:color="auto" w:fill="auto"/>
            <w:tcMar>
              <w:top w:w="12" w:type="dxa"/>
              <w:left w:w="12" w:type="dxa"/>
              <w:right w:w="12" w:type="dxa"/>
            </w:tcMar>
            <w:vAlign w:val="center"/>
          </w:tcPr>
          <w:p w14:paraId="76A59BDB">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配置冗余交流电源，支持热插拔</w:t>
            </w:r>
          </w:p>
        </w:tc>
        <w:tc>
          <w:tcPr>
            <w:tcW w:w="123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F75858">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25B44E">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79A9F487">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7AB13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6"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D35B4F">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3E85CA">
            <w:pPr>
              <w:jc w:val="left"/>
              <w:rPr>
                <w:rFonts w:hint="eastAsia" w:ascii="仿宋" w:hAnsi="仿宋" w:eastAsia="仿宋" w:cs="仿宋"/>
                <w:i w:val="0"/>
                <w:color w:val="auto"/>
                <w:sz w:val="24"/>
                <w:szCs w:val="24"/>
                <w:highlight w:val="none"/>
                <w:u w:val="none"/>
              </w:rPr>
            </w:pPr>
          </w:p>
        </w:tc>
        <w:tc>
          <w:tcPr>
            <w:tcW w:w="3339" w:type="dxa"/>
            <w:tcBorders>
              <w:top w:val="nil"/>
              <w:left w:val="nil"/>
              <w:bottom w:val="nil"/>
              <w:right w:val="nil"/>
            </w:tcBorders>
            <w:shd w:val="clear" w:color="auto" w:fill="auto"/>
            <w:tcMar>
              <w:top w:w="12" w:type="dxa"/>
              <w:left w:w="12" w:type="dxa"/>
              <w:right w:w="12" w:type="dxa"/>
            </w:tcMar>
            <w:vAlign w:val="center"/>
          </w:tcPr>
          <w:p w14:paraId="55713FFA">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千兆电口≥10，支持扩展至（4口千兆光板卡*1、2口万兆光板卡*2），内存容量≥16G，硬盘≥2T，支持Raid1，可管理DNS和DHCP/IPAM服务节点，三年免费保修服务</w:t>
            </w: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E89E04">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FD73C9">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FABD17">
            <w:pPr>
              <w:jc w:val="center"/>
              <w:rPr>
                <w:rFonts w:hint="eastAsia" w:ascii="仿宋" w:hAnsi="仿宋" w:eastAsia="仿宋" w:cs="仿宋"/>
                <w:i w:val="0"/>
                <w:color w:val="auto"/>
                <w:sz w:val="24"/>
                <w:szCs w:val="24"/>
                <w:highlight w:val="none"/>
                <w:u w:val="none"/>
              </w:rPr>
            </w:pPr>
          </w:p>
        </w:tc>
      </w:tr>
      <w:tr w14:paraId="1A070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B0C528">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w:t>
            </w:r>
          </w:p>
        </w:tc>
        <w:tc>
          <w:tcPr>
            <w:tcW w:w="15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B82808">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DNS服务节点</w:t>
            </w:r>
          </w:p>
        </w:tc>
        <w:tc>
          <w:tcPr>
            <w:tcW w:w="3339"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0E23E5AC">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配置冗余交流电源，支持热插拔</w:t>
            </w:r>
          </w:p>
        </w:tc>
        <w:tc>
          <w:tcPr>
            <w:tcW w:w="123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29F9B0">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31F748">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697FC1FC">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0A884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6" w:hRule="atLeast"/>
        </w:trPr>
        <w:tc>
          <w:tcPr>
            <w:tcW w:w="1056" w:type="dxa"/>
            <w:gridSpan w:val="2"/>
            <w:vMerge w:val="continue"/>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53660AF1">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635444">
            <w:pPr>
              <w:jc w:val="left"/>
              <w:rPr>
                <w:rFonts w:hint="eastAsia" w:ascii="仿宋" w:hAnsi="仿宋" w:eastAsia="仿宋" w:cs="仿宋"/>
                <w:i w:val="0"/>
                <w:color w:val="auto"/>
                <w:sz w:val="24"/>
                <w:szCs w:val="24"/>
                <w:highlight w:val="none"/>
                <w:u w:val="none"/>
              </w:rPr>
            </w:pPr>
          </w:p>
        </w:tc>
        <w:tc>
          <w:tcPr>
            <w:tcW w:w="3339"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BD63CB">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千兆电口≥10，支持扩展至（4口千兆光板卡*1、2口万兆光板卡*2），内存容量≥16G，硬盘≥2T，支持Raid1，≥8万QPS，三年免费保修服务</w:t>
            </w: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965A77">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ECD94C">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FD378E">
            <w:pPr>
              <w:jc w:val="center"/>
              <w:rPr>
                <w:rFonts w:hint="eastAsia" w:ascii="仿宋" w:hAnsi="仿宋" w:eastAsia="仿宋" w:cs="仿宋"/>
                <w:i w:val="0"/>
                <w:color w:val="auto"/>
                <w:sz w:val="24"/>
                <w:szCs w:val="24"/>
                <w:highlight w:val="none"/>
                <w:u w:val="none"/>
              </w:rPr>
            </w:pPr>
          </w:p>
        </w:tc>
      </w:tr>
      <w:tr w14:paraId="7E3CF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7" w:hRule="atLeast"/>
        </w:trPr>
        <w:tc>
          <w:tcPr>
            <w:tcW w:w="1056" w:type="dxa"/>
            <w:gridSpan w:val="2"/>
            <w:vMerge w:val="restar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449F81C7">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w:t>
            </w:r>
          </w:p>
        </w:tc>
        <w:tc>
          <w:tcPr>
            <w:tcW w:w="1526" w:type="dxa"/>
            <w:gridSpan w:val="3"/>
            <w:vMerge w:val="restart"/>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585E8968">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DHCP/IPAM服务节点</w:t>
            </w:r>
          </w:p>
        </w:tc>
        <w:tc>
          <w:tcPr>
            <w:tcW w:w="3339" w:type="dxa"/>
            <w:tcBorders>
              <w:top w:val="nil"/>
              <w:left w:val="nil"/>
              <w:bottom w:val="nil"/>
              <w:right w:val="nil"/>
            </w:tcBorders>
            <w:shd w:val="clear" w:color="auto" w:fill="auto"/>
            <w:tcMar>
              <w:top w:w="12" w:type="dxa"/>
              <w:left w:w="12" w:type="dxa"/>
              <w:right w:w="12" w:type="dxa"/>
            </w:tcMar>
            <w:vAlign w:val="center"/>
          </w:tcPr>
          <w:p w14:paraId="145FB6DD">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配置冗余交流电源，支持热插拔</w:t>
            </w:r>
          </w:p>
        </w:tc>
        <w:tc>
          <w:tcPr>
            <w:tcW w:w="123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629AAC">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E86405">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2780538C">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18A21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6" w:hRule="atLeast"/>
        </w:trPr>
        <w:tc>
          <w:tcPr>
            <w:tcW w:w="1056"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7EFE1E22">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69F710B7">
            <w:pPr>
              <w:jc w:val="left"/>
              <w:rPr>
                <w:rFonts w:hint="eastAsia" w:ascii="仿宋" w:hAnsi="仿宋" w:eastAsia="仿宋" w:cs="仿宋"/>
                <w:i w:val="0"/>
                <w:color w:val="auto"/>
                <w:sz w:val="24"/>
                <w:szCs w:val="24"/>
                <w:highlight w:val="none"/>
                <w:u w:val="none"/>
              </w:rPr>
            </w:pPr>
          </w:p>
        </w:tc>
        <w:tc>
          <w:tcPr>
            <w:tcW w:w="3339" w:type="dxa"/>
            <w:tcBorders>
              <w:top w:val="nil"/>
              <w:left w:val="nil"/>
              <w:bottom w:val="nil"/>
              <w:right w:val="nil"/>
            </w:tcBorders>
            <w:shd w:val="clear" w:color="auto" w:fill="auto"/>
            <w:tcMar>
              <w:top w:w="12" w:type="dxa"/>
              <w:left w:w="12" w:type="dxa"/>
              <w:right w:w="12" w:type="dxa"/>
            </w:tcMar>
            <w:vAlign w:val="center"/>
          </w:tcPr>
          <w:p w14:paraId="5642409B">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千兆电口≥10，支持扩展至（4口千兆光板卡*1、2口万兆光板卡*2），内存容量≥16G，硬盘≥2T，支持Raid1，LPS≥500，DHCP 容量：≥8万，三年免费保修服务</w:t>
            </w: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0B855E">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0A2ED0">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A086D4">
            <w:pPr>
              <w:jc w:val="center"/>
              <w:rPr>
                <w:rFonts w:hint="eastAsia" w:ascii="仿宋" w:hAnsi="仿宋" w:eastAsia="仿宋" w:cs="仿宋"/>
                <w:i w:val="0"/>
                <w:color w:val="auto"/>
                <w:sz w:val="24"/>
                <w:szCs w:val="24"/>
                <w:highlight w:val="none"/>
                <w:u w:val="none"/>
              </w:rPr>
            </w:pPr>
          </w:p>
        </w:tc>
      </w:tr>
      <w:tr w14:paraId="15309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9207"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54E050">
            <w:pPr>
              <w:keepNext w:val="0"/>
              <w:keepLines w:val="0"/>
              <w:widowControl/>
              <w:suppressLineNumbers w:val="0"/>
              <w:jc w:val="left"/>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五、集中办公区网络设备升级改造部分</w:t>
            </w:r>
          </w:p>
        </w:tc>
      </w:tr>
      <w:tr w14:paraId="0D1E6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207" w:type="dxa"/>
            <w:gridSpan w:val="10"/>
            <w:tcBorders>
              <w:top w:val="single" w:color="000000" w:sz="4" w:space="0"/>
              <w:left w:val="single" w:color="000000" w:sz="4" w:space="0"/>
              <w:bottom w:val="single" w:color="000000" w:sz="4" w:space="0"/>
              <w:right w:val="nil"/>
            </w:tcBorders>
            <w:shd w:val="clear" w:color="auto" w:fill="auto"/>
            <w:tcMar>
              <w:top w:w="12" w:type="dxa"/>
              <w:left w:w="12" w:type="dxa"/>
              <w:right w:w="12" w:type="dxa"/>
            </w:tcMar>
            <w:vAlign w:val="center"/>
          </w:tcPr>
          <w:p w14:paraId="17D11D66">
            <w:pPr>
              <w:keepNext w:val="0"/>
              <w:keepLines w:val="0"/>
              <w:widowControl/>
              <w:suppressLineNumbers w:val="0"/>
              <w:jc w:val="left"/>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1、区政府集中办公区一号楼升级内容</w:t>
            </w:r>
          </w:p>
        </w:tc>
      </w:tr>
      <w:tr w14:paraId="20F48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2ACC8E">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1.1</w:t>
            </w:r>
          </w:p>
        </w:tc>
        <w:tc>
          <w:tcPr>
            <w:tcW w:w="1526" w:type="dxa"/>
            <w:gridSpan w:val="3"/>
            <w:vMerge w:val="restart"/>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282B9F7F">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汇聚交换机</w:t>
            </w: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27B64BF6">
            <w:pPr>
              <w:keepNext w:val="0"/>
              <w:keepLines w:val="0"/>
              <w:widowControl/>
              <w:suppressLineNumbers w:val="0"/>
              <w:jc w:val="left"/>
              <w:textAlignment w:val="center"/>
              <w:rPr>
                <w:rFonts w:hint="default" w:ascii="仿宋" w:hAnsi="仿宋" w:eastAsia="仿宋" w:cs="仿宋"/>
                <w:i w:val="0"/>
                <w:color w:val="auto"/>
                <w:sz w:val="24"/>
                <w:szCs w:val="24"/>
                <w:highlight w:val="none"/>
                <w:u w:val="none"/>
                <w:lang w:val="en-US"/>
              </w:rPr>
            </w:pPr>
            <w:r>
              <w:rPr>
                <w:rFonts w:hint="eastAsia" w:ascii="仿宋" w:hAnsi="仿宋" w:eastAsia="仿宋" w:cs="仿宋"/>
                <w:i w:val="0"/>
                <w:color w:val="auto"/>
                <w:kern w:val="0"/>
                <w:sz w:val="24"/>
                <w:szCs w:val="24"/>
                <w:highlight w:val="none"/>
                <w:u w:val="none"/>
                <w:lang w:val="en-US" w:eastAsia="zh-CN" w:bidi="ar"/>
              </w:rPr>
              <w:t>交换容量≥102.4/403.2Tbps</w:t>
            </w:r>
          </w:p>
        </w:tc>
        <w:tc>
          <w:tcPr>
            <w:tcW w:w="1230" w:type="dxa"/>
            <w:gridSpan w:val="2"/>
            <w:vMerge w:val="restart"/>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3B437029">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AD5B0D">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4719F4E7">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0355C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D68E32">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413C6CBA">
            <w:pPr>
              <w:jc w:val="left"/>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6E7E9253">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包转发率≥57600MppS</w:t>
            </w:r>
          </w:p>
        </w:tc>
        <w:tc>
          <w:tcPr>
            <w:tcW w:w="1230" w:type="dxa"/>
            <w:gridSpan w:val="2"/>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1E6906E2">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3E0179">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428BE312">
            <w:pPr>
              <w:jc w:val="center"/>
              <w:rPr>
                <w:rFonts w:hint="eastAsia" w:ascii="仿宋" w:hAnsi="仿宋" w:eastAsia="仿宋" w:cs="仿宋"/>
                <w:i w:val="0"/>
                <w:color w:val="auto"/>
                <w:sz w:val="24"/>
                <w:szCs w:val="24"/>
                <w:highlight w:val="none"/>
                <w:u w:val="none"/>
              </w:rPr>
            </w:pPr>
          </w:p>
        </w:tc>
      </w:tr>
      <w:tr w14:paraId="39A80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C4893E">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07339C12">
            <w:pPr>
              <w:jc w:val="left"/>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27A9FB36">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槽位数≥6</w:t>
            </w:r>
          </w:p>
        </w:tc>
        <w:tc>
          <w:tcPr>
            <w:tcW w:w="1230" w:type="dxa"/>
            <w:gridSpan w:val="2"/>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6794D579">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91585B">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26E3CCCA">
            <w:pPr>
              <w:jc w:val="center"/>
              <w:rPr>
                <w:rFonts w:hint="eastAsia" w:ascii="仿宋" w:hAnsi="仿宋" w:eastAsia="仿宋" w:cs="仿宋"/>
                <w:i w:val="0"/>
                <w:color w:val="auto"/>
                <w:sz w:val="24"/>
                <w:szCs w:val="24"/>
                <w:highlight w:val="none"/>
                <w:u w:val="none"/>
              </w:rPr>
            </w:pPr>
          </w:p>
        </w:tc>
      </w:tr>
      <w:tr w14:paraId="20E28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D423AB">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0F20C92E">
            <w:pPr>
              <w:jc w:val="left"/>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7262875D">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双电源\双主控\48千兆电口卡*2，24千兆光口卡+24万光光口卡*2  </w:t>
            </w:r>
          </w:p>
        </w:tc>
        <w:tc>
          <w:tcPr>
            <w:tcW w:w="1230" w:type="dxa"/>
            <w:gridSpan w:val="2"/>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4FC2F855">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69A757">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E7F11B">
            <w:pPr>
              <w:jc w:val="center"/>
              <w:rPr>
                <w:rFonts w:hint="eastAsia" w:ascii="仿宋" w:hAnsi="仿宋" w:eastAsia="仿宋" w:cs="仿宋"/>
                <w:i w:val="0"/>
                <w:color w:val="auto"/>
                <w:sz w:val="24"/>
                <w:szCs w:val="24"/>
                <w:highlight w:val="none"/>
                <w:u w:val="none"/>
              </w:rPr>
            </w:pPr>
          </w:p>
        </w:tc>
      </w:tr>
      <w:tr w14:paraId="7DD80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4D3810">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1.2</w:t>
            </w:r>
          </w:p>
        </w:tc>
        <w:tc>
          <w:tcPr>
            <w:tcW w:w="1526" w:type="dxa"/>
            <w:gridSpan w:val="3"/>
            <w:vMerge w:val="restart"/>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37E7B867">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接入交换机</w:t>
            </w: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23633681">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48个10/100/1000BASE-T以太网端口,4个万兆SFP+</w:t>
            </w:r>
          </w:p>
        </w:tc>
        <w:tc>
          <w:tcPr>
            <w:tcW w:w="1230" w:type="dxa"/>
            <w:gridSpan w:val="2"/>
            <w:vMerge w:val="restart"/>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4D5DB9DE">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C84AA6">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12</w:t>
            </w:r>
          </w:p>
        </w:tc>
        <w:tc>
          <w:tcPr>
            <w:tcW w:w="751" w:type="dxa"/>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0B418D22">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543D3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DE2581">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6A198DBC">
            <w:pPr>
              <w:jc w:val="left"/>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46DAAF97">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包转发率≥166Mpps</w:t>
            </w:r>
          </w:p>
        </w:tc>
        <w:tc>
          <w:tcPr>
            <w:tcW w:w="1230" w:type="dxa"/>
            <w:gridSpan w:val="2"/>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63ED8D78">
            <w:pPr>
              <w:jc w:val="center"/>
              <w:rPr>
                <w:rFonts w:hint="eastAsia" w:ascii="仿宋" w:hAnsi="仿宋" w:eastAsia="仿宋" w:cs="仿宋"/>
                <w:i w:val="0"/>
                <w:color w:val="auto"/>
                <w:sz w:val="24"/>
                <w:szCs w:val="24"/>
                <w:highlight w:val="none"/>
                <w:u w:val="none"/>
              </w:rPr>
            </w:pPr>
          </w:p>
        </w:tc>
        <w:tc>
          <w:tcPr>
            <w:tcW w:w="1305"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4F38BD11">
            <w:pPr>
              <w:jc w:val="center"/>
              <w:rPr>
                <w:rFonts w:hint="eastAsia" w:ascii="仿宋" w:hAnsi="仿宋" w:eastAsia="仿宋" w:cs="仿宋"/>
                <w:i w:val="0"/>
                <w:color w:val="auto"/>
                <w:sz w:val="24"/>
                <w:szCs w:val="24"/>
                <w:highlight w:val="none"/>
                <w:u w:val="none"/>
              </w:rPr>
            </w:pPr>
          </w:p>
        </w:tc>
        <w:tc>
          <w:tcPr>
            <w:tcW w:w="751" w:type="dxa"/>
            <w:vMerge w:val="restart"/>
            <w:tcBorders>
              <w:left w:val="single" w:color="000000" w:sz="4" w:space="0"/>
              <w:right w:val="single" w:color="000000" w:sz="4" w:space="0"/>
            </w:tcBorders>
            <w:shd w:val="clear" w:color="auto" w:fill="auto"/>
            <w:tcMar>
              <w:top w:w="12" w:type="dxa"/>
              <w:left w:w="12" w:type="dxa"/>
              <w:right w:w="12" w:type="dxa"/>
            </w:tcMar>
            <w:vAlign w:val="center"/>
          </w:tcPr>
          <w:p w14:paraId="699D5ADA">
            <w:pPr>
              <w:jc w:val="center"/>
              <w:rPr>
                <w:rFonts w:hint="eastAsia" w:ascii="仿宋" w:hAnsi="仿宋" w:eastAsia="仿宋" w:cs="仿宋"/>
                <w:i w:val="0"/>
                <w:color w:val="auto"/>
                <w:sz w:val="24"/>
                <w:szCs w:val="24"/>
                <w:highlight w:val="none"/>
                <w:u w:val="none"/>
              </w:rPr>
            </w:pPr>
          </w:p>
        </w:tc>
      </w:tr>
      <w:tr w14:paraId="310E2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A767B9">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42C1AD7E">
            <w:pPr>
              <w:jc w:val="left"/>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0E9A4060">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交换容量≥672Gbps/6.72Tbps</w:t>
            </w:r>
          </w:p>
        </w:tc>
        <w:tc>
          <w:tcPr>
            <w:tcW w:w="1230" w:type="dxa"/>
            <w:gridSpan w:val="2"/>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58291F5F">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C1B313">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81336D">
            <w:pPr>
              <w:jc w:val="center"/>
              <w:rPr>
                <w:rFonts w:hint="eastAsia" w:ascii="仿宋" w:hAnsi="仿宋" w:eastAsia="仿宋" w:cs="仿宋"/>
                <w:i w:val="0"/>
                <w:color w:val="auto"/>
                <w:sz w:val="24"/>
                <w:szCs w:val="24"/>
                <w:highlight w:val="none"/>
                <w:u w:val="none"/>
              </w:rPr>
            </w:pPr>
          </w:p>
        </w:tc>
      </w:tr>
      <w:tr w14:paraId="18B3A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F37A67">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1.3</w:t>
            </w:r>
          </w:p>
        </w:tc>
        <w:tc>
          <w:tcPr>
            <w:tcW w:w="1526" w:type="dxa"/>
            <w:gridSpan w:val="3"/>
            <w:vMerge w:val="restart"/>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15ED1440">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服务器区交换机</w:t>
            </w: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4B3A2006">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48个10/100/1000BASE-T以太网端口,4个万兆SFP+</w:t>
            </w:r>
          </w:p>
        </w:tc>
        <w:tc>
          <w:tcPr>
            <w:tcW w:w="1230" w:type="dxa"/>
            <w:gridSpan w:val="2"/>
            <w:vMerge w:val="restart"/>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4866BEC4">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DBA482">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w:t>
            </w:r>
          </w:p>
        </w:tc>
        <w:tc>
          <w:tcPr>
            <w:tcW w:w="751"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413B9FED">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5BE30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110AE8">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40243B74">
            <w:pPr>
              <w:jc w:val="left"/>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5AB1B32F">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包转发率≥166Mpps</w:t>
            </w:r>
          </w:p>
        </w:tc>
        <w:tc>
          <w:tcPr>
            <w:tcW w:w="1230" w:type="dxa"/>
            <w:gridSpan w:val="2"/>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54B049AF">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B69452">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6A3E5FD8">
            <w:pPr>
              <w:jc w:val="center"/>
              <w:rPr>
                <w:rFonts w:hint="eastAsia" w:ascii="仿宋" w:hAnsi="仿宋" w:eastAsia="仿宋" w:cs="仿宋"/>
                <w:i w:val="0"/>
                <w:color w:val="auto"/>
                <w:sz w:val="24"/>
                <w:szCs w:val="24"/>
                <w:highlight w:val="none"/>
                <w:u w:val="none"/>
              </w:rPr>
            </w:pPr>
          </w:p>
        </w:tc>
      </w:tr>
      <w:tr w14:paraId="66DE3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97AC98">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AD2B26">
            <w:pPr>
              <w:jc w:val="left"/>
              <w:rPr>
                <w:rFonts w:hint="eastAsia" w:ascii="仿宋" w:hAnsi="仿宋" w:eastAsia="仿宋" w:cs="仿宋"/>
                <w:i w:val="0"/>
                <w:color w:val="auto"/>
                <w:sz w:val="24"/>
                <w:szCs w:val="24"/>
                <w:highlight w:val="none"/>
                <w:u w:val="none"/>
              </w:rPr>
            </w:pPr>
          </w:p>
        </w:tc>
        <w:tc>
          <w:tcPr>
            <w:tcW w:w="3339" w:type="dxa"/>
            <w:tcBorders>
              <w:top w:val="single" w:color="auto" w:sz="4" w:space="0"/>
              <w:left w:val="nil"/>
              <w:bottom w:val="nil"/>
              <w:right w:val="nil"/>
            </w:tcBorders>
            <w:shd w:val="clear" w:color="auto" w:fill="auto"/>
            <w:tcMar>
              <w:top w:w="12" w:type="dxa"/>
              <w:left w:w="12" w:type="dxa"/>
              <w:right w:w="12" w:type="dxa"/>
            </w:tcMar>
            <w:vAlign w:val="center"/>
          </w:tcPr>
          <w:p w14:paraId="1B823158">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交换容量≥672Gbps/6.72Tbps</w:t>
            </w: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BB61A2">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30A197">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1159BA">
            <w:pPr>
              <w:jc w:val="center"/>
              <w:rPr>
                <w:rFonts w:hint="eastAsia" w:ascii="仿宋" w:hAnsi="仿宋" w:eastAsia="仿宋" w:cs="仿宋"/>
                <w:i w:val="0"/>
                <w:color w:val="auto"/>
                <w:sz w:val="24"/>
                <w:szCs w:val="24"/>
                <w:highlight w:val="none"/>
                <w:u w:val="none"/>
              </w:rPr>
            </w:pPr>
          </w:p>
        </w:tc>
      </w:tr>
      <w:tr w14:paraId="76011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AE42E8">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1.4</w:t>
            </w:r>
          </w:p>
        </w:tc>
        <w:tc>
          <w:tcPr>
            <w:tcW w:w="15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6BC393">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服务器区交换机</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64BA4A">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24个10/100/1000BASE-T以太网端口,4个万兆SFP+</w:t>
            </w:r>
          </w:p>
        </w:tc>
        <w:tc>
          <w:tcPr>
            <w:tcW w:w="123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3A0792">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E74EFB">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03652BF3">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2D09E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B9EA0E">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BC339F">
            <w:pPr>
              <w:jc w:val="left"/>
              <w:rPr>
                <w:rFonts w:hint="eastAsia" w:ascii="仿宋" w:hAnsi="仿宋" w:eastAsia="仿宋" w:cs="仿宋"/>
                <w:i w:val="0"/>
                <w:color w:val="auto"/>
                <w:sz w:val="24"/>
                <w:szCs w:val="24"/>
                <w:highlight w:val="none"/>
                <w:u w:val="none"/>
              </w:rPr>
            </w:pPr>
          </w:p>
        </w:tc>
        <w:tc>
          <w:tcPr>
            <w:tcW w:w="3339" w:type="dxa"/>
            <w:tcBorders>
              <w:top w:val="nil"/>
              <w:left w:val="nil"/>
              <w:bottom w:val="nil"/>
              <w:right w:val="nil"/>
            </w:tcBorders>
            <w:shd w:val="clear" w:color="auto" w:fill="auto"/>
            <w:tcMar>
              <w:top w:w="12" w:type="dxa"/>
              <w:left w:w="12" w:type="dxa"/>
              <w:right w:w="12" w:type="dxa"/>
            </w:tcMar>
            <w:vAlign w:val="center"/>
          </w:tcPr>
          <w:p w14:paraId="0050E0F3">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包转发率≥126Mpps</w:t>
            </w: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1A4BBE">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5158F0">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7FEAA9D5">
            <w:pPr>
              <w:jc w:val="center"/>
              <w:rPr>
                <w:rFonts w:hint="eastAsia" w:ascii="仿宋" w:hAnsi="仿宋" w:eastAsia="仿宋" w:cs="仿宋"/>
                <w:i w:val="0"/>
                <w:color w:val="auto"/>
                <w:sz w:val="24"/>
                <w:szCs w:val="24"/>
                <w:highlight w:val="none"/>
                <w:u w:val="none"/>
              </w:rPr>
            </w:pPr>
          </w:p>
        </w:tc>
      </w:tr>
      <w:tr w14:paraId="34229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237383">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283B6E">
            <w:pPr>
              <w:jc w:val="left"/>
              <w:rPr>
                <w:rFonts w:hint="eastAsia" w:ascii="仿宋" w:hAnsi="仿宋" w:eastAsia="仿宋" w:cs="仿宋"/>
                <w:i w:val="0"/>
                <w:color w:val="auto"/>
                <w:sz w:val="24"/>
                <w:szCs w:val="24"/>
                <w:highlight w:val="none"/>
                <w:u w:val="none"/>
              </w:rPr>
            </w:pPr>
          </w:p>
        </w:tc>
        <w:tc>
          <w:tcPr>
            <w:tcW w:w="3339" w:type="dxa"/>
            <w:tcBorders>
              <w:top w:val="nil"/>
              <w:left w:val="nil"/>
              <w:bottom w:val="nil"/>
              <w:right w:val="nil"/>
            </w:tcBorders>
            <w:shd w:val="clear" w:color="auto" w:fill="auto"/>
            <w:tcMar>
              <w:top w:w="12" w:type="dxa"/>
              <w:left w:w="12" w:type="dxa"/>
              <w:right w:w="12" w:type="dxa"/>
            </w:tcMar>
            <w:vAlign w:val="center"/>
          </w:tcPr>
          <w:p w14:paraId="40A2B552">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交换容量≥672Gbps/6.72Tbps</w:t>
            </w: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960315">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1C58E8">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0EE571">
            <w:pPr>
              <w:jc w:val="center"/>
              <w:rPr>
                <w:rFonts w:hint="eastAsia" w:ascii="仿宋" w:hAnsi="仿宋" w:eastAsia="仿宋" w:cs="仿宋"/>
                <w:i w:val="0"/>
                <w:color w:val="auto"/>
                <w:sz w:val="24"/>
                <w:szCs w:val="24"/>
                <w:highlight w:val="none"/>
                <w:u w:val="none"/>
              </w:rPr>
            </w:pPr>
          </w:p>
        </w:tc>
      </w:tr>
      <w:tr w14:paraId="74D89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6AF02C">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1.5</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9F2F85">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光模块</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10387A">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千兆单模10KM 1310   </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AB5A1D">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块</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049B0A">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30</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1A9006">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6014D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207" w:type="dxa"/>
            <w:gridSpan w:val="10"/>
            <w:tcBorders>
              <w:top w:val="single" w:color="000000" w:sz="4" w:space="0"/>
              <w:left w:val="single" w:color="000000" w:sz="4" w:space="0"/>
              <w:bottom w:val="single" w:color="000000" w:sz="4" w:space="0"/>
              <w:right w:val="nil"/>
            </w:tcBorders>
            <w:shd w:val="clear" w:color="auto" w:fill="auto"/>
            <w:tcMar>
              <w:top w:w="12" w:type="dxa"/>
              <w:left w:w="12" w:type="dxa"/>
              <w:right w:w="12" w:type="dxa"/>
            </w:tcMar>
            <w:vAlign w:val="center"/>
          </w:tcPr>
          <w:p w14:paraId="32A2DE83">
            <w:pPr>
              <w:keepNext w:val="0"/>
              <w:keepLines w:val="0"/>
              <w:widowControl/>
              <w:suppressLineNumbers w:val="0"/>
              <w:jc w:val="left"/>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2、区政府集中办公区二号楼升级内容</w:t>
            </w:r>
          </w:p>
        </w:tc>
      </w:tr>
      <w:tr w14:paraId="4DD31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6"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1C9EB1">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2.1</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2A6632">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汇聚交换机</w:t>
            </w:r>
          </w:p>
        </w:tc>
        <w:tc>
          <w:tcPr>
            <w:tcW w:w="3339" w:type="dxa"/>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7D95C955">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24个万兆SFP+，6个40/100GE QSFP28，包转发率≥1620Mpps，交换容量≥4.8/25.6Tbps，4个万兆单模模块</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B82456">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E8167F">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CF2D65">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18CB0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34B1A34A">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2.2</w:t>
            </w:r>
          </w:p>
        </w:tc>
        <w:tc>
          <w:tcPr>
            <w:tcW w:w="1526" w:type="dxa"/>
            <w:gridSpan w:val="3"/>
            <w:vMerge w:val="restart"/>
            <w:tcBorders>
              <w:top w:val="single" w:color="000000" w:sz="4" w:space="0"/>
              <w:left w:val="single" w:color="000000" w:sz="4" w:space="0"/>
              <w:right w:val="single" w:color="auto" w:sz="4" w:space="0"/>
            </w:tcBorders>
            <w:shd w:val="clear" w:color="auto" w:fill="auto"/>
            <w:tcMar>
              <w:top w:w="12" w:type="dxa"/>
              <w:left w:w="12" w:type="dxa"/>
              <w:right w:w="12" w:type="dxa"/>
            </w:tcMar>
            <w:vAlign w:val="center"/>
          </w:tcPr>
          <w:p w14:paraId="21B48A77">
            <w:pPr>
              <w:keepNext w:val="0"/>
              <w:keepLines w:val="0"/>
              <w:widowControl/>
              <w:suppressLineNumbers w:val="0"/>
              <w:jc w:val="both"/>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接入交换机</w:t>
            </w: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2087DB31">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48个10/100/1000BASE-T以太网端口,4个万兆SFP+</w:t>
            </w:r>
          </w:p>
        </w:tc>
        <w:tc>
          <w:tcPr>
            <w:tcW w:w="1230" w:type="dxa"/>
            <w:gridSpan w:val="2"/>
            <w:vMerge w:val="restart"/>
            <w:tcBorders>
              <w:top w:val="single" w:color="000000" w:sz="4" w:space="0"/>
              <w:left w:val="single" w:color="auto" w:sz="4" w:space="0"/>
              <w:right w:val="single" w:color="000000" w:sz="4" w:space="0"/>
            </w:tcBorders>
            <w:shd w:val="clear" w:color="auto" w:fill="auto"/>
            <w:tcMar>
              <w:top w:w="12" w:type="dxa"/>
              <w:left w:w="12" w:type="dxa"/>
              <w:right w:w="12" w:type="dxa"/>
            </w:tcMar>
            <w:vAlign w:val="center"/>
          </w:tcPr>
          <w:p w14:paraId="5D677A32">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593118BA">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6</w:t>
            </w:r>
          </w:p>
        </w:tc>
        <w:tc>
          <w:tcPr>
            <w:tcW w:w="751"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1662FEC7">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5D168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continue"/>
            <w:tcBorders>
              <w:left w:val="single" w:color="000000" w:sz="4" w:space="0"/>
              <w:right w:val="single" w:color="000000" w:sz="4" w:space="0"/>
            </w:tcBorders>
            <w:shd w:val="clear" w:color="auto" w:fill="auto"/>
            <w:tcMar>
              <w:top w:w="12" w:type="dxa"/>
              <w:left w:w="12" w:type="dxa"/>
              <w:right w:w="12" w:type="dxa"/>
            </w:tcMar>
            <w:vAlign w:val="center"/>
          </w:tcPr>
          <w:p w14:paraId="182FEFB0">
            <w:pPr>
              <w:jc w:val="center"/>
              <w:rPr>
                <w:rFonts w:hint="eastAsia" w:ascii="仿宋" w:hAnsi="仿宋" w:eastAsia="仿宋" w:cs="仿宋"/>
                <w:i w:val="0"/>
                <w:color w:val="auto"/>
                <w:sz w:val="24"/>
                <w:szCs w:val="24"/>
                <w:highlight w:val="none"/>
                <w:u w:val="none"/>
              </w:rPr>
            </w:pPr>
          </w:p>
        </w:tc>
        <w:tc>
          <w:tcPr>
            <w:tcW w:w="1526" w:type="dxa"/>
            <w:gridSpan w:val="3"/>
            <w:vMerge w:val="continue"/>
            <w:tcBorders>
              <w:left w:val="single" w:color="000000" w:sz="4" w:space="0"/>
              <w:right w:val="single" w:color="auto" w:sz="4" w:space="0"/>
            </w:tcBorders>
            <w:shd w:val="clear" w:color="auto" w:fill="auto"/>
            <w:tcMar>
              <w:top w:w="12" w:type="dxa"/>
              <w:left w:w="12" w:type="dxa"/>
              <w:right w:w="12" w:type="dxa"/>
            </w:tcMar>
            <w:vAlign w:val="center"/>
          </w:tcPr>
          <w:p w14:paraId="42426363">
            <w:pPr>
              <w:jc w:val="center"/>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20408CE5">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包转发率≥166Mpps</w:t>
            </w:r>
          </w:p>
        </w:tc>
        <w:tc>
          <w:tcPr>
            <w:tcW w:w="1230" w:type="dxa"/>
            <w:gridSpan w:val="2"/>
            <w:vMerge w:val="continue"/>
            <w:tcBorders>
              <w:left w:val="single" w:color="auto" w:sz="4" w:space="0"/>
              <w:right w:val="single" w:color="000000" w:sz="4" w:space="0"/>
            </w:tcBorders>
            <w:shd w:val="clear" w:color="auto" w:fill="auto"/>
            <w:tcMar>
              <w:top w:w="12" w:type="dxa"/>
              <w:left w:w="12" w:type="dxa"/>
              <w:right w:w="12" w:type="dxa"/>
            </w:tcMar>
            <w:vAlign w:val="center"/>
          </w:tcPr>
          <w:p w14:paraId="18A32633">
            <w:pPr>
              <w:jc w:val="center"/>
              <w:rPr>
                <w:rFonts w:hint="eastAsia" w:ascii="仿宋" w:hAnsi="仿宋" w:eastAsia="仿宋" w:cs="仿宋"/>
                <w:i w:val="0"/>
                <w:color w:val="auto"/>
                <w:sz w:val="24"/>
                <w:szCs w:val="24"/>
                <w:highlight w:val="none"/>
                <w:u w:val="none"/>
              </w:rPr>
            </w:pPr>
          </w:p>
        </w:tc>
        <w:tc>
          <w:tcPr>
            <w:tcW w:w="130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2AA451AC">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170026E8">
            <w:pPr>
              <w:jc w:val="center"/>
              <w:rPr>
                <w:rFonts w:hint="eastAsia" w:ascii="仿宋" w:hAnsi="仿宋" w:eastAsia="仿宋" w:cs="仿宋"/>
                <w:i w:val="0"/>
                <w:color w:val="auto"/>
                <w:sz w:val="24"/>
                <w:szCs w:val="24"/>
                <w:highlight w:val="none"/>
                <w:u w:val="none"/>
              </w:rPr>
            </w:pPr>
          </w:p>
        </w:tc>
      </w:tr>
      <w:tr w14:paraId="0A10C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DE5F4A">
            <w:pPr>
              <w:jc w:val="center"/>
              <w:rPr>
                <w:rFonts w:hint="eastAsia" w:ascii="仿宋" w:hAnsi="仿宋" w:eastAsia="仿宋" w:cs="仿宋"/>
                <w:i w:val="0"/>
                <w:color w:val="auto"/>
                <w:sz w:val="24"/>
                <w:szCs w:val="24"/>
                <w:highlight w:val="none"/>
                <w:u w:val="none"/>
              </w:rPr>
            </w:pPr>
          </w:p>
        </w:tc>
        <w:tc>
          <w:tcPr>
            <w:tcW w:w="1526" w:type="dxa"/>
            <w:gridSpan w:val="3"/>
            <w:vMerge w:val="continue"/>
            <w:tcBorders>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73D1CFC2">
            <w:pPr>
              <w:jc w:val="center"/>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43AB4BEA">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交换容量≥672Gbps/6.72Tbps</w:t>
            </w:r>
          </w:p>
        </w:tc>
        <w:tc>
          <w:tcPr>
            <w:tcW w:w="1230" w:type="dxa"/>
            <w:gridSpan w:val="2"/>
            <w:vMerge w:val="continue"/>
            <w:tcBorders>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06FA9282">
            <w:pPr>
              <w:jc w:val="center"/>
              <w:rPr>
                <w:rFonts w:hint="eastAsia" w:ascii="仿宋" w:hAnsi="仿宋" w:eastAsia="仿宋" w:cs="仿宋"/>
                <w:i w:val="0"/>
                <w:color w:val="auto"/>
                <w:sz w:val="24"/>
                <w:szCs w:val="24"/>
                <w:highlight w:val="none"/>
                <w:u w:val="none"/>
              </w:rPr>
            </w:pPr>
          </w:p>
        </w:tc>
        <w:tc>
          <w:tcPr>
            <w:tcW w:w="1305"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1E33B0">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2B369F">
            <w:pPr>
              <w:jc w:val="center"/>
              <w:rPr>
                <w:rFonts w:hint="eastAsia" w:ascii="仿宋" w:hAnsi="仿宋" w:eastAsia="仿宋" w:cs="仿宋"/>
                <w:i w:val="0"/>
                <w:color w:val="auto"/>
                <w:sz w:val="24"/>
                <w:szCs w:val="24"/>
                <w:highlight w:val="none"/>
                <w:u w:val="none"/>
              </w:rPr>
            </w:pPr>
          </w:p>
        </w:tc>
      </w:tr>
      <w:tr w14:paraId="2D2E6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DF9BBD">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2.3</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75C673">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光模块</w:t>
            </w:r>
          </w:p>
        </w:tc>
        <w:tc>
          <w:tcPr>
            <w:tcW w:w="3339" w:type="dxa"/>
            <w:tcBorders>
              <w:top w:val="single" w:color="auto" w:sz="4" w:space="0"/>
              <w:left w:val="nil"/>
              <w:bottom w:val="single" w:color="000000" w:sz="4" w:space="0"/>
              <w:right w:val="single" w:color="000000" w:sz="4" w:space="0"/>
            </w:tcBorders>
            <w:shd w:val="clear" w:color="auto" w:fill="auto"/>
            <w:tcMar>
              <w:top w:w="12" w:type="dxa"/>
              <w:left w:w="12" w:type="dxa"/>
              <w:right w:w="12" w:type="dxa"/>
            </w:tcMar>
            <w:vAlign w:val="center"/>
          </w:tcPr>
          <w:p w14:paraId="37BC99FE">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千兆单模10KM 1310   </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FE6EF8">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块</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902EBB">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12</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90F3D1">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11B90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207"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321EA5">
            <w:pPr>
              <w:keepNext w:val="0"/>
              <w:keepLines w:val="0"/>
              <w:widowControl/>
              <w:suppressLineNumbers w:val="0"/>
              <w:jc w:val="left"/>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3、区政府集中办公区三号楼升级内容</w:t>
            </w:r>
          </w:p>
        </w:tc>
      </w:tr>
      <w:tr w14:paraId="3258C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6"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732B31">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3.1</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4B1900">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汇聚交换机</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69E495">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24个万兆SFP+，6个40/100GE QSFP28，包转发率≥1620Mpps，交换容量≥4.8/25.6Tbps，4个万兆单模模块</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71CF21">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F62D6A">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80653C">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254CA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FEC924">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3.2</w:t>
            </w:r>
          </w:p>
        </w:tc>
        <w:tc>
          <w:tcPr>
            <w:tcW w:w="15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290525">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接入交换机</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B99441">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48个10/100/1000BASE-T以太网端口,4个万兆SFP+</w:t>
            </w:r>
          </w:p>
        </w:tc>
        <w:tc>
          <w:tcPr>
            <w:tcW w:w="123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D48336">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CAF2C5">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13</w:t>
            </w:r>
          </w:p>
        </w:tc>
        <w:tc>
          <w:tcPr>
            <w:tcW w:w="751"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0F6C5BAF">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0E347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B9BDD3">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3F468D">
            <w:pPr>
              <w:jc w:val="left"/>
              <w:rPr>
                <w:rFonts w:hint="eastAsia" w:ascii="仿宋" w:hAnsi="仿宋" w:eastAsia="仿宋" w:cs="仿宋"/>
                <w:i w:val="0"/>
                <w:color w:val="auto"/>
                <w:sz w:val="24"/>
                <w:szCs w:val="24"/>
                <w:highlight w:val="none"/>
                <w:u w:val="none"/>
              </w:rPr>
            </w:pP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964845">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包转发率≥166Mpps</w:t>
            </w: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3AB94B">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C85181">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100DDD27">
            <w:pPr>
              <w:jc w:val="center"/>
              <w:rPr>
                <w:rFonts w:hint="eastAsia" w:ascii="仿宋" w:hAnsi="仿宋" w:eastAsia="仿宋" w:cs="仿宋"/>
                <w:i w:val="0"/>
                <w:color w:val="auto"/>
                <w:sz w:val="24"/>
                <w:szCs w:val="24"/>
                <w:highlight w:val="none"/>
                <w:u w:val="none"/>
              </w:rPr>
            </w:pPr>
          </w:p>
        </w:tc>
      </w:tr>
      <w:tr w14:paraId="1DF07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231FDE">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A2EEAA">
            <w:pPr>
              <w:jc w:val="left"/>
              <w:rPr>
                <w:rFonts w:hint="eastAsia" w:ascii="仿宋" w:hAnsi="仿宋" w:eastAsia="仿宋" w:cs="仿宋"/>
                <w:i w:val="0"/>
                <w:color w:val="auto"/>
                <w:sz w:val="24"/>
                <w:szCs w:val="24"/>
                <w:highlight w:val="none"/>
                <w:u w:val="none"/>
              </w:rPr>
            </w:pP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D5EDA3">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交换容量≥672Gbps/6.72Tbps</w:t>
            </w: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A15F51">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C89197">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11664B">
            <w:pPr>
              <w:jc w:val="center"/>
              <w:rPr>
                <w:rFonts w:hint="eastAsia" w:ascii="仿宋" w:hAnsi="仿宋" w:eastAsia="仿宋" w:cs="仿宋"/>
                <w:i w:val="0"/>
                <w:color w:val="auto"/>
                <w:sz w:val="24"/>
                <w:szCs w:val="24"/>
                <w:highlight w:val="none"/>
                <w:u w:val="none"/>
              </w:rPr>
            </w:pPr>
          </w:p>
        </w:tc>
      </w:tr>
      <w:tr w14:paraId="5EE30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9465DF">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3.3</w:t>
            </w:r>
          </w:p>
        </w:tc>
        <w:tc>
          <w:tcPr>
            <w:tcW w:w="1526" w:type="dxa"/>
            <w:gridSpan w:val="3"/>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2886062F">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接入交换机</w:t>
            </w:r>
          </w:p>
        </w:tc>
        <w:tc>
          <w:tcPr>
            <w:tcW w:w="3339" w:type="dxa"/>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57472B45">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24个10/100/1000BASE-T以太网端口,4个万兆SFP+，包转发率≥126Mpps ，交换容量≥672Gbps/6.72Tbps</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03A6CC">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0D3F3E">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8AB6D2">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25424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56" w:type="dxa"/>
            <w:gridSpan w:val="2"/>
            <w:vMerge w:val="restart"/>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27907B40">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3.4</w:t>
            </w:r>
          </w:p>
        </w:tc>
        <w:tc>
          <w:tcPr>
            <w:tcW w:w="1526" w:type="dxa"/>
            <w:gridSpan w:val="3"/>
            <w:vMerge w:val="restar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04E04BAF">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服务器区交换机</w:t>
            </w: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75AC4485">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48个10/100/1000BASE-T以太网端口,4个万兆SFP+</w:t>
            </w:r>
          </w:p>
        </w:tc>
        <w:tc>
          <w:tcPr>
            <w:tcW w:w="1230" w:type="dxa"/>
            <w:gridSpan w:val="2"/>
            <w:vMerge w:val="restart"/>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06C04FCA">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ABC215">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2C76126F">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46EC8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6A1A9069">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503999FD">
            <w:pPr>
              <w:jc w:val="left"/>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02B88C2B">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包转发率≥166Mpps</w:t>
            </w:r>
          </w:p>
        </w:tc>
        <w:tc>
          <w:tcPr>
            <w:tcW w:w="1230" w:type="dxa"/>
            <w:gridSpan w:val="2"/>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4D955720">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CC9028">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0A00EB71">
            <w:pPr>
              <w:jc w:val="center"/>
              <w:rPr>
                <w:rFonts w:hint="eastAsia" w:ascii="仿宋" w:hAnsi="仿宋" w:eastAsia="仿宋" w:cs="仿宋"/>
                <w:i w:val="0"/>
                <w:color w:val="auto"/>
                <w:sz w:val="24"/>
                <w:szCs w:val="24"/>
                <w:highlight w:val="none"/>
                <w:u w:val="none"/>
              </w:rPr>
            </w:pPr>
          </w:p>
        </w:tc>
      </w:tr>
      <w:tr w14:paraId="15EAD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581F3A39">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24B378A6">
            <w:pPr>
              <w:jc w:val="left"/>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7934729C">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交换容量≥672Gbps/6.72Tbps</w:t>
            </w:r>
          </w:p>
        </w:tc>
        <w:tc>
          <w:tcPr>
            <w:tcW w:w="1230" w:type="dxa"/>
            <w:gridSpan w:val="2"/>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024EB52B">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9B673F">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7A808C">
            <w:pPr>
              <w:jc w:val="center"/>
              <w:rPr>
                <w:rFonts w:hint="eastAsia" w:ascii="仿宋" w:hAnsi="仿宋" w:eastAsia="仿宋" w:cs="仿宋"/>
                <w:i w:val="0"/>
                <w:color w:val="auto"/>
                <w:sz w:val="24"/>
                <w:szCs w:val="24"/>
                <w:highlight w:val="none"/>
                <w:u w:val="none"/>
              </w:rPr>
            </w:pPr>
          </w:p>
        </w:tc>
      </w:tr>
      <w:tr w14:paraId="2DA46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restart"/>
            <w:tcBorders>
              <w:top w:val="nil"/>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2B8DCA25">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3.5</w:t>
            </w:r>
          </w:p>
        </w:tc>
        <w:tc>
          <w:tcPr>
            <w:tcW w:w="1526" w:type="dxa"/>
            <w:gridSpan w:val="3"/>
            <w:vMerge w:val="restar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20F7AC71">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服务器区交换机</w:t>
            </w: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542DEEC6">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24个10/100/1000BASE-T以太网端口,4个万兆SFP+</w:t>
            </w:r>
          </w:p>
        </w:tc>
        <w:tc>
          <w:tcPr>
            <w:tcW w:w="1230" w:type="dxa"/>
            <w:gridSpan w:val="2"/>
            <w:vMerge w:val="restart"/>
            <w:tcBorders>
              <w:top w:val="nil"/>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117A02ED">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vMerge w:val="restart"/>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5D20F8">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7</w:t>
            </w:r>
          </w:p>
        </w:tc>
        <w:tc>
          <w:tcPr>
            <w:tcW w:w="751" w:type="dxa"/>
            <w:vMerge w:val="restart"/>
            <w:tcBorders>
              <w:top w:val="nil"/>
              <w:left w:val="single" w:color="000000" w:sz="4" w:space="0"/>
              <w:right w:val="single" w:color="000000" w:sz="4" w:space="0"/>
            </w:tcBorders>
            <w:shd w:val="clear" w:color="auto" w:fill="auto"/>
            <w:tcMar>
              <w:top w:w="12" w:type="dxa"/>
              <w:left w:w="12" w:type="dxa"/>
              <w:right w:w="12" w:type="dxa"/>
            </w:tcMar>
            <w:vAlign w:val="center"/>
          </w:tcPr>
          <w:p w14:paraId="789E30F6">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1892D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continue"/>
            <w:tcBorders>
              <w:top w:val="nil"/>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15E176F1">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4E7AB7D7">
            <w:pPr>
              <w:jc w:val="left"/>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66C059C9">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包转发率≥126Mpps</w:t>
            </w:r>
          </w:p>
        </w:tc>
        <w:tc>
          <w:tcPr>
            <w:tcW w:w="1230" w:type="dxa"/>
            <w:gridSpan w:val="2"/>
            <w:vMerge w:val="continue"/>
            <w:tcBorders>
              <w:top w:val="nil"/>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64F5C6BD">
            <w:pPr>
              <w:jc w:val="center"/>
              <w:rPr>
                <w:rFonts w:hint="eastAsia" w:ascii="仿宋" w:hAnsi="仿宋" w:eastAsia="仿宋" w:cs="仿宋"/>
                <w:i w:val="0"/>
                <w:color w:val="auto"/>
                <w:sz w:val="24"/>
                <w:szCs w:val="24"/>
                <w:highlight w:val="none"/>
                <w:u w:val="none"/>
              </w:rPr>
            </w:pPr>
          </w:p>
        </w:tc>
        <w:tc>
          <w:tcPr>
            <w:tcW w:w="1305" w:type="dxa"/>
            <w:vMerge w:val="continue"/>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D8CB8C">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46F05065">
            <w:pPr>
              <w:jc w:val="center"/>
              <w:rPr>
                <w:rFonts w:hint="eastAsia" w:ascii="仿宋" w:hAnsi="仿宋" w:eastAsia="仿宋" w:cs="仿宋"/>
                <w:i w:val="0"/>
                <w:color w:val="auto"/>
                <w:sz w:val="24"/>
                <w:szCs w:val="24"/>
                <w:highlight w:val="none"/>
                <w:u w:val="none"/>
              </w:rPr>
            </w:pPr>
          </w:p>
        </w:tc>
      </w:tr>
      <w:tr w14:paraId="55B8A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56" w:type="dxa"/>
            <w:gridSpan w:val="2"/>
            <w:vMerge w:val="continue"/>
            <w:tcBorders>
              <w:top w:val="nil"/>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10AFB907">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5EC911E6">
            <w:pPr>
              <w:jc w:val="left"/>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5D25FA3B">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交换容量≥672Gbps/6.72Tbps</w:t>
            </w:r>
          </w:p>
        </w:tc>
        <w:tc>
          <w:tcPr>
            <w:tcW w:w="1230" w:type="dxa"/>
            <w:gridSpan w:val="2"/>
            <w:vMerge w:val="continue"/>
            <w:tcBorders>
              <w:top w:val="nil"/>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6CFE4C26">
            <w:pPr>
              <w:jc w:val="center"/>
              <w:rPr>
                <w:rFonts w:hint="eastAsia" w:ascii="仿宋" w:hAnsi="仿宋" w:eastAsia="仿宋" w:cs="仿宋"/>
                <w:i w:val="0"/>
                <w:color w:val="auto"/>
                <w:sz w:val="24"/>
                <w:szCs w:val="24"/>
                <w:highlight w:val="none"/>
                <w:u w:val="none"/>
              </w:rPr>
            </w:pPr>
          </w:p>
        </w:tc>
        <w:tc>
          <w:tcPr>
            <w:tcW w:w="1305" w:type="dxa"/>
            <w:vMerge w:val="continue"/>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8889E3">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27CE71">
            <w:pPr>
              <w:jc w:val="center"/>
              <w:rPr>
                <w:rFonts w:hint="eastAsia" w:ascii="仿宋" w:hAnsi="仿宋" w:eastAsia="仿宋" w:cs="仿宋"/>
                <w:i w:val="0"/>
                <w:color w:val="auto"/>
                <w:sz w:val="24"/>
                <w:szCs w:val="24"/>
                <w:highlight w:val="none"/>
                <w:u w:val="none"/>
              </w:rPr>
            </w:pPr>
          </w:p>
        </w:tc>
      </w:tr>
      <w:tr w14:paraId="7ED4C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tcBorders>
              <w:top w:val="single" w:color="000000" w:sz="4" w:space="0"/>
              <w:left w:val="single" w:color="000000" w:sz="4" w:space="0"/>
              <w:bottom w:val="single" w:color="auto" w:sz="4" w:space="0"/>
              <w:right w:val="single" w:color="auto" w:sz="4" w:space="0"/>
            </w:tcBorders>
            <w:shd w:val="clear" w:color="auto" w:fill="auto"/>
            <w:tcMar>
              <w:top w:w="12" w:type="dxa"/>
              <w:left w:w="12" w:type="dxa"/>
              <w:right w:w="12" w:type="dxa"/>
            </w:tcMar>
            <w:vAlign w:val="center"/>
          </w:tcPr>
          <w:p w14:paraId="1B87BBC5">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3.6</w:t>
            </w:r>
          </w:p>
        </w:tc>
        <w:tc>
          <w:tcPr>
            <w:tcW w:w="1526" w:type="dxa"/>
            <w:gridSpan w:val="3"/>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618D8145">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光模块</w:t>
            </w: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28897390">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千兆单模10KM 1310</w:t>
            </w:r>
          </w:p>
        </w:tc>
        <w:tc>
          <w:tcPr>
            <w:tcW w:w="1230" w:type="dxa"/>
            <w:gridSpan w:val="2"/>
            <w:tcBorders>
              <w:top w:val="single" w:color="000000" w:sz="4" w:space="0"/>
              <w:left w:val="single" w:color="auto" w:sz="4" w:space="0"/>
              <w:bottom w:val="single" w:color="auto" w:sz="4" w:space="0"/>
              <w:right w:val="single" w:color="000000" w:sz="4" w:space="0"/>
            </w:tcBorders>
            <w:shd w:val="clear" w:color="auto" w:fill="auto"/>
            <w:tcMar>
              <w:top w:w="12" w:type="dxa"/>
              <w:left w:w="12" w:type="dxa"/>
              <w:right w:w="12" w:type="dxa"/>
            </w:tcMar>
            <w:vAlign w:val="center"/>
          </w:tcPr>
          <w:p w14:paraId="0CB252EA">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块</w:t>
            </w:r>
          </w:p>
        </w:tc>
        <w:tc>
          <w:tcPr>
            <w:tcW w:w="1305" w:type="dxa"/>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7BE08CC4">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44</w:t>
            </w:r>
          </w:p>
        </w:tc>
        <w:tc>
          <w:tcPr>
            <w:tcW w:w="751" w:type="dxa"/>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39619458">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6C22D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207" w:type="dxa"/>
            <w:gridSpan w:val="10"/>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2B4E7E9C">
            <w:pPr>
              <w:keepNext w:val="0"/>
              <w:keepLines w:val="0"/>
              <w:widowControl/>
              <w:suppressLineNumbers w:val="0"/>
              <w:jc w:val="both"/>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4、政务服务和数据管理局集中办公区网络设备升级改造部分</w:t>
            </w:r>
          </w:p>
        </w:tc>
      </w:tr>
      <w:tr w14:paraId="26316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6" w:hRule="atLeast"/>
        </w:trPr>
        <w:tc>
          <w:tcPr>
            <w:tcW w:w="1056" w:type="dxa"/>
            <w:gridSpan w:val="2"/>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D3F80C">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4.1</w:t>
            </w:r>
          </w:p>
        </w:tc>
        <w:tc>
          <w:tcPr>
            <w:tcW w:w="1526" w:type="dxa"/>
            <w:gridSpan w:val="3"/>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C29BE2">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汇聚交换机</w:t>
            </w:r>
          </w:p>
        </w:tc>
        <w:tc>
          <w:tcPr>
            <w:tcW w:w="3339" w:type="dxa"/>
            <w:tcBorders>
              <w:top w:val="single" w:color="auto" w:sz="4" w:space="0"/>
              <w:left w:val="single" w:color="000000" w:sz="4" w:space="0"/>
              <w:bottom w:val="single" w:color="auto" w:sz="4" w:space="0"/>
              <w:right w:val="nil"/>
            </w:tcBorders>
            <w:shd w:val="clear" w:color="auto" w:fill="auto"/>
            <w:tcMar>
              <w:top w:w="12" w:type="dxa"/>
              <w:left w:w="12" w:type="dxa"/>
              <w:right w:w="12" w:type="dxa"/>
            </w:tcMar>
            <w:vAlign w:val="center"/>
          </w:tcPr>
          <w:p w14:paraId="0BBDCB5E">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24个万兆SFP+，6个40/100GE QSFP28，包转发率≥1620Mpps，交换容量≥4.8/25.6Tbps，4个万兆单模模块</w:t>
            </w:r>
          </w:p>
        </w:tc>
        <w:tc>
          <w:tcPr>
            <w:tcW w:w="1230" w:type="dxa"/>
            <w:gridSpan w:val="2"/>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B72D59">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A80303">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D32F25">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2CCEA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5C4B27">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4.2</w:t>
            </w:r>
          </w:p>
        </w:tc>
        <w:tc>
          <w:tcPr>
            <w:tcW w:w="1526" w:type="dxa"/>
            <w:gridSpan w:val="3"/>
            <w:vMerge w:val="restart"/>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5EE62BDB">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交换机</w:t>
            </w: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41DDD002">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48个10/100/1000BASE-T以太网端口,4个万兆SFP+</w:t>
            </w:r>
          </w:p>
        </w:tc>
        <w:tc>
          <w:tcPr>
            <w:tcW w:w="1230" w:type="dxa"/>
            <w:gridSpan w:val="2"/>
            <w:vMerge w:val="restart"/>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232F9A29">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AD222C">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11</w:t>
            </w:r>
          </w:p>
        </w:tc>
        <w:tc>
          <w:tcPr>
            <w:tcW w:w="751"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42133DD7">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658FD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BF81C0">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40D8A775">
            <w:pPr>
              <w:jc w:val="left"/>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31A9B350">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包转发率≥166Mpps</w:t>
            </w:r>
          </w:p>
        </w:tc>
        <w:tc>
          <w:tcPr>
            <w:tcW w:w="1230" w:type="dxa"/>
            <w:gridSpan w:val="2"/>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6DFA9C86">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A3A2C3">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3AD4BB18">
            <w:pPr>
              <w:jc w:val="center"/>
              <w:rPr>
                <w:rFonts w:hint="eastAsia" w:ascii="仿宋" w:hAnsi="仿宋" w:eastAsia="仿宋" w:cs="仿宋"/>
                <w:i w:val="0"/>
                <w:color w:val="auto"/>
                <w:sz w:val="24"/>
                <w:szCs w:val="24"/>
                <w:highlight w:val="none"/>
                <w:u w:val="none"/>
              </w:rPr>
            </w:pPr>
          </w:p>
        </w:tc>
      </w:tr>
      <w:tr w14:paraId="073B6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E27278">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543D45AE">
            <w:pPr>
              <w:jc w:val="left"/>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177C8A14">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交换容量≥672Gbps/6.72Tbps</w:t>
            </w:r>
          </w:p>
        </w:tc>
        <w:tc>
          <w:tcPr>
            <w:tcW w:w="1230" w:type="dxa"/>
            <w:gridSpan w:val="2"/>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6EE14D91">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6E3F5B">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B49B4E">
            <w:pPr>
              <w:jc w:val="center"/>
              <w:rPr>
                <w:rFonts w:hint="eastAsia" w:ascii="仿宋" w:hAnsi="仿宋" w:eastAsia="仿宋" w:cs="仿宋"/>
                <w:i w:val="0"/>
                <w:color w:val="auto"/>
                <w:sz w:val="24"/>
                <w:szCs w:val="24"/>
                <w:highlight w:val="none"/>
                <w:u w:val="none"/>
              </w:rPr>
            </w:pPr>
          </w:p>
        </w:tc>
      </w:tr>
      <w:tr w14:paraId="73EE6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BE91D7">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4.3</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72F829">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光模块</w:t>
            </w:r>
          </w:p>
        </w:tc>
        <w:tc>
          <w:tcPr>
            <w:tcW w:w="3339"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A3BD93">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千兆单模10KM 1310</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396912">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块</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3A7159">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22</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F51066">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3BCE1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1A8CAF">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4.5</w:t>
            </w:r>
          </w:p>
        </w:tc>
        <w:tc>
          <w:tcPr>
            <w:tcW w:w="15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737A7F">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 叫号系统硬件部分</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5BB7F5">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为了适应新主板安装，需要对机箱背板做钣金定制</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EF9328">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套</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DD01A4">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40</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6C1F1D">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77715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E5D33D">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DC73A2">
            <w:pPr>
              <w:jc w:val="center"/>
              <w:rPr>
                <w:rFonts w:hint="eastAsia" w:ascii="仿宋" w:hAnsi="仿宋" w:eastAsia="仿宋" w:cs="仿宋"/>
                <w:i w:val="0"/>
                <w:color w:val="auto"/>
                <w:sz w:val="24"/>
                <w:szCs w:val="24"/>
                <w:highlight w:val="none"/>
                <w:u w:val="none"/>
              </w:rPr>
            </w:pP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A41921">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包含主板（支持IPv6升级版），CPU：参数 主频≥2.7Ghz，核数≥2，线程数≥4，内存≥4G，固态硬盘≥256G</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3F6E66">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套</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D638B4">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40</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8FB3EA">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6C449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6"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0AEF29">
            <w:pPr>
              <w:jc w:val="center"/>
              <w:rPr>
                <w:rFonts w:hint="eastAsia" w:ascii="仿宋" w:hAnsi="仿宋" w:eastAsia="仿宋" w:cs="仿宋"/>
                <w:i w:val="0"/>
                <w:color w:val="auto"/>
                <w:sz w:val="24"/>
                <w:szCs w:val="24"/>
                <w:highlight w:val="none"/>
                <w:u w:val="none"/>
              </w:rPr>
            </w:pPr>
          </w:p>
        </w:tc>
        <w:tc>
          <w:tcPr>
            <w:tcW w:w="15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6F2757">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叫号系统软件开发</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99338F">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基于Windows系统做定制软件开发</w:t>
            </w:r>
            <w:r>
              <w:rPr>
                <w:rFonts w:hint="eastAsia" w:ascii="仿宋" w:hAnsi="仿宋" w:eastAsia="仿宋" w:cs="仿宋"/>
                <w:i w:val="0"/>
                <w:color w:val="auto"/>
                <w:kern w:val="0"/>
                <w:sz w:val="24"/>
                <w:szCs w:val="24"/>
                <w:highlight w:val="none"/>
                <w:u w:val="none"/>
                <w:lang w:val="en-US" w:eastAsia="zh-CN" w:bidi="ar"/>
              </w:rPr>
              <w:br w:type="textWrapping"/>
            </w:r>
            <w:r>
              <w:rPr>
                <w:rFonts w:hint="eastAsia" w:ascii="仿宋" w:hAnsi="仿宋" w:eastAsia="仿宋" w:cs="仿宋"/>
                <w:i w:val="0"/>
                <w:color w:val="auto"/>
                <w:kern w:val="0"/>
                <w:sz w:val="24"/>
                <w:szCs w:val="24"/>
                <w:highlight w:val="none"/>
                <w:u w:val="none"/>
                <w:lang w:val="en-US" w:eastAsia="zh-CN" w:bidi="ar"/>
              </w:rPr>
              <w:t>1、 UI设计、2、叫号信息展示页面开发 3、队列竖屏展示页面开发</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91A9C2">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人套</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2E7922">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44</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C98EA5">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37635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B2799C">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876C30">
            <w:pPr>
              <w:jc w:val="center"/>
              <w:rPr>
                <w:rFonts w:hint="eastAsia" w:ascii="仿宋" w:hAnsi="仿宋" w:eastAsia="仿宋" w:cs="仿宋"/>
                <w:i w:val="0"/>
                <w:color w:val="auto"/>
                <w:sz w:val="24"/>
                <w:szCs w:val="24"/>
                <w:highlight w:val="none"/>
                <w:u w:val="none"/>
              </w:rPr>
            </w:pP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A5768B">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1.设备绑定及相关接口软件开发 2. 队列推送及相关接口软件开发 3.叫号推送及相关接口软件开发</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4DFE47">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人套</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0873BD">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40</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EB0285">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3281F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9207" w:type="dxa"/>
            <w:gridSpan w:val="10"/>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F7FAA4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 xml:space="preserve">六、集中办公区网络升级辅助施工部分 </w:t>
            </w:r>
          </w:p>
          <w:p w14:paraId="3FE8A6E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（详见《密云区电子政务外网IPv6升级改造项目-集中办公区网络升级辅助施工部分-工程量清单》）</w:t>
            </w:r>
          </w:p>
        </w:tc>
      </w:tr>
      <w:tr w14:paraId="32255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207"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55CB5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七、网络核心、集中办公区双栈调试</w:t>
            </w:r>
          </w:p>
        </w:tc>
      </w:tr>
      <w:tr w14:paraId="2936E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2"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B41C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bCs/>
                <w:i w:val="0"/>
                <w:snapToGrid/>
                <w:color w:val="auto"/>
                <w:kern w:val="2"/>
                <w:sz w:val="24"/>
                <w:szCs w:val="24"/>
                <w:highlight w:val="none"/>
                <w:u w:val="none"/>
                <w:lang w:val="en-US" w:eastAsia="zh-CN"/>
              </w:rPr>
            </w:pPr>
            <w:r>
              <w:rPr>
                <w:rFonts w:hint="eastAsia" w:asciiTheme="minorEastAsia" w:hAnsiTheme="minorEastAsia" w:eastAsiaTheme="minorEastAsia" w:cstheme="minorEastAsia"/>
                <w:b/>
                <w:bCs/>
                <w:i w:val="0"/>
                <w:snapToGrid/>
                <w:color w:val="auto"/>
                <w:kern w:val="2"/>
                <w:sz w:val="24"/>
                <w:szCs w:val="24"/>
                <w:highlight w:val="none"/>
                <w:u w:val="none"/>
                <w:lang w:val="en-US" w:eastAsia="zh-CN"/>
              </w:rPr>
              <w:t>序号</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4FA3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bCs/>
                <w:i w:val="0"/>
                <w:snapToGrid/>
                <w:color w:val="auto"/>
                <w:kern w:val="2"/>
                <w:sz w:val="24"/>
                <w:szCs w:val="24"/>
                <w:highlight w:val="none"/>
                <w:u w:val="none"/>
                <w:lang w:val="en-US" w:eastAsia="zh-CN"/>
              </w:rPr>
            </w:pPr>
            <w:r>
              <w:rPr>
                <w:rFonts w:hint="eastAsia" w:asciiTheme="minorEastAsia" w:hAnsiTheme="minorEastAsia" w:eastAsiaTheme="minorEastAsia" w:cstheme="minorEastAsia"/>
                <w:b/>
                <w:bCs/>
                <w:i w:val="0"/>
                <w:snapToGrid/>
                <w:color w:val="auto"/>
                <w:kern w:val="2"/>
                <w:sz w:val="24"/>
                <w:szCs w:val="24"/>
                <w:highlight w:val="none"/>
                <w:u w:val="none"/>
                <w:lang w:val="en-US" w:eastAsia="zh-CN"/>
              </w:rPr>
              <w:t>服务项目</w:t>
            </w:r>
          </w:p>
        </w:tc>
        <w:tc>
          <w:tcPr>
            <w:tcW w:w="4763"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CD39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bCs/>
                <w:i w:val="0"/>
                <w:snapToGrid/>
                <w:color w:val="auto"/>
                <w:kern w:val="2"/>
                <w:sz w:val="24"/>
                <w:szCs w:val="24"/>
                <w:highlight w:val="none"/>
                <w:u w:val="none"/>
                <w:lang w:val="en-US" w:eastAsia="zh-CN"/>
              </w:rPr>
            </w:pPr>
            <w:r>
              <w:rPr>
                <w:rFonts w:hint="eastAsia" w:asciiTheme="minorEastAsia" w:hAnsiTheme="minorEastAsia" w:eastAsiaTheme="minorEastAsia" w:cstheme="minorEastAsia"/>
                <w:b/>
                <w:bCs/>
                <w:i w:val="0"/>
                <w:snapToGrid/>
                <w:color w:val="auto"/>
                <w:kern w:val="2"/>
                <w:sz w:val="24"/>
                <w:szCs w:val="24"/>
                <w:highlight w:val="none"/>
                <w:u w:val="none"/>
                <w:lang w:val="en-US" w:eastAsia="zh-CN"/>
              </w:rPr>
              <w:t>工作内容</w:t>
            </w:r>
          </w:p>
        </w:tc>
        <w:tc>
          <w:tcPr>
            <w:tcW w:w="213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F54F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bCs/>
                <w:i w:val="0"/>
                <w:snapToGrid/>
                <w:color w:val="auto"/>
                <w:kern w:val="2"/>
                <w:sz w:val="24"/>
                <w:szCs w:val="24"/>
                <w:highlight w:val="none"/>
                <w:u w:val="none"/>
                <w:lang w:val="en-US" w:eastAsia="zh-CN"/>
              </w:rPr>
            </w:pPr>
            <w:r>
              <w:rPr>
                <w:rFonts w:hint="eastAsia" w:asciiTheme="minorEastAsia" w:hAnsiTheme="minorEastAsia" w:eastAsiaTheme="minorEastAsia" w:cstheme="minorEastAsia"/>
                <w:b/>
                <w:bCs/>
                <w:i w:val="0"/>
                <w:snapToGrid/>
                <w:color w:val="auto"/>
                <w:kern w:val="2"/>
                <w:sz w:val="24"/>
                <w:szCs w:val="24"/>
                <w:highlight w:val="none"/>
                <w:u w:val="none"/>
                <w:lang w:val="en-US" w:eastAsia="zh-CN"/>
              </w:rPr>
              <w:t>人/天</w:t>
            </w:r>
          </w:p>
        </w:tc>
      </w:tr>
      <w:tr w14:paraId="1D897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8"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B9A3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6A8B3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IPv6地址规划</w:t>
            </w:r>
          </w:p>
        </w:tc>
        <w:tc>
          <w:tcPr>
            <w:tcW w:w="4763"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BE064F">
            <w:pPr>
              <w:keepNext w:val="0"/>
              <w:keepLines w:val="0"/>
              <w:widowControl/>
              <w:suppressLineNumbers w:val="0"/>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新宋体" w:hAnsi="新宋体" w:eastAsia="新宋体" w:cs="新宋体"/>
                <w:i w:val="0"/>
                <w:color w:val="auto"/>
                <w:kern w:val="0"/>
                <w:sz w:val="20"/>
                <w:szCs w:val="20"/>
                <w:highlight w:val="none"/>
                <w:u w:val="none"/>
                <w:lang w:val="en-US" w:eastAsia="zh-CN" w:bidi="ar"/>
              </w:rPr>
              <w:t>详细描述全网的IPv6地址规划方案，具体到设备管理IPv6地址规划、网间路由地址规划、按业务地址规划、按部门地址规划，部门规划到村级。指明应答文件所在章节页号。</w:t>
            </w:r>
          </w:p>
        </w:tc>
        <w:tc>
          <w:tcPr>
            <w:tcW w:w="213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F6EB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95</w:t>
            </w:r>
          </w:p>
        </w:tc>
      </w:tr>
      <w:tr w14:paraId="507C5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69BF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2</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5E2E2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网络核心双栈配置改造（10508*2台）</w:t>
            </w:r>
          </w:p>
        </w:tc>
        <w:tc>
          <w:tcPr>
            <w:tcW w:w="4763"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B3CCBE">
            <w:pPr>
              <w:keepNext w:val="0"/>
              <w:keepLines w:val="0"/>
              <w:widowControl/>
              <w:suppressLineNumbers w:val="0"/>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新宋体" w:hAnsi="新宋体" w:eastAsia="新宋体" w:cs="新宋体"/>
                <w:i w:val="0"/>
                <w:color w:val="auto"/>
                <w:kern w:val="0"/>
                <w:sz w:val="20"/>
                <w:szCs w:val="20"/>
                <w:highlight w:val="none"/>
                <w:u w:val="none"/>
                <w:lang w:val="en-US" w:eastAsia="zh-CN" w:bidi="ar"/>
              </w:rPr>
              <w:t>依据核心交换机的功能，做出相应的配置策略及内容。指明应答文件所在章节页号。</w:t>
            </w:r>
          </w:p>
        </w:tc>
        <w:tc>
          <w:tcPr>
            <w:tcW w:w="213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CDA7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rPr>
            </w:pPr>
            <w:r>
              <w:rPr>
                <w:rFonts w:hint="eastAsia" w:asciiTheme="minorEastAsia" w:hAnsiTheme="minorEastAsia" w:eastAsiaTheme="minorEastAsia" w:cstheme="minorEastAsia"/>
                <w:i w:val="0"/>
                <w:snapToGrid/>
                <w:color w:val="auto"/>
                <w:kern w:val="2"/>
                <w:sz w:val="24"/>
                <w:szCs w:val="24"/>
                <w:highlight w:val="none"/>
                <w:u w:val="none"/>
                <w:lang w:val="en-US" w:eastAsia="zh-CN"/>
              </w:rPr>
              <w:t>40</w:t>
            </w:r>
          </w:p>
        </w:tc>
      </w:tr>
      <w:tr w14:paraId="653CF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97F4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3</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56F08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3号楼汇聚交换机（10504*1台）</w:t>
            </w:r>
          </w:p>
        </w:tc>
        <w:tc>
          <w:tcPr>
            <w:tcW w:w="4763"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10A044">
            <w:pPr>
              <w:keepNext w:val="0"/>
              <w:keepLines w:val="0"/>
              <w:widowControl/>
              <w:suppressLineNumbers w:val="0"/>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新宋体" w:hAnsi="新宋体" w:eastAsia="新宋体" w:cs="新宋体"/>
                <w:i w:val="0"/>
                <w:color w:val="auto"/>
                <w:kern w:val="0"/>
                <w:sz w:val="20"/>
                <w:szCs w:val="20"/>
                <w:highlight w:val="none"/>
                <w:u w:val="none"/>
                <w:lang w:val="en-US" w:eastAsia="zh-CN" w:bidi="ar"/>
              </w:rPr>
              <w:t>依据该设备的功能，做出相应的配置策略及内容。指明应答文件所在章节页号。</w:t>
            </w:r>
          </w:p>
        </w:tc>
        <w:tc>
          <w:tcPr>
            <w:tcW w:w="213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06BC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rPr>
            </w:pPr>
            <w:r>
              <w:rPr>
                <w:rFonts w:hint="eastAsia" w:asciiTheme="minorEastAsia" w:hAnsiTheme="minorEastAsia" w:eastAsiaTheme="minorEastAsia" w:cstheme="minorEastAsia"/>
                <w:i w:val="0"/>
                <w:snapToGrid/>
                <w:color w:val="auto"/>
                <w:kern w:val="2"/>
                <w:sz w:val="24"/>
                <w:szCs w:val="24"/>
                <w:highlight w:val="none"/>
                <w:u w:val="none"/>
                <w:lang w:val="en-US" w:eastAsia="zh-CN"/>
              </w:rPr>
              <w:t>20</w:t>
            </w:r>
          </w:p>
        </w:tc>
      </w:tr>
      <w:tr w14:paraId="7CB6B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1"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9C6A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4</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1140A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出口链路双栈配置改造（10台）</w:t>
            </w:r>
          </w:p>
        </w:tc>
        <w:tc>
          <w:tcPr>
            <w:tcW w:w="4763"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CB0D6D">
            <w:pPr>
              <w:keepNext w:val="0"/>
              <w:keepLines w:val="0"/>
              <w:widowControl/>
              <w:suppressLineNumbers w:val="0"/>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新宋体" w:hAnsi="新宋体" w:eastAsia="新宋体" w:cs="新宋体"/>
                <w:i w:val="0"/>
                <w:color w:val="auto"/>
                <w:kern w:val="0"/>
                <w:sz w:val="20"/>
                <w:szCs w:val="20"/>
                <w:highlight w:val="none"/>
                <w:u w:val="none"/>
                <w:lang w:val="en-US" w:eastAsia="zh-CN" w:bidi="ar"/>
              </w:rPr>
              <w:t>依据各个设备的功能，做出相应的配置策略及内容。指明应答文件所在章节页号。</w:t>
            </w:r>
          </w:p>
        </w:tc>
        <w:tc>
          <w:tcPr>
            <w:tcW w:w="213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1692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2"/>
                <w:sz w:val="24"/>
                <w:szCs w:val="24"/>
                <w:highlight w:val="none"/>
                <w:u w:val="none"/>
                <w:lang w:val="en-US" w:eastAsia="zh-CN" w:bidi="ar-SA"/>
              </w:rPr>
              <w:t>100</w:t>
            </w:r>
          </w:p>
        </w:tc>
      </w:tr>
      <w:tr w14:paraId="0CD04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4"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045F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5</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75C33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移动接入平台双栈配置改造（3台）</w:t>
            </w:r>
          </w:p>
        </w:tc>
        <w:tc>
          <w:tcPr>
            <w:tcW w:w="4763"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E53F61">
            <w:pPr>
              <w:keepNext w:val="0"/>
              <w:keepLines w:val="0"/>
              <w:widowControl/>
              <w:suppressLineNumbers w:val="0"/>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新宋体" w:hAnsi="新宋体" w:eastAsia="新宋体" w:cs="新宋体"/>
                <w:i w:val="0"/>
                <w:color w:val="auto"/>
                <w:kern w:val="0"/>
                <w:sz w:val="20"/>
                <w:szCs w:val="20"/>
                <w:highlight w:val="none"/>
                <w:u w:val="none"/>
                <w:lang w:val="en-US" w:eastAsia="zh-CN" w:bidi="ar"/>
              </w:rPr>
              <w:t>依据各个设备的功能，做出相应的配置策略及内容。指明应答文件所在章节页号。</w:t>
            </w:r>
          </w:p>
        </w:tc>
        <w:tc>
          <w:tcPr>
            <w:tcW w:w="213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CDD9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2"/>
                <w:sz w:val="24"/>
                <w:szCs w:val="24"/>
                <w:highlight w:val="none"/>
                <w:u w:val="none"/>
                <w:lang w:val="en-US" w:eastAsia="zh-CN" w:bidi="ar-SA"/>
              </w:rPr>
              <w:t>60</w:t>
            </w:r>
          </w:p>
        </w:tc>
      </w:tr>
      <w:tr w14:paraId="1F13D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D8E0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6</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9DA2F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北京市政务网防火墙双栈配置改造</w:t>
            </w:r>
          </w:p>
        </w:tc>
        <w:tc>
          <w:tcPr>
            <w:tcW w:w="4763"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3EBCF7">
            <w:pPr>
              <w:keepNext w:val="0"/>
              <w:keepLines w:val="0"/>
              <w:widowControl/>
              <w:suppressLineNumbers w:val="0"/>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新宋体" w:hAnsi="新宋体" w:eastAsia="新宋体" w:cs="新宋体"/>
                <w:i w:val="0"/>
                <w:color w:val="auto"/>
                <w:kern w:val="0"/>
                <w:sz w:val="20"/>
                <w:szCs w:val="20"/>
                <w:highlight w:val="none"/>
                <w:u w:val="none"/>
                <w:lang w:val="en-US" w:eastAsia="zh-CN" w:bidi="ar"/>
              </w:rPr>
              <w:t>依据该个设备的功能，做出相应的配置策略及内容。指明应答文件所在章节页号。</w:t>
            </w:r>
          </w:p>
        </w:tc>
        <w:tc>
          <w:tcPr>
            <w:tcW w:w="213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37C0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2"/>
                <w:sz w:val="24"/>
                <w:szCs w:val="24"/>
                <w:highlight w:val="none"/>
                <w:u w:val="none"/>
                <w:lang w:val="en-US" w:eastAsia="zh-CN" w:bidi="ar-SA"/>
              </w:rPr>
              <w:t>20</w:t>
            </w:r>
          </w:p>
        </w:tc>
      </w:tr>
      <w:tr w14:paraId="5EE5E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0E20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7</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2BBB4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集中办公区双栈配置改造（60台）</w:t>
            </w:r>
          </w:p>
        </w:tc>
        <w:tc>
          <w:tcPr>
            <w:tcW w:w="4763"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D87FAE">
            <w:pPr>
              <w:keepNext w:val="0"/>
              <w:keepLines w:val="0"/>
              <w:widowControl/>
              <w:suppressLineNumbers w:val="0"/>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新宋体" w:hAnsi="新宋体" w:eastAsia="新宋体" w:cs="新宋体"/>
                <w:i w:val="0"/>
                <w:color w:val="auto"/>
                <w:kern w:val="0"/>
                <w:sz w:val="20"/>
                <w:szCs w:val="20"/>
                <w:highlight w:val="none"/>
                <w:u w:val="none"/>
                <w:lang w:val="en-US" w:eastAsia="zh-CN" w:bidi="ar"/>
              </w:rPr>
              <w:t>依据各个设备的功能，做出相应的配置策略及内容。指明应答文件所在章节页号。</w:t>
            </w:r>
          </w:p>
        </w:tc>
        <w:tc>
          <w:tcPr>
            <w:tcW w:w="213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882C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2"/>
                <w:sz w:val="24"/>
                <w:szCs w:val="24"/>
                <w:highlight w:val="none"/>
                <w:u w:val="none"/>
                <w:lang w:val="en-US" w:eastAsia="zh-CN" w:bidi="ar-SA"/>
              </w:rPr>
              <w:t>60</w:t>
            </w:r>
          </w:p>
        </w:tc>
      </w:tr>
      <w:tr w14:paraId="5BC16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62E4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8</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09EF2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委办局汇聚双栈配置改造</w:t>
            </w:r>
          </w:p>
        </w:tc>
        <w:tc>
          <w:tcPr>
            <w:tcW w:w="4763"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E9C6DE">
            <w:pPr>
              <w:keepNext w:val="0"/>
              <w:keepLines w:val="0"/>
              <w:widowControl/>
              <w:suppressLineNumbers w:val="0"/>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新宋体" w:hAnsi="新宋体" w:eastAsia="新宋体" w:cs="新宋体"/>
                <w:i w:val="0"/>
                <w:color w:val="auto"/>
                <w:kern w:val="0"/>
                <w:sz w:val="20"/>
                <w:szCs w:val="20"/>
                <w:highlight w:val="none"/>
                <w:u w:val="none"/>
                <w:lang w:val="en-US" w:eastAsia="zh-CN" w:bidi="ar"/>
              </w:rPr>
              <w:t>依据该设备的功能，做出相应的配置策略及内容。指明应答文件所在章节页号。</w:t>
            </w:r>
          </w:p>
        </w:tc>
        <w:tc>
          <w:tcPr>
            <w:tcW w:w="213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BE7F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2"/>
                <w:sz w:val="24"/>
                <w:szCs w:val="24"/>
                <w:highlight w:val="none"/>
                <w:u w:val="none"/>
                <w:lang w:val="en-US" w:eastAsia="zh-CN" w:bidi="ar-SA"/>
              </w:rPr>
              <w:t>20</w:t>
            </w:r>
          </w:p>
        </w:tc>
      </w:tr>
      <w:tr w14:paraId="23EFC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7"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67F6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9</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A414D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镇街汇聚双栈配置改造（9306）</w:t>
            </w:r>
          </w:p>
        </w:tc>
        <w:tc>
          <w:tcPr>
            <w:tcW w:w="4763"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61A135">
            <w:pPr>
              <w:keepNext w:val="0"/>
              <w:keepLines w:val="0"/>
              <w:widowControl/>
              <w:suppressLineNumbers w:val="0"/>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新宋体" w:hAnsi="新宋体" w:eastAsia="新宋体" w:cs="新宋体"/>
                <w:i w:val="0"/>
                <w:color w:val="auto"/>
                <w:kern w:val="0"/>
                <w:sz w:val="20"/>
                <w:szCs w:val="20"/>
                <w:highlight w:val="none"/>
                <w:u w:val="none"/>
                <w:lang w:val="en-US" w:eastAsia="zh-CN" w:bidi="ar"/>
              </w:rPr>
              <w:t>依据该设备的功能，做出相应的配置策略及内容。指明应答文件所在章节页号。</w:t>
            </w:r>
          </w:p>
        </w:tc>
        <w:tc>
          <w:tcPr>
            <w:tcW w:w="213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2379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2"/>
                <w:sz w:val="24"/>
                <w:szCs w:val="24"/>
                <w:highlight w:val="none"/>
                <w:u w:val="none"/>
                <w:lang w:val="en-US" w:eastAsia="zh-CN" w:bidi="ar-SA"/>
              </w:rPr>
              <w:t>20</w:t>
            </w:r>
          </w:p>
        </w:tc>
      </w:tr>
      <w:tr w14:paraId="6E7A1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6"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CF0B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10</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39FA4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村村通汇聚双栈配置改造（9306）</w:t>
            </w:r>
          </w:p>
        </w:tc>
        <w:tc>
          <w:tcPr>
            <w:tcW w:w="4763"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8B79E5">
            <w:pPr>
              <w:keepNext w:val="0"/>
              <w:keepLines w:val="0"/>
              <w:widowControl/>
              <w:suppressLineNumbers w:val="0"/>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新宋体" w:hAnsi="新宋体" w:eastAsia="新宋体" w:cs="新宋体"/>
                <w:i w:val="0"/>
                <w:color w:val="auto"/>
                <w:kern w:val="0"/>
                <w:sz w:val="20"/>
                <w:szCs w:val="20"/>
                <w:highlight w:val="none"/>
                <w:u w:val="none"/>
                <w:lang w:val="en-US" w:eastAsia="zh-CN" w:bidi="ar"/>
              </w:rPr>
              <w:t>依据该设备的功能，做出相应的配置策略及内容。指明应答文件所在章节页号。</w:t>
            </w:r>
          </w:p>
        </w:tc>
        <w:tc>
          <w:tcPr>
            <w:tcW w:w="213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A139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2"/>
                <w:sz w:val="24"/>
                <w:szCs w:val="24"/>
                <w:highlight w:val="none"/>
                <w:u w:val="none"/>
                <w:lang w:val="en-US" w:eastAsia="zh-CN" w:bidi="ar-SA"/>
              </w:rPr>
              <w:t>20</w:t>
            </w:r>
          </w:p>
        </w:tc>
      </w:tr>
      <w:tr w14:paraId="17F18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9"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CE9B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11</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D8B64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全网性能优化（1项）</w:t>
            </w:r>
          </w:p>
        </w:tc>
        <w:tc>
          <w:tcPr>
            <w:tcW w:w="4763"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40D80E">
            <w:pPr>
              <w:keepNext w:val="0"/>
              <w:keepLines w:val="0"/>
              <w:widowControl/>
              <w:suppressLineNumbers w:val="0"/>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新宋体" w:hAnsi="新宋体" w:eastAsia="新宋体" w:cs="新宋体"/>
                <w:i w:val="0"/>
                <w:color w:val="auto"/>
                <w:kern w:val="0"/>
                <w:sz w:val="20"/>
                <w:szCs w:val="20"/>
                <w:highlight w:val="none"/>
                <w:u w:val="none"/>
                <w:lang w:val="en-US" w:eastAsia="zh-CN" w:bidi="ar"/>
              </w:rPr>
              <w:t>详细描述全网性能优化的的内容及预期效果。指明应答文件所在章节页号。</w:t>
            </w:r>
          </w:p>
        </w:tc>
        <w:tc>
          <w:tcPr>
            <w:tcW w:w="213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1A8CF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2"/>
                <w:sz w:val="24"/>
                <w:szCs w:val="24"/>
                <w:highlight w:val="none"/>
                <w:u w:val="none"/>
                <w:lang w:val="en-US" w:eastAsia="zh-CN" w:bidi="ar-SA"/>
              </w:rPr>
              <w:t>100</w:t>
            </w:r>
          </w:p>
        </w:tc>
      </w:tr>
      <w:tr w14:paraId="69D2D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9"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5A79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heme="minorEastAsia" w:hAnsiTheme="minorEastAsia" w:eastAsiaTheme="minorEastAsia" w:cstheme="minorEastAsia"/>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12</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590B1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PC机IPv6升级</w:t>
            </w:r>
          </w:p>
        </w:tc>
        <w:tc>
          <w:tcPr>
            <w:tcW w:w="4763"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5257C1">
            <w:pPr>
              <w:keepNext w:val="0"/>
              <w:keepLines w:val="0"/>
              <w:widowControl/>
              <w:suppressLineNumbers w:val="0"/>
              <w:jc w:val="left"/>
              <w:textAlignment w:val="center"/>
              <w:rPr>
                <w:rFonts w:hint="eastAsia" w:ascii="新宋体" w:hAnsi="新宋体" w:eastAsia="新宋体" w:cs="新宋体"/>
                <w:i w:val="0"/>
                <w:color w:val="auto"/>
                <w:kern w:val="0"/>
                <w:sz w:val="20"/>
                <w:szCs w:val="20"/>
                <w:highlight w:val="none"/>
                <w:u w:val="none"/>
                <w:lang w:val="en-US" w:eastAsia="zh-CN" w:bidi="ar"/>
              </w:rPr>
            </w:pPr>
            <w:r>
              <w:rPr>
                <w:rFonts w:hint="eastAsia" w:ascii="新宋体" w:hAnsi="新宋体" w:eastAsia="新宋体" w:cs="新宋体"/>
                <w:i w:val="0"/>
                <w:color w:val="auto"/>
                <w:kern w:val="0"/>
                <w:sz w:val="20"/>
                <w:szCs w:val="20"/>
                <w:highlight w:val="none"/>
                <w:u w:val="none"/>
                <w:lang w:val="en-US" w:eastAsia="zh-CN" w:bidi="ar"/>
              </w:rPr>
              <w:t>详细描述全网性能优化的的内容及预期效果。指明应答文件所在章节页号。</w:t>
            </w:r>
          </w:p>
        </w:tc>
        <w:tc>
          <w:tcPr>
            <w:tcW w:w="213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D987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2"/>
                <w:sz w:val="24"/>
                <w:szCs w:val="24"/>
                <w:highlight w:val="none"/>
                <w:u w:val="none"/>
                <w:lang w:val="en-US" w:eastAsia="zh-CN" w:bidi="ar-SA"/>
              </w:rPr>
              <w:t>65</w:t>
            </w:r>
          </w:p>
        </w:tc>
      </w:tr>
    </w:tbl>
    <w:p w14:paraId="184BB95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p>
    <w:p w14:paraId="7E6F413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bCs/>
          <w:snapToGrid/>
          <w:color w:val="auto"/>
          <w:kern w:val="2"/>
          <w:sz w:val="24"/>
          <w:szCs w:val="24"/>
          <w:highlight w:val="none"/>
          <w:lang w:eastAsia="zh-CN"/>
        </w:rPr>
      </w:pPr>
      <w:r>
        <w:rPr>
          <w:rFonts w:hint="eastAsia" w:asciiTheme="minorEastAsia" w:hAnsiTheme="minorEastAsia" w:eastAsiaTheme="minorEastAsia" w:cstheme="minorEastAsia"/>
          <w:b/>
          <w:bCs/>
          <w:i w:val="0"/>
          <w:snapToGrid/>
          <w:color w:val="auto"/>
          <w:kern w:val="2"/>
          <w:sz w:val="24"/>
          <w:szCs w:val="24"/>
          <w:highlight w:val="none"/>
          <w:u w:val="none"/>
          <w:lang w:val="en-US" w:eastAsia="zh-CN"/>
        </w:rPr>
        <w:t>注：每个项目的集成费由各投标单位自行报价，并计入本项目各项报价总和。</w:t>
      </w:r>
    </w:p>
    <w:p w14:paraId="3C2B660C">
      <w:pPr>
        <w:keepNext w:val="0"/>
        <w:keepLines w:val="0"/>
        <w:pageBreakBefore w:val="0"/>
        <w:widowControl w:val="0"/>
        <w:numPr>
          <w:ilvl w:val="0"/>
          <w:numId w:val="0"/>
        </w:numPr>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color w:val="auto"/>
          <w:kern w:val="2"/>
          <w:sz w:val="24"/>
          <w:szCs w:val="24"/>
          <w:highlight w:val="none"/>
          <w:u w:val="none"/>
          <w:lang w:val="en-US" w:eastAsia="zh-CN" w:bidi="ar-SA"/>
        </w:rPr>
      </w:pPr>
    </w:p>
    <w:p w14:paraId="56893655">
      <w:pPr>
        <w:pStyle w:val="2"/>
        <w:rPr>
          <w:rFonts w:hint="eastAsia" w:asciiTheme="minorEastAsia" w:hAnsiTheme="minorEastAsia" w:eastAsiaTheme="minorEastAsia" w:cstheme="minorEastAsia"/>
          <w:color w:val="auto"/>
          <w:kern w:val="2"/>
          <w:sz w:val="24"/>
          <w:szCs w:val="24"/>
          <w:highlight w:val="none"/>
          <w:u w:val="none"/>
          <w:lang w:val="en-US" w:eastAsia="zh-CN" w:bidi="ar-SA"/>
        </w:rPr>
      </w:pPr>
    </w:p>
    <w:p w14:paraId="39168A0F">
      <w:pPr>
        <w:pStyle w:val="4"/>
        <w:rPr>
          <w:rFonts w:hint="eastAsia" w:asciiTheme="minorEastAsia" w:hAnsiTheme="minorEastAsia" w:eastAsiaTheme="minorEastAsia" w:cstheme="minorEastAsia"/>
          <w:color w:val="auto"/>
          <w:kern w:val="2"/>
          <w:sz w:val="24"/>
          <w:szCs w:val="24"/>
          <w:highlight w:val="none"/>
          <w:u w:val="none"/>
          <w:lang w:val="en-US" w:eastAsia="zh-CN" w:bidi="ar-SA"/>
        </w:rPr>
      </w:pPr>
    </w:p>
    <w:p w14:paraId="35CD0EDE">
      <w:pPr>
        <w:rPr>
          <w:rFonts w:hint="eastAsia" w:asciiTheme="minorEastAsia" w:hAnsiTheme="minorEastAsia" w:eastAsiaTheme="minorEastAsia" w:cstheme="minorEastAsia"/>
          <w:color w:val="auto"/>
          <w:kern w:val="2"/>
          <w:sz w:val="24"/>
          <w:szCs w:val="24"/>
          <w:highlight w:val="none"/>
          <w:u w:val="none"/>
          <w:lang w:val="en-US" w:eastAsia="zh-CN" w:bidi="ar-SA"/>
        </w:rPr>
      </w:pPr>
    </w:p>
    <w:p w14:paraId="09276995">
      <w:pPr>
        <w:pStyle w:val="2"/>
        <w:rPr>
          <w:rFonts w:hint="eastAsia" w:asciiTheme="minorEastAsia" w:hAnsiTheme="minorEastAsia" w:eastAsiaTheme="minorEastAsia" w:cstheme="minorEastAsia"/>
          <w:color w:val="auto"/>
          <w:kern w:val="2"/>
          <w:sz w:val="24"/>
          <w:szCs w:val="24"/>
          <w:highlight w:val="none"/>
          <w:u w:val="none"/>
          <w:lang w:val="en-US" w:eastAsia="zh-CN" w:bidi="ar-SA"/>
        </w:rPr>
      </w:pPr>
    </w:p>
    <w:p w14:paraId="534FCAFB">
      <w:pPr>
        <w:pStyle w:val="4"/>
        <w:rPr>
          <w:rFonts w:hint="eastAsia" w:asciiTheme="minorEastAsia" w:hAnsiTheme="minorEastAsia" w:eastAsiaTheme="minorEastAsia" w:cstheme="minorEastAsia"/>
          <w:color w:val="auto"/>
          <w:kern w:val="2"/>
          <w:sz w:val="24"/>
          <w:szCs w:val="24"/>
          <w:highlight w:val="none"/>
          <w:u w:val="none"/>
          <w:lang w:val="en-US" w:eastAsia="zh-CN" w:bidi="ar-SA"/>
        </w:rPr>
      </w:pPr>
    </w:p>
    <w:p w14:paraId="622CBCD2">
      <w:pPr>
        <w:rPr>
          <w:rFonts w:hint="eastAsia" w:asciiTheme="minorEastAsia" w:hAnsiTheme="minorEastAsia" w:eastAsiaTheme="minorEastAsia" w:cstheme="minorEastAsia"/>
          <w:color w:val="auto"/>
          <w:kern w:val="2"/>
          <w:sz w:val="24"/>
          <w:szCs w:val="24"/>
          <w:highlight w:val="none"/>
          <w:u w:val="none"/>
          <w:lang w:val="en-US" w:eastAsia="zh-CN" w:bidi="ar-SA"/>
        </w:rPr>
      </w:pPr>
    </w:p>
    <w:p w14:paraId="4AEF03A3">
      <w:pPr>
        <w:pStyle w:val="2"/>
        <w:rPr>
          <w:rFonts w:hint="eastAsia" w:asciiTheme="minorEastAsia" w:hAnsiTheme="minorEastAsia" w:eastAsiaTheme="minorEastAsia" w:cstheme="minorEastAsia"/>
          <w:color w:val="auto"/>
          <w:kern w:val="2"/>
          <w:sz w:val="24"/>
          <w:szCs w:val="24"/>
          <w:highlight w:val="none"/>
          <w:u w:val="none"/>
          <w:lang w:val="en-US" w:eastAsia="zh-CN" w:bidi="ar-SA"/>
        </w:rPr>
      </w:pPr>
    </w:p>
    <w:p w14:paraId="4AFAFB8C">
      <w:pPr>
        <w:pStyle w:val="4"/>
        <w:rPr>
          <w:rFonts w:hint="eastAsia" w:asciiTheme="minorEastAsia" w:hAnsiTheme="minorEastAsia" w:eastAsiaTheme="minorEastAsia" w:cstheme="minorEastAsia"/>
          <w:color w:val="auto"/>
          <w:kern w:val="2"/>
          <w:sz w:val="24"/>
          <w:szCs w:val="24"/>
          <w:highlight w:val="none"/>
          <w:u w:val="none"/>
          <w:lang w:val="en-US" w:eastAsia="zh-CN" w:bidi="ar-SA"/>
        </w:rPr>
      </w:pPr>
    </w:p>
    <w:p w14:paraId="059665F5">
      <w:pPr>
        <w:rPr>
          <w:rFonts w:hint="eastAsia" w:asciiTheme="minorEastAsia" w:hAnsiTheme="minorEastAsia" w:eastAsiaTheme="minorEastAsia" w:cstheme="minorEastAsia"/>
          <w:color w:val="auto"/>
          <w:kern w:val="2"/>
          <w:sz w:val="24"/>
          <w:szCs w:val="24"/>
          <w:highlight w:val="none"/>
          <w:u w:val="none"/>
          <w:lang w:val="en-US" w:eastAsia="zh-CN" w:bidi="ar-SA"/>
        </w:rPr>
      </w:pPr>
    </w:p>
    <w:p w14:paraId="154D8EC2">
      <w:pPr>
        <w:pStyle w:val="2"/>
        <w:rPr>
          <w:rFonts w:hint="eastAsia" w:asciiTheme="minorEastAsia" w:hAnsiTheme="minorEastAsia" w:eastAsiaTheme="minorEastAsia" w:cstheme="minorEastAsia"/>
          <w:color w:val="auto"/>
          <w:kern w:val="2"/>
          <w:sz w:val="24"/>
          <w:szCs w:val="24"/>
          <w:highlight w:val="none"/>
          <w:u w:val="none"/>
          <w:lang w:val="en-US" w:eastAsia="zh-CN" w:bidi="ar-SA"/>
        </w:rPr>
      </w:pPr>
    </w:p>
    <w:p w14:paraId="3292290E">
      <w:pPr>
        <w:pStyle w:val="4"/>
        <w:rPr>
          <w:rFonts w:hint="eastAsia" w:asciiTheme="minorEastAsia" w:hAnsiTheme="minorEastAsia" w:eastAsiaTheme="minorEastAsia" w:cstheme="minorEastAsia"/>
          <w:color w:val="auto"/>
          <w:kern w:val="2"/>
          <w:sz w:val="24"/>
          <w:szCs w:val="24"/>
          <w:highlight w:val="none"/>
          <w:u w:val="none"/>
          <w:lang w:val="en-US" w:eastAsia="zh-CN" w:bidi="ar-SA"/>
        </w:rPr>
      </w:pPr>
    </w:p>
    <w:p w14:paraId="1FA4D85A">
      <w:pPr>
        <w:rPr>
          <w:rFonts w:hint="eastAsia" w:asciiTheme="minorEastAsia" w:hAnsiTheme="minorEastAsia" w:eastAsiaTheme="minorEastAsia" w:cstheme="minorEastAsia"/>
          <w:color w:val="auto"/>
          <w:kern w:val="2"/>
          <w:sz w:val="24"/>
          <w:szCs w:val="24"/>
          <w:highlight w:val="none"/>
          <w:u w:val="none"/>
          <w:lang w:val="en-US" w:eastAsia="zh-CN" w:bidi="ar-SA"/>
        </w:rPr>
      </w:pPr>
    </w:p>
    <w:p w14:paraId="119C140F">
      <w:pPr>
        <w:pStyle w:val="2"/>
        <w:rPr>
          <w:rFonts w:hint="eastAsia" w:asciiTheme="minorEastAsia" w:hAnsiTheme="minorEastAsia" w:eastAsiaTheme="minorEastAsia" w:cstheme="minorEastAsia"/>
          <w:color w:val="auto"/>
          <w:kern w:val="2"/>
          <w:sz w:val="24"/>
          <w:szCs w:val="24"/>
          <w:highlight w:val="none"/>
          <w:u w:val="none"/>
          <w:lang w:val="en-US" w:eastAsia="zh-CN" w:bidi="ar-SA"/>
        </w:rPr>
      </w:pPr>
    </w:p>
    <w:p w14:paraId="164059A3">
      <w:pPr>
        <w:pStyle w:val="4"/>
        <w:rPr>
          <w:rFonts w:hint="eastAsia" w:asciiTheme="minorEastAsia" w:hAnsiTheme="minorEastAsia" w:eastAsiaTheme="minorEastAsia" w:cstheme="minorEastAsia"/>
          <w:color w:val="auto"/>
          <w:kern w:val="2"/>
          <w:sz w:val="24"/>
          <w:szCs w:val="24"/>
          <w:highlight w:val="none"/>
          <w:u w:val="none"/>
          <w:lang w:val="en-US" w:eastAsia="zh-CN" w:bidi="ar-SA"/>
        </w:rPr>
      </w:pPr>
    </w:p>
    <w:p w14:paraId="3466A422">
      <w:pPr>
        <w:rPr>
          <w:rFonts w:hint="eastAsia" w:asciiTheme="minorEastAsia" w:hAnsiTheme="minorEastAsia" w:eastAsiaTheme="minorEastAsia" w:cstheme="minorEastAsia"/>
          <w:color w:val="auto"/>
          <w:kern w:val="2"/>
          <w:sz w:val="24"/>
          <w:szCs w:val="24"/>
          <w:highlight w:val="none"/>
          <w:u w:val="none"/>
          <w:lang w:val="en-US" w:eastAsia="zh-CN" w:bidi="ar-SA"/>
        </w:rPr>
      </w:pPr>
    </w:p>
    <w:p w14:paraId="1E85ED3A">
      <w:pPr>
        <w:pStyle w:val="2"/>
        <w:rPr>
          <w:rFonts w:hint="eastAsia" w:asciiTheme="minorEastAsia" w:hAnsiTheme="minorEastAsia" w:eastAsiaTheme="minorEastAsia" w:cstheme="minorEastAsia"/>
          <w:color w:val="auto"/>
          <w:kern w:val="2"/>
          <w:sz w:val="24"/>
          <w:szCs w:val="24"/>
          <w:highlight w:val="none"/>
          <w:u w:val="none"/>
          <w:lang w:val="en-US" w:eastAsia="zh-CN" w:bidi="ar-SA"/>
        </w:rPr>
      </w:pPr>
    </w:p>
    <w:p w14:paraId="6E6C1395">
      <w:pPr>
        <w:pStyle w:val="4"/>
        <w:rPr>
          <w:rFonts w:hint="eastAsia" w:asciiTheme="minorEastAsia" w:hAnsiTheme="minorEastAsia" w:eastAsiaTheme="minorEastAsia" w:cstheme="minorEastAsia"/>
          <w:color w:val="auto"/>
          <w:kern w:val="2"/>
          <w:sz w:val="24"/>
          <w:szCs w:val="24"/>
          <w:highlight w:val="none"/>
          <w:u w:val="none"/>
          <w:lang w:val="en-US" w:eastAsia="zh-CN" w:bidi="ar-SA"/>
        </w:rPr>
      </w:pPr>
    </w:p>
    <w:p w14:paraId="6EEF09BB">
      <w:pPr>
        <w:rPr>
          <w:rFonts w:hint="eastAsia" w:asciiTheme="minorEastAsia" w:hAnsiTheme="minorEastAsia" w:eastAsiaTheme="minorEastAsia" w:cstheme="minorEastAsia"/>
          <w:color w:val="auto"/>
          <w:kern w:val="2"/>
          <w:sz w:val="24"/>
          <w:szCs w:val="24"/>
          <w:highlight w:val="none"/>
          <w:u w:val="none"/>
          <w:lang w:val="en-US" w:eastAsia="zh-CN" w:bidi="ar-SA"/>
        </w:rPr>
      </w:pPr>
    </w:p>
    <w:p w14:paraId="11AD751B">
      <w:pPr>
        <w:pStyle w:val="2"/>
        <w:rPr>
          <w:rFonts w:hint="eastAsia"/>
          <w:highlight w:val="none"/>
          <w:lang w:val="en-US" w:eastAsia="zh-CN"/>
        </w:rPr>
      </w:pPr>
    </w:p>
    <w:p w14:paraId="5D30F422">
      <w:pPr>
        <w:pStyle w:val="4"/>
        <w:rPr>
          <w:rFonts w:hint="eastAsia"/>
          <w:highlight w:val="none"/>
          <w:lang w:val="en-US" w:eastAsia="zh-CN"/>
        </w:rPr>
      </w:pPr>
    </w:p>
    <w:p w14:paraId="386ECC7C">
      <w:pPr>
        <w:keepNext w:val="0"/>
        <w:keepLines w:val="0"/>
        <w:pageBreakBefore w:val="0"/>
        <w:widowControl w:val="0"/>
        <w:numPr>
          <w:ilvl w:val="0"/>
          <w:numId w:val="0"/>
        </w:numPr>
        <w:kinsoku/>
        <w:wordWrap/>
        <w:overflowPunct/>
        <w:topLinePunct w:val="0"/>
        <w:autoSpaceDE/>
        <w:autoSpaceDN/>
        <w:bidi w:val="0"/>
        <w:adjustRightInd/>
        <w:snapToGrid/>
        <w:spacing w:before="120" w:line="240" w:lineRule="auto"/>
        <w:jc w:val="both"/>
        <w:textAlignment w:val="auto"/>
        <w:rPr>
          <w:rFonts w:hint="default" w:asciiTheme="minorEastAsia" w:hAnsiTheme="minorEastAsia" w:eastAsiaTheme="minorEastAsia" w:cstheme="minorEastAsia"/>
          <w:color w:val="auto"/>
          <w:kern w:val="2"/>
          <w:sz w:val="24"/>
          <w:szCs w:val="24"/>
          <w:highlight w:val="none"/>
          <w:u w:val="none"/>
          <w:lang w:val="en-US" w:eastAsia="zh-CN" w:bidi="ar-SA"/>
        </w:rPr>
      </w:pPr>
      <w:r>
        <w:rPr>
          <w:rFonts w:hint="eastAsia" w:asciiTheme="minorEastAsia" w:hAnsiTheme="minorEastAsia" w:eastAsiaTheme="minorEastAsia" w:cstheme="minorEastAsia"/>
          <w:color w:val="auto"/>
          <w:kern w:val="2"/>
          <w:sz w:val="24"/>
          <w:szCs w:val="24"/>
          <w:highlight w:val="none"/>
          <w:u w:val="none"/>
          <w:lang w:val="en-US" w:eastAsia="zh-CN" w:bidi="ar-SA"/>
        </w:rPr>
        <w:t>2、第六部分需求</w:t>
      </w:r>
    </w:p>
    <w:p w14:paraId="08274022">
      <w:pPr>
        <w:keepNext w:val="0"/>
        <w:keepLines w:val="0"/>
        <w:pageBreakBefore w:val="0"/>
        <w:widowControl w:val="0"/>
        <w:kinsoku/>
        <w:wordWrap/>
        <w:overflowPunct/>
        <w:topLinePunct w:val="0"/>
        <w:autoSpaceDE/>
        <w:autoSpaceDN/>
        <w:bidi w:val="0"/>
        <w:adjustRightInd/>
        <w:snapToGrid/>
        <w:spacing w:before="55"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pacing w:val="-2"/>
          <w:kern w:val="2"/>
          <w:sz w:val="24"/>
          <w:szCs w:val="24"/>
          <w:highlight w:val="none"/>
          <w:lang w:val="en-US" w:eastAsia="zh-CN"/>
        </w:rPr>
        <w:t>2-1、</w:t>
      </w:r>
      <w:r>
        <w:rPr>
          <w:rFonts w:hint="eastAsia" w:asciiTheme="minorEastAsia" w:hAnsiTheme="minorEastAsia" w:eastAsiaTheme="minorEastAsia" w:cstheme="minorEastAsia"/>
          <w:snapToGrid/>
          <w:color w:val="auto"/>
          <w:spacing w:val="-2"/>
          <w:kern w:val="2"/>
          <w:sz w:val="24"/>
          <w:szCs w:val="24"/>
          <w:highlight w:val="none"/>
          <w:lang w:eastAsia="zh-CN"/>
        </w:rPr>
        <w:t>费用说明：</w:t>
      </w:r>
    </w:p>
    <w:p w14:paraId="5C6026A2">
      <w:pPr>
        <w:keepNext w:val="0"/>
        <w:keepLines w:val="0"/>
        <w:pageBreakBefore w:val="0"/>
        <w:widowControl w:val="0"/>
        <w:kinsoku/>
        <w:wordWrap/>
        <w:overflowPunct/>
        <w:topLinePunct w:val="0"/>
        <w:autoSpaceDE/>
        <w:autoSpaceDN/>
        <w:bidi w:val="0"/>
        <w:adjustRightInd/>
        <w:snapToGrid/>
        <w:spacing w:before="51" w:line="240" w:lineRule="auto"/>
        <w:ind w:left="73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pacing w:val="-2"/>
          <w:kern w:val="2"/>
          <w:sz w:val="24"/>
          <w:szCs w:val="24"/>
          <w:highlight w:val="none"/>
          <w:lang w:eastAsia="zh-CN"/>
        </w:rPr>
        <w:t>招标控制价合计：</w:t>
      </w:r>
      <w:r>
        <w:rPr>
          <w:rFonts w:hint="eastAsia" w:asciiTheme="minorEastAsia" w:hAnsiTheme="minorEastAsia" w:eastAsiaTheme="minorEastAsia" w:cstheme="minorEastAsia"/>
          <w:snapToGrid/>
          <w:color w:val="auto"/>
          <w:spacing w:val="-2"/>
          <w:kern w:val="2"/>
          <w:sz w:val="24"/>
          <w:szCs w:val="24"/>
          <w:highlight w:val="none"/>
          <w:u w:val="single" w:color="auto"/>
          <w:lang w:val="en-US" w:eastAsia="zh-CN"/>
        </w:rPr>
        <w:t xml:space="preserve"> 135541.96</w:t>
      </w:r>
      <w:r>
        <w:rPr>
          <w:rFonts w:hint="eastAsia" w:asciiTheme="minorEastAsia" w:hAnsiTheme="minorEastAsia" w:eastAsiaTheme="minorEastAsia" w:cstheme="minorEastAsia"/>
          <w:snapToGrid/>
          <w:color w:val="auto"/>
          <w:spacing w:val="-34"/>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2"/>
          <w:kern w:val="2"/>
          <w:sz w:val="24"/>
          <w:szCs w:val="24"/>
          <w:highlight w:val="none"/>
          <w:lang w:eastAsia="zh-CN"/>
        </w:rPr>
        <w:t>元；</w:t>
      </w:r>
    </w:p>
    <w:p w14:paraId="151B1EE5">
      <w:pPr>
        <w:keepNext w:val="0"/>
        <w:keepLines w:val="0"/>
        <w:pageBreakBefore w:val="0"/>
        <w:widowControl w:val="0"/>
        <w:kinsoku/>
        <w:wordWrap/>
        <w:overflowPunct/>
        <w:topLinePunct w:val="0"/>
        <w:autoSpaceDE/>
        <w:autoSpaceDN/>
        <w:bidi w:val="0"/>
        <w:adjustRightInd/>
        <w:snapToGrid/>
        <w:spacing w:before="29" w:line="240" w:lineRule="auto"/>
        <w:ind w:left="73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pacing w:val="-4"/>
          <w:kern w:val="2"/>
          <w:sz w:val="24"/>
          <w:szCs w:val="24"/>
          <w:highlight w:val="none"/>
          <w:lang w:eastAsia="zh-CN"/>
        </w:rPr>
        <w:t>其中：</w:t>
      </w:r>
    </w:p>
    <w:p w14:paraId="190BAB30">
      <w:pPr>
        <w:keepNext w:val="0"/>
        <w:keepLines w:val="0"/>
        <w:pageBreakBefore w:val="0"/>
        <w:widowControl w:val="0"/>
        <w:kinsoku/>
        <w:wordWrap/>
        <w:overflowPunct/>
        <w:topLinePunct w:val="0"/>
        <w:autoSpaceDE/>
        <w:autoSpaceDN/>
        <w:bidi w:val="0"/>
        <w:adjustRightInd/>
        <w:snapToGrid/>
        <w:spacing w:before="25" w:line="240" w:lineRule="auto"/>
        <w:ind w:left="732"/>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pacing w:val="-1"/>
          <w:kern w:val="2"/>
          <w:sz w:val="24"/>
          <w:szCs w:val="24"/>
          <w:highlight w:val="none"/>
          <w:lang w:eastAsia="zh-CN"/>
        </w:rPr>
        <w:t>分部分项工程合价为：</w:t>
      </w:r>
      <w:r>
        <w:rPr>
          <w:rFonts w:hint="eastAsia" w:asciiTheme="minorEastAsia" w:hAnsiTheme="minorEastAsia" w:eastAsiaTheme="minorEastAsia" w:cstheme="minorEastAsia"/>
          <w:snapToGrid/>
          <w:color w:val="auto"/>
          <w:spacing w:val="-1"/>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1"/>
          <w:kern w:val="2"/>
          <w:sz w:val="24"/>
          <w:szCs w:val="24"/>
          <w:highlight w:val="none"/>
          <w:u w:val="single" w:color="auto"/>
          <w:lang w:val="en-US" w:eastAsia="zh-CN"/>
        </w:rPr>
        <w:t xml:space="preserve">121389.91 </w:t>
      </w:r>
      <w:r>
        <w:rPr>
          <w:rFonts w:hint="eastAsia" w:asciiTheme="minorEastAsia" w:hAnsiTheme="minorEastAsia" w:eastAsiaTheme="minorEastAsia" w:cstheme="minorEastAsia"/>
          <w:snapToGrid/>
          <w:color w:val="auto"/>
          <w:spacing w:val="-1"/>
          <w:kern w:val="2"/>
          <w:sz w:val="24"/>
          <w:szCs w:val="24"/>
          <w:highlight w:val="none"/>
          <w:lang w:eastAsia="zh-CN"/>
        </w:rPr>
        <w:t>元；</w:t>
      </w:r>
    </w:p>
    <w:p w14:paraId="6C00DE46">
      <w:pPr>
        <w:keepNext w:val="0"/>
        <w:keepLines w:val="0"/>
        <w:pageBreakBefore w:val="0"/>
        <w:widowControl w:val="0"/>
        <w:kinsoku/>
        <w:wordWrap/>
        <w:overflowPunct/>
        <w:topLinePunct w:val="0"/>
        <w:autoSpaceDE/>
        <w:autoSpaceDN/>
        <w:bidi w:val="0"/>
        <w:adjustRightInd/>
        <w:snapToGrid/>
        <w:spacing w:before="29" w:line="240" w:lineRule="auto"/>
        <w:ind w:left="729"/>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pacing w:val="-2"/>
          <w:kern w:val="2"/>
          <w:sz w:val="24"/>
          <w:szCs w:val="24"/>
          <w:highlight w:val="none"/>
          <w:lang w:eastAsia="zh-CN"/>
        </w:rPr>
        <w:t>措施项目：</w:t>
      </w:r>
      <w:r>
        <w:rPr>
          <w:rFonts w:hint="eastAsia" w:asciiTheme="minorEastAsia" w:hAnsiTheme="minorEastAsia" w:eastAsiaTheme="minorEastAsia" w:cstheme="minorEastAsia"/>
          <w:snapToGrid/>
          <w:color w:val="auto"/>
          <w:spacing w:val="-2"/>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2"/>
          <w:kern w:val="2"/>
          <w:sz w:val="24"/>
          <w:szCs w:val="24"/>
          <w:highlight w:val="none"/>
          <w:u w:val="single" w:color="auto"/>
          <w:lang w:val="en-US" w:eastAsia="zh-CN"/>
        </w:rPr>
        <w:t>2960.51</w:t>
      </w:r>
      <w:r>
        <w:rPr>
          <w:rFonts w:hint="eastAsia" w:asciiTheme="minorEastAsia" w:hAnsiTheme="minorEastAsia" w:eastAsiaTheme="minorEastAsia" w:cstheme="minorEastAsia"/>
          <w:snapToGrid/>
          <w:color w:val="auto"/>
          <w:spacing w:val="21"/>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2"/>
          <w:kern w:val="2"/>
          <w:sz w:val="24"/>
          <w:szCs w:val="24"/>
          <w:highlight w:val="none"/>
          <w:lang w:eastAsia="zh-CN"/>
        </w:rPr>
        <w:t>元；</w:t>
      </w:r>
    </w:p>
    <w:p w14:paraId="566A52A9">
      <w:pPr>
        <w:keepNext w:val="0"/>
        <w:keepLines w:val="0"/>
        <w:pageBreakBefore w:val="0"/>
        <w:widowControl w:val="0"/>
        <w:kinsoku/>
        <w:wordWrap/>
        <w:overflowPunct/>
        <w:topLinePunct w:val="0"/>
        <w:autoSpaceDE/>
        <w:autoSpaceDN/>
        <w:bidi w:val="0"/>
        <w:adjustRightInd/>
        <w:snapToGrid/>
        <w:spacing w:before="24" w:line="240" w:lineRule="auto"/>
        <w:ind w:left="73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pacing w:val="-2"/>
          <w:kern w:val="2"/>
          <w:sz w:val="24"/>
          <w:szCs w:val="24"/>
          <w:highlight w:val="none"/>
          <w:lang w:eastAsia="zh-CN"/>
        </w:rPr>
        <w:t>其他项目合价为：</w:t>
      </w:r>
      <w:r>
        <w:rPr>
          <w:rFonts w:hint="eastAsia" w:asciiTheme="minorEastAsia" w:hAnsiTheme="minorEastAsia" w:eastAsiaTheme="minorEastAsia" w:cstheme="minorEastAsia"/>
          <w:snapToGrid/>
          <w:color w:val="auto"/>
          <w:spacing w:val="-2"/>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2"/>
          <w:kern w:val="2"/>
          <w:sz w:val="24"/>
          <w:szCs w:val="24"/>
          <w:highlight w:val="none"/>
          <w:u w:val="single" w:color="auto"/>
          <w:lang w:val="en-US" w:eastAsia="zh-CN"/>
        </w:rPr>
        <w:t xml:space="preserve">   / </w:t>
      </w:r>
      <w:r>
        <w:rPr>
          <w:rFonts w:hint="eastAsia" w:asciiTheme="minorEastAsia" w:hAnsiTheme="minorEastAsia" w:eastAsiaTheme="minorEastAsia" w:cstheme="minorEastAsia"/>
          <w:snapToGrid/>
          <w:color w:val="auto"/>
          <w:spacing w:val="-2"/>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90"/>
          <w:kern w:val="2"/>
          <w:sz w:val="24"/>
          <w:szCs w:val="24"/>
          <w:highlight w:val="none"/>
          <w:lang w:eastAsia="zh-CN"/>
        </w:rPr>
        <w:t xml:space="preserve"> </w:t>
      </w:r>
      <w:r>
        <w:rPr>
          <w:rFonts w:hint="eastAsia" w:asciiTheme="minorEastAsia" w:hAnsiTheme="minorEastAsia" w:eastAsiaTheme="minorEastAsia" w:cstheme="minorEastAsia"/>
          <w:snapToGrid/>
          <w:color w:val="auto"/>
          <w:spacing w:val="-2"/>
          <w:kern w:val="2"/>
          <w:sz w:val="24"/>
          <w:szCs w:val="24"/>
          <w:highlight w:val="none"/>
          <w:lang w:eastAsia="zh-CN"/>
        </w:rPr>
        <w:t>元；</w:t>
      </w:r>
    </w:p>
    <w:p w14:paraId="01FA3667">
      <w:pPr>
        <w:keepNext w:val="0"/>
        <w:keepLines w:val="0"/>
        <w:pageBreakBefore w:val="0"/>
        <w:widowControl w:val="0"/>
        <w:kinsoku/>
        <w:wordWrap/>
        <w:overflowPunct/>
        <w:topLinePunct w:val="0"/>
        <w:autoSpaceDE/>
        <w:autoSpaceDN/>
        <w:bidi w:val="0"/>
        <w:adjustRightInd/>
        <w:snapToGrid/>
        <w:spacing w:before="28" w:line="240" w:lineRule="auto"/>
        <w:ind w:left="728"/>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pacing w:val="-2"/>
          <w:kern w:val="2"/>
          <w:sz w:val="24"/>
          <w:szCs w:val="24"/>
          <w:highlight w:val="none"/>
          <w:lang w:eastAsia="zh-CN"/>
        </w:rPr>
        <w:t>税金合价为：</w:t>
      </w:r>
      <w:r>
        <w:rPr>
          <w:rFonts w:hint="eastAsia" w:asciiTheme="minorEastAsia" w:hAnsiTheme="minorEastAsia" w:eastAsiaTheme="minorEastAsia" w:cstheme="minorEastAsia"/>
          <w:snapToGrid/>
          <w:color w:val="auto"/>
          <w:spacing w:val="-2"/>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2"/>
          <w:kern w:val="2"/>
          <w:sz w:val="24"/>
          <w:szCs w:val="24"/>
          <w:highlight w:val="none"/>
          <w:u w:val="single" w:color="auto"/>
          <w:lang w:val="en-US" w:eastAsia="zh-CN"/>
        </w:rPr>
        <w:t>11191.54</w:t>
      </w:r>
      <w:r>
        <w:rPr>
          <w:rFonts w:hint="eastAsia" w:asciiTheme="minorEastAsia" w:hAnsiTheme="minorEastAsia" w:eastAsiaTheme="minorEastAsia" w:cstheme="minorEastAsia"/>
          <w:snapToGrid/>
          <w:color w:val="auto"/>
          <w:spacing w:val="26"/>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2"/>
          <w:kern w:val="2"/>
          <w:sz w:val="24"/>
          <w:szCs w:val="24"/>
          <w:highlight w:val="none"/>
          <w:lang w:eastAsia="zh-CN"/>
        </w:rPr>
        <w:t>元；</w:t>
      </w:r>
    </w:p>
    <w:p w14:paraId="00F960D1">
      <w:pPr>
        <w:keepNext w:val="0"/>
        <w:keepLines w:val="0"/>
        <w:pageBreakBefore w:val="0"/>
        <w:widowControl w:val="0"/>
        <w:kinsoku/>
        <w:wordWrap/>
        <w:overflowPunct/>
        <w:topLinePunct w:val="0"/>
        <w:autoSpaceDE/>
        <w:autoSpaceDN/>
        <w:bidi w:val="0"/>
        <w:adjustRightInd/>
        <w:snapToGrid/>
        <w:spacing w:before="29" w:line="240" w:lineRule="auto"/>
        <w:ind w:left="73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pacing w:val="-3"/>
          <w:kern w:val="2"/>
          <w:sz w:val="24"/>
          <w:szCs w:val="24"/>
          <w:highlight w:val="none"/>
          <w:lang w:eastAsia="zh-CN"/>
        </w:rPr>
        <w:t>其他说明：</w:t>
      </w:r>
    </w:p>
    <w:p w14:paraId="0E64C03E">
      <w:pPr>
        <w:keepNext w:val="0"/>
        <w:keepLines w:val="0"/>
        <w:pageBreakBefore w:val="0"/>
        <w:widowControl w:val="0"/>
        <w:kinsoku/>
        <w:wordWrap/>
        <w:overflowPunct/>
        <w:topLinePunct w:val="0"/>
        <w:autoSpaceDE/>
        <w:autoSpaceDN/>
        <w:bidi w:val="0"/>
        <w:adjustRightInd/>
        <w:snapToGrid/>
        <w:spacing w:before="25" w:line="240" w:lineRule="auto"/>
        <w:ind w:left="73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pacing w:val="-1"/>
          <w:kern w:val="2"/>
          <w:sz w:val="24"/>
          <w:szCs w:val="24"/>
          <w:highlight w:val="none"/>
          <w:lang w:eastAsia="zh-CN"/>
        </w:rPr>
        <w:t>规费(不含税)合计金额：</w:t>
      </w:r>
      <w:r>
        <w:rPr>
          <w:rFonts w:hint="eastAsia" w:asciiTheme="minorEastAsia" w:hAnsiTheme="minorEastAsia" w:eastAsiaTheme="minorEastAsia" w:cstheme="minorEastAsia"/>
          <w:snapToGrid/>
          <w:color w:val="auto"/>
          <w:spacing w:val="-1"/>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1"/>
          <w:kern w:val="2"/>
          <w:sz w:val="24"/>
          <w:szCs w:val="24"/>
          <w:highlight w:val="none"/>
          <w:u w:val="single" w:color="auto"/>
          <w:lang w:val="en-US" w:eastAsia="zh-CN"/>
        </w:rPr>
        <w:t>5056.81</w:t>
      </w:r>
      <w:r>
        <w:rPr>
          <w:rFonts w:hint="eastAsia" w:asciiTheme="minorEastAsia" w:hAnsiTheme="minorEastAsia" w:eastAsiaTheme="minorEastAsia" w:cstheme="minorEastAsia"/>
          <w:snapToGrid/>
          <w:color w:val="auto"/>
          <w:spacing w:val="-1"/>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107"/>
          <w:kern w:val="2"/>
          <w:sz w:val="24"/>
          <w:szCs w:val="24"/>
          <w:highlight w:val="none"/>
          <w:lang w:eastAsia="zh-CN"/>
        </w:rPr>
        <w:t xml:space="preserve"> </w:t>
      </w:r>
      <w:r>
        <w:rPr>
          <w:rFonts w:hint="eastAsia" w:asciiTheme="minorEastAsia" w:hAnsiTheme="minorEastAsia" w:eastAsiaTheme="minorEastAsia" w:cstheme="minorEastAsia"/>
          <w:snapToGrid/>
          <w:color w:val="auto"/>
          <w:spacing w:val="-1"/>
          <w:kern w:val="2"/>
          <w:sz w:val="24"/>
          <w:szCs w:val="24"/>
          <w:highlight w:val="none"/>
          <w:lang w:eastAsia="zh-CN"/>
        </w:rPr>
        <w:t>元；</w:t>
      </w:r>
    </w:p>
    <w:p w14:paraId="189AD9D8">
      <w:pPr>
        <w:keepNext w:val="0"/>
        <w:keepLines w:val="0"/>
        <w:pageBreakBefore w:val="0"/>
        <w:widowControl w:val="0"/>
        <w:kinsoku/>
        <w:wordWrap/>
        <w:overflowPunct/>
        <w:topLinePunct w:val="0"/>
        <w:autoSpaceDE/>
        <w:autoSpaceDN/>
        <w:bidi w:val="0"/>
        <w:adjustRightInd/>
        <w:snapToGrid/>
        <w:spacing w:before="27" w:line="240" w:lineRule="auto"/>
        <w:ind w:left="73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pacing w:val="-1"/>
          <w:kern w:val="2"/>
          <w:sz w:val="24"/>
          <w:szCs w:val="24"/>
          <w:highlight w:val="none"/>
          <w:lang w:eastAsia="zh-CN"/>
        </w:rPr>
        <w:t>专业工程暂估价（含税）合计金额：</w:t>
      </w:r>
      <w:r>
        <w:rPr>
          <w:rFonts w:hint="eastAsia" w:asciiTheme="minorEastAsia" w:hAnsiTheme="minorEastAsia" w:eastAsiaTheme="minorEastAsia" w:cstheme="minorEastAsia"/>
          <w:snapToGrid/>
          <w:color w:val="auto"/>
          <w:spacing w:val="-1"/>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1"/>
          <w:kern w:val="2"/>
          <w:sz w:val="24"/>
          <w:szCs w:val="24"/>
          <w:highlight w:val="none"/>
          <w:u w:val="single" w:color="auto"/>
          <w:lang w:val="en-US" w:eastAsia="zh-CN"/>
        </w:rPr>
        <w:t xml:space="preserve">  / </w:t>
      </w:r>
      <w:r>
        <w:rPr>
          <w:rFonts w:hint="eastAsia" w:asciiTheme="minorEastAsia" w:hAnsiTheme="minorEastAsia" w:eastAsiaTheme="minorEastAsia" w:cstheme="minorEastAsia"/>
          <w:snapToGrid/>
          <w:color w:val="auto"/>
          <w:spacing w:val="-1"/>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1"/>
          <w:kern w:val="2"/>
          <w:sz w:val="24"/>
          <w:szCs w:val="24"/>
          <w:highlight w:val="none"/>
          <w:lang w:eastAsia="zh-CN"/>
        </w:rPr>
        <w:t>元；</w:t>
      </w:r>
    </w:p>
    <w:p w14:paraId="32B2B343">
      <w:pPr>
        <w:keepNext w:val="0"/>
        <w:keepLines w:val="0"/>
        <w:pageBreakBefore w:val="0"/>
        <w:widowControl w:val="0"/>
        <w:kinsoku/>
        <w:wordWrap/>
        <w:overflowPunct/>
        <w:topLinePunct w:val="0"/>
        <w:autoSpaceDE/>
        <w:autoSpaceDN/>
        <w:bidi w:val="0"/>
        <w:adjustRightInd/>
        <w:snapToGrid/>
        <w:spacing w:before="29" w:line="240" w:lineRule="auto"/>
        <w:ind w:left="729"/>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材料和工程设备暂估价（含税）合计金额：</w:t>
      </w:r>
      <w:r>
        <w:rPr>
          <w:rFonts w:hint="eastAsia" w:asciiTheme="minorEastAsia" w:hAnsiTheme="minorEastAsia" w:eastAsiaTheme="minorEastAsia" w:cstheme="minorEastAsia"/>
          <w:snapToGrid/>
          <w:color w:val="auto"/>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kern w:val="2"/>
          <w:sz w:val="24"/>
          <w:szCs w:val="24"/>
          <w:highlight w:val="none"/>
          <w:u w:val="single" w:color="auto"/>
          <w:lang w:val="en-US" w:eastAsia="zh-CN"/>
        </w:rPr>
        <w:t xml:space="preserve">  /  </w:t>
      </w:r>
      <w:r>
        <w:rPr>
          <w:rFonts w:hint="eastAsia" w:asciiTheme="minorEastAsia" w:hAnsiTheme="minorEastAsia" w:eastAsiaTheme="minorEastAsia" w:cstheme="minorEastAsia"/>
          <w:snapToGrid/>
          <w:color w:val="auto"/>
          <w:spacing w:val="-1"/>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1"/>
          <w:kern w:val="2"/>
          <w:sz w:val="24"/>
          <w:szCs w:val="24"/>
          <w:highlight w:val="none"/>
          <w:lang w:eastAsia="zh-CN"/>
        </w:rPr>
        <w:t>元；</w:t>
      </w:r>
    </w:p>
    <w:p w14:paraId="587F3141">
      <w:pPr>
        <w:keepNext w:val="0"/>
        <w:keepLines w:val="0"/>
        <w:pageBreakBefore w:val="0"/>
        <w:widowControl w:val="0"/>
        <w:kinsoku/>
        <w:wordWrap/>
        <w:overflowPunct/>
        <w:topLinePunct w:val="0"/>
        <w:autoSpaceDE/>
        <w:autoSpaceDN/>
        <w:bidi w:val="0"/>
        <w:adjustRightInd/>
        <w:snapToGrid/>
        <w:spacing w:before="29" w:line="240" w:lineRule="auto"/>
        <w:ind w:left="737"/>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暂列金（不含计日工</w:t>
      </w:r>
      <w:r>
        <w:rPr>
          <w:rFonts w:hint="eastAsia" w:asciiTheme="minorEastAsia" w:hAnsiTheme="minorEastAsia" w:eastAsiaTheme="minorEastAsia" w:cstheme="minorEastAsia"/>
          <w:snapToGrid/>
          <w:color w:val="auto"/>
          <w:spacing w:val="-15"/>
          <w:kern w:val="2"/>
          <w:sz w:val="24"/>
          <w:szCs w:val="24"/>
          <w:highlight w:val="none"/>
          <w:lang w:eastAsia="zh-CN"/>
        </w:rPr>
        <w:t>）（</w:t>
      </w:r>
      <w:r>
        <w:rPr>
          <w:rFonts w:hint="eastAsia" w:asciiTheme="minorEastAsia" w:hAnsiTheme="minorEastAsia" w:eastAsiaTheme="minorEastAsia" w:cstheme="minorEastAsia"/>
          <w:snapToGrid/>
          <w:color w:val="auto"/>
          <w:kern w:val="2"/>
          <w:sz w:val="24"/>
          <w:szCs w:val="24"/>
          <w:highlight w:val="none"/>
          <w:lang w:eastAsia="zh-CN"/>
        </w:rPr>
        <w:t>含税）合计金额：</w:t>
      </w:r>
      <w:r>
        <w:rPr>
          <w:rFonts w:hint="eastAsia" w:asciiTheme="minorEastAsia" w:hAnsiTheme="minorEastAsia" w:eastAsiaTheme="minorEastAsia" w:cstheme="minorEastAsia"/>
          <w:snapToGrid/>
          <w:color w:val="auto"/>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kern w:val="2"/>
          <w:sz w:val="24"/>
          <w:szCs w:val="24"/>
          <w:highlight w:val="none"/>
          <w:u w:val="single" w:color="auto"/>
          <w:lang w:val="en-US" w:eastAsia="zh-CN"/>
        </w:rPr>
        <w:t xml:space="preserve">/ </w:t>
      </w:r>
      <w:r>
        <w:rPr>
          <w:rFonts w:hint="eastAsia" w:asciiTheme="minorEastAsia" w:hAnsiTheme="minorEastAsia" w:eastAsiaTheme="minorEastAsia" w:cstheme="minorEastAsia"/>
          <w:snapToGrid/>
          <w:color w:val="auto"/>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108"/>
          <w:kern w:val="2"/>
          <w:sz w:val="24"/>
          <w:szCs w:val="24"/>
          <w:highlight w:val="none"/>
          <w:lang w:eastAsia="zh-CN"/>
        </w:rPr>
        <w:t xml:space="preserve"> </w:t>
      </w:r>
      <w:r>
        <w:rPr>
          <w:rFonts w:hint="eastAsia" w:asciiTheme="minorEastAsia" w:hAnsiTheme="minorEastAsia" w:eastAsiaTheme="minorEastAsia" w:cstheme="minorEastAsia"/>
          <w:snapToGrid/>
          <w:color w:val="auto"/>
          <w:kern w:val="2"/>
          <w:sz w:val="24"/>
          <w:szCs w:val="24"/>
          <w:highlight w:val="none"/>
          <w:lang w:eastAsia="zh-CN"/>
        </w:rPr>
        <w:t>元；</w:t>
      </w:r>
    </w:p>
    <w:p w14:paraId="3D0F52C3">
      <w:pPr>
        <w:keepNext w:val="0"/>
        <w:keepLines w:val="0"/>
        <w:pageBreakBefore w:val="0"/>
        <w:widowControl w:val="0"/>
        <w:kinsoku/>
        <w:wordWrap/>
        <w:overflowPunct/>
        <w:topLinePunct w:val="0"/>
        <w:autoSpaceDE/>
        <w:autoSpaceDN/>
        <w:bidi w:val="0"/>
        <w:adjustRightInd/>
        <w:snapToGrid/>
        <w:spacing w:before="25" w:line="240" w:lineRule="auto"/>
        <w:ind w:left="734"/>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pacing w:val="-1"/>
          <w:kern w:val="2"/>
          <w:sz w:val="24"/>
          <w:szCs w:val="24"/>
          <w:highlight w:val="none"/>
          <w:lang w:eastAsia="zh-CN"/>
        </w:rPr>
        <w:t>安全文明施工费（含税）合计金额：</w:t>
      </w:r>
      <w:r>
        <w:rPr>
          <w:rFonts w:hint="eastAsia" w:asciiTheme="minorEastAsia" w:hAnsiTheme="minorEastAsia" w:eastAsiaTheme="minorEastAsia" w:cstheme="minorEastAsia"/>
          <w:snapToGrid/>
          <w:color w:val="auto"/>
          <w:spacing w:val="-1"/>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1"/>
          <w:kern w:val="2"/>
          <w:sz w:val="24"/>
          <w:szCs w:val="24"/>
          <w:highlight w:val="none"/>
          <w:u w:val="single" w:color="auto"/>
          <w:lang w:val="en-US" w:eastAsia="zh-CN"/>
        </w:rPr>
        <w:t>3001.1</w:t>
      </w:r>
      <w:r>
        <w:rPr>
          <w:rFonts w:hint="eastAsia" w:asciiTheme="minorEastAsia" w:hAnsiTheme="minorEastAsia" w:eastAsiaTheme="minorEastAsia" w:cstheme="minorEastAsia"/>
          <w:snapToGrid/>
          <w:color w:val="auto"/>
          <w:spacing w:val="-1"/>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1"/>
          <w:kern w:val="2"/>
          <w:sz w:val="24"/>
          <w:szCs w:val="24"/>
          <w:highlight w:val="none"/>
          <w:lang w:eastAsia="zh-CN"/>
        </w:rPr>
        <w:t>元；</w:t>
      </w:r>
    </w:p>
    <w:p w14:paraId="74DA779E">
      <w:pPr>
        <w:keepNext w:val="0"/>
        <w:keepLines w:val="0"/>
        <w:pageBreakBefore w:val="0"/>
        <w:widowControl w:val="0"/>
        <w:kinsoku/>
        <w:wordWrap/>
        <w:overflowPunct/>
        <w:topLinePunct w:val="0"/>
        <w:autoSpaceDE/>
        <w:autoSpaceDN/>
        <w:bidi w:val="0"/>
        <w:adjustRightInd/>
        <w:snapToGrid/>
        <w:spacing w:before="27" w:line="240" w:lineRule="auto"/>
        <w:ind w:left="728"/>
        <w:jc w:val="both"/>
        <w:textAlignment w:val="auto"/>
        <w:rPr>
          <w:rFonts w:hint="eastAsia" w:asciiTheme="minorEastAsia" w:hAnsiTheme="minorEastAsia" w:eastAsiaTheme="minorEastAsia" w:cstheme="minorEastAsia"/>
          <w:snapToGrid/>
          <w:color w:val="auto"/>
          <w:kern w:val="2"/>
          <w:sz w:val="24"/>
          <w:szCs w:val="24"/>
          <w:highlight w:val="none"/>
          <w:lang w:val="en-US" w:eastAsia="zh-CN"/>
        </w:rPr>
      </w:pPr>
      <w:r>
        <w:rPr>
          <w:rFonts w:hint="eastAsia" w:asciiTheme="minorEastAsia" w:hAnsiTheme="minorEastAsia" w:eastAsiaTheme="minorEastAsia" w:cstheme="minorEastAsia"/>
          <w:snapToGrid/>
          <w:color w:val="auto"/>
          <w:spacing w:val="-1"/>
          <w:kern w:val="2"/>
          <w:sz w:val="24"/>
          <w:szCs w:val="24"/>
          <w:highlight w:val="none"/>
          <w:lang w:eastAsia="zh-CN"/>
        </w:rPr>
        <w:t>赶工费增加（含税）合计金额（如有</w:t>
      </w:r>
      <w:r>
        <w:rPr>
          <w:rFonts w:hint="eastAsia" w:asciiTheme="minorEastAsia" w:hAnsiTheme="minorEastAsia" w:eastAsiaTheme="minorEastAsia" w:cstheme="minorEastAsia"/>
          <w:snapToGrid/>
          <w:color w:val="auto"/>
          <w:spacing w:val="3"/>
          <w:kern w:val="2"/>
          <w:sz w:val="24"/>
          <w:szCs w:val="24"/>
          <w:highlight w:val="none"/>
          <w:lang w:eastAsia="zh-CN"/>
        </w:rPr>
        <w:t>）：</w:t>
      </w:r>
      <w:r>
        <w:rPr>
          <w:rFonts w:hint="eastAsia" w:asciiTheme="minorEastAsia" w:hAnsiTheme="minorEastAsia" w:eastAsiaTheme="minorEastAsia" w:cstheme="minorEastAsia"/>
          <w:snapToGrid/>
          <w:color w:val="auto"/>
          <w:spacing w:val="1"/>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1"/>
          <w:kern w:val="2"/>
          <w:sz w:val="24"/>
          <w:szCs w:val="24"/>
          <w:highlight w:val="none"/>
          <w:u w:val="single" w:color="auto"/>
          <w:lang w:val="en-US" w:eastAsia="zh-CN"/>
        </w:rPr>
        <w:t xml:space="preserve"> /</w:t>
      </w:r>
      <w:r>
        <w:rPr>
          <w:rFonts w:hint="eastAsia" w:asciiTheme="minorEastAsia" w:hAnsiTheme="minorEastAsia" w:eastAsiaTheme="minorEastAsia" w:cstheme="minorEastAsia"/>
          <w:snapToGrid/>
          <w:color w:val="auto"/>
          <w:spacing w:val="-1"/>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104"/>
          <w:kern w:val="2"/>
          <w:sz w:val="24"/>
          <w:szCs w:val="24"/>
          <w:highlight w:val="none"/>
          <w:lang w:eastAsia="zh-CN"/>
        </w:rPr>
        <w:t xml:space="preserve"> </w:t>
      </w:r>
      <w:r>
        <w:rPr>
          <w:rFonts w:hint="eastAsia" w:asciiTheme="minorEastAsia" w:hAnsiTheme="minorEastAsia" w:eastAsiaTheme="minorEastAsia" w:cstheme="minorEastAsia"/>
          <w:snapToGrid/>
          <w:color w:val="auto"/>
          <w:spacing w:val="-1"/>
          <w:kern w:val="2"/>
          <w:sz w:val="24"/>
          <w:szCs w:val="24"/>
          <w:highlight w:val="none"/>
          <w:lang w:eastAsia="zh-CN"/>
        </w:rPr>
        <w:t>元。</w:t>
      </w:r>
    </w:p>
    <w:p w14:paraId="62A1D110">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highlight w:val="none"/>
          <w:lang w:val="en-US" w:eastAsia="zh-CN"/>
        </w:rPr>
      </w:pPr>
      <w:r>
        <w:rPr>
          <w:rFonts w:hint="eastAsia" w:asciiTheme="minorEastAsia" w:hAnsiTheme="minorEastAsia" w:eastAsiaTheme="minorEastAsia" w:cstheme="minorEastAsia"/>
          <w:b w:val="0"/>
          <w:bCs/>
          <w:snapToGrid/>
          <w:color w:val="auto"/>
          <w:kern w:val="2"/>
          <w:sz w:val="24"/>
          <w:szCs w:val="24"/>
          <w:highlight w:val="none"/>
          <w:lang w:val="en-US" w:eastAsia="zh-CN"/>
        </w:rPr>
        <w:t>2-2、其它说明：工程量清单需要加盖造价工程师专用章、单位公章、法人或授权人签字或盖章。</w:t>
      </w:r>
    </w:p>
    <w:p w14:paraId="44CF3895">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b/>
          <w:snapToGrid/>
          <w:color w:val="auto"/>
          <w:kern w:val="2"/>
          <w:sz w:val="24"/>
          <w:szCs w:val="24"/>
          <w:highlight w:val="none"/>
          <w:lang w:eastAsia="zh-CN"/>
        </w:rPr>
      </w:pPr>
      <w:r>
        <w:rPr>
          <w:rFonts w:hint="eastAsia" w:asciiTheme="minorEastAsia" w:hAnsiTheme="minorEastAsia" w:eastAsiaTheme="minorEastAsia" w:cstheme="minorEastAsia"/>
          <w:b/>
          <w:snapToGrid/>
          <w:color w:val="auto"/>
          <w:kern w:val="2"/>
          <w:sz w:val="24"/>
          <w:szCs w:val="24"/>
          <w:highlight w:val="none"/>
          <w:lang w:val="en-US" w:eastAsia="zh-CN"/>
        </w:rPr>
        <w:t>2-3</w:t>
      </w:r>
      <w:r>
        <w:rPr>
          <w:rFonts w:hint="eastAsia" w:asciiTheme="minorEastAsia" w:hAnsiTheme="minorEastAsia" w:eastAsiaTheme="minorEastAsia" w:cstheme="minorEastAsia"/>
          <w:b/>
          <w:snapToGrid/>
          <w:color w:val="auto"/>
          <w:kern w:val="2"/>
          <w:sz w:val="24"/>
          <w:szCs w:val="24"/>
          <w:highlight w:val="none"/>
          <w:lang w:eastAsia="zh-CN"/>
        </w:rPr>
        <w:t>、项目实施</w:t>
      </w:r>
      <w:r>
        <w:rPr>
          <w:rFonts w:hint="eastAsia" w:asciiTheme="minorEastAsia" w:hAnsiTheme="minorEastAsia" w:eastAsiaTheme="minorEastAsia" w:cstheme="minorEastAsia"/>
          <w:b/>
          <w:snapToGrid/>
          <w:color w:val="auto"/>
          <w:kern w:val="2"/>
          <w:sz w:val="24"/>
          <w:szCs w:val="24"/>
          <w:highlight w:val="none"/>
          <w:lang w:val="en-US" w:eastAsia="zh-CN"/>
        </w:rPr>
        <w:t>概况</w:t>
      </w:r>
    </w:p>
    <w:tbl>
      <w:tblPr>
        <w:tblStyle w:val="20"/>
        <w:tblW w:w="9158" w:type="dxa"/>
        <w:tblInd w:w="0" w:type="dxa"/>
        <w:tblLayout w:type="fixed"/>
        <w:tblCellMar>
          <w:top w:w="0" w:type="dxa"/>
          <w:left w:w="108" w:type="dxa"/>
          <w:bottom w:w="0" w:type="dxa"/>
          <w:right w:w="108" w:type="dxa"/>
        </w:tblCellMar>
      </w:tblPr>
      <w:tblGrid>
        <w:gridCol w:w="806"/>
        <w:gridCol w:w="3535"/>
        <w:gridCol w:w="4817"/>
      </w:tblGrid>
      <w:tr w14:paraId="393F9893">
        <w:tblPrEx>
          <w:tblCellMar>
            <w:top w:w="0" w:type="dxa"/>
            <w:left w:w="108" w:type="dxa"/>
            <w:bottom w:w="0" w:type="dxa"/>
            <w:right w:w="108" w:type="dxa"/>
          </w:tblCellMar>
        </w:tblPrEx>
        <w:trPr>
          <w:trHeight w:val="571" w:hRule="atLeast"/>
        </w:trPr>
        <w:tc>
          <w:tcPr>
            <w:tcW w:w="806" w:type="dxa"/>
            <w:tcBorders>
              <w:top w:val="single" w:color="auto" w:sz="4" w:space="0"/>
              <w:left w:val="single" w:color="auto" w:sz="4" w:space="0"/>
              <w:bottom w:val="single" w:color="auto" w:sz="4" w:space="0"/>
              <w:right w:val="single" w:color="auto" w:sz="4" w:space="0"/>
            </w:tcBorders>
            <w:vAlign w:val="center"/>
          </w:tcPr>
          <w:p w14:paraId="45802603">
            <w:pPr>
              <w:keepNext w:val="0"/>
              <w:keepLines w:val="0"/>
              <w:pageBreakBefore w:val="0"/>
              <w:widowControl w:val="0"/>
              <w:kinsoku/>
              <w:wordWrap/>
              <w:overflowPunct/>
              <w:topLinePunct w:val="0"/>
              <w:autoSpaceDE/>
              <w:autoSpaceDN/>
              <w:bidi w:val="0"/>
              <w:adjustRightInd/>
              <w:snapToGrid/>
              <w:spacing w:before="120" w:line="240" w:lineRule="auto"/>
              <w:jc w:val="center"/>
              <w:textAlignment w:val="auto"/>
              <w:rPr>
                <w:rFonts w:hint="eastAsia" w:asciiTheme="minorEastAsia" w:hAnsiTheme="minorEastAsia" w:eastAsiaTheme="minorEastAsia" w:cstheme="minorEastAsia"/>
                <w:b/>
                <w:bCs/>
                <w:snapToGrid/>
                <w:color w:val="auto"/>
                <w:kern w:val="2"/>
                <w:sz w:val="24"/>
                <w:szCs w:val="24"/>
                <w:highlight w:val="none"/>
                <w:lang w:eastAsia="zh-CN"/>
              </w:rPr>
            </w:pPr>
            <w:r>
              <w:rPr>
                <w:rFonts w:hint="eastAsia" w:asciiTheme="minorEastAsia" w:hAnsiTheme="minorEastAsia" w:eastAsiaTheme="minorEastAsia" w:cstheme="minorEastAsia"/>
                <w:b/>
                <w:bCs/>
                <w:snapToGrid/>
                <w:color w:val="auto"/>
                <w:kern w:val="2"/>
                <w:sz w:val="24"/>
                <w:szCs w:val="24"/>
                <w:highlight w:val="none"/>
                <w:lang w:eastAsia="zh-CN"/>
              </w:rPr>
              <w:t>序号</w:t>
            </w:r>
          </w:p>
        </w:tc>
        <w:tc>
          <w:tcPr>
            <w:tcW w:w="3535" w:type="dxa"/>
            <w:tcBorders>
              <w:top w:val="single" w:color="auto" w:sz="4" w:space="0"/>
              <w:left w:val="single" w:color="auto" w:sz="4" w:space="0"/>
              <w:bottom w:val="single" w:color="auto" w:sz="4" w:space="0"/>
              <w:right w:val="single" w:color="auto" w:sz="4" w:space="0"/>
            </w:tcBorders>
            <w:vAlign w:val="center"/>
          </w:tcPr>
          <w:p w14:paraId="18C5D0C9">
            <w:pPr>
              <w:keepNext w:val="0"/>
              <w:keepLines w:val="0"/>
              <w:pageBreakBefore w:val="0"/>
              <w:widowControl w:val="0"/>
              <w:kinsoku/>
              <w:wordWrap/>
              <w:overflowPunct/>
              <w:topLinePunct w:val="0"/>
              <w:autoSpaceDE/>
              <w:autoSpaceDN/>
              <w:bidi w:val="0"/>
              <w:adjustRightInd/>
              <w:snapToGrid/>
              <w:spacing w:before="120" w:line="240" w:lineRule="auto"/>
              <w:jc w:val="center"/>
              <w:textAlignment w:val="auto"/>
              <w:rPr>
                <w:rFonts w:hint="eastAsia" w:asciiTheme="minorEastAsia" w:hAnsiTheme="minorEastAsia" w:eastAsiaTheme="minorEastAsia" w:cstheme="minorEastAsia"/>
                <w:b/>
                <w:bCs/>
                <w:snapToGrid/>
                <w:color w:val="auto"/>
                <w:kern w:val="2"/>
                <w:sz w:val="24"/>
                <w:szCs w:val="24"/>
                <w:highlight w:val="none"/>
                <w:lang w:eastAsia="zh-CN"/>
              </w:rPr>
            </w:pPr>
            <w:r>
              <w:rPr>
                <w:rFonts w:hint="eastAsia" w:asciiTheme="minorEastAsia" w:hAnsiTheme="minorEastAsia" w:eastAsiaTheme="minorEastAsia" w:cstheme="minorEastAsia"/>
                <w:b/>
                <w:bCs/>
                <w:snapToGrid/>
                <w:color w:val="auto"/>
                <w:kern w:val="2"/>
                <w:sz w:val="24"/>
                <w:szCs w:val="24"/>
                <w:highlight w:val="none"/>
                <w:lang w:eastAsia="zh-CN"/>
              </w:rPr>
              <w:t>单位名称</w:t>
            </w:r>
          </w:p>
        </w:tc>
        <w:tc>
          <w:tcPr>
            <w:tcW w:w="4817" w:type="dxa"/>
            <w:tcBorders>
              <w:top w:val="single" w:color="auto" w:sz="4" w:space="0"/>
              <w:left w:val="single" w:color="auto" w:sz="4" w:space="0"/>
              <w:bottom w:val="single" w:color="auto" w:sz="4" w:space="0"/>
              <w:right w:val="single" w:color="auto" w:sz="4" w:space="0"/>
            </w:tcBorders>
          </w:tcPr>
          <w:p w14:paraId="719D4D99">
            <w:pPr>
              <w:keepNext w:val="0"/>
              <w:keepLines w:val="0"/>
              <w:pageBreakBefore w:val="0"/>
              <w:widowControl w:val="0"/>
              <w:kinsoku/>
              <w:wordWrap/>
              <w:overflowPunct/>
              <w:topLinePunct w:val="0"/>
              <w:autoSpaceDE/>
              <w:autoSpaceDN/>
              <w:bidi w:val="0"/>
              <w:adjustRightInd/>
              <w:snapToGrid/>
              <w:spacing w:before="120" w:line="240" w:lineRule="auto"/>
              <w:jc w:val="center"/>
              <w:textAlignment w:val="auto"/>
              <w:rPr>
                <w:rFonts w:hint="eastAsia" w:asciiTheme="minorEastAsia" w:hAnsiTheme="minorEastAsia" w:eastAsiaTheme="minorEastAsia" w:cstheme="minorEastAsia"/>
                <w:b/>
                <w:bCs/>
                <w:snapToGrid/>
                <w:color w:val="auto"/>
                <w:kern w:val="2"/>
                <w:sz w:val="24"/>
                <w:szCs w:val="24"/>
                <w:highlight w:val="none"/>
                <w:lang w:eastAsia="zh-CN"/>
              </w:rPr>
            </w:pPr>
            <w:r>
              <w:rPr>
                <w:rFonts w:hint="eastAsia" w:asciiTheme="minorEastAsia" w:hAnsiTheme="minorEastAsia" w:eastAsiaTheme="minorEastAsia" w:cstheme="minorEastAsia"/>
                <w:b/>
                <w:bCs/>
                <w:snapToGrid/>
                <w:color w:val="auto"/>
                <w:kern w:val="2"/>
                <w:sz w:val="24"/>
                <w:szCs w:val="24"/>
                <w:highlight w:val="none"/>
                <w:lang w:eastAsia="zh-CN"/>
              </w:rPr>
              <w:t>要求完成时间</w:t>
            </w:r>
          </w:p>
        </w:tc>
      </w:tr>
      <w:tr w14:paraId="72167314">
        <w:tblPrEx>
          <w:tblCellMar>
            <w:top w:w="0" w:type="dxa"/>
            <w:left w:w="108" w:type="dxa"/>
            <w:bottom w:w="0" w:type="dxa"/>
            <w:right w:w="108" w:type="dxa"/>
          </w:tblCellMar>
        </w:tblPrEx>
        <w:trPr>
          <w:trHeight w:val="391" w:hRule="atLeast"/>
        </w:trPr>
        <w:tc>
          <w:tcPr>
            <w:tcW w:w="806" w:type="dxa"/>
            <w:tcBorders>
              <w:top w:val="nil"/>
              <w:left w:val="single" w:color="auto" w:sz="4" w:space="0"/>
              <w:bottom w:val="single" w:color="auto" w:sz="4" w:space="0"/>
              <w:right w:val="single" w:color="auto" w:sz="4" w:space="0"/>
            </w:tcBorders>
            <w:vAlign w:val="center"/>
          </w:tcPr>
          <w:p w14:paraId="38D35B95">
            <w:pPr>
              <w:keepNext w:val="0"/>
              <w:keepLines w:val="0"/>
              <w:pageBreakBefore w:val="0"/>
              <w:widowControl w:val="0"/>
              <w:kinsoku/>
              <w:wordWrap/>
              <w:overflowPunct/>
              <w:topLinePunct w:val="0"/>
              <w:autoSpaceDE/>
              <w:autoSpaceDN/>
              <w:bidi w:val="0"/>
              <w:adjustRightInd/>
              <w:snapToGrid/>
              <w:spacing w:before="120" w:line="240" w:lineRule="auto"/>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1</w:t>
            </w:r>
          </w:p>
        </w:tc>
        <w:tc>
          <w:tcPr>
            <w:tcW w:w="3535" w:type="dxa"/>
            <w:tcBorders>
              <w:top w:val="nil"/>
              <w:left w:val="single" w:color="auto" w:sz="4" w:space="0"/>
              <w:bottom w:val="single" w:color="auto" w:sz="4" w:space="0"/>
              <w:right w:val="single" w:color="auto" w:sz="4" w:space="0"/>
            </w:tcBorders>
            <w:vAlign w:val="center"/>
          </w:tcPr>
          <w:p w14:paraId="460B5686">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val="en-US" w:eastAsia="zh-CN"/>
              </w:rPr>
            </w:pPr>
            <w:r>
              <w:rPr>
                <w:rFonts w:hint="eastAsia" w:asciiTheme="minorEastAsia" w:hAnsiTheme="minorEastAsia" w:eastAsiaTheme="minorEastAsia" w:cstheme="minorEastAsia"/>
                <w:snapToGrid/>
                <w:color w:val="auto"/>
                <w:kern w:val="2"/>
                <w:sz w:val="24"/>
                <w:szCs w:val="24"/>
                <w:highlight w:val="none"/>
                <w:lang w:val="en-US" w:eastAsia="zh-CN"/>
              </w:rPr>
              <w:t>密云区</w:t>
            </w:r>
            <w:r>
              <w:rPr>
                <w:rFonts w:hint="eastAsia" w:asciiTheme="minorEastAsia" w:hAnsiTheme="minorEastAsia" w:eastAsiaTheme="minorEastAsia" w:cstheme="minorEastAsia"/>
                <w:b w:val="0"/>
                <w:bCs w:val="0"/>
                <w:snapToGrid/>
                <w:color w:val="auto"/>
                <w:kern w:val="2"/>
                <w:sz w:val="24"/>
                <w:szCs w:val="24"/>
                <w:highlight w:val="none"/>
                <w:lang w:val="en-US" w:eastAsia="zh-CN"/>
              </w:rPr>
              <w:t>政府</w:t>
            </w:r>
            <w:r>
              <w:rPr>
                <w:rFonts w:hint="eastAsia" w:asciiTheme="minorEastAsia" w:hAnsiTheme="minorEastAsia" w:eastAsiaTheme="minorEastAsia" w:cstheme="minorEastAsia"/>
                <w:bCs/>
                <w:color w:val="auto"/>
                <w:sz w:val="24"/>
                <w:szCs w:val="24"/>
                <w:highlight w:val="none"/>
                <w:lang w:val="en-US" w:eastAsia="zh-CN"/>
              </w:rPr>
              <w:t>集中办公区</w:t>
            </w:r>
          </w:p>
        </w:tc>
        <w:tc>
          <w:tcPr>
            <w:tcW w:w="4817" w:type="dxa"/>
            <w:tcBorders>
              <w:top w:val="single" w:color="auto" w:sz="4" w:space="0"/>
              <w:left w:val="single" w:color="auto" w:sz="4" w:space="0"/>
              <w:bottom w:val="single" w:color="auto" w:sz="4" w:space="0"/>
              <w:right w:val="single" w:color="auto" w:sz="4" w:space="0"/>
            </w:tcBorders>
          </w:tcPr>
          <w:p w14:paraId="10A69664">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val="en-US" w:eastAsia="zh-CN"/>
              </w:rPr>
            </w:pPr>
            <w:r>
              <w:rPr>
                <w:rFonts w:hint="eastAsia" w:asciiTheme="minorEastAsia" w:hAnsiTheme="minorEastAsia" w:eastAsiaTheme="minorEastAsia" w:cstheme="minorEastAsia"/>
                <w:snapToGrid/>
                <w:color w:val="auto"/>
                <w:kern w:val="2"/>
                <w:sz w:val="24"/>
                <w:szCs w:val="24"/>
                <w:highlight w:val="none"/>
                <w:lang w:val="en-US" w:eastAsia="zh-CN"/>
              </w:rPr>
              <w:t>自</w:t>
            </w:r>
            <w:r>
              <w:rPr>
                <w:rFonts w:hint="eastAsia" w:asciiTheme="minorEastAsia" w:hAnsiTheme="minorEastAsia" w:eastAsiaTheme="minorEastAsia" w:cstheme="minorEastAsia"/>
                <w:snapToGrid/>
                <w:color w:val="auto"/>
                <w:kern w:val="2"/>
                <w:sz w:val="24"/>
                <w:szCs w:val="24"/>
                <w:highlight w:val="none"/>
                <w:lang w:eastAsia="zh-CN"/>
              </w:rPr>
              <w:t>签定合同</w:t>
            </w:r>
            <w:r>
              <w:rPr>
                <w:rFonts w:hint="eastAsia" w:asciiTheme="minorEastAsia" w:hAnsiTheme="minorEastAsia" w:eastAsiaTheme="minorEastAsia" w:cstheme="minorEastAsia"/>
                <w:snapToGrid/>
                <w:color w:val="auto"/>
                <w:kern w:val="2"/>
                <w:sz w:val="24"/>
                <w:szCs w:val="24"/>
                <w:highlight w:val="none"/>
                <w:lang w:val="en-US" w:eastAsia="zh-CN"/>
              </w:rPr>
              <w:t>之日起90天内完成</w:t>
            </w:r>
          </w:p>
        </w:tc>
      </w:tr>
      <w:tr w14:paraId="706AA971">
        <w:tblPrEx>
          <w:tblCellMar>
            <w:top w:w="0" w:type="dxa"/>
            <w:left w:w="108" w:type="dxa"/>
            <w:bottom w:w="0" w:type="dxa"/>
            <w:right w:w="108" w:type="dxa"/>
          </w:tblCellMar>
        </w:tblPrEx>
        <w:trPr>
          <w:trHeight w:val="579" w:hRule="atLeast"/>
        </w:trPr>
        <w:tc>
          <w:tcPr>
            <w:tcW w:w="806" w:type="dxa"/>
            <w:tcBorders>
              <w:top w:val="single" w:color="auto" w:sz="4" w:space="0"/>
              <w:left w:val="single" w:color="auto" w:sz="4" w:space="0"/>
              <w:bottom w:val="single" w:color="auto" w:sz="4" w:space="0"/>
              <w:right w:val="single" w:color="auto" w:sz="4" w:space="0"/>
            </w:tcBorders>
            <w:vAlign w:val="center"/>
          </w:tcPr>
          <w:p w14:paraId="68174D0C">
            <w:pPr>
              <w:keepNext w:val="0"/>
              <w:keepLines w:val="0"/>
              <w:pageBreakBefore w:val="0"/>
              <w:widowControl w:val="0"/>
              <w:kinsoku/>
              <w:wordWrap/>
              <w:overflowPunct/>
              <w:topLinePunct w:val="0"/>
              <w:autoSpaceDE/>
              <w:autoSpaceDN/>
              <w:bidi w:val="0"/>
              <w:adjustRightInd/>
              <w:snapToGrid/>
              <w:spacing w:before="120" w:line="240" w:lineRule="auto"/>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2</w:t>
            </w:r>
          </w:p>
        </w:tc>
        <w:tc>
          <w:tcPr>
            <w:tcW w:w="3535" w:type="dxa"/>
            <w:tcBorders>
              <w:top w:val="single" w:color="auto" w:sz="4" w:space="0"/>
              <w:left w:val="single" w:color="auto" w:sz="4" w:space="0"/>
              <w:bottom w:val="single" w:color="auto" w:sz="4" w:space="0"/>
              <w:right w:val="single" w:color="auto" w:sz="4" w:space="0"/>
            </w:tcBorders>
            <w:vAlign w:val="center"/>
          </w:tcPr>
          <w:p w14:paraId="6B379B0C">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val="en-US" w:eastAsia="zh-CN"/>
              </w:rPr>
            </w:pPr>
            <w:r>
              <w:rPr>
                <w:rFonts w:hint="eastAsia" w:asciiTheme="minorEastAsia" w:hAnsiTheme="minorEastAsia" w:eastAsiaTheme="minorEastAsia" w:cstheme="minorEastAsia"/>
                <w:snapToGrid/>
                <w:color w:val="auto"/>
                <w:kern w:val="2"/>
                <w:sz w:val="24"/>
                <w:szCs w:val="24"/>
                <w:highlight w:val="none"/>
                <w:lang w:val="en-US" w:eastAsia="zh-CN"/>
              </w:rPr>
              <w:t>密云区政务服务和数据管理局</w:t>
            </w:r>
          </w:p>
        </w:tc>
        <w:tc>
          <w:tcPr>
            <w:tcW w:w="4817" w:type="dxa"/>
            <w:tcBorders>
              <w:top w:val="single" w:color="auto" w:sz="4" w:space="0"/>
              <w:left w:val="single" w:color="auto" w:sz="4" w:space="0"/>
              <w:bottom w:val="single" w:color="auto" w:sz="4" w:space="0"/>
              <w:right w:val="single" w:color="auto" w:sz="4" w:space="0"/>
            </w:tcBorders>
          </w:tcPr>
          <w:p w14:paraId="472F8F95">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rPr>
              <w:t>自</w:t>
            </w:r>
            <w:r>
              <w:rPr>
                <w:rFonts w:hint="eastAsia" w:asciiTheme="minorEastAsia" w:hAnsiTheme="minorEastAsia" w:eastAsiaTheme="minorEastAsia" w:cstheme="minorEastAsia"/>
                <w:snapToGrid/>
                <w:color w:val="auto"/>
                <w:kern w:val="2"/>
                <w:sz w:val="24"/>
                <w:szCs w:val="24"/>
                <w:highlight w:val="none"/>
                <w:lang w:eastAsia="zh-CN"/>
              </w:rPr>
              <w:t>签定合同</w:t>
            </w:r>
            <w:r>
              <w:rPr>
                <w:rFonts w:hint="eastAsia" w:asciiTheme="minorEastAsia" w:hAnsiTheme="minorEastAsia" w:eastAsiaTheme="minorEastAsia" w:cstheme="minorEastAsia"/>
                <w:snapToGrid/>
                <w:color w:val="auto"/>
                <w:kern w:val="2"/>
                <w:sz w:val="24"/>
                <w:szCs w:val="24"/>
                <w:highlight w:val="none"/>
                <w:lang w:val="en-US" w:eastAsia="zh-CN"/>
              </w:rPr>
              <w:t>之日起90天内完成</w:t>
            </w:r>
          </w:p>
        </w:tc>
      </w:tr>
    </w:tbl>
    <w:p w14:paraId="6181C461">
      <w:pPr>
        <w:pStyle w:val="2"/>
        <w:rPr>
          <w:rFonts w:hint="eastAsia"/>
          <w:highlight w:val="none"/>
          <w:lang w:val="en-US" w:eastAsia="zh-CN"/>
        </w:rPr>
      </w:pPr>
    </w:p>
    <w:p w14:paraId="2CDF3BAE">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b/>
          <w:i w:val="0"/>
          <w:snapToGrid/>
          <w:color w:val="auto"/>
          <w:kern w:val="0"/>
          <w:sz w:val="24"/>
          <w:szCs w:val="24"/>
          <w:highlight w:val="none"/>
          <w:u w:val="none"/>
          <w:lang w:val="en-US" w:eastAsia="zh-CN" w:bidi="ar"/>
        </w:rPr>
      </w:pPr>
      <w:r>
        <w:rPr>
          <w:rFonts w:hint="eastAsia"/>
          <w:highlight w:val="none"/>
          <w:lang w:val="en-US" w:eastAsia="zh-CN"/>
        </w:rPr>
        <w:t>2-4、</w:t>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《密云区电子政务外网IPv6升级改造项目-集中办公区网络升级辅助施工部分-工程量清单》</w:t>
      </w:r>
    </w:p>
    <w:p w14:paraId="3C009860">
      <w:pPr>
        <w:pStyle w:val="2"/>
        <w:rPr>
          <w:rFonts w:hint="eastAsia" w:asciiTheme="minorEastAsia" w:hAnsiTheme="minorEastAsia" w:eastAsiaTheme="minorEastAsia" w:cstheme="minorEastAsia"/>
          <w:b/>
          <w:i w:val="0"/>
          <w:snapToGrid/>
          <w:color w:val="auto"/>
          <w:kern w:val="0"/>
          <w:sz w:val="24"/>
          <w:szCs w:val="24"/>
          <w:highlight w:val="none"/>
          <w:u w:val="none"/>
          <w:lang w:val="en-US" w:eastAsia="zh-CN" w:bidi="ar"/>
        </w:rPr>
      </w:pPr>
    </w:p>
    <w:p w14:paraId="025EAE56">
      <w:pPr>
        <w:pStyle w:val="4"/>
        <w:rPr>
          <w:rFonts w:hint="eastAsia" w:asciiTheme="minorEastAsia" w:hAnsiTheme="minorEastAsia" w:eastAsiaTheme="minorEastAsia" w:cstheme="minorEastAsia"/>
          <w:b/>
          <w:i w:val="0"/>
          <w:snapToGrid/>
          <w:color w:val="auto"/>
          <w:kern w:val="0"/>
          <w:sz w:val="24"/>
          <w:szCs w:val="24"/>
          <w:highlight w:val="none"/>
          <w:u w:val="none"/>
          <w:lang w:val="en-US" w:eastAsia="zh-CN" w:bidi="ar"/>
        </w:rPr>
      </w:pPr>
    </w:p>
    <w:p w14:paraId="7B3EAC7D">
      <w:pP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pPr>
    </w:p>
    <w:p w14:paraId="3E803B8E">
      <w:pPr>
        <w:pStyle w:val="2"/>
        <w:rPr>
          <w:rFonts w:hint="eastAsia" w:asciiTheme="minorEastAsia" w:hAnsiTheme="minorEastAsia" w:eastAsiaTheme="minorEastAsia" w:cstheme="minorEastAsia"/>
          <w:b/>
          <w:i w:val="0"/>
          <w:snapToGrid/>
          <w:color w:val="auto"/>
          <w:kern w:val="0"/>
          <w:sz w:val="24"/>
          <w:szCs w:val="24"/>
          <w:highlight w:val="none"/>
          <w:u w:val="none"/>
          <w:lang w:val="en-US" w:eastAsia="zh-CN" w:bidi="ar"/>
        </w:rPr>
      </w:pPr>
    </w:p>
    <w:p w14:paraId="406385E2">
      <w:pPr>
        <w:pStyle w:val="4"/>
        <w:ind w:left="0" w:leftChars="0" w:firstLine="0" w:firstLineChars="0"/>
        <w:rPr>
          <w:rFonts w:hint="eastAsia" w:asciiTheme="minorEastAsia" w:hAnsiTheme="minorEastAsia" w:eastAsiaTheme="minorEastAsia" w:cstheme="minorEastAsia"/>
          <w:b/>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7545" cy="8138160"/>
            <wp:effectExtent l="0" t="0" r="14605" b="15240"/>
            <wp:docPr id="2" name="图片 2" descr="部分盖章 扫描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部分盖章 扫描件_01"/>
                    <pic:cNvPicPr>
                      <a:picLocks noChangeAspect="1"/>
                    </pic:cNvPicPr>
                  </pic:nvPicPr>
                  <pic:blipFill>
                    <a:blip r:embed="rId8"/>
                    <a:stretch>
                      <a:fillRect/>
                    </a:stretch>
                  </pic:blipFill>
                  <pic:spPr>
                    <a:xfrm>
                      <a:off x="0" y="0"/>
                      <a:ext cx="5757545" cy="8138160"/>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7545" cy="8138160"/>
            <wp:effectExtent l="0" t="0" r="14605" b="15240"/>
            <wp:docPr id="1" name="图片 1" descr="部分盖章 扫描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部分盖章 扫描件_02"/>
                    <pic:cNvPicPr>
                      <a:picLocks noChangeAspect="1"/>
                    </pic:cNvPicPr>
                  </pic:nvPicPr>
                  <pic:blipFill>
                    <a:blip r:embed="rId9"/>
                    <a:stretch>
                      <a:fillRect/>
                    </a:stretch>
                  </pic:blipFill>
                  <pic:spPr>
                    <a:xfrm>
                      <a:off x="0" y="0"/>
                      <a:ext cx="5757545" cy="8138160"/>
                    </a:xfrm>
                    <a:prstGeom prst="rect">
                      <a:avLst/>
                    </a:prstGeom>
                  </pic:spPr>
                </pic:pic>
              </a:graphicData>
            </a:graphic>
          </wp:inline>
        </w:drawing>
      </w:r>
    </w:p>
    <w:p w14:paraId="65085646">
      <w:pP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20" name="图片 20" descr="集中办公区网络升级辅助施工部分-工程量清单PDF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集中办公区网络升级辅助施工部分-工程量清单PDF_03"/>
                    <pic:cNvPicPr>
                      <a:picLocks noChangeAspect="1"/>
                    </pic:cNvPicPr>
                  </pic:nvPicPr>
                  <pic:blipFill>
                    <a:blip r:embed="rId10"/>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21" name="图片 21" descr="集中办公区网络升级辅助施工部分-工程量清单PDF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集中办公区网络升级辅助施工部分-工程量清单PDF_04"/>
                    <pic:cNvPicPr>
                      <a:picLocks noChangeAspect="1"/>
                    </pic:cNvPicPr>
                  </pic:nvPicPr>
                  <pic:blipFill>
                    <a:blip r:embed="rId11"/>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8087995" cy="5730875"/>
            <wp:effectExtent l="0" t="0" r="3175" b="8255"/>
            <wp:docPr id="22" name="图片 22" descr="集中办公区网络升级辅助施工部分-工程量清单PDF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集中办公区网络升级辅助施工部分-工程量清单PDF_05"/>
                    <pic:cNvPicPr>
                      <a:picLocks noChangeAspect="1"/>
                    </pic:cNvPicPr>
                  </pic:nvPicPr>
                  <pic:blipFill>
                    <a:blip r:embed="rId12"/>
                    <a:stretch>
                      <a:fillRect/>
                    </a:stretch>
                  </pic:blipFill>
                  <pic:spPr>
                    <a:xfrm rot="16200000">
                      <a:off x="0" y="0"/>
                      <a:ext cx="8087995" cy="573087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23" name="图片 23" descr="集中办公区网络升级辅助施工部分-工程量清单PDF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集中办公区网络升级辅助施工部分-工程量清单PDF_06"/>
                    <pic:cNvPicPr>
                      <a:picLocks noChangeAspect="1"/>
                    </pic:cNvPicPr>
                  </pic:nvPicPr>
                  <pic:blipFill>
                    <a:blip r:embed="rId13"/>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24" name="图片 24" descr="集中办公区网络升级辅助施工部分-工程量清单PDF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集中办公区网络升级辅助施工部分-工程量清单PDF_07"/>
                    <pic:cNvPicPr>
                      <a:picLocks noChangeAspect="1"/>
                    </pic:cNvPicPr>
                  </pic:nvPicPr>
                  <pic:blipFill>
                    <a:blip r:embed="rId14"/>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25" name="图片 25" descr="集中办公区网络升级辅助施工部分-工程量清单PDF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集中办公区网络升级辅助施工部分-工程量清单PDF_08"/>
                    <pic:cNvPicPr>
                      <a:picLocks noChangeAspect="1"/>
                    </pic:cNvPicPr>
                  </pic:nvPicPr>
                  <pic:blipFill>
                    <a:blip r:embed="rId15"/>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26" name="图片 26" descr="集中办公区网络升级辅助施工部分-工程量清单PDF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集中办公区网络升级辅助施工部分-工程量清单PDF_09"/>
                    <pic:cNvPicPr>
                      <a:picLocks noChangeAspect="1"/>
                    </pic:cNvPicPr>
                  </pic:nvPicPr>
                  <pic:blipFill>
                    <a:blip r:embed="rId16"/>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27" name="图片 27" descr="集中办公区网络升级辅助施工部分-工程量清单PDF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集中办公区网络升级辅助施工部分-工程量清单PDF_10"/>
                    <pic:cNvPicPr>
                      <a:picLocks noChangeAspect="1"/>
                    </pic:cNvPicPr>
                  </pic:nvPicPr>
                  <pic:blipFill>
                    <a:blip r:embed="rId17"/>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28" name="图片 28" descr="集中办公区网络升级辅助施工部分-工程量清单PDF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集中办公区网络升级辅助施工部分-工程量清单PDF_11"/>
                    <pic:cNvPicPr>
                      <a:picLocks noChangeAspect="1"/>
                    </pic:cNvPicPr>
                  </pic:nvPicPr>
                  <pic:blipFill>
                    <a:blip r:embed="rId18"/>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29" name="图片 29" descr="集中办公区网络升级辅助施工部分-工程量清单PDF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集中办公区网络升级辅助施工部分-工程量清单PDF_12"/>
                    <pic:cNvPicPr>
                      <a:picLocks noChangeAspect="1"/>
                    </pic:cNvPicPr>
                  </pic:nvPicPr>
                  <pic:blipFill>
                    <a:blip r:embed="rId19"/>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30" name="图片 30" descr="集中办公区网络升级辅助施工部分-工程量清单PDF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集中办公区网络升级辅助施工部分-工程量清单PDF_13"/>
                    <pic:cNvPicPr>
                      <a:picLocks noChangeAspect="1"/>
                    </pic:cNvPicPr>
                  </pic:nvPicPr>
                  <pic:blipFill>
                    <a:blip r:embed="rId20"/>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8317230" cy="5893435"/>
            <wp:effectExtent l="0" t="0" r="12065" b="7620"/>
            <wp:docPr id="31" name="图片 31" descr="集中办公区网络升级辅助施工部分-工程量清单PDF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集中办公区网络升级辅助施工部分-工程量清单PDF_14"/>
                    <pic:cNvPicPr>
                      <a:picLocks noChangeAspect="1"/>
                    </pic:cNvPicPr>
                  </pic:nvPicPr>
                  <pic:blipFill>
                    <a:blip r:embed="rId21"/>
                    <a:stretch>
                      <a:fillRect/>
                    </a:stretch>
                  </pic:blipFill>
                  <pic:spPr>
                    <a:xfrm rot="16200000">
                      <a:off x="0" y="0"/>
                      <a:ext cx="8317230" cy="589343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8336280" cy="5906770"/>
            <wp:effectExtent l="0" t="0" r="17780" b="7620"/>
            <wp:docPr id="35" name="图片 35" descr="集中办公区网络升级辅助施工部分-工程量清单PDF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集中办公区网络升级辅助施工部分-工程量清单PDF_15"/>
                    <pic:cNvPicPr>
                      <a:picLocks noChangeAspect="1"/>
                    </pic:cNvPicPr>
                  </pic:nvPicPr>
                  <pic:blipFill>
                    <a:blip r:embed="rId22"/>
                    <a:stretch>
                      <a:fillRect/>
                    </a:stretch>
                  </pic:blipFill>
                  <pic:spPr>
                    <a:xfrm rot="16200000">
                      <a:off x="0" y="0"/>
                      <a:ext cx="8336280" cy="5906770"/>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8317865" cy="5894070"/>
            <wp:effectExtent l="0" t="0" r="11430" b="6985"/>
            <wp:docPr id="36" name="图片 36" descr="集中办公区网络升级辅助施工部分-工程量清单PDF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集中办公区网络升级辅助施工部分-工程量清单PDF_16"/>
                    <pic:cNvPicPr>
                      <a:picLocks noChangeAspect="1"/>
                    </pic:cNvPicPr>
                  </pic:nvPicPr>
                  <pic:blipFill>
                    <a:blip r:embed="rId23"/>
                    <a:stretch>
                      <a:fillRect/>
                    </a:stretch>
                  </pic:blipFill>
                  <pic:spPr>
                    <a:xfrm rot="16200000">
                      <a:off x="0" y="0"/>
                      <a:ext cx="8317865" cy="5894070"/>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37" name="图片 37" descr="集中办公区网络升级辅助施工部分-工程量清单PDF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集中办公区网络升级辅助施工部分-工程量清单PDF_17"/>
                    <pic:cNvPicPr>
                      <a:picLocks noChangeAspect="1"/>
                    </pic:cNvPicPr>
                  </pic:nvPicPr>
                  <pic:blipFill>
                    <a:blip r:embed="rId24"/>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38" name="图片 38" descr="集中办公区网络升级辅助施工部分-工程量清单PDF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集中办公区网络升级辅助施工部分-工程量清单PDF_18"/>
                    <pic:cNvPicPr>
                      <a:picLocks noChangeAspect="1"/>
                    </pic:cNvPicPr>
                  </pic:nvPicPr>
                  <pic:blipFill>
                    <a:blip r:embed="rId25"/>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39" name="图片 39" descr="集中办公区网络升级辅助施工部分-工程量清单PDF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集中办公区网络升级辅助施工部分-工程量清单PDF_19"/>
                    <pic:cNvPicPr>
                      <a:picLocks noChangeAspect="1"/>
                    </pic:cNvPicPr>
                  </pic:nvPicPr>
                  <pic:blipFill>
                    <a:blip r:embed="rId26"/>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40" name="图片 40" descr="集中办公区网络升级辅助施工部分-工程量清单PDF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集中办公区网络升级辅助施工部分-工程量清单PDF_20"/>
                    <pic:cNvPicPr>
                      <a:picLocks noChangeAspect="1"/>
                    </pic:cNvPicPr>
                  </pic:nvPicPr>
                  <pic:blipFill>
                    <a:blip r:embed="rId27"/>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41" name="图片 41" descr="集中办公区网络升级辅助施工部分-工程量清单PDF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集中办公区网络升级辅助施工部分-工程量清单PDF_21"/>
                    <pic:cNvPicPr>
                      <a:picLocks noChangeAspect="1"/>
                    </pic:cNvPicPr>
                  </pic:nvPicPr>
                  <pic:blipFill>
                    <a:blip r:embed="rId28"/>
                    <a:stretch>
                      <a:fillRect/>
                    </a:stretch>
                  </pic:blipFill>
                  <pic:spPr>
                    <a:xfrm>
                      <a:off x="0" y="0"/>
                      <a:ext cx="5756275" cy="8123555"/>
                    </a:xfrm>
                    <a:prstGeom prst="rect">
                      <a:avLst/>
                    </a:prstGeom>
                  </pic:spPr>
                </pic:pic>
              </a:graphicData>
            </a:graphic>
          </wp:inline>
        </w:drawing>
      </w:r>
    </w:p>
    <w:p w14:paraId="09CC5620">
      <w:pPr>
        <w:pStyle w:val="2"/>
        <w:ind w:left="0" w:leftChars="0" w:firstLine="0" w:firstLineChars="0"/>
        <w:rPr>
          <w:rFonts w:hint="eastAsia"/>
          <w:highlight w:val="none"/>
          <w:lang w:val="en-US" w:eastAsia="zh-CN"/>
        </w:rPr>
      </w:pPr>
      <w:r>
        <w:rPr>
          <w:rFonts w:hint="eastAsia"/>
          <w:highlight w:val="none"/>
          <w:lang w:val="en-US" w:eastAsia="zh-CN"/>
        </w:rPr>
        <w:drawing>
          <wp:inline distT="0" distB="0" distL="114300" distR="114300">
            <wp:extent cx="5756275" cy="8123555"/>
            <wp:effectExtent l="0" t="0" r="15875" b="10795"/>
            <wp:docPr id="17" name="图片 17" descr="集中办公区网络升级辅助施工部分-工程量清单PD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集中办公区网络升级辅助施工部分-工程量清单PDF_01"/>
                    <pic:cNvPicPr>
                      <a:picLocks noChangeAspect="1"/>
                    </pic:cNvPicPr>
                  </pic:nvPicPr>
                  <pic:blipFill>
                    <a:blip r:embed="rId29"/>
                    <a:stretch>
                      <a:fillRect/>
                    </a:stretch>
                  </pic:blipFill>
                  <pic:spPr>
                    <a:xfrm>
                      <a:off x="0" y="0"/>
                      <a:ext cx="5756275" cy="8123555"/>
                    </a:xfrm>
                    <a:prstGeom prst="rect">
                      <a:avLst/>
                    </a:prstGeom>
                  </pic:spPr>
                </pic:pic>
              </a:graphicData>
            </a:graphic>
          </wp:inline>
        </w:drawing>
      </w:r>
    </w:p>
    <w:p w14:paraId="20060F66">
      <w:pPr>
        <w:pStyle w:val="2"/>
        <w:rPr>
          <w:rFonts w:hint="eastAsia" w:asciiTheme="minorEastAsia" w:hAnsiTheme="minorEastAsia" w:eastAsiaTheme="minorEastAsia" w:cstheme="minorEastAsia"/>
          <w:b w:val="0"/>
          <w:bCs/>
          <w:snapToGrid/>
          <w:color w:val="auto"/>
          <w:kern w:val="2"/>
          <w:sz w:val="24"/>
          <w:szCs w:val="24"/>
          <w:highlight w:val="none"/>
          <w:lang w:val="en-US" w:eastAsia="zh-CN"/>
        </w:rPr>
      </w:pPr>
    </w:p>
    <w:p w14:paraId="555DEFAC">
      <w:pPr>
        <w:pStyle w:val="2"/>
        <w:ind w:left="0" w:leftChars="0" w:firstLine="0" w:firstLineChars="0"/>
        <w:rPr>
          <w:rFonts w:hint="eastAsia"/>
          <w:color w:val="auto"/>
          <w:highlight w:val="none"/>
          <w:lang w:val="en-US" w:eastAsia="zh-CN"/>
        </w:rPr>
      </w:pPr>
    </w:p>
    <w:p w14:paraId="4B29F5A4">
      <w:pPr>
        <w:pStyle w:val="4"/>
        <w:rPr>
          <w:rFonts w:hint="eastAsia"/>
          <w:highlight w:val="none"/>
          <w:lang w:val="en-US" w:eastAsia="zh-CN"/>
        </w:rPr>
      </w:pPr>
    </w:p>
    <w:p w14:paraId="2B87599A">
      <w:pPr>
        <w:keepNext w:val="0"/>
        <w:keepLines w:val="0"/>
        <w:pageBreakBefore w:val="0"/>
        <w:widowControl w:val="0"/>
        <w:numPr>
          <w:ilvl w:val="0"/>
          <w:numId w:val="4"/>
        </w:numPr>
        <w:kinsoku/>
        <w:wordWrap/>
        <w:overflowPunct/>
        <w:topLinePunct w:val="0"/>
        <w:autoSpaceDE/>
        <w:autoSpaceDN/>
        <w:bidi w:val="0"/>
        <w:adjustRightInd/>
        <w:snapToGrid/>
        <w:spacing w:before="120" w:line="240" w:lineRule="auto"/>
        <w:ind w:left="0" w:leftChars="0" w:firstLine="0" w:firstLineChars="0"/>
        <w:jc w:val="both"/>
        <w:textAlignment w:val="auto"/>
        <w:rPr>
          <w:rFonts w:hint="eastAsia" w:asciiTheme="minorEastAsia" w:hAnsiTheme="minorEastAsia" w:eastAsiaTheme="minorEastAsia" w:cstheme="minorEastAsia"/>
          <w:b/>
          <w:bCs w:val="0"/>
          <w:snapToGrid/>
          <w:color w:val="auto"/>
          <w:kern w:val="2"/>
          <w:sz w:val="24"/>
          <w:szCs w:val="24"/>
          <w:highlight w:val="none"/>
          <w:lang w:val="en-US" w:eastAsia="zh-CN"/>
        </w:rPr>
      </w:pPr>
      <w:r>
        <w:rPr>
          <w:rFonts w:hint="eastAsia" w:asciiTheme="minorEastAsia" w:hAnsiTheme="minorEastAsia" w:eastAsiaTheme="minorEastAsia" w:cstheme="minorEastAsia"/>
          <w:b/>
          <w:bCs w:val="0"/>
          <w:snapToGrid/>
          <w:color w:val="auto"/>
          <w:kern w:val="2"/>
          <w:sz w:val="24"/>
          <w:szCs w:val="24"/>
          <w:highlight w:val="none"/>
          <w:lang w:val="en-US" w:eastAsia="zh-CN"/>
        </w:rPr>
        <w:t>、产品功能要求（1-4部分）</w:t>
      </w:r>
    </w:p>
    <w:p w14:paraId="77BE6079">
      <w:pPr>
        <w:pStyle w:val="2"/>
        <w:numPr>
          <w:ilvl w:val="0"/>
          <w:numId w:val="0"/>
        </w:numPr>
        <w:kinsoku w:val="0"/>
        <w:autoSpaceDE w:val="0"/>
        <w:autoSpaceDN w:val="0"/>
        <w:adjustRightInd w:val="0"/>
        <w:snapToGrid w:val="0"/>
        <w:spacing w:after="120" w:line="480" w:lineRule="exact"/>
        <w:jc w:val="left"/>
        <w:textAlignment w:val="baseline"/>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pPr>
      <w:r>
        <w:rPr>
          <w:rFonts w:hint="eastAsia"/>
          <w:highlight w:val="none"/>
          <w:lang w:val="en-US" w:eastAsia="zh-CN"/>
        </w:rPr>
        <w:t>注意：1、</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本产品功能要求中，要求提供证明材料而未提供有效证明材料或证明材料内容与招标文件中要求指标不符的，该项按相对应标准处理。</w:t>
      </w:r>
    </w:p>
    <w:p w14:paraId="31050B53">
      <w:pPr>
        <w:pStyle w:val="2"/>
        <w:numPr>
          <w:ilvl w:val="0"/>
          <w:numId w:val="0"/>
        </w:numPr>
        <w:kinsoku w:val="0"/>
        <w:autoSpaceDE w:val="0"/>
        <w:autoSpaceDN w:val="0"/>
        <w:adjustRightInd w:val="0"/>
        <w:snapToGrid w:val="0"/>
        <w:spacing w:after="120" w:line="480" w:lineRule="exact"/>
        <w:jc w:val="left"/>
        <w:textAlignment w:val="baseline"/>
        <w:rPr>
          <w:rFonts w:hint="default" w:asciiTheme="minorEastAsia" w:hAnsiTheme="minorEastAsia" w:eastAsiaTheme="minorEastAsia" w:cstheme="minorEastAsia"/>
          <w:b/>
          <w:bCs/>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2、产品功能要求的承诺函（格式自拟）</w:t>
      </w:r>
    </w:p>
    <w:p w14:paraId="738EE94E">
      <w:pPr>
        <w:pStyle w:val="2"/>
        <w:numPr>
          <w:ilvl w:val="0"/>
          <w:numId w:val="0"/>
        </w:numPr>
        <w:kinsoku w:val="0"/>
        <w:autoSpaceDE w:val="0"/>
        <w:autoSpaceDN w:val="0"/>
        <w:adjustRightInd w:val="0"/>
        <w:snapToGrid w:val="0"/>
        <w:spacing w:after="120" w:line="480" w:lineRule="exact"/>
        <w:ind w:firstLine="482" w:firstLineChars="200"/>
        <w:jc w:val="left"/>
        <w:textAlignment w:val="baseline"/>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本项目的投标人需承诺：如中标此项目，在项目实施、验收过程中，如发现其所提供产品的功能与其在投标时承诺或证明满足的功能不符，实际上无法满足招标文件中的产品功能要求，采购人有权令其更换产品，由此而带来的一切损失由投标人自己承担。</w:t>
      </w:r>
    </w:p>
    <w:p w14:paraId="276992CA">
      <w:pPr>
        <w:rPr>
          <w:color w:val="auto"/>
          <w:highlight w:val="none"/>
        </w:rPr>
      </w:pPr>
    </w:p>
    <w:tbl>
      <w:tblPr>
        <w:tblStyle w:val="20"/>
        <w:tblW w:w="9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580"/>
        <w:gridCol w:w="14"/>
        <w:gridCol w:w="1088"/>
        <w:gridCol w:w="38"/>
        <w:gridCol w:w="569"/>
        <w:gridCol w:w="927"/>
        <w:gridCol w:w="19"/>
        <w:gridCol w:w="3074"/>
        <w:gridCol w:w="19"/>
        <w:gridCol w:w="2676"/>
        <w:gridCol w:w="19"/>
      </w:tblGrid>
      <w:tr w14:paraId="531AA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shd w:val="clear" w:color="auto" w:fill="FFFFFF"/>
            <w:tcMar>
              <w:top w:w="12" w:type="dxa"/>
              <w:left w:w="12" w:type="dxa"/>
              <w:right w:w="12" w:type="dxa"/>
            </w:tcMar>
            <w:vAlign w:val="center"/>
          </w:tcPr>
          <w:p w14:paraId="68993F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i w:val="0"/>
                <w:snapToGrid/>
                <w:color w:val="auto"/>
                <w:kern w:val="2"/>
                <w:sz w:val="24"/>
                <w:szCs w:val="24"/>
                <w:highlight w:val="none"/>
                <w:u w:val="none"/>
                <w:lang w:eastAsia="zh-CN"/>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序号</w:t>
            </w:r>
          </w:p>
        </w:tc>
        <w:tc>
          <w:tcPr>
            <w:tcW w:w="1126" w:type="dxa"/>
            <w:gridSpan w:val="2"/>
            <w:shd w:val="clear" w:color="auto" w:fill="FFFFFF"/>
            <w:tcMar>
              <w:top w:w="12" w:type="dxa"/>
              <w:left w:w="12" w:type="dxa"/>
              <w:right w:w="12" w:type="dxa"/>
            </w:tcMar>
            <w:vAlign w:val="center"/>
          </w:tcPr>
          <w:p w14:paraId="5F6843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i w:val="0"/>
                <w:snapToGrid/>
                <w:color w:val="auto"/>
                <w:kern w:val="2"/>
                <w:sz w:val="24"/>
                <w:szCs w:val="24"/>
                <w:highlight w:val="none"/>
                <w:u w:val="none"/>
                <w:lang w:eastAsia="zh-CN"/>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设备名称</w:t>
            </w:r>
          </w:p>
        </w:tc>
        <w:tc>
          <w:tcPr>
            <w:tcW w:w="4608" w:type="dxa"/>
            <w:gridSpan w:val="5"/>
            <w:shd w:val="clear" w:color="auto" w:fill="FFFFFF"/>
            <w:tcMar>
              <w:top w:w="12" w:type="dxa"/>
              <w:left w:w="12" w:type="dxa"/>
              <w:right w:w="12" w:type="dxa"/>
            </w:tcMar>
            <w:vAlign w:val="center"/>
          </w:tcPr>
          <w:p w14:paraId="64165E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i w:val="0"/>
                <w:snapToGrid/>
                <w:color w:val="auto"/>
                <w:kern w:val="2"/>
                <w:sz w:val="24"/>
                <w:szCs w:val="24"/>
                <w:highlight w:val="none"/>
                <w:u w:val="none"/>
                <w:lang w:val="en-US" w:eastAsia="zh-CN"/>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功能要求</w:t>
            </w:r>
          </w:p>
        </w:tc>
        <w:tc>
          <w:tcPr>
            <w:tcW w:w="2695" w:type="dxa"/>
            <w:gridSpan w:val="2"/>
            <w:shd w:val="clear" w:color="auto" w:fill="FFFFFF"/>
            <w:tcMar>
              <w:top w:w="12" w:type="dxa"/>
              <w:left w:w="12" w:type="dxa"/>
              <w:right w:w="12" w:type="dxa"/>
            </w:tcMar>
            <w:vAlign w:val="center"/>
          </w:tcPr>
          <w:p w14:paraId="15C3C37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i w:val="0"/>
                <w:snapToGrid/>
                <w:color w:val="auto"/>
                <w:kern w:val="2"/>
                <w:sz w:val="24"/>
                <w:szCs w:val="24"/>
                <w:highlight w:val="none"/>
                <w:u w:val="none"/>
                <w:lang w:eastAsia="zh-CN"/>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备注</w:t>
            </w:r>
          </w:p>
        </w:tc>
      </w:tr>
      <w:tr w14:paraId="08F6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9023" w:type="dxa"/>
            <w:gridSpan w:val="11"/>
            <w:shd w:val="clear" w:color="auto" w:fill="FFFFFF"/>
            <w:tcMar>
              <w:top w:w="12" w:type="dxa"/>
              <w:left w:w="12" w:type="dxa"/>
              <w:right w:w="12" w:type="dxa"/>
            </w:tcMar>
            <w:vAlign w:val="center"/>
          </w:tcPr>
          <w:p w14:paraId="1E4CE65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i w:val="0"/>
                <w:snapToGrid/>
                <w:color w:val="auto"/>
                <w:kern w:val="2"/>
                <w:sz w:val="24"/>
                <w:szCs w:val="24"/>
                <w:highlight w:val="none"/>
                <w:u w:val="none"/>
                <w:lang w:eastAsia="zh-CN"/>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一、出口链路</w:t>
            </w:r>
          </w:p>
        </w:tc>
      </w:tr>
      <w:tr w14:paraId="71459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9023" w:type="dxa"/>
            <w:gridSpan w:val="11"/>
            <w:shd w:val="clear" w:color="auto" w:fill="FFFFFF"/>
            <w:tcMar>
              <w:top w:w="12" w:type="dxa"/>
              <w:left w:w="12" w:type="dxa"/>
              <w:right w:w="12" w:type="dxa"/>
            </w:tcMar>
            <w:vAlign w:val="center"/>
          </w:tcPr>
          <w:p w14:paraId="01F98A4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i w:val="0"/>
                <w:snapToGrid/>
                <w:color w:val="auto"/>
                <w:kern w:val="2"/>
                <w:sz w:val="24"/>
                <w:szCs w:val="24"/>
                <w:highlight w:val="none"/>
                <w:u w:val="none"/>
                <w:lang w:eastAsia="zh-CN"/>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（一）、互联网出口链路</w:t>
            </w:r>
          </w:p>
        </w:tc>
      </w:tr>
      <w:tr w14:paraId="1925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69" w:hRule="atLeast"/>
        </w:trPr>
        <w:tc>
          <w:tcPr>
            <w:tcW w:w="594" w:type="dxa"/>
            <w:gridSpan w:val="2"/>
            <w:vMerge w:val="restart"/>
            <w:shd w:val="clear" w:color="auto" w:fill="FFFFFF"/>
            <w:tcMar>
              <w:top w:w="12" w:type="dxa"/>
              <w:left w:w="12" w:type="dxa"/>
              <w:right w:w="12" w:type="dxa"/>
            </w:tcMar>
            <w:vAlign w:val="center"/>
          </w:tcPr>
          <w:p w14:paraId="2A1B69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w:t>
            </w:r>
          </w:p>
        </w:tc>
        <w:tc>
          <w:tcPr>
            <w:tcW w:w="1126" w:type="dxa"/>
            <w:gridSpan w:val="2"/>
            <w:vMerge w:val="restart"/>
            <w:shd w:val="clear" w:color="auto" w:fill="FFFFFF"/>
            <w:tcMar>
              <w:top w:w="12" w:type="dxa"/>
              <w:left w:w="12" w:type="dxa"/>
              <w:right w:w="12" w:type="dxa"/>
            </w:tcMar>
            <w:vAlign w:val="center"/>
          </w:tcPr>
          <w:p w14:paraId="6493A04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互联网出口防火墙</w:t>
            </w:r>
          </w:p>
        </w:tc>
        <w:tc>
          <w:tcPr>
            <w:tcW w:w="1496" w:type="dxa"/>
            <w:gridSpan w:val="2"/>
            <w:shd w:val="clear" w:color="auto" w:fill="auto"/>
            <w:tcMar>
              <w:top w:w="12" w:type="dxa"/>
              <w:left w:w="12" w:type="dxa"/>
              <w:right w:w="12" w:type="dxa"/>
            </w:tcMar>
            <w:vAlign w:val="center"/>
          </w:tcPr>
          <w:p w14:paraId="085D83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路由交换</w:t>
            </w:r>
          </w:p>
        </w:tc>
        <w:tc>
          <w:tcPr>
            <w:tcW w:w="3112" w:type="dxa"/>
            <w:gridSpan w:val="3"/>
            <w:shd w:val="clear" w:color="auto" w:fill="auto"/>
            <w:tcMar>
              <w:top w:w="12" w:type="dxa"/>
              <w:left w:w="12" w:type="dxa"/>
              <w:right w:w="12" w:type="dxa"/>
            </w:tcMar>
            <w:vAlign w:val="center"/>
          </w:tcPr>
          <w:p w14:paraId="259BEDF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支持RIP、OSPF、BGP4、QinQ（VLAN VPN）、PIM-SM、PIM-DM；支持策略路由，支持根据入接口、源/目的IP地址、协议、用户、应用、选路算法、探测等多种条件设置策略路由。</w:t>
            </w:r>
          </w:p>
        </w:tc>
        <w:tc>
          <w:tcPr>
            <w:tcW w:w="2695" w:type="dxa"/>
            <w:gridSpan w:val="2"/>
            <w:shd w:val="clear" w:color="auto" w:fill="FFFFFF"/>
            <w:tcMar>
              <w:top w:w="12" w:type="dxa"/>
              <w:left w:w="12" w:type="dxa"/>
              <w:right w:w="12" w:type="dxa"/>
            </w:tcMar>
            <w:vAlign w:val="center"/>
          </w:tcPr>
          <w:p w14:paraId="69C6BD5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4DC6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58E2CF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597F445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24330B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IP/MAC绑定</w:t>
            </w:r>
          </w:p>
        </w:tc>
        <w:tc>
          <w:tcPr>
            <w:tcW w:w="3112" w:type="dxa"/>
            <w:gridSpan w:val="3"/>
            <w:shd w:val="clear" w:color="auto" w:fill="auto"/>
            <w:tcMar>
              <w:top w:w="12" w:type="dxa"/>
              <w:left w:w="12" w:type="dxa"/>
              <w:right w:w="12" w:type="dxa"/>
            </w:tcMar>
            <w:vAlign w:val="center"/>
          </w:tcPr>
          <w:p w14:paraId="0424067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支持IP/MAC绑定，支持跨三层绑定，支持IP/MAC绑定表导入导出，以便对IP/MAC绑定关系进行批量操作。</w:t>
            </w:r>
          </w:p>
        </w:tc>
        <w:tc>
          <w:tcPr>
            <w:tcW w:w="2695" w:type="dxa"/>
            <w:gridSpan w:val="2"/>
            <w:shd w:val="clear" w:color="auto" w:fill="FFFFFF"/>
            <w:tcMar>
              <w:top w:w="12" w:type="dxa"/>
              <w:left w:w="12" w:type="dxa"/>
              <w:right w:w="12" w:type="dxa"/>
            </w:tcMar>
            <w:vAlign w:val="center"/>
          </w:tcPr>
          <w:p w14:paraId="6D56375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3279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34D427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664AC25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18AADA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地址转换</w:t>
            </w:r>
          </w:p>
        </w:tc>
        <w:tc>
          <w:tcPr>
            <w:tcW w:w="3112" w:type="dxa"/>
            <w:gridSpan w:val="3"/>
            <w:shd w:val="clear" w:color="auto" w:fill="auto"/>
            <w:tcMar>
              <w:top w:w="12" w:type="dxa"/>
              <w:left w:w="12" w:type="dxa"/>
              <w:right w:w="12" w:type="dxa"/>
            </w:tcMar>
            <w:vAlign w:val="center"/>
          </w:tcPr>
          <w:p w14:paraId="5517549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支持多种地址转换，支持源/目的NAT、双向NAT、NoNAT转换方式；支持源IP转换同一性；支持端口块地址转换和EIM地址转换。</w:t>
            </w:r>
          </w:p>
        </w:tc>
        <w:tc>
          <w:tcPr>
            <w:tcW w:w="2695" w:type="dxa"/>
            <w:gridSpan w:val="2"/>
            <w:shd w:val="clear" w:color="auto" w:fill="FFFFFF"/>
            <w:tcMar>
              <w:top w:w="12" w:type="dxa"/>
              <w:left w:w="12" w:type="dxa"/>
              <w:right w:w="12" w:type="dxa"/>
            </w:tcMar>
            <w:vAlign w:val="center"/>
          </w:tcPr>
          <w:p w14:paraId="0C784C5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3B44A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864" w:hRule="atLeast"/>
        </w:trPr>
        <w:tc>
          <w:tcPr>
            <w:tcW w:w="594" w:type="dxa"/>
            <w:gridSpan w:val="2"/>
            <w:vMerge w:val="continue"/>
            <w:shd w:val="clear" w:color="auto" w:fill="FFFFFF"/>
            <w:tcMar>
              <w:top w:w="12" w:type="dxa"/>
              <w:left w:w="12" w:type="dxa"/>
              <w:right w:w="12" w:type="dxa"/>
            </w:tcMar>
            <w:vAlign w:val="center"/>
          </w:tcPr>
          <w:p w14:paraId="52BF51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185E9E4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35FA57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链路负载均衡</w:t>
            </w:r>
          </w:p>
        </w:tc>
        <w:tc>
          <w:tcPr>
            <w:tcW w:w="3112" w:type="dxa"/>
            <w:gridSpan w:val="3"/>
            <w:shd w:val="clear" w:color="auto" w:fill="auto"/>
            <w:tcMar>
              <w:top w:w="12" w:type="dxa"/>
              <w:left w:w="12" w:type="dxa"/>
              <w:right w:w="12" w:type="dxa"/>
            </w:tcMar>
            <w:vAlign w:val="center"/>
          </w:tcPr>
          <w:p w14:paraId="6751B60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支持链路负载均衡功能，支持轮询、加权轮询、就近选路、优先级、带宽比率等多种链路负载均衡算法，支持备用选路算法，支持链路过载保护。</w:t>
            </w:r>
          </w:p>
        </w:tc>
        <w:tc>
          <w:tcPr>
            <w:tcW w:w="2695" w:type="dxa"/>
            <w:gridSpan w:val="2"/>
            <w:shd w:val="clear" w:color="auto" w:fill="FFFFFF"/>
            <w:tcMar>
              <w:top w:w="12" w:type="dxa"/>
              <w:left w:w="12" w:type="dxa"/>
              <w:right w:w="12" w:type="dxa"/>
            </w:tcMar>
            <w:vAlign w:val="center"/>
          </w:tcPr>
          <w:p w14:paraId="0CC1474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10C31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594" w:type="dxa"/>
            <w:gridSpan w:val="2"/>
            <w:vMerge w:val="continue"/>
            <w:shd w:val="clear" w:color="auto" w:fill="FFFFFF"/>
            <w:tcMar>
              <w:top w:w="12" w:type="dxa"/>
              <w:left w:w="12" w:type="dxa"/>
              <w:right w:w="12" w:type="dxa"/>
            </w:tcMar>
            <w:vAlign w:val="center"/>
          </w:tcPr>
          <w:p w14:paraId="7A20DE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624B6F7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63A7EA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DNS 双向智能转换</w:t>
            </w:r>
          </w:p>
        </w:tc>
        <w:tc>
          <w:tcPr>
            <w:tcW w:w="3112" w:type="dxa"/>
            <w:gridSpan w:val="3"/>
            <w:shd w:val="clear" w:color="auto" w:fill="auto"/>
            <w:tcMar>
              <w:top w:w="12" w:type="dxa"/>
              <w:left w:w="12" w:type="dxa"/>
              <w:right w:w="12" w:type="dxa"/>
            </w:tcMar>
            <w:vAlign w:val="center"/>
          </w:tcPr>
          <w:p w14:paraId="3A08A6D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b w:val="0"/>
                <w:bCs w:val="0"/>
                <w:color w:val="auto"/>
                <w:highlight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防火墙作为 DNS 服务器可依据访问地址来源将服务器域名解析为内部地址或外部地址，同时支持通过配置多条转换策略，实现内网资源服务器的负载均衡。</w:t>
            </w:r>
          </w:p>
        </w:tc>
        <w:tc>
          <w:tcPr>
            <w:tcW w:w="2695" w:type="dxa"/>
            <w:gridSpan w:val="2"/>
            <w:shd w:val="clear" w:color="auto" w:fill="FFFFFF"/>
            <w:tcMar>
              <w:top w:w="12" w:type="dxa"/>
              <w:left w:w="12" w:type="dxa"/>
              <w:right w:w="12" w:type="dxa"/>
            </w:tcMar>
            <w:vAlign w:val="center"/>
          </w:tcPr>
          <w:p w14:paraId="3C3E6F0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51CD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trPr>
        <w:tc>
          <w:tcPr>
            <w:tcW w:w="594" w:type="dxa"/>
            <w:gridSpan w:val="2"/>
            <w:vMerge w:val="continue"/>
            <w:shd w:val="clear" w:color="auto" w:fill="FFFFFF"/>
            <w:tcMar>
              <w:top w:w="12" w:type="dxa"/>
              <w:left w:w="12" w:type="dxa"/>
              <w:right w:w="12" w:type="dxa"/>
            </w:tcMar>
            <w:vAlign w:val="center"/>
          </w:tcPr>
          <w:p w14:paraId="0F03A1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0BF477A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2B6C59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访问控制</w:t>
            </w:r>
          </w:p>
        </w:tc>
        <w:tc>
          <w:tcPr>
            <w:tcW w:w="3112" w:type="dxa"/>
            <w:gridSpan w:val="3"/>
            <w:shd w:val="clear" w:color="auto" w:fill="auto"/>
            <w:tcMar>
              <w:top w:w="12" w:type="dxa"/>
              <w:left w:w="12" w:type="dxa"/>
              <w:right w:w="12" w:type="dxa"/>
            </w:tcMar>
            <w:vAlign w:val="center"/>
          </w:tcPr>
          <w:p w14:paraId="777F0B1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一体化安全策略配置，可以通过一条策略实现五元组、源MAC、源地区、目的地区、域名、服务、时间、应用、IPS、僵木蠕防御、AV、APT高级威胁防护、WAF、URL过滤、审计、文件过滤、邮件安全、数据过滤、并发会话、长连接、WEB认证等功能配置；访问控制策略执行动作支持放行、阻断、认证、收集，对需要认证的流量进行Web认证，策略中可设置用户 Web 认证的门户地址或收集策略流量访问记录，生成更细粒的策略；提供策略分析功能，支持策略命中分析、冗余策略分析、冲突策略检查、宽泛策略分析，可在管理界面显示检测结果。同时</w:t>
            </w:r>
            <w:r>
              <w:rPr>
                <w:rFonts w:hint="eastAsia" w:cs="宋体"/>
                <w:b w:val="0"/>
                <w:bCs w:val="0"/>
                <w:sz w:val="21"/>
                <w:szCs w:val="21"/>
                <w:highlight w:val="none"/>
                <w:lang w:val="en-US" w:eastAsia="zh-CN"/>
              </w:rPr>
              <w:t>具有</w:t>
            </w:r>
            <w:r>
              <w:rPr>
                <w:rFonts w:hint="eastAsia"/>
                <w:b w:val="0"/>
                <w:bCs w:val="0"/>
                <w:highlight w:val="none"/>
                <w:lang w:val="en-US" w:eastAsia="zh-CN"/>
              </w:rPr>
              <w:t>策略冗余、冲突检测功能，重复对象分析功能。</w:t>
            </w:r>
          </w:p>
        </w:tc>
        <w:tc>
          <w:tcPr>
            <w:tcW w:w="2695" w:type="dxa"/>
            <w:gridSpan w:val="2"/>
            <w:shd w:val="clear" w:color="auto" w:fill="FFFFFF"/>
            <w:tcMar>
              <w:top w:w="12" w:type="dxa"/>
              <w:left w:w="12" w:type="dxa"/>
              <w:right w:w="12" w:type="dxa"/>
            </w:tcMar>
            <w:vAlign w:val="center"/>
          </w:tcPr>
          <w:p w14:paraId="35C63B4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w:t>
            </w:r>
          </w:p>
        </w:tc>
      </w:tr>
      <w:tr w14:paraId="73FB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418D7F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2B34299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0716A1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网络接入</w:t>
            </w:r>
          </w:p>
        </w:tc>
        <w:tc>
          <w:tcPr>
            <w:tcW w:w="3112" w:type="dxa"/>
            <w:gridSpan w:val="3"/>
            <w:shd w:val="clear" w:color="auto" w:fill="auto"/>
            <w:tcMar>
              <w:top w:w="12" w:type="dxa"/>
              <w:left w:w="12" w:type="dxa"/>
              <w:right w:w="12" w:type="dxa"/>
            </w:tcMar>
            <w:vAlign w:val="center"/>
          </w:tcPr>
          <w:p w14:paraId="3CD7D63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支持RADVD、ND、RIPng、OSPFv3、BGP4+，支持IPv6静态、动态组播路由；支持NAT64、NAT46、NAT66地址转换，支持6to4隧道、ISATAP隧道。</w:t>
            </w:r>
          </w:p>
        </w:tc>
        <w:tc>
          <w:tcPr>
            <w:tcW w:w="2695" w:type="dxa"/>
            <w:gridSpan w:val="2"/>
            <w:shd w:val="clear" w:color="auto" w:fill="FFFFFF"/>
            <w:tcMar>
              <w:top w:w="12" w:type="dxa"/>
              <w:left w:w="12" w:type="dxa"/>
              <w:right w:w="12" w:type="dxa"/>
            </w:tcMar>
            <w:vAlign w:val="center"/>
          </w:tcPr>
          <w:p w14:paraId="091778B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7319D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46" w:hRule="atLeast"/>
        </w:trPr>
        <w:tc>
          <w:tcPr>
            <w:tcW w:w="594" w:type="dxa"/>
            <w:gridSpan w:val="2"/>
            <w:vMerge w:val="continue"/>
            <w:shd w:val="clear" w:color="auto" w:fill="FFFFFF"/>
            <w:tcMar>
              <w:top w:w="12" w:type="dxa"/>
              <w:left w:w="12" w:type="dxa"/>
              <w:right w:w="12" w:type="dxa"/>
            </w:tcMar>
            <w:vAlign w:val="center"/>
          </w:tcPr>
          <w:p w14:paraId="3D6CAB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7CD7A50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51CB6E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IPv6访问控制</w:t>
            </w:r>
          </w:p>
        </w:tc>
        <w:tc>
          <w:tcPr>
            <w:tcW w:w="3112" w:type="dxa"/>
            <w:gridSpan w:val="3"/>
            <w:shd w:val="clear" w:color="auto" w:fill="auto"/>
            <w:tcMar>
              <w:top w:w="12" w:type="dxa"/>
              <w:left w:w="12" w:type="dxa"/>
              <w:right w:w="12" w:type="dxa"/>
            </w:tcMar>
            <w:vAlign w:val="center"/>
          </w:tcPr>
          <w:p w14:paraId="2178ED2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支持IPv6安全控制策略设置，能针对IPv6的目的/源地址、目的/源服务端口、区域、服务、时间、扩展头属性等条件进行安全访问规则的设置；支持IPv6域名控制，支持对多级域名进行控制，域名对象支持通配符。</w:t>
            </w:r>
          </w:p>
        </w:tc>
        <w:tc>
          <w:tcPr>
            <w:tcW w:w="2695" w:type="dxa"/>
            <w:gridSpan w:val="2"/>
            <w:shd w:val="clear" w:color="auto" w:fill="FFFFFF"/>
            <w:tcMar>
              <w:top w:w="12" w:type="dxa"/>
              <w:left w:w="12" w:type="dxa"/>
              <w:right w:w="12" w:type="dxa"/>
            </w:tcMar>
            <w:vAlign w:val="center"/>
          </w:tcPr>
          <w:p w14:paraId="6ECFD05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30B24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09" w:hRule="atLeast"/>
        </w:trPr>
        <w:tc>
          <w:tcPr>
            <w:tcW w:w="594" w:type="dxa"/>
            <w:gridSpan w:val="2"/>
            <w:vMerge w:val="continue"/>
            <w:shd w:val="clear" w:color="auto" w:fill="FFFFFF"/>
            <w:tcMar>
              <w:top w:w="12" w:type="dxa"/>
              <w:left w:w="12" w:type="dxa"/>
              <w:right w:w="12" w:type="dxa"/>
            </w:tcMar>
            <w:vAlign w:val="center"/>
          </w:tcPr>
          <w:p w14:paraId="73D152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788054E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704620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DDOS 防御</w:t>
            </w:r>
          </w:p>
        </w:tc>
        <w:tc>
          <w:tcPr>
            <w:tcW w:w="3112" w:type="dxa"/>
            <w:gridSpan w:val="3"/>
            <w:shd w:val="clear" w:color="auto" w:fill="auto"/>
            <w:tcMar>
              <w:top w:w="12" w:type="dxa"/>
              <w:left w:w="12" w:type="dxa"/>
              <w:right w:w="12" w:type="dxa"/>
            </w:tcMar>
            <w:vAlign w:val="center"/>
          </w:tcPr>
          <w:p w14:paraId="43D3F6D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 HTTP DDOS 防护，采用阀值检查、源/目的限流、源认证、会话限制等方式综合进行 HTTP FLOOD、HTTP URI CC 攻击、HTTP 连接耗尽等攻击防护；支持NTP DDOS防护，采用阀值检查、源/目的限流、源认证等方式综合进行 NTP QUERY FLOOD、NTPREPLY FLOOD 攻击防护。</w:t>
            </w:r>
          </w:p>
        </w:tc>
        <w:tc>
          <w:tcPr>
            <w:tcW w:w="2695" w:type="dxa"/>
            <w:gridSpan w:val="2"/>
            <w:shd w:val="clear" w:color="auto" w:fill="FFFFFF"/>
            <w:tcMar>
              <w:top w:w="12" w:type="dxa"/>
              <w:left w:w="12" w:type="dxa"/>
              <w:right w:w="12" w:type="dxa"/>
            </w:tcMar>
            <w:vAlign w:val="center"/>
          </w:tcPr>
          <w:p w14:paraId="2EFD3E2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6475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trPr>
        <w:tc>
          <w:tcPr>
            <w:tcW w:w="594" w:type="dxa"/>
            <w:gridSpan w:val="2"/>
            <w:vMerge w:val="continue"/>
            <w:shd w:val="clear" w:color="auto" w:fill="FFFFFF"/>
            <w:tcMar>
              <w:top w:w="12" w:type="dxa"/>
              <w:left w:w="12" w:type="dxa"/>
              <w:right w:w="12" w:type="dxa"/>
            </w:tcMar>
            <w:vAlign w:val="center"/>
          </w:tcPr>
          <w:p w14:paraId="1F444F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74639AD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492772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资源虚拟化</w:t>
            </w:r>
          </w:p>
        </w:tc>
        <w:tc>
          <w:tcPr>
            <w:tcW w:w="3112" w:type="dxa"/>
            <w:gridSpan w:val="3"/>
            <w:shd w:val="clear" w:color="auto" w:fill="auto"/>
            <w:tcMar>
              <w:top w:w="12" w:type="dxa"/>
              <w:left w:w="12" w:type="dxa"/>
              <w:right w:w="12" w:type="dxa"/>
            </w:tcMar>
            <w:vAlign w:val="center"/>
          </w:tcPr>
          <w:p w14:paraId="47F18EB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支持在一台物理设备上划分出128个相互独立的虚拟系统，可根据连接配额及连接新建速率为每个虚拟系统分配资源，实配不少于24个虚拟防火墙授权。</w:t>
            </w:r>
          </w:p>
        </w:tc>
        <w:tc>
          <w:tcPr>
            <w:tcW w:w="2695" w:type="dxa"/>
            <w:gridSpan w:val="2"/>
            <w:shd w:val="clear" w:color="auto" w:fill="FFFFFF"/>
            <w:tcMar>
              <w:top w:w="12" w:type="dxa"/>
              <w:left w:w="12" w:type="dxa"/>
              <w:right w:w="12" w:type="dxa"/>
            </w:tcMar>
            <w:vAlign w:val="center"/>
          </w:tcPr>
          <w:p w14:paraId="793C887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7AE8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trPr>
        <w:tc>
          <w:tcPr>
            <w:tcW w:w="594" w:type="dxa"/>
            <w:gridSpan w:val="2"/>
            <w:vMerge w:val="continue"/>
            <w:shd w:val="clear" w:color="auto" w:fill="FFFFFF"/>
            <w:tcMar>
              <w:top w:w="12" w:type="dxa"/>
              <w:left w:w="12" w:type="dxa"/>
              <w:right w:w="12" w:type="dxa"/>
            </w:tcMar>
            <w:vAlign w:val="center"/>
          </w:tcPr>
          <w:p w14:paraId="2A241E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2F1094E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0CD801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功能虚拟化</w:t>
            </w:r>
          </w:p>
        </w:tc>
        <w:tc>
          <w:tcPr>
            <w:tcW w:w="3112" w:type="dxa"/>
            <w:gridSpan w:val="3"/>
            <w:shd w:val="clear" w:color="auto" w:fill="auto"/>
            <w:tcMar>
              <w:top w:w="12" w:type="dxa"/>
              <w:left w:w="12" w:type="dxa"/>
              <w:right w:w="12" w:type="dxa"/>
            </w:tcMar>
            <w:vAlign w:val="center"/>
          </w:tcPr>
          <w:p w14:paraId="77A5664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配置文件、系统服务、路由、链路聚合、安全策略、NAT策略、带宽管理、认证策略、IPV6功能、URL过滤、病毒过滤、WAF、僵木蠕、高级威胁防护、内容过滤、邮件安全、审计、报表、防代理等安全功能虚拟化。</w:t>
            </w:r>
          </w:p>
        </w:tc>
        <w:tc>
          <w:tcPr>
            <w:tcW w:w="2695" w:type="dxa"/>
            <w:gridSpan w:val="2"/>
            <w:shd w:val="clear" w:color="auto" w:fill="FFFFFF"/>
            <w:tcMar>
              <w:top w:w="12" w:type="dxa"/>
              <w:left w:w="12" w:type="dxa"/>
              <w:right w:w="12" w:type="dxa"/>
            </w:tcMar>
            <w:vAlign w:val="center"/>
          </w:tcPr>
          <w:p w14:paraId="787EFDF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D1B7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5FA1E7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678830D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5F01F4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资产管理</w:t>
            </w:r>
          </w:p>
        </w:tc>
        <w:tc>
          <w:tcPr>
            <w:tcW w:w="3112" w:type="dxa"/>
            <w:gridSpan w:val="3"/>
            <w:shd w:val="clear" w:color="auto" w:fill="auto"/>
            <w:tcMar>
              <w:top w:w="12" w:type="dxa"/>
              <w:left w:w="12" w:type="dxa"/>
              <w:right w:w="12" w:type="dxa"/>
            </w:tcMar>
            <w:vAlign w:val="center"/>
          </w:tcPr>
          <w:p w14:paraId="38E564D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管理员手动添加、批量导入、设备主动扫描、EDR资产上报、漏扫资产上报等多种资产信息获取方式，支持基于访问流量自动识别发现资产；支持对被控制端为内网资产的telnet、ssh、rdp等常用的远程控制协议进行跟踪，支持对内网资产提供socks5代理的情况进行跟踪。</w:t>
            </w:r>
          </w:p>
        </w:tc>
        <w:tc>
          <w:tcPr>
            <w:tcW w:w="2695" w:type="dxa"/>
            <w:gridSpan w:val="2"/>
            <w:shd w:val="clear" w:color="auto" w:fill="FFFFFF"/>
            <w:tcMar>
              <w:top w:w="12" w:type="dxa"/>
              <w:left w:w="12" w:type="dxa"/>
              <w:right w:w="12" w:type="dxa"/>
            </w:tcMar>
            <w:vAlign w:val="center"/>
          </w:tcPr>
          <w:p w14:paraId="7B3B70E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0E331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1EC890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7A5856E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7D63AB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系统诊断</w:t>
            </w:r>
          </w:p>
        </w:tc>
        <w:tc>
          <w:tcPr>
            <w:tcW w:w="3112" w:type="dxa"/>
            <w:gridSpan w:val="3"/>
            <w:shd w:val="clear" w:color="auto" w:fill="FFFFFF"/>
            <w:tcMar>
              <w:top w:w="12" w:type="dxa"/>
              <w:left w:w="12" w:type="dxa"/>
              <w:right w:w="12" w:type="dxa"/>
            </w:tcMar>
            <w:vAlign w:val="center"/>
          </w:tcPr>
          <w:p w14:paraId="39A375E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支持在WEB界面进行网络诊断，支持PING、TRACEROUTE、TCP、HTTP、DNS诊断方式。</w:t>
            </w:r>
          </w:p>
        </w:tc>
        <w:tc>
          <w:tcPr>
            <w:tcW w:w="2695" w:type="dxa"/>
            <w:gridSpan w:val="2"/>
            <w:shd w:val="clear" w:color="auto" w:fill="FFFFFF"/>
            <w:tcMar>
              <w:top w:w="12" w:type="dxa"/>
              <w:left w:w="12" w:type="dxa"/>
              <w:right w:w="12" w:type="dxa"/>
            </w:tcMar>
            <w:vAlign w:val="center"/>
          </w:tcPr>
          <w:p w14:paraId="394279D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0B36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07" w:hRule="atLeast"/>
        </w:trPr>
        <w:tc>
          <w:tcPr>
            <w:tcW w:w="594" w:type="dxa"/>
            <w:gridSpan w:val="2"/>
            <w:vMerge w:val="continue"/>
            <w:shd w:val="clear" w:color="auto" w:fill="FFFFFF"/>
            <w:tcMar>
              <w:top w:w="12" w:type="dxa"/>
              <w:left w:w="12" w:type="dxa"/>
              <w:right w:w="12" w:type="dxa"/>
            </w:tcMar>
            <w:vAlign w:val="center"/>
          </w:tcPr>
          <w:p w14:paraId="16C69D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275DB5C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70D696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审计</w:t>
            </w:r>
          </w:p>
        </w:tc>
        <w:tc>
          <w:tcPr>
            <w:tcW w:w="3112" w:type="dxa"/>
            <w:gridSpan w:val="3"/>
            <w:shd w:val="clear" w:color="auto" w:fill="auto"/>
            <w:tcMar>
              <w:top w:w="12" w:type="dxa"/>
              <w:left w:w="12" w:type="dxa"/>
              <w:right w:w="12" w:type="dxa"/>
            </w:tcMar>
            <w:vAlign w:val="center"/>
          </w:tcPr>
          <w:p w14:paraId="3050FD6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支持独立审计策略，支持审计白名单；支持访问网站URL 地址、网页标题和网页内容审计；提供完善的审计数据查询功能，方便管理员对用户的上网行为进行审查和分析。支持对用户上网行为进行完整的审计数据查询，包括访问网站、邮件收发、FTP；同时支持对用户上网流量时长进行完整的审计数据查询，包括服务端IP、用户名、协议、上行流量、下行流量、总流量、时间等；支持基于应用、网站类型、用户对用户上网行为进行统计和排序；支持进行违规应用分析、违规网站分析、用户违规访问公示。</w:t>
            </w:r>
          </w:p>
        </w:tc>
        <w:tc>
          <w:tcPr>
            <w:tcW w:w="2695" w:type="dxa"/>
            <w:gridSpan w:val="2"/>
            <w:shd w:val="clear" w:color="auto" w:fill="FFFFFF"/>
            <w:tcMar>
              <w:top w:w="12" w:type="dxa"/>
              <w:left w:w="12" w:type="dxa"/>
              <w:right w:w="12" w:type="dxa"/>
            </w:tcMar>
            <w:vAlign w:val="center"/>
          </w:tcPr>
          <w:p w14:paraId="36183DA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7796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94" w:type="dxa"/>
            <w:gridSpan w:val="2"/>
            <w:vMerge w:val="continue"/>
            <w:shd w:val="clear" w:color="auto" w:fill="FFFFFF"/>
            <w:tcMar>
              <w:top w:w="12" w:type="dxa"/>
              <w:left w:w="12" w:type="dxa"/>
              <w:right w:w="12" w:type="dxa"/>
            </w:tcMar>
            <w:vAlign w:val="center"/>
          </w:tcPr>
          <w:p w14:paraId="1ED488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0E4355B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710B61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日志</w:t>
            </w:r>
          </w:p>
        </w:tc>
        <w:tc>
          <w:tcPr>
            <w:tcW w:w="3112" w:type="dxa"/>
            <w:gridSpan w:val="3"/>
            <w:shd w:val="clear" w:color="auto" w:fill="auto"/>
            <w:tcMar>
              <w:top w:w="12" w:type="dxa"/>
              <w:left w:w="12" w:type="dxa"/>
              <w:right w:w="12" w:type="dxa"/>
            </w:tcMar>
            <w:vAlign w:val="center"/>
          </w:tcPr>
          <w:p w14:paraId="02708CB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支持日志外发至多个SYSLOG服务器，可设置日志传输协议、外发时间类型、日志语言、合并传输、加密传输等参数；日志存储模式支持空间模式和时间模式，时间模式下日志能够保存180天。</w:t>
            </w:r>
          </w:p>
        </w:tc>
        <w:tc>
          <w:tcPr>
            <w:tcW w:w="2695" w:type="dxa"/>
            <w:gridSpan w:val="2"/>
            <w:shd w:val="clear" w:color="auto" w:fill="FFFFFF"/>
            <w:tcMar>
              <w:top w:w="12" w:type="dxa"/>
              <w:left w:w="12" w:type="dxa"/>
              <w:right w:w="12" w:type="dxa"/>
            </w:tcMar>
            <w:vAlign w:val="center"/>
          </w:tcPr>
          <w:p w14:paraId="33BD65D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6083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trPr>
        <w:tc>
          <w:tcPr>
            <w:tcW w:w="594" w:type="dxa"/>
            <w:gridSpan w:val="2"/>
            <w:vMerge w:val="continue"/>
            <w:shd w:val="clear" w:color="auto" w:fill="FFFFFF"/>
            <w:tcMar>
              <w:top w:w="12" w:type="dxa"/>
              <w:left w:w="12" w:type="dxa"/>
              <w:right w:w="12" w:type="dxa"/>
            </w:tcMar>
            <w:vAlign w:val="center"/>
          </w:tcPr>
          <w:p w14:paraId="042659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5920012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671B66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联动功能</w:t>
            </w:r>
          </w:p>
        </w:tc>
        <w:tc>
          <w:tcPr>
            <w:tcW w:w="3112" w:type="dxa"/>
            <w:gridSpan w:val="3"/>
            <w:shd w:val="clear" w:color="auto" w:fill="auto"/>
            <w:tcMar>
              <w:top w:w="12" w:type="dxa"/>
              <w:left w:w="12" w:type="dxa"/>
              <w:right w:w="12" w:type="dxa"/>
            </w:tcMar>
            <w:vAlign w:val="center"/>
          </w:tcPr>
          <w:p w14:paraId="53D3A3F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▲支持与漏扫、EDR、DLP、WAF、防病毒网关、TA-DB联动。</w:t>
            </w:r>
          </w:p>
        </w:tc>
        <w:tc>
          <w:tcPr>
            <w:tcW w:w="2695" w:type="dxa"/>
            <w:gridSpan w:val="2"/>
            <w:shd w:val="clear" w:color="auto" w:fill="FFFFFF"/>
            <w:tcMar>
              <w:top w:w="12" w:type="dxa"/>
              <w:left w:w="12" w:type="dxa"/>
              <w:right w:w="12" w:type="dxa"/>
            </w:tcMar>
            <w:vAlign w:val="center"/>
          </w:tcPr>
          <w:p w14:paraId="75D4CC9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出具相关证书或报告，配置界面截图等证明材料，加盖制造商公章。</w:t>
            </w:r>
          </w:p>
        </w:tc>
      </w:tr>
      <w:tr w14:paraId="6BDC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66F2F6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2AED748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4488B9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产品资质</w:t>
            </w:r>
          </w:p>
        </w:tc>
        <w:tc>
          <w:tcPr>
            <w:tcW w:w="3112" w:type="dxa"/>
            <w:gridSpan w:val="3"/>
            <w:shd w:val="clear" w:color="auto" w:fill="auto"/>
            <w:tcMar>
              <w:top w:w="12" w:type="dxa"/>
              <w:left w:w="12" w:type="dxa"/>
              <w:right w:w="12" w:type="dxa"/>
            </w:tcMar>
            <w:vAlign w:val="center"/>
          </w:tcPr>
          <w:p w14:paraId="7702BDF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heme="minorEastAsia" w:hAnsiTheme="minorEastAsia" w:eastAsiaTheme="minorEastAsia" w:cstheme="minorEastAsia"/>
                <w:b w:val="0"/>
                <w:bCs w:val="0"/>
                <w:i w:val="0"/>
                <w:snapToGrid/>
                <w:color w:val="auto"/>
                <w:kern w:val="0"/>
                <w:sz w:val="24"/>
                <w:szCs w:val="24"/>
                <w:highlight w:val="none"/>
                <w:u w:val="none"/>
                <w:lang w:val="en-US" w:eastAsia="zh-CN" w:bidi="ar"/>
              </w:rPr>
            </w:pPr>
            <w:r>
              <w:rPr>
                <w:rFonts w:hint="default" w:asciiTheme="minorEastAsia" w:hAnsiTheme="minorEastAsia" w:eastAsiaTheme="minorEastAsia" w:cstheme="minorEastAsia"/>
                <w:b w:val="0"/>
                <w:bCs w:val="0"/>
                <w:i w:val="0"/>
                <w:snapToGrid/>
                <w:color w:val="auto"/>
                <w:kern w:val="0"/>
                <w:sz w:val="24"/>
                <w:szCs w:val="24"/>
                <w:highlight w:val="none"/>
                <w:u w:val="none"/>
                <w:lang w:val="en-US" w:eastAsia="zh-CN" w:bidi="ar"/>
              </w:rPr>
              <w:t>产品</w:t>
            </w: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需具备IPv6 Ready Logo认证资质</w:t>
            </w:r>
          </w:p>
          <w:p w14:paraId="575BB19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pPr>
          </w:p>
        </w:tc>
        <w:tc>
          <w:tcPr>
            <w:tcW w:w="2695" w:type="dxa"/>
            <w:gridSpan w:val="2"/>
            <w:shd w:val="clear" w:color="auto" w:fill="FFFFFF"/>
            <w:tcMar>
              <w:top w:w="12" w:type="dxa"/>
              <w:left w:w="12" w:type="dxa"/>
              <w:right w:w="12" w:type="dxa"/>
            </w:tcMar>
            <w:vAlign w:val="center"/>
          </w:tcPr>
          <w:p w14:paraId="1A25A34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pPr>
          </w:p>
        </w:tc>
      </w:tr>
      <w:tr w14:paraId="62727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0AA454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0602F42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shd w:val="clear" w:color="auto" w:fill="auto"/>
            <w:tcMar>
              <w:top w:w="12" w:type="dxa"/>
              <w:left w:w="12" w:type="dxa"/>
              <w:right w:w="12" w:type="dxa"/>
            </w:tcMar>
            <w:vAlign w:val="center"/>
          </w:tcPr>
          <w:p w14:paraId="6D927A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产品资质</w:t>
            </w:r>
          </w:p>
        </w:tc>
        <w:tc>
          <w:tcPr>
            <w:tcW w:w="3112" w:type="dxa"/>
            <w:gridSpan w:val="3"/>
            <w:shd w:val="clear" w:color="auto" w:fill="auto"/>
            <w:tcMar>
              <w:top w:w="12" w:type="dxa"/>
              <w:left w:w="12" w:type="dxa"/>
              <w:right w:w="12" w:type="dxa"/>
            </w:tcMar>
            <w:vAlign w:val="center"/>
          </w:tcPr>
          <w:p w14:paraId="2F4FE14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产品需具备信息安全产品自主原创证明。</w:t>
            </w:r>
          </w:p>
        </w:tc>
        <w:tc>
          <w:tcPr>
            <w:tcW w:w="2695" w:type="dxa"/>
            <w:gridSpan w:val="2"/>
            <w:shd w:val="clear" w:color="auto" w:fill="FFFFFF"/>
            <w:tcMar>
              <w:top w:w="12" w:type="dxa"/>
              <w:left w:w="12" w:type="dxa"/>
              <w:right w:w="12" w:type="dxa"/>
            </w:tcMar>
            <w:vAlign w:val="center"/>
          </w:tcPr>
          <w:p w14:paraId="60ABA8A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2DE53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410967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1D52B29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08B6E5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334AC8C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val="en-US" w:eastAsia="zh-CN"/>
              </w:rPr>
            </w:pPr>
            <w:r>
              <w:rPr>
                <w:rFonts w:hint="eastAsia" w:asciiTheme="minorEastAsia" w:hAnsiTheme="minorEastAsia" w:eastAsiaTheme="minorEastAsia" w:cstheme="minorEastAsia"/>
                <w:b w:val="0"/>
                <w:bCs w:val="0"/>
                <w:color w:val="auto"/>
                <w:spacing w:val="0"/>
                <w:w w:val="100"/>
                <w:position w:val="0"/>
                <w:sz w:val="21"/>
                <w:szCs w:val="21"/>
                <w:highlight w:val="none"/>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产品需具备网络关键设备和网络安全专用产品安全认证证书</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或</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网络安全专用产品安全检测证书。</w:t>
            </w:r>
          </w:p>
        </w:tc>
        <w:tc>
          <w:tcPr>
            <w:tcW w:w="2695" w:type="dxa"/>
            <w:gridSpan w:val="2"/>
            <w:shd w:val="clear" w:color="auto" w:fill="FFFFFF"/>
            <w:tcMar>
              <w:top w:w="12" w:type="dxa"/>
              <w:left w:w="12" w:type="dxa"/>
              <w:right w:w="12" w:type="dxa"/>
            </w:tcMar>
            <w:vAlign w:val="center"/>
          </w:tcPr>
          <w:p w14:paraId="19ED771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t xml:space="preserve"> 列入《网络关键设备和网络安全专用产品目录》的网络安全专用产品，应当按照《信息安全技术网络安全专用产品安全技术要求》等相关国家标准的强制性要求，由具备资格的机构安全认证合格或者安全检测符合要求。</w:t>
            </w:r>
          </w:p>
        </w:tc>
      </w:tr>
      <w:tr w14:paraId="26FF1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47" w:hRule="atLeast"/>
        </w:trPr>
        <w:tc>
          <w:tcPr>
            <w:tcW w:w="594" w:type="dxa"/>
            <w:gridSpan w:val="2"/>
            <w:vMerge w:val="restart"/>
            <w:shd w:val="clear" w:color="auto" w:fill="FFFFFF"/>
            <w:tcMar>
              <w:top w:w="12" w:type="dxa"/>
              <w:left w:w="12" w:type="dxa"/>
              <w:right w:w="12" w:type="dxa"/>
            </w:tcMar>
            <w:vAlign w:val="center"/>
          </w:tcPr>
          <w:p w14:paraId="39D2AA81">
            <w:pPr>
              <w:kinsoku/>
              <w:autoSpaceDE/>
              <w:autoSpaceDN/>
              <w:adjustRightInd/>
              <w:snapToGrid/>
              <w:jc w:val="center"/>
              <w:textAlignment w:val="center"/>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2</w:t>
            </w:r>
          </w:p>
        </w:tc>
        <w:tc>
          <w:tcPr>
            <w:tcW w:w="1126" w:type="dxa"/>
            <w:gridSpan w:val="2"/>
            <w:vMerge w:val="restart"/>
            <w:shd w:val="clear" w:color="auto" w:fill="FFFFFF"/>
            <w:tcMar>
              <w:top w:w="12" w:type="dxa"/>
              <w:left w:w="12" w:type="dxa"/>
              <w:right w:w="12" w:type="dxa"/>
            </w:tcMar>
            <w:vAlign w:val="center"/>
          </w:tcPr>
          <w:p w14:paraId="3CDCCEA4">
            <w:pPr>
              <w:kinsoku/>
              <w:autoSpaceDE/>
              <w:autoSpaceDN/>
              <w:adjustRightInd/>
              <w:snapToGrid/>
              <w:textAlignment w:val="center"/>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上网行为管理系统</w:t>
            </w:r>
          </w:p>
        </w:tc>
        <w:tc>
          <w:tcPr>
            <w:tcW w:w="1496" w:type="dxa"/>
            <w:gridSpan w:val="2"/>
            <w:vMerge w:val="restart"/>
            <w:shd w:val="clear" w:color="auto" w:fill="FFFFFF"/>
            <w:tcMar>
              <w:top w:w="12" w:type="dxa"/>
              <w:left w:w="12" w:type="dxa"/>
              <w:right w:w="12" w:type="dxa"/>
            </w:tcMar>
            <w:vAlign w:val="center"/>
          </w:tcPr>
          <w:p w14:paraId="17C4F76D">
            <w:pPr>
              <w:kinsoku/>
              <w:autoSpaceDE/>
              <w:autoSpaceDN/>
              <w:adjustRightInd/>
              <w:snapToGrid/>
              <w:jc w:val="center"/>
              <w:textAlignment w:val="center"/>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技术要求</w:t>
            </w:r>
          </w:p>
        </w:tc>
        <w:tc>
          <w:tcPr>
            <w:tcW w:w="3112" w:type="dxa"/>
            <w:gridSpan w:val="3"/>
            <w:shd w:val="clear" w:color="auto" w:fill="FFFFFF"/>
            <w:tcMar>
              <w:top w:w="12" w:type="dxa"/>
              <w:left w:w="12" w:type="dxa"/>
              <w:right w:w="12" w:type="dxa"/>
            </w:tcMar>
            <w:vAlign w:val="center"/>
          </w:tcPr>
          <w:p w14:paraId="41EC8148">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1.支持路由模式、透明（网桥）模式、混合模式，支持镜像接口，部署模式切换无需重启设备。</w:t>
            </w:r>
          </w:p>
        </w:tc>
        <w:tc>
          <w:tcPr>
            <w:tcW w:w="2695" w:type="dxa"/>
            <w:gridSpan w:val="2"/>
            <w:shd w:val="clear" w:color="auto" w:fill="FFFFFF"/>
            <w:tcMar>
              <w:top w:w="12" w:type="dxa"/>
              <w:left w:w="12" w:type="dxa"/>
              <w:right w:w="12" w:type="dxa"/>
            </w:tcMar>
            <w:vAlign w:val="center"/>
          </w:tcPr>
          <w:p w14:paraId="24A61E46">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26947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594" w:type="dxa"/>
            <w:gridSpan w:val="2"/>
            <w:vMerge w:val="continue"/>
            <w:shd w:val="clear" w:color="auto" w:fill="FFFFFF"/>
            <w:tcMar>
              <w:top w:w="12" w:type="dxa"/>
              <w:left w:w="12" w:type="dxa"/>
              <w:right w:w="12" w:type="dxa"/>
            </w:tcMar>
            <w:vAlign w:val="center"/>
          </w:tcPr>
          <w:p w14:paraId="6AB6E3EF">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62447BAF">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231F7D50">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694E7252">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▲2.内置应用识别规则库，应用规则数≥33500条，支持应用≥15000种，支持海外应用≥8500种的，移动应用≥2000种，URL库≥4000万，规则库应保证两周一更新。</w:t>
            </w:r>
          </w:p>
        </w:tc>
        <w:tc>
          <w:tcPr>
            <w:tcW w:w="2695" w:type="dxa"/>
            <w:gridSpan w:val="2"/>
            <w:shd w:val="clear" w:color="auto" w:fill="FFFFFF"/>
            <w:tcMar>
              <w:top w:w="12" w:type="dxa"/>
              <w:left w:w="12" w:type="dxa"/>
              <w:right w:w="12" w:type="dxa"/>
            </w:tcMar>
            <w:vAlign w:val="center"/>
          </w:tcPr>
          <w:p w14:paraId="5B15566E">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提供包含相关指标项的证明材料，证明材料可以使用生产厂家官方网站截图或产品白皮书或第三方机构检验报告或其他相关证明材料，并加盖制造商公章。</w:t>
            </w:r>
          </w:p>
        </w:tc>
      </w:tr>
      <w:tr w14:paraId="1CA80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594" w:type="dxa"/>
            <w:gridSpan w:val="2"/>
            <w:vMerge w:val="continue"/>
            <w:shd w:val="clear" w:color="auto" w:fill="FFFFFF"/>
            <w:tcMar>
              <w:top w:w="12" w:type="dxa"/>
              <w:left w:w="12" w:type="dxa"/>
              <w:right w:w="12" w:type="dxa"/>
            </w:tcMar>
            <w:vAlign w:val="center"/>
          </w:tcPr>
          <w:p w14:paraId="43509926">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746D753A">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5C6BFB7E">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3E43B21B">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3.支持针对防盗链、CSRF攻击、CC等攻击行为进行防护；支持端口扫描功能；支持弱密码扫描功能，内置弱口令库，支持自定义字典库。</w:t>
            </w:r>
          </w:p>
        </w:tc>
        <w:tc>
          <w:tcPr>
            <w:tcW w:w="2695" w:type="dxa"/>
            <w:gridSpan w:val="2"/>
            <w:shd w:val="clear" w:color="auto" w:fill="FFFFFF"/>
            <w:tcMar>
              <w:top w:w="12" w:type="dxa"/>
              <w:left w:w="12" w:type="dxa"/>
              <w:right w:w="12" w:type="dxa"/>
            </w:tcMar>
            <w:vAlign w:val="center"/>
          </w:tcPr>
          <w:p w14:paraId="6A918760">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1C4D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80" w:hRule="atLeast"/>
        </w:trPr>
        <w:tc>
          <w:tcPr>
            <w:tcW w:w="594" w:type="dxa"/>
            <w:gridSpan w:val="2"/>
            <w:vMerge w:val="continue"/>
            <w:shd w:val="clear" w:color="auto" w:fill="FFFFFF"/>
            <w:tcMar>
              <w:top w:w="12" w:type="dxa"/>
              <w:left w:w="12" w:type="dxa"/>
              <w:right w:w="12" w:type="dxa"/>
            </w:tcMar>
            <w:vAlign w:val="center"/>
          </w:tcPr>
          <w:p w14:paraId="4CD75E83">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782AFFDC">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6129A285">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11C66DAF">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4.支持全网威胁情报的搜索查询，可供攻击溯源，预知风险；支持不少于20种威胁分类，包括C&amp;C、僵木蠕、勒索、钓鱼、垃圾邮件等。</w:t>
            </w:r>
          </w:p>
        </w:tc>
        <w:tc>
          <w:tcPr>
            <w:tcW w:w="2695" w:type="dxa"/>
            <w:gridSpan w:val="2"/>
            <w:shd w:val="clear" w:color="auto" w:fill="FFFFFF"/>
            <w:tcMar>
              <w:top w:w="12" w:type="dxa"/>
              <w:left w:w="12" w:type="dxa"/>
              <w:right w:w="12" w:type="dxa"/>
            </w:tcMar>
            <w:vAlign w:val="center"/>
          </w:tcPr>
          <w:p w14:paraId="064BC22C">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7CE79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80" w:hRule="atLeast"/>
        </w:trPr>
        <w:tc>
          <w:tcPr>
            <w:tcW w:w="594" w:type="dxa"/>
            <w:gridSpan w:val="2"/>
            <w:vMerge w:val="continue"/>
            <w:shd w:val="clear" w:color="auto" w:fill="FFFFFF"/>
            <w:tcMar>
              <w:top w:w="12" w:type="dxa"/>
              <w:left w:w="12" w:type="dxa"/>
              <w:right w:w="12" w:type="dxa"/>
            </w:tcMar>
            <w:vAlign w:val="center"/>
          </w:tcPr>
          <w:p w14:paraId="57AC1CED">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247D3834">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39AEC654">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1EBDB195">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5.支持策略分析功能，支持策略命中分析、策略冗余分析、策略冲突检查，可在WEB界面显示检测结果；支持实时和周期性对所有安全策略进行分析。</w:t>
            </w:r>
          </w:p>
        </w:tc>
        <w:tc>
          <w:tcPr>
            <w:tcW w:w="2695" w:type="dxa"/>
            <w:gridSpan w:val="2"/>
            <w:shd w:val="clear" w:color="auto" w:fill="FFFFFF"/>
            <w:tcMar>
              <w:top w:w="12" w:type="dxa"/>
              <w:left w:w="12" w:type="dxa"/>
              <w:right w:w="12" w:type="dxa"/>
            </w:tcMar>
            <w:vAlign w:val="center"/>
          </w:tcPr>
          <w:p w14:paraId="41850206">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2C62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065B5747">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592F2655">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436A86D3">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326DC101">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6.内网资产监控，可对终端风险级别、操作系统、浏览器类型、应用、杀毒软件等方面进行监控。</w:t>
            </w:r>
          </w:p>
        </w:tc>
        <w:tc>
          <w:tcPr>
            <w:tcW w:w="2695" w:type="dxa"/>
            <w:gridSpan w:val="2"/>
            <w:shd w:val="clear" w:color="auto" w:fill="FFFFFF"/>
            <w:tcMar>
              <w:top w:w="12" w:type="dxa"/>
              <w:left w:w="12" w:type="dxa"/>
              <w:right w:w="12" w:type="dxa"/>
            </w:tcMar>
            <w:vAlign w:val="center"/>
          </w:tcPr>
          <w:p w14:paraId="356AF990">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2D2C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80" w:hRule="atLeast"/>
        </w:trPr>
        <w:tc>
          <w:tcPr>
            <w:tcW w:w="594" w:type="dxa"/>
            <w:gridSpan w:val="2"/>
            <w:vMerge w:val="continue"/>
            <w:shd w:val="clear" w:color="auto" w:fill="FFFFFF"/>
            <w:tcMar>
              <w:top w:w="12" w:type="dxa"/>
              <w:left w:w="12" w:type="dxa"/>
              <w:right w:w="12" w:type="dxa"/>
            </w:tcMar>
            <w:vAlign w:val="center"/>
          </w:tcPr>
          <w:p w14:paraId="6B917182">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1771DC74">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546315BA">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51A6B7B3">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7.支持健康检测，支持在某一时间段内逐级深入，并纂取任一时间内的详细信息，并可导出系统日志。</w:t>
            </w:r>
          </w:p>
        </w:tc>
        <w:tc>
          <w:tcPr>
            <w:tcW w:w="2695" w:type="dxa"/>
            <w:gridSpan w:val="2"/>
            <w:shd w:val="clear" w:color="auto" w:fill="FFFFFF"/>
            <w:tcMar>
              <w:top w:w="12" w:type="dxa"/>
              <w:left w:w="12" w:type="dxa"/>
              <w:right w:w="12" w:type="dxa"/>
            </w:tcMar>
            <w:vAlign w:val="center"/>
          </w:tcPr>
          <w:p w14:paraId="3E2E2504">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567B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594" w:type="dxa"/>
            <w:gridSpan w:val="2"/>
            <w:vMerge w:val="continue"/>
            <w:shd w:val="clear" w:color="auto" w:fill="FFFFFF"/>
            <w:tcMar>
              <w:top w:w="12" w:type="dxa"/>
              <w:left w:w="12" w:type="dxa"/>
              <w:right w:w="12" w:type="dxa"/>
            </w:tcMar>
            <w:vAlign w:val="center"/>
          </w:tcPr>
          <w:p w14:paraId="0E3C72C3">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10E64AD2">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0DAED937">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4C795EF0">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w:t>
            </w:r>
            <w:r>
              <w:rPr>
                <w:rFonts w:hint="eastAsia" w:asciiTheme="minorEastAsia" w:hAnsiTheme="minorEastAsia" w:eastAsiaTheme="minorEastAsia" w:cstheme="minorEastAsia"/>
                <w:b w:val="0"/>
                <w:bCs w:val="0"/>
                <w:snapToGrid/>
                <w:color w:val="auto"/>
                <w:sz w:val="24"/>
                <w:szCs w:val="24"/>
                <w:highlight w:val="none"/>
                <w:lang w:eastAsia="zh-CN" w:bidi="ar"/>
              </w:rPr>
              <w:t>8.支持120+种翻墙代理软件的审计控制，可独立展示翻墙行为代理服务器所属地域、用户、用户组、应用等排行。</w:t>
            </w:r>
          </w:p>
        </w:tc>
        <w:tc>
          <w:tcPr>
            <w:tcW w:w="2695" w:type="dxa"/>
            <w:gridSpan w:val="2"/>
            <w:shd w:val="clear" w:color="auto" w:fill="FFFFFF"/>
            <w:tcMar>
              <w:top w:w="12" w:type="dxa"/>
              <w:left w:w="12" w:type="dxa"/>
              <w:right w:w="12" w:type="dxa"/>
            </w:tcMar>
            <w:vAlign w:val="center"/>
          </w:tcPr>
          <w:p w14:paraId="71280E1D">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提供包含相关指标项的证明材料，证明材料可以使用生产厂家官方网站截图或产品白皮书或第三方机构检验报告或其他相关证明材料，并加盖制造商公章。</w:t>
            </w:r>
          </w:p>
        </w:tc>
      </w:tr>
      <w:tr w14:paraId="752A0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7F226938">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4DA1D43D">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6644EC73">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27B2A309">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color w:val="auto"/>
                <w:spacing w:val="0"/>
                <w:w w:val="100"/>
                <w:position w:val="0"/>
                <w:sz w:val="21"/>
                <w:szCs w:val="21"/>
                <w:highlight w:val="none"/>
              </w:rPr>
              <w:t>★</w:t>
            </w:r>
            <w:r>
              <w:rPr>
                <w:rFonts w:hint="eastAsia" w:asciiTheme="minorEastAsia" w:hAnsiTheme="minorEastAsia" w:eastAsiaTheme="minorEastAsia" w:cstheme="minorEastAsia"/>
                <w:b w:val="0"/>
                <w:bCs w:val="0"/>
                <w:color w:val="auto"/>
                <w:spacing w:val="0"/>
                <w:w w:val="100"/>
                <w:position w:val="0"/>
                <w:sz w:val="21"/>
                <w:szCs w:val="21"/>
                <w:highlight w:val="none"/>
                <w:lang w:val="en-US" w:eastAsia="zh-CN"/>
              </w:rPr>
              <w:t>9.</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产品需具备网络关键设备和网络安全专用产品安全认证证书</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或</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网络安全专用产品安全检测证书。</w:t>
            </w:r>
          </w:p>
        </w:tc>
        <w:tc>
          <w:tcPr>
            <w:tcW w:w="2695" w:type="dxa"/>
            <w:gridSpan w:val="2"/>
            <w:shd w:val="clear" w:color="auto" w:fill="FFFFFF"/>
            <w:tcMar>
              <w:top w:w="12" w:type="dxa"/>
              <w:left w:w="12" w:type="dxa"/>
              <w:right w:w="12" w:type="dxa"/>
            </w:tcMar>
            <w:vAlign w:val="center"/>
          </w:tcPr>
          <w:p w14:paraId="3DA5A2FE">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kern w:val="2"/>
                <w:sz w:val="24"/>
                <w:szCs w:val="24"/>
                <w:highlight w:val="none"/>
                <w:lang w:eastAsia="zh-CN"/>
              </w:rPr>
              <w:t>列入《网络关键设备和网络安全专用产品目录》的网络安全专用产品，应当按照《信息安全技术网络安全专用产品安全技术要求》等相关国家标准的强制性要求，由具备资格的机构安全认证合格或者安全检测符合要求。</w:t>
            </w:r>
          </w:p>
        </w:tc>
      </w:tr>
      <w:tr w14:paraId="4F67A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94" w:type="dxa"/>
            <w:gridSpan w:val="2"/>
            <w:vMerge w:val="restart"/>
            <w:shd w:val="clear" w:color="auto" w:fill="FFFFFF"/>
            <w:tcMar>
              <w:top w:w="12" w:type="dxa"/>
              <w:left w:w="12" w:type="dxa"/>
              <w:right w:w="12" w:type="dxa"/>
            </w:tcMar>
            <w:vAlign w:val="center"/>
          </w:tcPr>
          <w:p w14:paraId="3060FA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3</w:t>
            </w:r>
          </w:p>
        </w:tc>
        <w:tc>
          <w:tcPr>
            <w:tcW w:w="1126" w:type="dxa"/>
            <w:gridSpan w:val="2"/>
            <w:vMerge w:val="restart"/>
            <w:shd w:val="clear" w:color="auto" w:fill="FFFFFF"/>
            <w:tcMar>
              <w:top w:w="12" w:type="dxa"/>
              <w:left w:w="12" w:type="dxa"/>
              <w:right w:w="12" w:type="dxa"/>
            </w:tcMar>
            <w:vAlign w:val="center"/>
          </w:tcPr>
          <w:p w14:paraId="09ED1CA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负载均衡</w:t>
            </w:r>
          </w:p>
        </w:tc>
        <w:tc>
          <w:tcPr>
            <w:tcW w:w="1496" w:type="dxa"/>
            <w:gridSpan w:val="2"/>
            <w:shd w:val="clear" w:color="auto" w:fill="auto"/>
            <w:tcMar>
              <w:top w:w="12" w:type="dxa"/>
              <w:left w:w="12" w:type="dxa"/>
              <w:right w:w="12" w:type="dxa"/>
            </w:tcMar>
            <w:vAlign w:val="center"/>
          </w:tcPr>
          <w:p w14:paraId="051C9F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双栈接入</w:t>
            </w:r>
          </w:p>
        </w:tc>
        <w:tc>
          <w:tcPr>
            <w:tcW w:w="3112" w:type="dxa"/>
            <w:gridSpan w:val="3"/>
            <w:shd w:val="clear" w:color="auto" w:fill="auto"/>
            <w:tcMar>
              <w:top w:w="12" w:type="dxa"/>
              <w:left w:w="12" w:type="dxa"/>
              <w:right w:w="12" w:type="dxa"/>
            </w:tcMar>
            <w:vAlign w:val="center"/>
          </w:tcPr>
          <w:p w14:paraId="012903D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支持IPV6/IPV4双栈，支持NAT66、NAT64、NAT46、DNS64可对过渡型网络进行负载均衡。</w:t>
            </w:r>
          </w:p>
        </w:tc>
        <w:tc>
          <w:tcPr>
            <w:tcW w:w="2695" w:type="dxa"/>
            <w:gridSpan w:val="2"/>
            <w:shd w:val="clear" w:color="auto" w:fill="FFFFFF"/>
            <w:tcMar>
              <w:top w:w="12" w:type="dxa"/>
              <w:left w:w="12" w:type="dxa"/>
              <w:right w:w="12" w:type="dxa"/>
            </w:tcMar>
            <w:vAlign w:val="center"/>
          </w:tcPr>
          <w:p w14:paraId="6E78F9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71C8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0" w:hRule="atLeast"/>
        </w:trPr>
        <w:tc>
          <w:tcPr>
            <w:tcW w:w="594" w:type="dxa"/>
            <w:gridSpan w:val="2"/>
            <w:vMerge w:val="continue"/>
            <w:shd w:val="clear" w:color="auto" w:fill="FFFFFF"/>
            <w:tcMar>
              <w:top w:w="12" w:type="dxa"/>
              <w:left w:w="12" w:type="dxa"/>
              <w:right w:w="12" w:type="dxa"/>
            </w:tcMar>
            <w:vAlign w:val="center"/>
          </w:tcPr>
          <w:p w14:paraId="4CF034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18A870D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259476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链路入站负载均衡算法</w:t>
            </w:r>
          </w:p>
        </w:tc>
        <w:tc>
          <w:tcPr>
            <w:tcW w:w="3112" w:type="dxa"/>
            <w:gridSpan w:val="3"/>
            <w:shd w:val="clear" w:color="auto" w:fill="auto"/>
            <w:tcMar>
              <w:top w:w="12" w:type="dxa"/>
              <w:left w:w="12" w:type="dxa"/>
              <w:right w:w="12" w:type="dxa"/>
            </w:tcMar>
            <w:vAlign w:val="center"/>
          </w:tcPr>
          <w:p w14:paraId="7D9DECC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支持轮询算法、比率算法、拓扑算法、备用地址算法、丢包算法、最小连接数算法、最小往返延时算法、最小连接速率算法、最小跳数算法、最小包速率算法、最大带宽利用率算法。</w:t>
            </w:r>
          </w:p>
        </w:tc>
        <w:tc>
          <w:tcPr>
            <w:tcW w:w="2695" w:type="dxa"/>
            <w:gridSpan w:val="2"/>
            <w:shd w:val="clear" w:color="auto" w:fill="FFFFFF"/>
            <w:tcMar>
              <w:top w:w="12" w:type="dxa"/>
              <w:left w:w="12" w:type="dxa"/>
              <w:right w:w="12" w:type="dxa"/>
            </w:tcMar>
            <w:vAlign w:val="center"/>
          </w:tcPr>
          <w:p w14:paraId="3DA2E9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431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0" w:hRule="atLeast"/>
        </w:trPr>
        <w:tc>
          <w:tcPr>
            <w:tcW w:w="594" w:type="dxa"/>
            <w:gridSpan w:val="2"/>
            <w:vMerge w:val="continue"/>
            <w:shd w:val="clear" w:color="auto" w:fill="FFFFFF"/>
            <w:tcMar>
              <w:top w:w="12" w:type="dxa"/>
              <w:left w:w="12" w:type="dxa"/>
              <w:right w:w="12" w:type="dxa"/>
            </w:tcMar>
            <w:vAlign w:val="center"/>
          </w:tcPr>
          <w:p w14:paraId="55E5DD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7A2D1E0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3D74FB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链路出站负载均衡算法</w:t>
            </w:r>
          </w:p>
        </w:tc>
        <w:tc>
          <w:tcPr>
            <w:tcW w:w="3112" w:type="dxa"/>
            <w:gridSpan w:val="3"/>
            <w:shd w:val="clear" w:color="auto" w:fill="auto"/>
            <w:tcMar>
              <w:top w:w="12" w:type="dxa"/>
              <w:left w:w="12" w:type="dxa"/>
              <w:right w:w="12" w:type="dxa"/>
            </w:tcMar>
            <w:vAlign w:val="center"/>
          </w:tcPr>
          <w:p w14:paraId="283388C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轮询算法、比率算法、带宽比率算法、首个有效算法、随机算法、加权随机算法、丢包算法、最小连接数算法、加权最小连接数算法、最小流量算法、加权最小流量算法、观察者算法、最小包速率算法、最小带宽算法、最小连接速率算法、静态就近算法、动态就近算法、静态就近（HA）算法、源地址算法、目的地址算法、源地址和源端口算法。</w:t>
            </w:r>
          </w:p>
        </w:tc>
        <w:tc>
          <w:tcPr>
            <w:tcW w:w="2695" w:type="dxa"/>
            <w:gridSpan w:val="2"/>
            <w:shd w:val="clear" w:color="auto" w:fill="FFFFFF"/>
            <w:tcMar>
              <w:top w:w="12" w:type="dxa"/>
              <w:left w:w="12" w:type="dxa"/>
              <w:right w:w="12" w:type="dxa"/>
            </w:tcMar>
            <w:vAlign w:val="center"/>
          </w:tcPr>
          <w:p w14:paraId="1B8323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316E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4" w:hRule="atLeast"/>
        </w:trPr>
        <w:tc>
          <w:tcPr>
            <w:tcW w:w="594" w:type="dxa"/>
            <w:gridSpan w:val="2"/>
            <w:vMerge w:val="continue"/>
            <w:shd w:val="clear" w:color="auto" w:fill="FFFFFF"/>
            <w:tcMar>
              <w:top w:w="12" w:type="dxa"/>
              <w:left w:w="12" w:type="dxa"/>
              <w:right w:w="12" w:type="dxa"/>
            </w:tcMar>
            <w:vAlign w:val="center"/>
          </w:tcPr>
          <w:p w14:paraId="0D083D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533F0B9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5A7C72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DNS Server</w:t>
            </w:r>
          </w:p>
        </w:tc>
        <w:tc>
          <w:tcPr>
            <w:tcW w:w="3112" w:type="dxa"/>
            <w:gridSpan w:val="3"/>
            <w:shd w:val="clear" w:color="auto" w:fill="auto"/>
            <w:tcMar>
              <w:top w:w="12" w:type="dxa"/>
              <w:left w:w="12" w:type="dxa"/>
              <w:right w:w="12" w:type="dxa"/>
            </w:tcMar>
            <w:vAlign w:val="center"/>
          </w:tcPr>
          <w:p w14:paraId="30BF97B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支持主域名服务器、从域名服务器和转发域名服务器。</w:t>
            </w:r>
          </w:p>
        </w:tc>
        <w:tc>
          <w:tcPr>
            <w:tcW w:w="2695" w:type="dxa"/>
            <w:gridSpan w:val="2"/>
            <w:shd w:val="clear" w:color="auto" w:fill="FFFFFF"/>
            <w:tcMar>
              <w:top w:w="12" w:type="dxa"/>
              <w:left w:w="12" w:type="dxa"/>
              <w:right w:w="12" w:type="dxa"/>
            </w:tcMar>
            <w:vAlign w:val="center"/>
          </w:tcPr>
          <w:p w14:paraId="17BBB1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2968A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28A2AE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4A78A55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1AF6E6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地址库</w:t>
            </w:r>
          </w:p>
        </w:tc>
        <w:tc>
          <w:tcPr>
            <w:tcW w:w="3112" w:type="dxa"/>
            <w:gridSpan w:val="3"/>
            <w:shd w:val="clear" w:color="auto" w:fill="auto"/>
            <w:tcMar>
              <w:top w:w="12" w:type="dxa"/>
              <w:left w:w="12" w:type="dxa"/>
              <w:right w:w="12" w:type="dxa"/>
            </w:tcMar>
            <w:vAlign w:val="center"/>
          </w:tcPr>
          <w:p w14:paraId="1E03935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地址库包含国内ISP地址库、全国地址库和全球地址库，支持地址库手动导入，支持地址库查询。</w:t>
            </w:r>
          </w:p>
        </w:tc>
        <w:tc>
          <w:tcPr>
            <w:tcW w:w="2695" w:type="dxa"/>
            <w:gridSpan w:val="2"/>
            <w:shd w:val="clear" w:color="auto" w:fill="FFFFFF"/>
            <w:tcMar>
              <w:top w:w="12" w:type="dxa"/>
              <w:left w:w="12" w:type="dxa"/>
              <w:right w:w="12" w:type="dxa"/>
            </w:tcMar>
            <w:vAlign w:val="center"/>
          </w:tcPr>
          <w:p w14:paraId="410849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62E83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34F9FA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5E28265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67B27C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域名库</w:t>
            </w:r>
          </w:p>
        </w:tc>
        <w:tc>
          <w:tcPr>
            <w:tcW w:w="3112" w:type="dxa"/>
            <w:gridSpan w:val="3"/>
            <w:shd w:val="clear" w:color="auto" w:fill="auto"/>
            <w:tcMar>
              <w:top w:w="12" w:type="dxa"/>
              <w:left w:w="12" w:type="dxa"/>
              <w:right w:w="12" w:type="dxa"/>
            </w:tcMar>
            <w:vAlign w:val="center"/>
          </w:tcPr>
          <w:p w14:paraId="0EAA27D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域名地址库，内置国外域名地址库，可将访问国外域名的请求分发至指定线路，实现对国外域名访问的优化，支持自定义域名信息。</w:t>
            </w:r>
          </w:p>
        </w:tc>
        <w:tc>
          <w:tcPr>
            <w:tcW w:w="2695" w:type="dxa"/>
            <w:gridSpan w:val="2"/>
            <w:shd w:val="clear" w:color="auto" w:fill="FFFFFF"/>
            <w:tcMar>
              <w:top w:w="12" w:type="dxa"/>
              <w:left w:w="12" w:type="dxa"/>
              <w:right w:w="12" w:type="dxa"/>
            </w:tcMar>
            <w:vAlign w:val="center"/>
          </w:tcPr>
          <w:p w14:paraId="7DDAB8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78DB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2" w:hRule="atLeast"/>
        </w:trPr>
        <w:tc>
          <w:tcPr>
            <w:tcW w:w="594" w:type="dxa"/>
            <w:gridSpan w:val="2"/>
            <w:vMerge w:val="continue"/>
            <w:shd w:val="clear" w:color="auto" w:fill="FFFFFF"/>
            <w:tcMar>
              <w:top w:w="12" w:type="dxa"/>
              <w:left w:w="12" w:type="dxa"/>
              <w:right w:w="12" w:type="dxa"/>
            </w:tcMar>
            <w:vAlign w:val="center"/>
          </w:tcPr>
          <w:p w14:paraId="3F04C6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72F3A5D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798BDD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服务器健康检查</w:t>
            </w:r>
          </w:p>
        </w:tc>
        <w:tc>
          <w:tcPr>
            <w:tcW w:w="3112" w:type="dxa"/>
            <w:gridSpan w:val="3"/>
            <w:shd w:val="clear" w:color="auto" w:fill="auto"/>
            <w:tcMar>
              <w:top w:w="12" w:type="dxa"/>
              <w:left w:w="12" w:type="dxa"/>
              <w:right w:w="12" w:type="dxa"/>
            </w:tcMar>
            <w:vAlign w:val="center"/>
          </w:tcPr>
          <w:p w14:paraId="008ED05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支持主动健康检查和被动健康检查相结合的方式；健康检查类型包括ICMP、TCP、TCP_ECV、UDP、TCP被动、HTTP、HTTPS、FIX、SSL、SOAP、HTTP被动、RADIUS、LDAP、WAP、DNS、IMAP、POP3、SMTP、FTP、EXTERNAL、数据库等。</w:t>
            </w:r>
          </w:p>
        </w:tc>
        <w:tc>
          <w:tcPr>
            <w:tcW w:w="2695" w:type="dxa"/>
            <w:gridSpan w:val="2"/>
            <w:shd w:val="clear" w:color="auto" w:fill="FFFFFF"/>
            <w:tcMar>
              <w:top w:w="12" w:type="dxa"/>
              <w:left w:w="12" w:type="dxa"/>
              <w:right w:w="12" w:type="dxa"/>
            </w:tcMar>
            <w:vAlign w:val="center"/>
          </w:tcPr>
          <w:p w14:paraId="2ED42A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1CC8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2" w:hRule="atLeast"/>
        </w:trPr>
        <w:tc>
          <w:tcPr>
            <w:tcW w:w="594" w:type="dxa"/>
            <w:gridSpan w:val="2"/>
            <w:vMerge w:val="continue"/>
            <w:shd w:val="clear" w:color="auto" w:fill="FFFFFF"/>
            <w:tcMar>
              <w:top w:w="12" w:type="dxa"/>
              <w:left w:w="12" w:type="dxa"/>
              <w:right w:w="12" w:type="dxa"/>
            </w:tcMar>
            <w:vAlign w:val="center"/>
          </w:tcPr>
          <w:p w14:paraId="11EA2C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146060E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2E34FB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X-forward-for</w:t>
            </w:r>
          </w:p>
        </w:tc>
        <w:tc>
          <w:tcPr>
            <w:tcW w:w="3112" w:type="dxa"/>
            <w:gridSpan w:val="3"/>
            <w:shd w:val="clear" w:color="auto" w:fill="auto"/>
            <w:tcMar>
              <w:top w:w="12" w:type="dxa"/>
              <w:left w:w="12" w:type="dxa"/>
              <w:right w:w="12" w:type="dxa"/>
            </w:tcMar>
            <w:vAlign w:val="center"/>
          </w:tcPr>
          <w:p w14:paraId="0F19FA6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支持X-forward-for，将客户端IP添加地址到 HTTP 请求报文的X-forward-for扩展头中，便于后期溯源。</w:t>
            </w:r>
          </w:p>
        </w:tc>
        <w:tc>
          <w:tcPr>
            <w:tcW w:w="2695" w:type="dxa"/>
            <w:gridSpan w:val="2"/>
            <w:shd w:val="clear" w:color="auto" w:fill="FFFFFF"/>
            <w:tcMar>
              <w:top w:w="12" w:type="dxa"/>
              <w:left w:w="12" w:type="dxa"/>
              <w:right w:w="12" w:type="dxa"/>
            </w:tcMar>
            <w:vAlign w:val="center"/>
          </w:tcPr>
          <w:p w14:paraId="1580FF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308B7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2" w:hRule="atLeast"/>
        </w:trPr>
        <w:tc>
          <w:tcPr>
            <w:tcW w:w="594" w:type="dxa"/>
            <w:gridSpan w:val="2"/>
            <w:vMerge w:val="continue"/>
            <w:shd w:val="clear" w:color="auto" w:fill="FFFFFF"/>
            <w:tcMar>
              <w:top w:w="12" w:type="dxa"/>
              <w:left w:w="12" w:type="dxa"/>
              <w:right w:w="12" w:type="dxa"/>
            </w:tcMar>
            <w:vAlign w:val="center"/>
          </w:tcPr>
          <w:p w14:paraId="14F0B7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5B6E27A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259A42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数据库读写分离</w:t>
            </w:r>
          </w:p>
        </w:tc>
        <w:tc>
          <w:tcPr>
            <w:tcW w:w="3112" w:type="dxa"/>
            <w:gridSpan w:val="3"/>
            <w:shd w:val="clear" w:color="auto" w:fill="auto"/>
            <w:tcMar>
              <w:top w:w="12" w:type="dxa"/>
              <w:left w:w="12" w:type="dxa"/>
              <w:right w:w="12" w:type="dxa"/>
            </w:tcMar>
            <w:vAlign w:val="center"/>
          </w:tcPr>
          <w:p w14:paraId="4244DA2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▲利用读写分离技术实现数据库负载，通过对数据库操作请求做内容解析，将其中的写操作调度到指定服务器，减少服务器压力，提高数据库资源利用率，提升业务响应速度。</w:t>
            </w:r>
          </w:p>
        </w:tc>
        <w:tc>
          <w:tcPr>
            <w:tcW w:w="2695" w:type="dxa"/>
            <w:gridSpan w:val="2"/>
            <w:shd w:val="clear" w:color="auto" w:fill="FFFFFF"/>
            <w:tcMar>
              <w:top w:w="12" w:type="dxa"/>
              <w:left w:w="12" w:type="dxa"/>
              <w:right w:w="12" w:type="dxa"/>
            </w:tcMar>
            <w:vAlign w:val="center"/>
          </w:tcPr>
          <w:p w14:paraId="599ADA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w:t>
            </w:r>
          </w:p>
        </w:tc>
      </w:tr>
      <w:tr w14:paraId="092D6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739831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01306F1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35975D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SSL 卸载</w:t>
            </w:r>
          </w:p>
        </w:tc>
        <w:tc>
          <w:tcPr>
            <w:tcW w:w="3112" w:type="dxa"/>
            <w:gridSpan w:val="3"/>
            <w:shd w:val="clear" w:color="auto" w:fill="auto"/>
            <w:tcMar>
              <w:top w:w="12" w:type="dxa"/>
              <w:left w:w="12" w:type="dxa"/>
              <w:right w:w="12" w:type="dxa"/>
            </w:tcMar>
            <w:vAlign w:val="center"/>
          </w:tcPr>
          <w:p w14:paraId="5613F7E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内置SSL 卸载模块，SSL工作减轻服务器负担。支持服务器CA证书导入，提供证书单向和双向认证，双向认证支持透传客户端证书给后台服务器。</w:t>
            </w:r>
          </w:p>
        </w:tc>
        <w:tc>
          <w:tcPr>
            <w:tcW w:w="2695" w:type="dxa"/>
            <w:gridSpan w:val="2"/>
            <w:shd w:val="clear" w:color="auto" w:fill="FFFFFF"/>
            <w:tcMar>
              <w:top w:w="12" w:type="dxa"/>
              <w:left w:w="12" w:type="dxa"/>
              <w:right w:w="12" w:type="dxa"/>
            </w:tcMar>
            <w:vAlign w:val="center"/>
          </w:tcPr>
          <w:p w14:paraId="6C699C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64C53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7F459C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5DF98F5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144E13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页面加速</w:t>
            </w:r>
          </w:p>
        </w:tc>
        <w:tc>
          <w:tcPr>
            <w:tcW w:w="3112" w:type="dxa"/>
            <w:gridSpan w:val="3"/>
            <w:shd w:val="clear" w:color="auto" w:fill="auto"/>
            <w:tcMar>
              <w:top w:w="12" w:type="dxa"/>
              <w:left w:w="12" w:type="dxa"/>
              <w:right w:w="12" w:type="dxa"/>
            </w:tcMar>
            <w:vAlign w:val="center"/>
          </w:tcPr>
          <w:p w14:paraId="6A60DB5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支持CSS加速功能，支持内嵌CSS,合并CSS,最小化CSS；支持JavaScript加速功能，支持内嵌JS，合并JS，最小化JS；支持HTML加速功能，支持去除空白，去除注释；支持图片加速功能，支持内嵌图片，转换图片格式。</w:t>
            </w:r>
          </w:p>
        </w:tc>
        <w:tc>
          <w:tcPr>
            <w:tcW w:w="2695" w:type="dxa"/>
            <w:gridSpan w:val="2"/>
            <w:shd w:val="clear" w:color="auto" w:fill="FFFFFF"/>
            <w:tcMar>
              <w:top w:w="12" w:type="dxa"/>
              <w:left w:w="12" w:type="dxa"/>
              <w:right w:w="12" w:type="dxa"/>
            </w:tcMar>
            <w:vAlign w:val="center"/>
          </w:tcPr>
          <w:p w14:paraId="72ACB1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16D92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2" w:hRule="atLeast"/>
        </w:trPr>
        <w:tc>
          <w:tcPr>
            <w:tcW w:w="594" w:type="dxa"/>
            <w:gridSpan w:val="2"/>
            <w:vMerge w:val="continue"/>
            <w:shd w:val="clear" w:color="auto" w:fill="FFFFFF"/>
            <w:tcMar>
              <w:top w:w="12" w:type="dxa"/>
              <w:left w:w="12" w:type="dxa"/>
              <w:right w:w="12" w:type="dxa"/>
            </w:tcMar>
            <w:vAlign w:val="center"/>
          </w:tcPr>
          <w:p w14:paraId="7D5553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2CFE552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6F4AE6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安全防护</w:t>
            </w:r>
          </w:p>
        </w:tc>
        <w:tc>
          <w:tcPr>
            <w:tcW w:w="3112" w:type="dxa"/>
            <w:gridSpan w:val="3"/>
            <w:shd w:val="clear" w:color="auto" w:fill="auto"/>
            <w:tcMar>
              <w:top w:w="12" w:type="dxa"/>
              <w:left w:w="12" w:type="dxa"/>
              <w:right w:w="12" w:type="dxa"/>
            </w:tcMar>
            <w:vAlign w:val="center"/>
          </w:tcPr>
          <w:p w14:paraId="5BB1A2F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网络防火墙功能，支持基于源地址、源区域、源端口、目的地址、目的区域、服务、时间进行访问控制；支持Web应用防火墙功能，支持跨站脚本攻击(XSS)、扫描器防护(Scanner)、SQL注入攻击(SQLi)、系统命令注入攻击(OSI)、远程文件包含攻击(RFI)、路径遍历(Path Traversal)、信息泄露攻击(Info Leak)、LDAP 注入攻击(LDAPInjection)、Webshell 检测、XPath 注入攻击(XPathInjection)、SSI 注入攻击(SSI Injection)、Web 服务器漏洞攻击。</w:t>
            </w:r>
          </w:p>
        </w:tc>
        <w:tc>
          <w:tcPr>
            <w:tcW w:w="2695" w:type="dxa"/>
            <w:gridSpan w:val="2"/>
            <w:shd w:val="clear" w:color="auto" w:fill="FFFFFF"/>
            <w:tcMar>
              <w:top w:w="12" w:type="dxa"/>
              <w:left w:w="12" w:type="dxa"/>
              <w:right w:w="12" w:type="dxa"/>
            </w:tcMar>
            <w:vAlign w:val="center"/>
          </w:tcPr>
          <w:p w14:paraId="764B2F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w:t>
            </w:r>
          </w:p>
        </w:tc>
      </w:tr>
      <w:tr w14:paraId="4FC63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2B9597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20F404D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5D18F2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DDoS 防护</w:t>
            </w:r>
          </w:p>
        </w:tc>
        <w:tc>
          <w:tcPr>
            <w:tcW w:w="3112" w:type="dxa"/>
            <w:gridSpan w:val="3"/>
            <w:shd w:val="clear" w:color="auto" w:fill="auto"/>
            <w:tcMar>
              <w:top w:w="12" w:type="dxa"/>
              <w:left w:w="12" w:type="dxa"/>
              <w:right w:w="12" w:type="dxa"/>
            </w:tcMar>
            <w:vAlign w:val="center"/>
          </w:tcPr>
          <w:p w14:paraId="69DE57B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支持四到七层抗DDoS攻击功能。支持IP、ICMP、TCP、UDP、DNS、HTTP、HTTPS、NTP、SIP。</w:t>
            </w:r>
          </w:p>
        </w:tc>
        <w:tc>
          <w:tcPr>
            <w:tcW w:w="2695" w:type="dxa"/>
            <w:gridSpan w:val="2"/>
            <w:shd w:val="clear" w:color="auto" w:fill="FFFFFF"/>
            <w:tcMar>
              <w:top w:w="12" w:type="dxa"/>
              <w:left w:w="12" w:type="dxa"/>
              <w:right w:w="12" w:type="dxa"/>
            </w:tcMar>
            <w:vAlign w:val="center"/>
          </w:tcPr>
          <w:p w14:paraId="0DC8A0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77ABD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7595F4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17B0829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188114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漏洞扫描</w:t>
            </w:r>
          </w:p>
        </w:tc>
        <w:tc>
          <w:tcPr>
            <w:tcW w:w="3112" w:type="dxa"/>
            <w:gridSpan w:val="3"/>
            <w:shd w:val="clear" w:color="auto" w:fill="FFFFFF"/>
            <w:tcMar>
              <w:top w:w="12" w:type="dxa"/>
              <w:left w:w="12" w:type="dxa"/>
              <w:right w:w="12" w:type="dxa"/>
            </w:tcMar>
            <w:vAlign w:val="center"/>
          </w:tcPr>
          <w:p w14:paraId="5B7EB0D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提供漏洞扫描功能。设备内置漏洞特征库，可针对应用服务器或者整个IP网段进行定向扫描分析，发现服务器操作系统漏洞并生成漏洞分析报告。</w:t>
            </w:r>
          </w:p>
        </w:tc>
        <w:tc>
          <w:tcPr>
            <w:tcW w:w="2695" w:type="dxa"/>
            <w:gridSpan w:val="2"/>
            <w:shd w:val="clear" w:color="auto" w:fill="FFFFFF"/>
            <w:tcMar>
              <w:top w:w="12" w:type="dxa"/>
              <w:left w:w="12" w:type="dxa"/>
              <w:right w:w="12" w:type="dxa"/>
            </w:tcMar>
            <w:vAlign w:val="center"/>
          </w:tcPr>
          <w:p w14:paraId="14B4AE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1BE48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38C1F4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416B6E9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1DCCB8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HTTP2.0</w:t>
            </w:r>
          </w:p>
        </w:tc>
        <w:tc>
          <w:tcPr>
            <w:tcW w:w="3112" w:type="dxa"/>
            <w:gridSpan w:val="3"/>
            <w:shd w:val="clear" w:color="auto" w:fill="auto"/>
            <w:tcMar>
              <w:top w:w="12" w:type="dxa"/>
              <w:left w:w="12" w:type="dxa"/>
              <w:right w:w="12" w:type="dxa"/>
            </w:tcMar>
            <w:vAlign w:val="center"/>
          </w:tcPr>
          <w:p w14:paraId="2E48B28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支持HTTP2网关部署，在不改变web服务器的情况下将对外服务协议从HTTP1.1/1.0升级至HTTP/2，提升终端用户使用体验和业务安全性。</w:t>
            </w:r>
          </w:p>
        </w:tc>
        <w:tc>
          <w:tcPr>
            <w:tcW w:w="2695" w:type="dxa"/>
            <w:gridSpan w:val="2"/>
            <w:shd w:val="clear" w:color="auto" w:fill="FFFFFF"/>
            <w:tcMar>
              <w:top w:w="12" w:type="dxa"/>
              <w:left w:w="12" w:type="dxa"/>
              <w:right w:w="12" w:type="dxa"/>
            </w:tcMar>
            <w:vAlign w:val="center"/>
          </w:tcPr>
          <w:p w14:paraId="64C514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7526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16EABC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349FB5C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73E909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系统管理</w:t>
            </w:r>
          </w:p>
        </w:tc>
        <w:tc>
          <w:tcPr>
            <w:tcW w:w="3112" w:type="dxa"/>
            <w:gridSpan w:val="3"/>
            <w:shd w:val="clear" w:color="auto" w:fill="auto"/>
            <w:tcMar>
              <w:top w:w="12" w:type="dxa"/>
              <w:left w:w="12" w:type="dxa"/>
              <w:right w:w="12" w:type="dxa"/>
            </w:tcMar>
            <w:vAlign w:val="center"/>
          </w:tcPr>
          <w:p w14:paraId="650FFC3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支持标准的 RESTful 等形式的 API 接口，可与主流的自动化运维工具对接。</w:t>
            </w:r>
          </w:p>
        </w:tc>
        <w:tc>
          <w:tcPr>
            <w:tcW w:w="2695" w:type="dxa"/>
            <w:gridSpan w:val="2"/>
            <w:shd w:val="clear" w:color="auto" w:fill="FFFFFF"/>
            <w:tcMar>
              <w:top w:w="12" w:type="dxa"/>
              <w:left w:w="12" w:type="dxa"/>
              <w:right w:w="12" w:type="dxa"/>
            </w:tcMar>
            <w:vAlign w:val="center"/>
          </w:tcPr>
          <w:p w14:paraId="10EC83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76638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0C5DF4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46B0CEB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3A330A7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VPN 功能</w:t>
            </w:r>
          </w:p>
        </w:tc>
        <w:tc>
          <w:tcPr>
            <w:tcW w:w="3112" w:type="dxa"/>
            <w:gridSpan w:val="3"/>
            <w:shd w:val="clear" w:color="auto" w:fill="auto"/>
            <w:tcMar>
              <w:top w:w="12" w:type="dxa"/>
              <w:left w:w="12" w:type="dxa"/>
              <w:right w:w="12" w:type="dxa"/>
            </w:tcMar>
            <w:vAlign w:val="center"/>
          </w:tcPr>
          <w:p w14:paraId="5BE9C76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 SSL VPN 功能。</w:t>
            </w:r>
          </w:p>
        </w:tc>
        <w:tc>
          <w:tcPr>
            <w:tcW w:w="2695" w:type="dxa"/>
            <w:gridSpan w:val="2"/>
            <w:shd w:val="clear" w:color="auto" w:fill="FFFFFF"/>
            <w:tcMar>
              <w:top w:w="12" w:type="dxa"/>
              <w:left w:w="12" w:type="dxa"/>
              <w:right w:w="12" w:type="dxa"/>
            </w:tcMar>
            <w:vAlign w:val="center"/>
          </w:tcPr>
          <w:p w14:paraId="7B8253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D97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1490E2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43C341D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63ACCF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产品资质</w:t>
            </w:r>
          </w:p>
        </w:tc>
        <w:tc>
          <w:tcPr>
            <w:tcW w:w="3112" w:type="dxa"/>
            <w:gridSpan w:val="3"/>
            <w:shd w:val="clear" w:color="auto" w:fill="auto"/>
            <w:tcMar>
              <w:top w:w="12" w:type="dxa"/>
              <w:left w:w="12" w:type="dxa"/>
              <w:right w:w="12" w:type="dxa"/>
            </w:tcMar>
            <w:vAlign w:val="center"/>
          </w:tcPr>
          <w:p w14:paraId="272D96D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产品需提供《IPv6 Ready Logo认证》证书。</w:t>
            </w:r>
          </w:p>
        </w:tc>
        <w:tc>
          <w:tcPr>
            <w:tcW w:w="2695" w:type="dxa"/>
            <w:gridSpan w:val="2"/>
            <w:shd w:val="clear" w:color="auto" w:fill="FFFFFF"/>
            <w:tcMar>
              <w:top w:w="12" w:type="dxa"/>
              <w:left w:w="12" w:type="dxa"/>
              <w:right w:w="12" w:type="dxa"/>
            </w:tcMar>
            <w:vAlign w:val="center"/>
          </w:tcPr>
          <w:p w14:paraId="6D54B2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7AD4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553684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213FD06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546542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产品资质</w:t>
            </w:r>
          </w:p>
        </w:tc>
        <w:tc>
          <w:tcPr>
            <w:tcW w:w="3112" w:type="dxa"/>
            <w:gridSpan w:val="3"/>
            <w:shd w:val="clear" w:color="auto" w:fill="auto"/>
            <w:tcMar>
              <w:top w:w="12" w:type="dxa"/>
              <w:left w:w="12" w:type="dxa"/>
              <w:right w:w="12" w:type="dxa"/>
            </w:tcMar>
            <w:vAlign w:val="center"/>
          </w:tcPr>
          <w:p w14:paraId="0528AB6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color w:val="auto"/>
                <w:spacing w:val="0"/>
                <w:w w:val="100"/>
                <w:position w:val="0"/>
                <w:sz w:val="21"/>
                <w:szCs w:val="21"/>
                <w:highlight w:val="none"/>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产品需具备网络关键设备和网络安全专用产品安全认证证书</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或</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网络安全专用产品安全检测证书。</w:t>
            </w:r>
          </w:p>
        </w:tc>
        <w:tc>
          <w:tcPr>
            <w:tcW w:w="2695" w:type="dxa"/>
            <w:gridSpan w:val="2"/>
            <w:shd w:val="clear" w:color="auto" w:fill="FFFFFF"/>
            <w:tcMar>
              <w:top w:w="12" w:type="dxa"/>
              <w:left w:w="12" w:type="dxa"/>
              <w:right w:w="12" w:type="dxa"/>
            </w:tcMar>
            <w:vAlign w:val="center"/>
          </w:tcPr>
          <w:p w14:paraId="362D27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t>列入《网络关键设备和网络安全专用产品目录》的网络安全专用产品，应当按照《信息安全技术网络安全专用产品安全技术要求》等相关国家标准的强制性要求，由具备资格的机构安全认证合格或者安全检测符合要求。</w:t>
            </w:r>
          </w:p>
        </w:tc>
      </w:tr>
      <w:tr w14:paraId="63BC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4" w:hRule="atLeast"/>
        </w:trPr>
        <w:tc>
          <w:tcPr>
            <w:tcW w:w="594" w:type="dxa"/>
            <w:gridSpan w:val="2"/>
            <w:vMerge w:val="restart"/>
            <w:shd w:val="clear" w:color="auto" w:fill="FFFFFF"/>
            <w:tcMar>
              <w:top w:w="12" w:type="dxa"/>
              <w:left w:w="12" w:type="dxa"/>
              <w:right w:w="12" w:type="dxa"/>
            </w:tcMar>
            <w:vAlign w:val="center"/>
          </w:tcPr>
          <w:p w14:paraId="4A04EB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4</w:t>
            </w:r>
          </w:p>
        </w:tc>
        <w:tc>
          <w:tcPr>
            <w:tcW w:w="1126" w:type="dxa"/>
            <w:gridSpan w:val="2"/>
            <w:vMerge w:val="restart"/>
            <w:shd w:val="clear" w:color="auto" w:fill="FFFFFF"/>
            <w:tcMar>
              <w:top w:w="12" w:type="dxa"/>
              <w:left w:w="12" w:type="dxa"/>
              <w:right w:w="12" w:type="dxa"/>
            </w:tcMar>
            <w:vAlign w:val="center"/>
          </w:tcPr>
          <w:p w14:paraId="6FCCED1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网络入侵防护系统</w:t>
            </w:r>
          </w:p>
        </w:tc>
        <w:tc>
          <w:tcPr>
            <w:tcW w:w="1496" w:type="dxa"/>
            <w:gridSpan w:val="2"/>
            <w:shd w:val="clear" w:color="auto" w:fill="auto"/>
            <w:tcMar>
              <w:top w:w="12" w:type="dxa"/>
              <w:left w:w="12" w:type="dxa"/>
              <w:right w:w="12" w:type="dxa"/>
            </w:tcMar>
            <w:vAlign w:val="center"/>
          </w:tcPr>
          <w:p w14:paraId="631289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受害者视角分析</w:t>
            </w:r>
          </w:p>
        </w:tc>
        <w:tc>
          <w:tcPr>
            <w:tcW w:w="3112" w:type="dxa"/>
            <w:gridSpan w:val="3"/>
            <w:shd w:val="clear" w:color="auto" w:fill="auto"/>
            <w:tcMar>
              <w:top w:w="12" w:type="dxa"/>
              <w:left w:w="12" w:type="dxa"/>
              <w:right w:w="12" w:type="dxa"/>
            </w:tcMar>
            <w:vAlign w:val="center"/>
          </w:tcPr>
          <w:p w14:paraId="56328F5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支持受害者视角分析，按照时间范围、受害主机、事件类型、处置状态、攻击结果、应用协议等条件综合分析受害者信息。</w:t>
            </w:r>
          </w:p>
        </w:tc>
        <w:tc>
          <w:tcPr>
            <w:tcW w:w="2695" w:type="dxa"/>
            <w:gridSpan w:val="2"/>
            <w:shd w:val="clear" w:color="auto" w:fill="FFFFFF"/>
            <w:tcMar>
              <w:top w:w="12" w:type="dxa"/>
              <w:left w:w="12" w:type="dxa"/>
              <w:right w:w="12" w:type="dxa"/>
            </w:tcMar>
            <w:vAlign w:val="center"/>
          </w:tcPr>
          <w:p w14:paraId="43F8BE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6225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170717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1044560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0F0D91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DDoS 分析</w:t>
            </w:r>
          </w:p>
        </w:tc>
        <w:tc>
          <w:tcPr>
            <w:tcW w:w="3112" w:type="dxa"/>
            <w:gridSpan w:val="3"/>
            <w:shd w:val="clear" w:color="auto" w:fill="auto"/>
            <w:tcMar>
              <w:top w:w="12" w:type="dxa"/>
              <w:left w:w="12" w:type="dxa"/>
              <w:right w:w="12" w:type="dxa"/>
            </w:tcMar>
            <w:vAlign w:val="center"/>
          </w:tcPr>
          <w:p w14:paraId="602FBF3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支持DDoS 攻击事件分析，按照时间范围综合分析DDoS攻击类型分布、被攻击IP Top10、被攻击IP排名、被攻击IP流量排名等信息。</w:t>
            </w:r>
          </w:p>
        </w:tc>
        <w:tc>
          <w:tcPr>
            <w:tcW w:w="2695" w:type="dxa"/>
            <w:gridSpan w:val="2"/>
            <w:shd w:val="clear" w:color="auto" w:fill="FFFFFF"/>
            <w:tcMar>
              <w:top w:w="12" w:type="dxa"/>
              <w:left w:w="12" w:type="dxa"/>
              <w:right w:w="12" w:type="dxa"/>
            </w:tcMar>
            <w:vAlign w:val="center"/>
          </w:tcPr>
          <w:p w14:paraId="1A3CEB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0BC39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473949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5E57113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259C65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流量分析</w:t>
            </w:r>
          </w:p>
        </w:tc>
        <w:tc>
          <w:tcPr>
            <w:tcW w:w="3112" w:type="dxa"/>
            <w:gridSpan w:val="3"/>
            <w:shd w:val="clear" w:color="auto" w:fill="auto"/>
            <w:tcMar>
              <w:top w:w="12" w:type="dxa"/>
              <w:left w:w="12" w:type="dxa"/>
              <w:right w:w="12" w:type="dxa"/>
            </w:tcMar>
            <w:vAlign w:val="center"/>
          </w:tcPr>
          <w:p w14:paraId="2FB63E7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支持流量视角分析，支持按照应用、接口、连接进行流量统计分析。</w:t>
            </w:r>
          </w:p>
        </w:tc>
        <w:tc>
          <w:tcPr>
            <w:tcW w:w="2695" w:type="dxa"/>
            <w:gridSpan w:val="2"/>
            <w:shd w:val="clear" w:color="auto" w:fill="FFFFFF"/>
            <w:tcMar>
              <w:top w:w="12" w:type="dxa"/>
              <w:left w:w="12" w:type="dxa"/>
              <w:right w:w="12" w:type="dxa"/>
            </w:tcMar>
            <w:vAlign w:val="center"/>
          </w:tcPr>
          <w:p w14:paraId="590674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62BD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2" w:hRule="atLeast"/>
        </w:trPr>
        <w:tc>
          <w:tcPr>
            <w:tcW w:w="594" w:type="dxa"/>
            <w:gridSpan w:val="2"/>
            <w:vMerge w:val="continue"/>
            <w:shd w:val="clear" w:color="auto" w:fill="FFFFFF"/>
            <w:tcMar>
              <w:top w:w="12" w:type="dxa"/>
              <w:left w:w="12" w:type="dxa"/>
              <w:right w:w="12" w:type="dxa"/>
            </w:tcMar>
            <w:vAlign w:val="center"/>
          </w:tcPr>
          <w:p w14:paraId="5DC2A5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0AF6466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765563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攻击检测</w:t>
            </w:r>
          </w:p>
        </w:tc>
        <w:tc>
          <w:tcPr>
            <w:tcW w:w="3112" w:type="dxa"/>
            <w:gridSpan w:val="3"/>
            <w:shd w:val="clear" w:color="auto" w:fill="auto"/>
            <w:tcMar>
              <w:top w:w="12" w:type="dxa"/>
              <w:left w:w="12" w:type="dxa"/>
              <w:right w:w="12" w:type="dxa"/>
            </w:tcMar>
            <w:vAlign w:val="center"/>
          </w:tcPr>
          <w:p w14:paraId="5252E7A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独立的攻击检测引擎，涵盖10000种以上的攻击检测规则库。规则库支持按照攻击类型、操作系统、风险等级、应用类型、流行程度、ATT&amp;CK、攻击阶段等方式进行分类；支持对攻击逃逸报文进行深度智能检测，包括：IP分片、TCP分段、RPC分片分段、SMB分片分段、HTTP-Header折叠、HTTP-Body UTF-7编码、HTTP-Body UTF-16（LE/BE）编码、HTTP-Body UTF-32（LE/BE）编码、HTTP-Body压缩、HTTP-Post数据编码、邮件体编码、URL多重编码、URL斜线分隔符、URI相对目录欺骗、HTTP-Javascript编码、邮件头折叠等类型。</w:t>
            </w:r>
          </w:p>
        </w:tc>
        <w:tc>
          <w:tcPr>
            <w:tcW w:w="2695" w:type="dxa"/>
            <w:gridSpan w:val="2"/>
            <w:shd w:val="clear" w:color="auto" w:fill="FFFFFF"/>
            <w:tcMar>
              <w:top w:w="12" w:type="dxa"/>
              <w:left w:w="12" w:type="dxa"/>
              <w:right w:w="12" w:type="dxa"/>
            </w:tcMar>
            <w:vAlign w:val="center"/>
          </w:tcPr>
          <w:p w14:paraId="5BAF79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2F6CF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864" w:hRule="atLeast"/>
        </w:trPr>
        <w:tc>
          <w:tcPr>
            <w:tcW w:w="594" w:type="dxa"/>
            <w:gridSpan w:val="2"/>
            <w:vMerge w:val="continue"/>
            <w:shd w:val="clear" w:color="auto" w:fill="FFFFFF"/>
            <w:tcMar>
              <w:top w:w="12" w:type="dxa"/>
              <w:left w:w="12" w:type="dxa"/>
              <w:right w:w="12" w:type="dxa"/>
            </w:tcMar>
            <w:vAlign w:val="center"/>
          </w:tcPr>
          <w:p w14:paraId="482574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0CD3A5A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79936A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ARP攻击检测</w:t>
            </w:r>
          </w:p>
        </w:tc>
        <w:tc>
          <w:tcPr>
            <w:tcW w:w="3112" w:type="dxa"/>
            <w:gridSpan w:val="3"/>
            <w:shd w:val="clear" w:color="auto" w:fill="auto"/>
            <w:tcMar>
              <w:top w:w="12" w:type="dxa"/>
              <w:left w:w="12" w:type="dxa"/>
              <w:right w:w="12" w:type="dxa"/>
            </w:tcMar>
            <w:vAlign w:val="center"/>
          </w:tcPr>
          <w:p w14:paraId="3CA6A6A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支持ARP攻击检测，支持基于ARP请求的源IP不合法、响应的源IP不合法、响应的目的 IP不合法、请求的源MAC与以太网源MAC不同、响应的源MAC与以太网源MAC不同、响应的目的MAC与以太网目的MAC不同进行检测。</w:t>
            </w:r>
          </w:p>
        </w:tc>
        <w:tc>
          <w:tcPr>
            <w:tcW w:w="2695" w:type="dxa"/>
            <w:gridSpan w:val="2"/>
            <w:shd w:val="clear" w:color="auto" w:fill="FFFFFF"/>
            <w:tcMar>
              <w:top w:w="12" w:type="dxa"/>
              <w:left w:w="12" w:type="dxa"/>
              <w:right w:w="12" w:type="dxa"/>
            </w:tcMar>
            <w:vAlign w:val="center"/>
          </w:tcPr>
          <w:p w14:paraId="3E8D80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7D6E2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4" w:hRule="atLeast"/>
        </w:trPr>
        <w:tc>
          <w:tcPr>
            <w:tcW w:w="594" w:type="dxa"/>
            <w:gridSpan w:val="2"/>
            <w:vMerge w:val="continue"/>
            <w:shd w:val="clear" w:color="auto" w:fill="FFFFFF"/>
            <w:tcMar>
              <w:top w:w="12" w:type="dxa"/>
              <w:left w:w="12" w:type="dxa"/>
              <w:right w:w="12" w:type="dxa"/>
            </w:tcMar>
            <w:vAlign w:val="center"/>
          </w:tcPr>
          <w:p w14:paraId="6799A6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5CE0E19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115062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僵尸主机检测</w:t>
            </w:r>
          </w:p>
        </w:tc>
        <w:tc>
          <w:tcPr>
            <w:tcW w:w="3112" w:type="dxa"/>
            <w:gridSpan w:val="3"/>
            <w:shd w:val="clear" w:color="auto" w:fill="auto"/>
            <w:tcMar>
              <w:top w:w="12" w:type="dxa"/>
              <w:left w:w="12" w:type="dxa"/>
              <w:right w:w="12" w:type="dxa"/>
            </w:tcMar>
            <w:vAlign w:val="center"/>
          </w:tcPr>
          <w:p w14:paraId="37B1B6E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独立的僵尸主机检测引擎，涵盖11000种以上的僵尸主机规则库。规则库支持按照攻击类型、操作系统、风险等级、ATT&amp;CK、攻击阶段等方式进行分类；支持能够检测包括：僵尸网络、木马控制、蠕虫、挖矿、勒索、移动端木马控制、APT等多类型的僵尸主机行为。</w:t>
            </w:r>
          </w:p>
        </w:tc>
        <w:tc>
          <w:tcPr>
            <w:tcW w:w="2695" w:type="dxa"/>
            <w:gridSpan w:val="2"/>
            <w:shd w:val="clear" w:color="auto" w:fill="FFFFFF"/>
            <w:tcMar>
              <w:top w:w="12" w:type="dxa"/>
              <w:left w:w="12" w:type="dxa"/>
              <w:right w:w="12" w:type="dxa"/>
            </w:tcMar>
            <w:vAlign w:val="center"/>
          </w:tcPr>
          <w:p w14:paraId="68F0E6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w:t>
            </w:r>
          </w:p>
        </w:tc>
      </w:tr>
      <w:tr w14:paraId="1E213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4" w:hRule="atLeast"/>
        </w:trPr>
        <w:tc>
          <w:tcPr>
            <w:tcW w:w="594" w:type="dxa"/>
            <w:gridSpan w:val="2"/>
            <w:vMerge w:val="continue"/>
            <w:shd w:val="clear" w:color="auto" w:fill="FFFFFF"/>
            <w:tcMar>
              <w:top w:w="12" w:type="dxa"/>
              <w:left w:w="12" w:type="dxa"/>
              <w:right w:w="12" w:type="dxa"/>
            </w:tcMar>
            <w:vAlign w:val="center"/>
          </w:tcPr>
          <w:p w14:paraId="4F75BE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7EEE10E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721432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异常流量检测</w:t>
            </w:r>
          </w:p>
        </w:tc>
        <w:tc>
          <w:tcPr>
            <w:tcW w:w="3112" w:type="dxa"/>
            <w:gridSpan w:val="3"/>
            <w:shd w:val="clear" w:color="auto" w:fill="auto"/>
            <w:tcMar>
              <w:top w:w="12" w:type="dxa"/>
              <w:left w:w="12" w:type="dxa"/>
              <w:right w:w="12" w:type="dxa"/>
            </w:tcMar>
            <w:vAlign w:val="center"/>
          </w:tcPr>
          <w:p w14:paraId="2B8B3C4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▲支持DGA恶意域名检测，采用DGA恶意域名检测智慧引擎检测；支持HTTP隧道检测，采用HTTP隧道智慧引擎检测。</w:t>
            </w:r>
          </w:p>
        </w:tc>
        <w:tc>
          <w:tcPr>
            <w:tcW w:w="2695" w:type="dxa"/>
            <w:gridSpan w:val="2"/>
            <w:shd w:val="clear" w:color="auto" w:fill="FFFFFF"/>
            <w:tcMar>
              <w:top w:w="12" w:type="dxa"/>
              <w:left w:w="12" w:type="dxa"/>
              <w:right w:w="12" w:type="dxa"/>
            </w:tcMar>
            <w:vAlign w:val="center"/>
          </w:tcPr>
          <w:p w14:paraId="3DA420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w:t>
            </w:r>
          </w:p>
        </w:tc>
      </w:tr>
      <w:tr w14:paraId="75A8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0" w:hRule="atLeast"/>
        </w:trPr>
        <w:tc>
          <w:tcPr>
            <w:tcW w:w="594" w:type="dxa"/>
            <w:gridSpan w:val="2"/>
            <w:vMerge w:val="continue"/>
            <w:shd w:val="clear" w:color="auto" w:fill="FFFFFF"/>
            <w:tcMar>
              <w:top w:w="12" w:type="dxa"/>
              <w:left w:w="12" w:type="dxa"/>
              <w:right w:w="12" w:type="dxa"/>
            </w:tcMar>
            <w:vAlign w:val="center"/>
          </w:tcPr>
          <w:p w14:paraId="7FF621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779B694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shd w:val="clear" w:color="auto" w:fill="auto"/>
            <w:tcMar>
              <w:top w:w="12" w:type="dxa"/>
              <w:left w:w="12" w:type="dxa"/>
              <w:right w:w="12" w:type="dxa"/>
            </w:tcMar>
            <w:vAlign w:val="center"/>
          </w:tcPr>
          <w:p w14:paraId="231D84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DDoS检测</w:t>
            </w:r>
          </w:p>
        </w:tc>
        <w:tc>
          <w:tcPr>
            <w:tcW w:w="3112" w:type="dxa"/>
            <w:gridSpan w:val="3"/>
            <w:shd w:val="clear" w:color="auto" w:fill="auto"/>
            <w:tcMar>
              <w:top w:w="12" w:type="dxa"/>
              <w:left w:w="12" w:type="dxa"/>
              <w:right w:w="12" w:type="dxa"/>
            </w:tcMar>
            <w:vAlign w:val="center"/>
          </w:tcPr>
          <w:p w14:paraId="6B4BEB06">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val="0"/>
                <w:highlight w:val="none"/>
              </w:rPr>
            </w:pPr>
            <w:r>
              <w:rPr>
                <w:rFonts w:hint="eastAsia" w:ascii="宋体" w:hAnsi="宋体" w:eastAsia="宋体" w:cs="宋体"/>
                <w:b w:val="0"/>
                <w:bCs w:val="0"/>
                <w:i w:val="0"/>
                <w:color w:val="000000"/>
                <w:kern w:val="0"/>
                <w:sz w:val="24"/>
                <w:szCs w:val="24"/>
                <w:highlight w:val="none"/>
                <w:u w:val="none"/>
                <w:lang w:val="en-US" w:eastAsia="zh-CN" w:bidi="ar"/>
              </w:rPr>
              <w:t>支持</w:t>
            </w:r>
            <w:r>
              <w:rPr>
                <w:rFonts w:hint="eastAsia" w:cs="宋体"/>
                <w:b w:val="0"/>
                <w:bCs w:val="0"/>
                <w:highlight w:val="none"/>
                <w:lang w:val="en-US" w:eastAsia="zh-CN"/>
              </w:rPr>
              <w:t>IP协议：</w:t>
            </w:r>
            <w:r>
              <w:rPr>
                <w:rFonts w:hint="eastAsia" w:ascii="宋体" w:hAnsi="宋体" w:eastAsia="宋体" w:cs="宋体"/>
                <w:b w:val="0"/>
                <w:bCs w:val="0"/>
                <w:highlight w:val="none"/>
              </w:rPr>
              <w:t>IP FLOOD 攻击检测、IP FRAG FLOOD 攻击检测、DOS 攻击检测、端口扫描攻击</w:t>
            </w:r>
            <w:r>
              <w:rPr>
                <w:rFonts w:hint="eastAsia" w:cs="宋体"/>
                <w:b w:val="0"/>
                <w:bCs w:val="0"/>
                <w:highlight w:val="none"/>
                <w:lang w:eastAsia="zh-CN"/>
              </w:rPr>
              <w:t>、</w:t>
            </w:r>
            <w:r>
              <w:rPr>
                <w:rFonts w:hint="eastAsia" w:ascii="宋体" w:hAnsi="宋体" w:eastAsia="宋体" w:cs="宋体"/>
                <w:b w:val="0"/>
                <w:bCs w:val="0"/>
                <w:highlight w:val="none"/>
              </w:rPr>
              <w:t>IP</w:t>
            </w:r>
            <w:r>
              <w:rPr>
                <w:rFonts w:hint="eastAsia" w:cs="宋体"/>
                <w:b w:val="0"/>
                <w:bCs w:val="0"/>
                <w:highlight w:val="none"/>
                <w:lang w:val="en-US" w:eastAsia="zh-CN"/>
              </w:rPr>
              <w:t>地址</w:t>
            </w:r>
            <w:r>
              <w:rPr>
                <w:rFonts w:hint="eastAsia" w:ascii="宋体" w:hAnsi="宋体" w:eastAsia="宋体" w:cs="宋体"/>
                <w:b w:val="0"/>
                <w:bCs w:val="0"/>
                <w:highlight w:val="none"/>
              </w:rPr>
              <w:t>扫描攻击</w:t>
            </w:r>
            <w:r>
              <w:rPr>
                <w:rFonts w:hint="eastAsia" w:cs="宋体"/>
                <w:b w:val="0"/>
                <w:bCs w:val="0"/>
                <w:highlight w:val="none"/>
                <w:lang w:val="en-US" w:eastAsia="zh-CN"/>
              </w:rPr>
              <w:t>等</w:t>
            </w:r>
            <w:r>
              <w:rPr>
                <w:rFonts w:hint="eastAsia" w:ascii="宋体" w:hAnsi="宋体" w:eastAsia="宋体" w:cs="宋体"/>
                <w:b w:val="0"/>
                <w:bCs w:val="0"/>
                <w:highlight w:val="none"/>
              </w:rPr>
              <w:t>多种扫描攻击行为检测；</w:t>
            </w:r>
          </w:p>
          <w:p w14:paraId="3E2D1BEF">
            <w:pPr>
              <w:keepNext w:val="0"/>
              <w:keepLines w:val="0"/>
              <w:pageBreakBefore w:val="0"/>
              <w:widowControl w:val="0"/>
              <w:kinsoku/>
              <w:wordWrap/>
              <w:overflowPunct/>
              <w:topLinePunct w:val="0"/>
              <w:autoSpaceDE/>
              <w:autoSpaceDN/>
              <w:bidi w:val="0"/>
              <w:adjustRightInd/>
              <w:snapToGrid/>
              <w:textAlignment w:val="auto"/>
              <w:rPr>
                <w:rFonts w:hint="eastAsia" w:cs="宋体"/>
                <w:b w:val="0"/>
                <w:bCs w:val="0"/>
                <w:highlight w:val="none"/>
                <w:lang w:eastAsia="zh-CN"/>
              </w:rPr>
            </w:pPr>
            <w:r>
              <w:rPr>
                <w:rFonts w:hint="eastAsia"/>
                <w:b w:val="0"/>
                <w:bCs w:val="0"/>
                <w:highlight w:val="none"/>
                <w:lang w:val="en-US" w:eastAsia="zh-CN"/>
              </w:rPr>
              <w:t>ICMP协议：</w:t>
            </w:r>
            <w:r>
              <w:rPr>
                <w:rFonts w:hint="eastAsia" w:ascii="宋体" w:hAnsi="宋体" w:eastAsia="宋体" w:cs="宋体"/>
                <w:b w:val="0"/>
                <w:bCs w:val="0"/>
                <w:highlight w:val="none"/>
              </w:rPr>
              <w:t>ICMP FLOOD 攻击检测</w:t>
            </w:r>
            <w:r>
              <w:rPr>
                <w:rFonts w:hint="eastAsia" w:cs="宋体"/>
                <w:b w:val="0"/>
                <w:bCs w:val="0"/>
                <w:highlight w:val="none"/>
                <w:lang w:eastAsia="zh-CN"/>
              </w:rPr>
              <w:t>；</w:t>
            </w:r>
          </w:p>
          <w:p w14:paraId="79FF93D2">
            <w:pPr>
              <w:keepNext w:val="0"/>
              <w:keepLines w:val="0"/>
              <w:pageBreakBefore w:val="0"/>
              <w:widowControl w:val="0"/>
              <w:kinsoku/>
              <w:wordWrap/>
              <w:overflowPunct/>
              <w:topLinePunct w:val="0"/>
              <w:autoSpaceDE/>
              <w:autoSpaceDN/>
              <w:bidi w:val="0"/>
              <w:adjustRightInd/>
              <w:snapToGrid/>
              <w:textAlignment w:val="auto"/>
              <w:rPr>
                <w:rFonts w:hint="eastAsia" w:cs="宋体"/>
                <w:b w:val="0"/>
                <w:bCs w:val="0"/>
                <w:highlight w:val="none"/>
                <w:lang w:eastAsia="zh-CN"/>
              </w:rPr>
            </w:pPr>
            <w:r>
              <w:rPr>
                <w:rFonts w:hint="eastAsia" w:cs="宋体"/>
                <w:b w:val="0"/>
                <w:bCs w:val="0"/>
                <w:highlight w:val="none"/>
                <w:lang w:val="en-US" w:eastAsia="zh-CN"/>
              </w:rPr>
              <w:t>TCP协议：</w:t>
            </w:r>
            <w:r>
              <w:rPr>
                <w:rFonts w:hint="eastAsia" w:ascii="宋体" w:hAnsi="宋体" w:eastAsia="宋体" w:cs="宋体"/>
                <w:b w:val="0"/>
                <w:bCs w:val="0"/>
                <w:highlight w:val="none"/>
              </w:rPr>
              <w:t>TCP FLOOD 攻击检测、SYN FLOOD 攻击检测、ACK FLOOD 攻击检测、SYNACK FLOOD 攻击检测、FIN FLOOD 攻击检测、RST FLOOD 攻击检测、TCP FRAG FLOOD 攻击检测、TCP ABNORMAL FLAG FLOOD 检测</w:t>
            </w:r>
            <w:r>
              <w:rPr>
                <w:rFonts w:hint="eastAsia" w:cs="宋体"/>
                <w:b w:val="0"/>
                <w:bCs w:val="0"/>
                <w:highlight w:val="none"/>
                <w:lang w:eastAsia="zh-CN"/>
              </w:rPr>
              <w:t>；</w:t>
            </w:r>
          </w:p>
          <w:p w14:paraId="3E593592">
            <w:pPr>
              <w:keepNext w:val="0"/>
              <w:keepLines w:val="0"/>
              <w:pageBreakBefore w:val="0"/>
              <w:widowControl w:val="0"/>
              <w:kinsoku/>
              <w:wordWrap/>
              <w:overflowPunct/>
              <w:topLinePunct w:val="0"/>
              <w:autoSpaceDE/>
              <w:autoSpaceDN/>
              <w:bidi w:val="0"/>
              <w:adjustRightInd/>
              <w:snapToGrid/>
              <w:textAlignment w:val="auto"/>
              <w:rPr>
                <w:rFonts w:hint="eastAsia" w:cs="宋体"/>
                <w:b w:val="0"/>
                <w:bCs w:val="0"/>
                <w:highlight w:val="none"/>
                <w:lang w:eastAsia="zh-CN"/>
              </w:rPr>
            </w:pPr>
            <w:r>
              <w:rPr>
                <w:rFonts w:hint="eastAsia" w:cs="宋体"/>
                <w:b w:val="0"/>
                <w:bCs w:val="0"/>
                <w:highlight w:val="none"/>
                <w:lang w:val="en-US" w:eastAsia="zh-CN"/>
              </w:rPr>
              <w:t>UDP协议：</w:t>
            </w:r>
            <w:r>
              <w:rPr>
                <w:rFonts w:hint="eastAsia" w:ascii="宋体" w:hAnsi="宋体" w:eastAsia="宋体" w:cs="宋体"/>
                <w:b w:val="0"/>
                <w:bCs w:val="0"/>
                <w:highlight w:val="none"/>
              </w:rPr>
              <w:t>UDP FLOOD 攻击检测、UDP FRAG FLOOD 攻击检测</w:t>
            </w:r>
            <w:r>
              <w:rPr>
                <w:rFonts w:hint="eastAsia" w:cs="宋体"/>
                <w:b w:val="0"/>
                <w:bCs w:val="0"/>
                <w:highlight w:val="none"/>
                <w:lang w:eastAsia="zh-CN"/>
              </w:rPr>
              <w:t>；</w:t>
            </w:r>
          </w:p>
          <w:p w14:paraId="1ECBC51B">
            <w:pPr>
              <w:keepNext w:val="0"/>
              <w:keepLines w:val="0"/>
              <w:pageBreakBefore w:val="0"/>
              <w:widowControl w:val="0"/>
              <w:kinsoku/>
              <w:wordWrap/>
              <w:overflowPunct/>
              <w:topLinePunct w:val="0"/>
              <w:autoSpaceDE/>
              <w:autoSpaceDN/>
              <w:bidi w:val="0"/>
              <w:adjustRightInd/>
              <w:snapToGrid/>
              <w:textAlignment w:val="auto"/>
              <w:rPr>
                <w:rFonts w:hint="eastAsia" w:cs="宋体"/>
                <w:b w:val="0"/>
                <w:bCs w:val="0"/>
                <w:highlight w:val="none"/>
                <w:lang w:eastAsia="zh-CN"/>
              </w:rPr>
            </w:pPr>
            <w:r>
              <w:rPr>
                <w:rFonts w:hint="eastAsia" w:cs="宋体"/>
                <w:b w:val="0"/>
                <w:bCs w:val="0"/>
                <w:highlight w:val="none"/>
                <w:lang w:val="en-US" w:eastAsia="zh-CN"/>
              </w:rPr>
              <w:t>DNS协议：</w:t>
            </w:r>
            <w:r>
              <w:rPr>
                <w:rFonts w:hint="eastAsia" w:ascii="宋体" w:hAnsi="宋体" w:eastAsia="宋体" w:cs="宋体"/>
                <w:b w:val="0"/>
                <w:bCs w:val="0"/>
                <w:highlight w:val="none"/>
              </w:rPr>
              <w:t>DNS REQUEST FLOOD 攻击检测、DNS REPLY FLOOD 攻击检测、DNS 格式检查</w:t>
            </w:r>
            <w:r>
              <w:rPr>
                <w:rFonts w:hint="eastAsia" w:cs="宋体"/>
                <w:b w:val="0"/>
                <w:bCs w:val="0"/>
                <w:highlight w:val="none"/>
                <w:lang w:eastAsia="zh-CN"/>
              </w:rPr>
              <w:t>；</w:t>
            </w:r>
          </w:p>
          <w:p w14:paraId="7633D29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cs="宋体"/>
                <w:b w:val="0"/>
                <w:bCs w:val="0"/>
                <w:highlight w:val="none"/>
                <w:lang w:val="en-US" w:eastAsia="zh-CN"/>
              </w:rPr>
              <w:t>HTTP协议：</w:t>
            </w:r>
            <w:r>
              <w:rPr>
                <w:rFonts w:hint="eastAsia" w:ascii="宋体" w:hAnsi="宋体" w:eastAsia="宋体" w:cs="宋体"/>
                <w:b w:val="0"/>
                <w:bCs w:val="0"/>
                <w:highlight w:val="none"/>
              </w:rPr>
              <w:t>HTTP FLOOD 攻击检测、HTTP新建连接 FLOOD攻击检测、HTTP并发连接 FLOOD攻击检测、HTTP URI CC攻击检测、HTTP 自定义端口、HTTPS FLOOD 攻击检测、HTTPS新建连接 FLOOD攻击检测、HTTPS并发连接 FLOOD攻击检测、HTTPS 自定义端口等多种FLOOD攻击检测。</w:t>
            </w:r>
          </w:p>
        </w:tc>
        <w:tc>
          <w:tcPr>
            <w:tcW w:w="2695" w:type="dxa"/>
            <w:gridSpan w:val="2"/>
            <w:shd w:val="clear" w:color="auto" w:fill="FFFFFF"/>
            <w:tcMar>
              <w:top w:w="12" w:type="dxa"/>
              <w:left w:w="12" w:type="dxa"/>
              <w:right w:w="12" w:type="dxa"/>
            </w:tcMar>
            <w:vAlign w:val="center"/>
          </w:tcPr>
          <w:p w14:paraId="4041C8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3A74D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38D28F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377A9EB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163086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7781B82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支持DDoS自学习模式检测，可设定学习时长，根据周期内流量状态自动学习，设置检测流量阈值，流量异常触发阈值系统自动进行告警。</w:t>
            </w:r>
          </w:p>
        </w:tc>
        <w:tc>
          <w:tcPr>
            <w:tcW w:w="2695" w:type="dxa"/>
            <w:gridSpan w:val="2"/>
            <w:shd w:val="clear" w:color="auto" w:fill="FFFFFF"/>
            <w:tcMar>
              <w:top w:w="12" w:type="dxa"/>
              <w:left w:w="12" w:type="dxa"/>
              <w:right w:w="12" w:type="dxa"/>
            </w:tcMar>
            <w:vAlign w:val="center"/>
          </w:tcPr>
          <w:p w14:paraId="592185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7671D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10BCC8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1FE97CF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0876BA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687C1C2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注入和WEBSHELL攻击检测，包括：SQL语法分析引擎检测、SQL注入智慧引擎检测、XSS攻击智慧引擎检测、命令注入智慧引擎检测、WEBSHELL上传智慧引擎检测、WEBSHELL行为检测；支持爬虫检测，涵盖超过1900种爬虫类型。</w:t>
            </w:r>
          </w:p>
        </w:tc>
        <w:tc>
          <w:tcPr>
            <w:tcW w:w="2695" w:type="dxa"/>
            <w:gridSpan w:val="2"/>
            <w:shd w:val="clear" w:color="auto" w:fill="FFFFFF"/>
            <w:tcMar>
              <w:top w:w="12" w:type="dxa"/>
              <w:left w:w="12" w:type="dxa"/>
              <w:right w:w="12" w:type="dxa"/>
            </w:tcMar>
            <w:vAlign w:val="center"/>
          </w:tcPr>
          <w:p w14:paraId="44CED7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751A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4" w:hRule="atLeast"/>
        </w:trPr>
        <w:tc>
          <w:tcPr>
            <w:tcW w:w="594" w:type="dxa"/>
            <w:gridSpan w:val="2"/>
            <w:vMerge w:val="continue"/>
            <w:shd w:val="clear" w:color="auto" w:fill="FFFFFF"/>
            <w:tcMar>
              <w:top w:w="12" w:type="dxa"/>
              <w:left w:w="12" w:type="dxa"/>
              <w:right w:w="12" w:type="dxa"/>
            </w:tcMar>
            <w:vAlign w:val="center"/>
          </w:tcPr>
          <w:p w14:paraId="14B593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00951CC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4F0E40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规则库升级</w:t>
            </w:r>
          </w:p>
        </w:tc>
        <w:tc>
          <w:tcPr>
            <w:tcW w:w="3112" w:type="dxa"/>
            <w:gridSpan w:val="3"/>
            <w:shd w:val="clear" w:color="auto" w:fill="auto"/>
            <w:tcMar>
              <w:top w:w="12" w:type="dxa"/>
              <w:left w:w="12" w:type="dxa"/>
              <w:right w:w="12" w:type="dxa"/>
            </w:tcMar>
            <w:vAlign w:val="center"/>
          </w:tcPr>
          <w:p w14:paraId="1091609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支持规则库升级无缝加载技术，整个升级过程检测引擎工作不间断。</w:t>
            </w:r>
          </w:p>
        </w:tc>
        <w:tc>
          <w:tcPr>
            <w:tcW w:w="2695" w:type="dxa"/>
            <w:gridSpan w:val="2"/>
            <w:shd w:val="clear" w:color="auto" w:fill="FFFFFF"/>
            <w:tcMar>
              <w:top w:w="12" w:type="dxa"/>
              <w:left w:w="12" w:type="dxa"/>
              <w:right w:w="12" w:type="dxa"/>
            </w:tcMar>
            <w:vAlign w:val="center"/>
          </w:tcPr>
          <w:p w14:paraId="71A10C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1D3FC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864" w:hRule="atLeast"/>
        </w:trPr>
        <w:tc>
          <w:tcPr>
            <w:tcW w:w="594" w:type="dxa"/>
            <w:gridSpan w:val="2"/>
            <w:vMerge w:val="continue"/>
            <w:shd w:val="clear" w:color="auto" w:fill="FFFFFF"/>
            <w:tcMar>
              <w:top w:w="12" w:type="dxa"/>
              <w:left w:w="12" w:type="dxa"/>
              <w:right w:w="12" w:type="dxa"/>
            </w:tcMar>
            <w:vAlign w:val="center"/>
          </w:tcPr>
          <w:p w14:paraId="6DF544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5BA12DE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794FAE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加密流量检测</w:t>
            </w:r>
          </w:p>
        </w:tc>
        <w:tc>
          <w:tcPr>
            <w:tcW w:w="3112" w:type="dxa"/>
            <w:gridSpan w:val="3"/>
            <w:shd w:val="clear" w:color="auto" w:fill="auto"/>
            <w:tcMar>
              <w:top w:w="12" w:type="dxa"/>
              <w:left w:w="12" w:type="dxa"/>
              <w:right w:w="12" w:type="dxa"/>
            </w:tcMar>
            <w:vAlign w:val="center"/>
          </w:tcPr>
          <w:p w14:paraId="4497C72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支持卸载SSL，实现对HTTPS、IMAPS、SMTPS、POP3S、FTPS、RDP、MQTT、SIP等加密流量的分析检测；支持恶意加密流量检测，采用恶意TLS流量智慧引擎、异常握手、非法证书和内网流量检测恶意加密流量。</w:t>
            </w:r>
          </w:p>
        </w:tc>
        <w:tc>
          <w:tcPr>
            <w:tcW w:w="2695" w:type="dxa"/>
            <w:gridSpan w:val="2"/>
            <w:shd w:val="clear" w:color="auto" w:fill="FFFFFF"/>
            <w:tcMar>
              <w:top w:w="12" w:type="dxa"/>
              <w:left w:w="12" w:type="dxa"/>
              <w:right w:w="12" w:type="dxa"/>
            </w:tcMar>
            <w:vAlign w:val="center"/>
          </w:tcPr>
          <w:p w14:paraId="3056A0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76EE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3B0F79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2DEC2DC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418B93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多维联动</w:t>
            </w:r>
          </w:p>
        </w:tc>
        <w:tc>
          <w:tcPr>
            <w:tcW w:w="3112" w:type="dxa"/>
            <w:gridSpan w:val="3"/>
            <w:shd w:val="clear" w:color="auto" w:fill="auto"/>
            <w:tcMar>
              <w:top w:w="12" w:type="dxa"/>
              <w:left w:w="12" w:type="dxa"/>
              <w:right w:w="12" w:type="dxa"/>
            </w:tcMar>
            <w:vAlign w:val="center"/>
          </w:tcPr>
          <w:p w14:paraId="7FEBB8D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支持与本次项目采购防火墙联动处置，发现威胁事件联动防火墙阻断。</w:t>
            </w:r>
          </w:p>
        </w:tc>
        <w:tc>
          <w:tcPr>
            <w:tcW w:w="2695" w:type="dxa"/>
            <w:gridSpan w:val="2"/>
            <w:shd w:val="clear" w:color="auto" w:fill="FFFFFF"/>
            <w:tcMar>
              <w:top w:w="12" w:type="dxa"/>
              <w:left w:w="12" w:type="dxa"/>
              <w:right w:w="12" w:type="dxa"/>
            </w:tcMar>
            <w:vAlign w:val="center"/>
          </w:tcPr>
          <w:p w14:paraId="47B866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1A8B0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594" w:type="dxa"/>
            <w:gridSpan w:val="2"/>
            <w:vMerge w:val="continue"/>
            <w:shd w:val="clear" w:color="auto" w:fill="FFFFFF"/>
            <w:tcMar>
              <w:top w:w="12" w:type="dxa"/>
              <w:left w:w="12" w:type="dxa"/>
              <w:right w:w="12" w:type="dxa"/>
            </w:tcMar>
            <w:vAlign w:val="center"/>
          </w:tcPr>
          <w:p w14:paraId="4B192C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6E1EBAA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42E71E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自定义检测</w:t>
            </w:r>
          </w:p>
        </w:tc>
        <w:tc>
          <w:tcPr>
            <w:tcW w:w="3112" w:type="dxa"/>
            <w:gridSpan w:val="3"/>
            <w:shd w:val="clear" w:color="auto" w:fill="auto"/>
            <w:tcMar>
              <w:top w:w="12" w:type="dxa"/>
              <w:left w:w="12" w:type="dxa"/>
              <w:right w:w="12" w:type="dxa"/>
            </w:tcMar>
            <w:vAlign w:val="center"/>
          </w:tcPr>
          <w:p w14:paraId="5B8C52B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支持自定义检测，能够按照特征（五元组、应用协议、域名、URL、文件哈希、邮箱地址、证书、特征串、正则等）、Snort规则、MTX规则、YARA规则类型自定义。</w:t>
            </w:r>
          </w:p>
        </w:tc>
        <w:tc>
          <w:tcPr>
            <w:tcW w:w="2695" w:type="dxa"/>
            <w:gridSpan w:val="2"/>
            <w:shd w:val="clear" w:color="auto" w:fill="FFFFFF"/>
            <w:tcMar>
              <w:top w:w="12" w:type="dxa"/>
              <w:left w:w="12" w:type="dxa"/>
              <w:right w:w="12" w:type="dxa"/>
            </w:tcMar>
            <w:vAlign w:val="center"/>
          </w:tcPr>
          <w:p w14:paraId="0A0A2E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030B8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06" w:hRule="atLeast"/>
        </w:trPr>
        <w:tc>
          <w:tcPr>
            <w:tcW w:w="594" w:type="dxa"/>
            <w:gridSpan w:val="2"/>
            <w:vMerge w:val="continue"/>
            <w:shd w:val="clear" w:color="auto" w:fill="FFFFFF"/>
            <w:tcMar>
              <w:top w:w="12" w:type="dxa"/>
              <w:left w:w="12" w:type="dxa"/>
              <w:right w:w="12" w:type="dxa"/>
            </w:tcMar>
            <w:vAlign w:val="center"/>
          </w:tcPr>
          <w:p w14:paraId="14B006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26C01F9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67FE6E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应用识别</w:t>
            </w:r>
          </w:p>
        </w:tc>
        <w:tc>
          <w:tcPr>
            <w:tcW w:w="3112" w:type="dxa"/>
            <w:gridSpan w:val="3"/>
            <w:shd w:val="clear" w:color="auto" w:fill="FFFFFF"/>
            <w:tcMar>
              <w:top w:w="12" w:type="dxa"/>
              <w:left w:w="12" w:type="dxa"/>
              <w:right w:w="12" w:type="dxa"/>
            </w:tcMar>
            <w:vAlign w:val="center"/>
          </w:tcPr>
          <w:p w14:paraId="2349033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应用识别功能，包括：HTTP应用、IM文件传输、P2P下载、P2P音频、P2P视频、标准协议、财经软件、电子商务、工控物联网、即时通讯、加密隧道、软件更新、社交网络、数据库、网上银行、网络游戏、网页视频、网页音频、网络硬盘、网页邮箱、语音电话、远程控制、移动应用、其他应用等24种类型超过5000种应用识别。</w:t>
            </w:r>
          </w:p>
        </w:tc>
        <w:tc>
          <w:tcPr>
            <w:tcW w:w="2695" w:type="dxa"/>
            <w:gridSpan w:val="2"/>
            <w:shd w:val="clear" w:color="auto" w:fill="FFFFFF"/>
            <w:tcMar>
              <w:top w:w="12" w:type="dxa"/>
              <w:left w:w="12" w:type="dxa"/>
              <w:right w:w="12" w:type="dxa"/>
            </w:tcMar>
            <w:vAlign w:val="center"/>
          </w:tcPr>
          <w:p w14:paraId="6F1C56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79CB3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2" w:hRule="atLeast"/>
        </w:trPr>
        <w:tc>
          <w:tcPr>
            <w:tcW w:w="594" w:type="dxa"/>
            <w:gridSpan w:val="2"/>
            <w:vMerge w:val="continue"/>
            <w:shd w:val="clear" w:color="auto" w:fill="FFFFFF"/>
            <w:tcMar>
              <w:top w:w="12" w:type="dxa"/>
              <w:left w:w="12" w:type="dxa"/>
              <w:right w:w="12" w:type="dxa"/>
            </w:tcMar>
            <w:vAlign w:val="center"/>
          </w:tcPr>
          <w:p w14:paraId="4B367E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6C4A169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4976E77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日志管理</w:t>
            </w:r>
          </w:p>
        </w:tc>
        <w:tc>
          <w:tcPr>
            <w:tcW w:w="3112" w:type="dxa"/>
            <w:gridSpan w:val="3"/>
            <w:shd w:val="clear" w:color="auto" w:fill="auto"/>
            <w:tcMar>
              <w:top w:w="12" w:type="dxa"/>
              <w:left w:w="12" w:type="dxa"/>
              <w:right w:w="12" w:type="dxa"/>
            </w:tcMar>
            <w:vAlign w:val="center"/>
          </w:tcPr>
          <w:p w14:paraId="0554EF0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安全事件告警日志记录，告警类型包括：攻击检测、僵尸主机、WEB防护、异常流量、DDoS检测、加密流量检测、黑名单等。根据不同安全事件检测结果记录关键字段信息，包括但不限于：时间、五元组、级别、事件描述、响应码、攻击结果、源地址归属地、攻击主机国家、XFF、X-Real-IP、目的地址归属地、受害主机国家、动作、应用协议、应用、攻击类型、攻击阶段、攻击特征、研判特征、次数、请求头、响应头、响应体、VNI、MPLS标签、处置状态等信息；支持对全部或按条件搜索的安全事件进行二次聚合，包括事件描述、攻击主机、受害主机一种或多种聚合方式。</w:t>
            </w:r>
          </w:p>
        </w:tc>
        <w:tc>
          <w:tcPr>
            <w:tcW w:w="2695" w:type="dxa"/>
            <w:gridSpan w:val="2"/>
            <w:shd w:val="clear" w:color="auto" w:fill="FFFFFF"/>
            <w:tcMar>
              <w:top w:w="12" w:type="dxa"/>
              <w:left w:w="12" w:type="dxa"/>
              <w:right w:w="12" w:type="dxa"/>
            </w:tcMar>
            <w:vAlign w:val="center"/>
          </w:tcPr>
          <w:p w14:paraId="59E3FE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32E8A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4AF438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0FA4A3B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65187A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产品资质</w:t>
            </w:r>
          </w:p>
        </w:tc>
        <w:tc>
          <w:tcPr>
            <w:tcW w:w="3112" w:type="dxa"/>
            <w:gridSpan w:val="3"/>
            <w:shd w:val="clear" w:color="auto" w:fill="auto"/>
            <w:tcMar>
              <w:top w:w="12" w:type="dxa"/>
              <w:left w:w="12" w:type="dxa"/>
              <w:right w:w="12" w:type="dxa"/>
            </w:tcMar>
            <w:vAlign w:val="center"/>
          </w:tcPr>
          <w:p w14:paraId="552E608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产品具有相关部门颁发的《国家信息安全测评信息技术产品安全测评证书》。</w:t>
            </w:r>
          </w:p>
        </w:tc>
        <w:tc>
          <w:tcPr>
            <w:tcW w:w="2695" w:type="dxa"/>
            <w:gridSpan w:val="2"/>
            <w:shd w:val="clear" w:color="auto" w:fill="FFFFFF"/>
            <w:tcMar>
              <w:top w:w="12" w:type="dxa"/>
              <w:left w:w="12" w:type="dxa"/>
              <w:right w:w="12" w:type="dxa"/>
            </w:tcMar>
            <w:vAlign w:val="center"/>
          </w:tcPr>
          <w:p w14:paraId="1669CE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4E970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7E8EE0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4F69391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523802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产品资质</w:t>
            </w:r>
          </w:p>
        </w:tc>
        <w:tc>
          <w:tcPr>
            <w:tcW w:w="3112" w:type="dxa"/>
            <w:gridSpan w:val="3"/>
            <w:shd w:val="clear" w:color="auto" w:fill="auto"/>
            <w:tcMar>
              <w:top w:w="12" w:type="dxa"/>
              <w:left w:w="12" w:type="dxa"/>
              <w:right w:w="12" w:type="dxa"/>
            </w:tcMar>
            <w:vAlign w:val="center"/>
          </w:tcPr>
          <w:p w14:paraId="3007092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产品具有IPV6 Ready Phase-2金牌认证。</w:t>
            </w:r>
          </w:p>
        </w:tc>
        <w:tc>
          <w:tcPr>
            <w:tcW w:w="2695" w:type="dxa"/>
            <w:gridSpan w:val="2"/>
            <w:shd w:val="clear" w:color="auto" w:fill="FFFFFF"/>
            <w:tcMar>
              <w:top w:w="12" w:type="dxa"/>
              <w:left w:w="12" w:type="dxa"/>
              <w:right w:w="12" w:type="dxa"/>
            </w:tcMar>
            <w:vAlign w:val="center"/>
          </w:tcPr>
          <w:p w14:paraId="010574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A60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0ADFA5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38A5B12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5E4834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产品资质</w:t>
            </w:r>
          </w:p>
        </w:tc>
        <w:tc>
          <w:tcPr>
            <w:tcW w:w="3112" w:type="dxa"/>
            <w:gridSpan w:val="3"/>
            <w:shd w:val="clear" w:color="auto" w:fill="auto"/>
            <w:tcMar>
              <w:top w:w="12" w:type="dxa"/>
              <w:left w:w="12" w:type="dxa"/>
              <w:right w:w="12" w:type="dxa"/>
            </w:tcMar>
            <w:vAlign w:val="center"/>
          </w:tcPr>
          <w:p w14:paraId="5E6D87D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color w:val="auto"/>
                <w:spacing w:val="0"/>
                <w:w w:val="100"/>
                <w:position w:val="0"/>
                <w:sz w:val="21"/>
                <w:szCs w:val="21"/>
                <w:highlight w:val="none"/>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产品需具备网络关键设备和网络安全专用产品安全认证证书</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或</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网络安全专用产品安全检测证书。</w:t>
            </w:r>
          </w:p>
        </w:tc>
        <w:tc>
          <w:tcPr>
            <w:tcW w:w="2695" w:type="dxa"/>
            <w:gridSpan w:val="2"/>
            <w:shd w:val="clear" w:color="auto" w:fill="FFFFFF"/>
            <w:tcMar>
              <w:top w:w="12" w:type="dxa"/>
              <w:left w:w="12" w:type="dxa"/>
              <w:right w:w="12" w:type="dxa"/>
            </w:tcMar>
            <w:vAlign w:val="center"/>
          </w:tcPr>
          <w:p w14:paraId="222DFF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t>列入《网络关键设备和网络安全专用产品目录》的网络安全专用产品，应当按照《信息安全技术网络安全专用产品安全技术要求》等相关国家标准的强制性要求，由具备资格的机构安全认证合格或者安全检测符合要求。</w:t>
            </w:r>
          </w:p>
        </w:tc>
      </w:tr>
      <w:tr w14:paraId="51F0A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9023" w:type="dxa"/>
            <w:gridSpan w:val="11"/>
            <w:shd w:val="clear" w:color="auto" w:fill="FFFFFF"/>
            <w:tcMar>
              <w:top w:w="12" w:type="dxa"/>
              <w:left w:w="12" w:type="dxa"/>
              <w:right w:w="12" w:type="dxa"/>
            </w:tcMar>
            <w:vAlign w:val="center"/>
          </w:tcPr>
          <w:p w14:paraId="6E396A2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（二)、北京市电子政务外网出口链路</w:t>
            </w:r>
          </w:p>
        </w:tc>
      </w:tr>
      <w:tr w14:paraId="0406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4" w:hRule="atLeast"/>
        </w:trPr>
        <w:tc>
          <w:tcPr>
            <w:tcW w:w="594" w:type="dxa"/>
            <w:gridSpan w:val="2"/>
            <w:vMerge w:val="restart"/>
            <w:shd w:val="clear" w:color="auto" w:fill="FFFFFF"/>
            <w:tcMar>
              <w:top w:w="12" w:type="dxa"/>
              <w:left w:w="12" w:type="dxa"/>
              <w:right w:w="12" w:type="dxa"/>
            </w:tcMar>
            <w:vAlign w:val="center"/>
          </w:tcPr>
          <w:p w14:paraId="506EB0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w:t>
            </w:r>
          </w:p>
        </w:tc>
        <w:tc>
          <w:tcPr>
            <w:tcW w:w="1126" w:type="dxa"/>
            <w:gridSpan w:val="2"/>
            <w:vMerge w:val="restart"/>
            <w:shd w:val="clear" w:color="auto" w:fill="FFFFFF"/>
            <w:tcMar>
              <w:top w:w="12" w:type="dxa"/>
              <w:left w:w="12" w:type="dxa"/>
              <w:right w:w="12" w:type="dxa"/>
            </w:tcMar>
            <w:vAlign w:val="center"/>
          </w:tcPr>
          <w:p w14:paraId="16D1655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政务网出口防火墙</w:t>
            </w:r>
          </w:p>
        </w:tc>
        <w:tc>
          <w:tcPr>
            <w:tcW w:w="1496" w:type="dxa"/>
            <w:gridSpan w:val="2"/>
            <w:shd w:val="clear" w:color="auto" w:fill="auto"/>
            <w:tcMar>
              <w:top w:w="12" w:type="dxa"/>
              <w:left w:w="12" w:type="dxa"/>
              <w:right w:w="12" w:type="dxa"/>
            </w:tcMar>
            <w:vAlign w:val="center"/>
          </w:tcPr>
          <w:p w14:paraId="50674A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路由交换</w:t>
            </w:r>
          </w:p>
        </w:tc>
        <w:tc>
          <w:tcPr>
            <w:tcW w:w="3112" w:type="dxa"/>
            <w:gridSpan w:val="3"/>
            <w:shd w:val="clear" w:color="auto" w:fill="auto"/>
            <w:tcMar>
              <w:top w:w="12" w:type="dxa"/>
              <w:left w:w="12" w:type="dxa"/>
              <w:right w:w="12" w:type="dxa"/>
            </w:tcMar>
            <w:vAlign w:val="center"/>
          </w:tcPr>
          <w:p w14:paraId="38A4AC1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w:t>
            </w:r>
            <w:r>
              <w:rPr>
                <w:rFonts w:hint="eastAsia" w:ascii="宋体" w:hAnsi="宋体" w:cs="宋体"/>
                <w:b w:val="0"/>
                <w:bCs w:val="0"/>
                <w:color w:val="auto"/>
                <w:sz w:val="21"/>
                <w:szCs w:val="21"/>
                <w:highlight w:val="none"/>
              </w:rPr>
              <w:t>路由交换：支持RIP、OSPF、BGP、QinQ、PIM</w:t>
            </w:r>
            <w:r>
              <w:rPr>
                <w:rFonts w:hint="eastAsia" w:ascii="宋体" w:hAnsi="宋体" w:cs="宋体"/>
                <w:b w:val="0"/>
                <w:bCs w:val="0"/>
                <w:color w:val="auto"/>
                <w:sz w:val="21"/>
                <w:szCs w:val="21"/>
                <w:highlight w:val="none"/>
                <w:lang w:val="en-US" w:eastAsia="zh-CN"/>
              </w:rPr>
              <w:t>D</w:t>
            </w:r>
            <w:r>
              <w:rPr>
                <w:rFonts w:hint="eastAsia" w:ascii="宋体" w:hAnsi="宋体" w:cs="宋体"/>
                <w:b w:val="0"/>
                <w:bCs w:val="0"/>
                <w:color w:val="auto"/>
                <w:sz w:val="21"/>
                <w:szCs w:val="21"/>
                <w:highlight w:val="none"/>
              </w:rPr>
              <w:t>-SM、PIM</w:t>
            </w:r>
            <w:r>
              <w:rPr>
                <w:rFonts w:hint="eastAsia" w:ascii="宋体" w:hAnsi="宋体" w:cs="宋体"/>
                <w:b w:val="0"/>
                <w:bCs w:val="0"/>
                <w:color w:val="auto"/>
                <w:sz w:val="21"/>
                <w:szCs w:val="21"/>
                <w:highlight w:val="none"/>
                <w:lang w:val="en-US" w:eastAsia="zh-CN"/>
              </w:rPr>
              <w:t>D</w:t>
            </w:r>
            <w:r>
              <w:rPr>
                <w:rFonts w:hint="eastAsia" w:ascii="宋体" w:hAnsi="宋体" w:cs="宋体"/>
                <w:b w:val="0"/>
                <w:bCs w:val="0"/>
                <w:color w:val="auto"/>
                <w:sz w:val="21"/>
                <w:szCs w:val="21"/>
                <w:highlight w:val="none"/>
              </w:rPr>
              <w:t>-DM；</w:t>
            </w:r>
            <w:r>
              <w:rPr>
                <w:rFonts w:ascii="宋体" w:hAnsi="宋体" w:cs="宋体"/>
                <w:b w:val="0"/>
                <w:bCs w:val="0"/>
                <w:color w:val="auto"/>
                <w:sz w:val="21"/>
                <w:szCs w:val="21"/>
                <w:highlight w:val="none"/>
              </w:rPr>
              <w:t xml:space="preserve"> </w:t>
            </w: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支持策略路由，支持根据入接口、源/目的IP地址、协议、用户、应用、选路算法、探测等多种条件设置策略路由。</w:t>
            </w:r>
          </w:p>
        </w:tc>
        <w:tc>
          <w:tcPr>
            <w:tcW w:w="2695" w:type="dxa"/>
            <w:gridSpan w:val="2"/>
            <w:shd w:val="clear" w:color="auto" w:fill="FFFFFF"/>
            <w:tcMar>
              <w:top w:w="12" w:type="dxa"/>
              <w:left w:w="12" w:type="dxa"/>
              <w:right w:w="12" w:type="dxa"/>
            </w:tcMar>
            <w:vAlign w:val="center"/>
          </w:tcPr>
          <w:p w14:paraId="565759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w:t>
            </w:r>
          </w:p>
        </w:tc>
      </w:tr>
      <w:tr w14:paraId="11D55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6AB1CB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3FE557E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0ED9B5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IP/MAC绑定</w:t>
            </w:r>
          </w:p>
        </w:tc>
        <w:tc>
          <w:tcPr>
            <w:tcW w:w="3112" w:type="dxa"/>
            <w:gridSpan w:val="3"/>
            <w:shd w:val="clear" w:color="auto" w:fill="auto"/>
            <w:tcMar>
              <w:top w:w="12" w:type="dxa"/>
              <w:left w:w="12" w:type="dxa"/>
              <w:right w:w="12" w:type="dxa"/>
            </w:tcMar>
            <w:vAlign w:val="center"/>
          </w:tcPr>
          <w:p w14:paraId="7E956DC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支持IP/MAC绑定，支持跨三层绑定，支持IP/MAC绑定表导入导出，以便对IP/MAC绑定关系进行批量操作。</w:t>
            </w:r>
          </w:p>
        </w:tc>
        <w:tc>
          <w:tcPr>
            <w:tcW w:w="2695" w:type="dxa"/>
            <w:gridSpan w:val="2"/>
            <w:shd w:val="clear" w:color="auto" w:fill="FFFFFF"/>
            <w:tcMar>
              <w:top w:w="12" w:type="dxa"/>
              <w:left w:w="12" w:type="dxa"/>
              <w:right w:w="12" w:type="dxa"/>
            </w:tcMar>
            <w:vAlign w:val="center"/>
          </w:tcPr>
          <w:p w14:paraId="10BFDF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185E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52D17C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6B35CD4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31627E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地址转换</w:t>
            </w:r>
          </w:p>
        </w:tc>
        <w:tc>
          <w:tcPr>
            <w:tcW w:w="3112" w:type="dxa"/>
            <w:gridSpan w:val="3"/>
            <w:shd w:val="clear" w:color="auto" w:fill="auto"/>
            <w:tcMar>
              <w:top w:w="12" w:type="dxa"/>
              <w:left w:w="12" w:type="dxa"/>
              <w:right w:w="12" w:type="dxa"/>
            </w:tcMar>
            <w:vAlign w:val="center"/>
          </w:tcPr>
          <w:p w14:paraId="3E7415D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支持多种地址转换，支持源/目的NAT、双向NAT、NoNAT转换方式；支持源IP转换同一性；支持端口块地址转换和EIM地址转换。</w:t>
            </w:r>
          </w:p>
        </w:tc>
        <w:tc>
          <w:tcPr>
            <w:tcW w:w="2695" w:type="dxa"/>
            <w:gridSpan w:val="2"/>
            <w:shd w:val="clear" w:color="auto" w:fill="FFFFFF"/>
            <w:tcMar>
              <w:top w:w="12" w:type="dxa"/>
              <w:left w:w="12" w:type="dxa"/>
              <w:right w:w="12" w:type="dxa"/>
            </w:tcMar>
            <w:vAlign w:val="center"/>
          </w:tcPr>
          <w:p w14:paraId="768168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7E63C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4" w:hRule="atLeast"/>
        </w:trPr>
        <w:tc>
          <w:tcPr>
            <w:tcW w:w="594" w:type="dxa"/>
            <w:gridSpan w:val="2"/>
            <w:vMerge w:val="continue"/>
            <w:shd w:val="clear" w:color="auto" w:fill="FFFFFF"/>
            <w:tcMar>
              <w:top w:w="12" w:type="dxa"/>
              <w:left w:w="12" w:type="dxa"/>
              <w:right w:w="12" w:type="dxa"/>
            </w:tcMar>
            <w:vAlign w:val="center"/>
          </w:tcPr>
          <w:p w14:paraId="06AA28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2FD38DC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51AC1D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链路负载均衡</w:t>
            </w:r>
          </w:p>
        </w:tc>
        <w:tc>
          <w:tcPr>
            <w:tcW w:w="3112" w:type="dxa"/>
            <w:gridSpan w:val="3"/>
            <w:shd w:val="clear" w:color="auto" w:fill="auto"/>
            <w:tcMar>
              <w:top w:w="12" w:type="dxa"/>
              <w:left w:w="12" w:type="dxa"/>
              <w:right w:w="12" w:type="dxa"/>
            </w:tcMar>
            <w:vAlign w:val="center"/>
          </w:tcPr>
          <w:p w14:paraId="526F1E6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支持链路负载均衡功能，支持轮询、加权轮询、就近选路、优先级、带宽比率等多种链路负载均衡算法，支持备用选路算法，支持链路过载保护。</w:t>
            </w:r>
          </w:p>
        </w:tc>
        <w:tc>
          <w:tcPr>
            <w:tcW w:w="2695" w:type="dxa"/>
            <w:gridSpan w:val="2"/>
            <w:shd w:val="clear" w:color="auto" w:fill="FFFFFF"/>
            <w:tcMar>
              <w:top w:w="12" w:type="dxa"/>
              <w:left w:w="12" w:type="dxa"/>
              <w:right w:w="12" w:type="dxa"/>
            </w:tcMar>
            <w:vAlign w:val="center"/>
          </w:tcPr>
          <w:p w14:paraId="2FE520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4A23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81" w:hRule="atLeast"/>
        </w:trPr>
        <w:tc>
          <w:tcPr>
            <w:tcW w:w="594" w:type="dxa"/>
            <w:gridSpan w:val="2"/>
            <w:vMerge w:val="continue"/>
            <w:shd w:val="clear" w:color="auto" w:fill="FFFFFF"/>
            <w:tcMar>
              <w:top w:w="12" w:type="dxa"/>
              <w:left w:w="12" w:type="dxa"/>
              <w:right w:w="12" w:type="dxa"/>
            </w:tcMar>
            <w:vAlign w:val="center"/>
          </w:tcPr>
          <w:p w14:paraId="725AA3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19ED560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208981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DNS 双向智能转换</w:t>
            </w:r>
          </w:p>
        </w:tc>
        <w:tc>
          <w:tcPr>
            <w:tcW w:w="3112" w:type="dxa"/>
            <w:gridSpan w:val="3"/>
            <w:shd w:val="clear" w:color="auto" w:fill="auto"/>
            <w:tcMar>
              <w:top w:w="12" w:type="dxa"/>
              <w:left w:w="12" w:type="dxa"/>
              <w:right w:w="12" w:type="dxa"/>
            </w:tcMar>
            <w:vAlign w:val="center"/>
          </w:tcPr>
          <w:p w14:paraId="6A5A898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防火墙作为 DNS 服务器可依据访问地址来源将服务器域名解析为内部地址或外部地址，同时支持通过配置多条转换策略，实现内网资源服务器的负载均衡。</w:t>
            </w:r>
          </w:p>
        </w:tc>
        <w:tc>
          <w:tcPr>
            <w:tcW w:w="2695" w:type="dxa"/>
            <w:gridSpan w:val="2"/>
            <w:shd w:val="clear" w:color="auto" w:fill="FFFFFF"/>
            <w:tcMar>
              <w:top w:w="12" w:type="dxa"/>
              <w:left w:w="12" w:type="dxa"/>
              <w:right w:w="12" w:type="dxa"/>
            </w:tcMar>
            <w:vAlign w:val="center"/>
          </w:tcPr>
          <w:p w14:paraId="69608F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4F445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152" w:hRule="atLeast"/>
        </w:trPr>
        <w:tc>
          <w:tcPr>
            <w:tcW w:w="594" w:type="dxa"/>
            <w:gridSpan w:val="2"/>
            <w:vMerge w:val="continue"/>
            <w:shd w:val="clear" w:color="auto" w:fill="FFFFFF"/>
            <w:tcMar>
              <w:top w:w="12" w:type="dxa"/>
              <w:left w:w="12" w:type="dxa"/>
              <w:right w:w="12" w:type="dxa"/>
            </w:tcMar>
            <w:vAlign w:val="center"/>
          </w:tcPr>
          <w:p w14:paraId="162B58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472483A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3483FA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访问控制</w:t>
            </w:r>
          </w:p>
        </w:tc>
        <w:tc>
          <w:tcPr>
            <w:tcW w:w="3112" w:type="dxa"/>
            <w:gridSpan w:val="3"/>
            <w:shd w:val="clear" w:color="auto" w:fill="auto"/>
            <w:tcMar>
              <w:top w:w="12" w:type="dxa"/>
              <w:left w:w="12" w:type="dxa"/>
              <w:right w:w="12" w:type="dxa"/>
            </w:tcMar>
            <w:vAlign w:val="center"/>
          </w:tcPr>
          <w:p w14:paraId="21584F5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一体化安全策略配置，可以通过一条策略实现五元组、源MAC、源地区、目的地区、域名、应用、服务、时间、长连接、并发会话、WEB认证、IPS、AV、URL过滤、高级威胁防护、WAF、邮件安全、数据过滤、文件过滤、僵木蠕防御、审计、数据库防护、防代理、APT等功能配置,简化用户管理；访问控制策略执行动作支持放行、阻断、认证、收集，对需要认证的流量进行Web认证，策略中可设置用户 Web 认证的门户地址或收集策略流量访问记录，生成更细粒的策略；提供策略分析功能，支持策略命中分析、策略冗余分析、策略冲突检查、策略包含分析、宽泛策略分析，可在WEB界面显示检测结果。</w:t>
            </w:r>
          </w:p>
        </w:tc>
        <w:tc>
          <w:tcPr>
            <w:tcW w:w="2695" w:type="dxa"/>
            <w:gridSpan w:val="2"/>
            <w:shd w:val="clear" w:color="auto" w:fill="FFFFFF"/>
            <w:tcMar>
              <w:top w:w="12" w:type="dxa"/>
              <w:left w:w="12" w:type="dxa"/>
              <w:right w:w="12" w:type="dxa"/>
            </w:tcMar>
            <w:vAlign w:val="center"/>
          </w:tcPr>
          <w:p w14:paraId="66F529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3BD3D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644A22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3029469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06CCE4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网络接入</w:t>
            </w:r>
          </w:p>
        </w:tc>
        <w:tc>
          <w:tcPr>
            <w:tcW w:w="3112" w:type="dxa"/>
            <w:gridSpan w:val="3"/>
            <w:shd w:val="clear" w:color="auto" w:fill="auto"/>
            <w:tcMar>
              <w:top w:w="12" w:type="dxa"/>
              <w:left w:w="12" w:type="dxa"/>
              <w:right w:w="12" w:type="dxa"/>
            </w:tcMar>
            <w:vAlign w:val="center"/>
          </w:tcPr>
          <w:p w14:paraId="4732D93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支持RADVD、ND、RIPng、OSPFv3、BGP4+，支持IPv6静态、动态组播路由；支持NAT64、NAT46、NAT66地址转换，支持6to4隧道、ISATAP隧道。</w:t>
            </w:r>
          </w:p>
        </w:tc>
        <w:tc>
          <w:tcPr>
            <w:tcW w:w="2695" w:type="dxa"/>
            <w:gridSpan w:val="2"/>
            <w:shd w:val="clear" w:color="auto" w:fill="FFFFFF"/>
            <w:tcMar>
              <w:top w:w="12" w:type="dxa"/>
              <w:left w:w="12" w:type="dxa"/>
              <w:right w:w="12" w:type="dxa"/>
            </w:tcMar>
            <w:vAlign w:val="center"/>
          </w:tcPr>
          <w:p w14:paraId="54845F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18FC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4" w:hRule="atLeast"/>
        </w:trPr>
        <w:tc>
          <w:tcPr>
            <w:tcW w:w="594" w:type="dxa"/>
            <w:gridSpan w:val="2"/>
            <w:vMerge w:val="continue"/>
            <w:shd w:val="clear" w:color="auto" w:fill="FFFFFF"/>
            <w:tcMar>
              <w:top w:w="12" w:type="dxa"/>
              <w:left w:w="12" w:type="dxa"/>
              <w:right w:w="12" w:type="dxa"/>
            </w:tcMar>
            <w:vAlign w:val="center"/>
          </w:tcPr>
          <w:p w14:paraId="053936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031D74F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001A95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IPv6访问控制</w:t>
            </w:r>
          </w:p>
        </w:tc>
        <w:tc>
          <w:tcPr>
            <w:tcW w:w="3112" w:type="dxa"/>
            <w:gridSpan w:val="3"/>
            <w:shd w:val="clear" w:color="auto" w:fill="auto"/>
            <w:tcMar>
              <w:top w:w="12" w:type="dxa"/>
              <w:left w:w="12" w:type="dxa"/>
              <w:right w:w="12" w:type="dxa"/>
            </w:tcMar>
            <w:vAlign w:val="center"/>
          </w:tcPr>
          <w:p w14:paraId="192C2E5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▲持IPv6安全控制策略设置，能针对IPv6的目的/源地址、目的/源服务端口、区域、服务、时间、扩展头属性等条件进行安全访问规则的设置；支持IPv6域名控制，支持对多级域名进行控制，域名对象支持通配符。</w:t>
            </w:r>
          </w:p>
        </w:tc>
        <w:tc>
          <w:tcPr>
            <w:tcW w:w="2695" w:type="dxa"/>
            <w:gridSpan w:val="2"/>
            <w:shd w:val="clear" w:color="auto" w:fill="FFFFFF"/>
            <w:tcMar>
              <w:top w:w="12" w:type="dxa"/>
              <w:left w:w="12" w:type="dxa"/>
              <w:right w:w="12" w:type="dxa"/>
            </w:tcMar>
            <w:vAlign w:val="center"/>
          </w:tcPr>
          <w:p w14:paraId="04A21A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w:t>
            </w:r>
          </w:p>
        </w:tc>
      </w:tr>
      <w:tr w14:paraId="69E6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268087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209676C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2CC58F2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DDOS 防御</w:t>
            </w:r>
          </w:p>
        </w:tc>
        <w:tc>
          <w:tcPr>
            <w:tcW w:w="3112" w:type="dxa"/>
            <w:gridSpan w:val="3"/>
            <w:shd w:val="clear" w:color="auto" w:fill="auto"/>
            <w:tcMar>
              <w:top w:w="12" w:type="dxa"/>
              <w:left w:w="12" w:type="dxa"/>
              <w:right w:w="12" w:type="dxa"/>
            </w:tcMar>
            <w:vAlign w:val="center"/>
          </w:tcPr>
          <w:p w14:paraId="7925D24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 HTTP DDOS 防护，采用阀值检查、源/目的限流 、 源 认 证 、 会 话 限 制 等 方 式 综 合 进 行 HTTP FLOOD、HTTP URI CC 攻击、HTTP 连接耗尽等攻击防护；支持 NTP DDOS 防护，采用阀值检查、源/目的限流、源认证等方式综合进行 NTP QUERY FLOOD、NTPREPLY FLOOD 攻击防护。</w:t>
            </w:r>
          </w:p>
        </w:tc>
        <w:tc>
          <w:tcPr>
            <w:tcW w:w="2695" w:type="dxa"/>
            <w:gridSpan w:val="2"/>
            <w:shd w:val="clear" w:color="auto" w:fill="FFFFFF"/>
            <w:tcMar>
              <w:top w:w="12" w:type="dxa"/>
              <w:left w:w="12" w:type="dxa"/>
              <w:right w:w="12" w:type="dxa"/>
            </w:tcMar>
            <w:vAlign w:val="center"/>
          </w:tcPr>
          <w:p w14:paraId="1F7D7B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466E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4" w:hRule="atLeast"/>
        </w:trPr>
        <w:tc>
          <w:tcPr>
            <w:tcW w:w="594" w:type="dxa"/>
            <w:gridSpan w:val="2"/>
            <w:vMerge w:val="continue"/>
            <w:shd w:val="clear" w:color="auto" w:fill="FFFFFF"/>
            <w:tcMar>
              <w:top w:w="12" w:type="dxa"/>
              <w:left w:w="12" w:type="dxa"/>
              <w:right w:w="12" w:type="dxa"/>
            </w:tcMar>
            <w:vAlign w:val="center"/>
          </w:tcPr>
          <w:p w14:paraId="6971F7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5E51F87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0CF883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资源虚拟化</w:t>
            </w:r>
          </w:p>
        </w:tc>
        <w:tc>
          <w:tcPr>
            <w:tcW w:w="3112" w:type="dxa"/>
            <w:gridSpan w:val="3"/>
            <w:shd w:val="clear" w:color="auto" w:fill="auto"/>
            <w:tcMar>
              <w:top w:w="12" w:type="dxa"/>
              <w:left w:w="12" w:type="dxa"/>
              <w:right w:w="12" w:type="dxa"/>
            </w:tcMar>
            <w:vAlign w:val="center"/>
          </w:tcPr>
          <w:p w14:paraId="66EE915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支持在一台物理设备上划分出128个相互独立的虚拟系统，可根据连接配额及连接新建速率为每个虚拟系统分配资源，实配不少于24个虚拟防火墙授权。</w:t>
            </w:r>
          </w:p>
        </w:tc>
        <w:tc>
          <w:tcPr>
            <w:tcW w:w="2695" w:type="dxa"/>
            <w:gridSpan w:val="2"/>
            <w:shd w:val="clear" w:color="auto" w:fill="FFFFFF"/>
            <w:tcMar>
              <w:top w:w="12" w:type="dxa"/>
              <w:left w:w="12" w:type="dxa"/>
              <w:right w:w="12" w:type="dxa"/>
            </w:tcMar>
            <w:vAlign w:val="center"/>
          </w:tcPr>
          <w:p w14:paraId="3352A6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44455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4" w:hRule="atLeast"/>
        </w:trPr>
        <w:tc>
          <w:tcPr>
            <w:tcW w:w="594" w:type="dxa"/>
            <w:gridSpan w:val="2"/>
            <w:vMerge w:val="continue"/>
            <w:shd w:val="clear" w:color="auto" w:fill="FFFFFF"/>
            <w:tcMar>
              <w:top w:w="12" w:type="dxa"/>
              <w:left w:w="12" w:type="dxa"/>
              <w:right w:w="12" w:type="dxa"/>
            </w:tcMar>
            <w:vAlign w:val="center"/>
          </w:tcPr>
          <w:p w14:paraId="74AE5A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679BB88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1514A7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功能虚拟化</w:t>
            </w:r>
          </w:p>
        </w:tc>
        <w:tc>
          <w:tcPr>
            <w:tcW w:w="3112" w:type="dxa"/>
            <w:gridSpan w:val="3"/>
            <w:shd w:val="clear" w:color="auto" w:fill="auto"/>
            <w:tcMar>
              <w:top w:w="12" w:type="dxa"/>
              <w:left w:w="12" w:type="dxa"/>
              <w:right w:w="12" w:type="dxa"/>
            </w:tcMar>
            <w:vAlign w:val="center"/>
          </w:tcPr>
          <w:p w14:paraId="3A7AE70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配置文件、系统服务、路由、链路聚合、安全策略、NAT策略、带宽管理、认证策略、IPV6功能、URL过滤、病毒过滤、WAF、僵木蠕、高级威胁防护、内容过滤、邮件安全、审计、报表、防代理等安全功能虚拟化。</w:t>
            </w:r>
          </w:p>
        </w:tc>
        <w:tc>
          <w:tcPr>
            <w:tcW w:w="2695" w:type="dxa"/>
            <w:gridSpan w:val="2"/>
            <w:shd w:val="clear" w:color="auto" w:fill="FFFFFF"/>
            <w:tcMar>
              <w:top w:w="12" w:type="dxa"/>
              <w:left w:w="12" w:type="dxa"/>
              <w:right w:w="12" w:type="dxa"/>
            </w:tcMar>
            <w:vAlign w:val="center"/>
          </w:tcPr>
          <w:p w14:paraId="7C732E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4EB8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6D966F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7FF956F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5DA49A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资产管理</w:t>
            </w:r>
          </w:p>
        </w:tc>
        <w:tc>
          <w:tcPr>
            <w:tcW w:w="3112" w:type="dxa"/>
            <w:gridSpan w:val="3"/>
            <w:shd w:val="clear" w:color="auto" w:fill="auto"/>
            <w:tcMar>
              <w:top w:w="12" w:type="dxa"/>
              <w:left w:w="12" w:type="dxa"/>
              <w:right w:w="12" w:type="dxa"/>
            </w:tcMar>
            <w:vAlign w:val="center"/>
          </w:tcPr>
          <w:p w14:paraId="3EA2C12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管理员手动添加、批量导入、设备主动扫描、EDR资产上报、漏扫资产上报等多种资产信息获取方式，支持基于访问流量自动识别发现资产；支持对被控制端为内网资产的telnet、ssh、rdp等常用的远程控制协议进行跟踪，支持对内网资产提供socks5代理的情况进行跟踪。</w:t>
            </w:r>
          </w:p>
        </w:tc>
        <w:tc>
          <w:tcPr>
            <w:tcW w:w="2695" w:type="dxa"/>
            <w:gridSpan w:val="2"/>
            <w:shd w:val="clear" w:color="auto" w:fill="FFFFFF"/>
            <w:tcMar>
              <w:top w:w="12" w:type="dxa"/>
              <w:left w:w="12" w:type="dxa"/>
              <w:right w:w="12" w:type="dxa"/>
            </w:tcMar>
            <w:vAlign w:val="center"/>
          </w:tcPr>
          <w:p w14:paraId="7408A7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239D0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4644F6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69DC9A9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295617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系统诊断</w:t>
            </w:r>
          </w:p>
        </w:tc>
        <w:tc>
          <w:tcPr>
            <w:tcW w:w="3112" w:type="dxa"/>
            <w:gridSpan w:val="3"/>
            <w:shd w:val="clear" w:color="auto" w:fill="FFFFFF"/>
            <w:tcMar>
              <w:top w:w="12" w:type="dxa"/>
              <w:left w:w="12" w:type="dxa"/>
              <w:right w:w="12" w:type="dxa"/>
            </w:tcMar>
            <w:vAlign w:val="center"/>
          </w:tcPr>
          <w:p w14:paraId="0D7CC74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支持在WEB界面进行网络诊断，支持PING、TRACEROUTE、TCP、HTTP、DNS诊断方式。</w:t>
            </w:r>
          </w:p>
        </w:tc>
        <w:tc>
          <w:tcPr>
            <w:tcW w:w="2695" w:type="dxa"/>
            <w:gridSpan w:val="2"/>
            <w:shd w:val="clear" w:color="auto" w:fill="FFFFFF"/>
            <w:tcMar>
              <w:top w:w="12" w:type="dxa"/>
              <w:left w:w="12" w:type="dxa"/>
              <w:right w:w="12" w:type="dxa"/>
            </w:tcMar>
            <w:vAlign w:val="center"/>
          </w:tcPr>
          <w:p w14:paraId="04FF13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2FD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594" w:type="dxa"/>
            <w:gridSpan w:val="2"/>
            <w:vMerge w:val="continue"/>
            <w:shd w:val="clear" w:color="auto" w:fill="FFFFFF"/>
            <w:tcMar>
              <w:top w:w="12" w:type="dxa"/>
              <w:left w:w="12" w:type="dxa"/>
              <w:right w:w="12" w:type="dxa"/>
            </w:tcMar>
            <w:vAlign w:val="center"/>
          </w:tcPr>
          <w:p w14:paraId="1A8838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6701DC1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32F528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审计</w:t>
            </w:r>
          </w:p>
        </w:tc>
        <w:tc>
          <w:tcPr>
            <w:tcW w:w="3112" w:type="dxa"/>
            <w:gridSpan w:val="3"/>
            <w:shd w:val="clear" w:color="auto" w:fill="auto"/>
            <w:tcMar>
              <w:top w:w="12" w:type="dxa"/>
              <w:left w:w="12" w:type="dxa"/>
              <w:right w:w="12" w:type="dxa"/>
            </w:tcMar>
            <w:vAlign w:val="center"/>
          </w:tcPr>
          <w:p w14:paraId="1C52071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支持独立审计策略，支持审计白名单；支持访问网站URL 地址、网页标题和网页内容审计；提供完善的审计数据查询功能，方便管理员对用户的上网行为进行审查和分析。支持对用户上网行为进行完整的审计数据查询，包括访问网站、邮件收发、FTP；同时支持对用户上网流量时长进行完整的审计数据查询，包括服务端IP、用户名、协议、上行流量、下行流量、总流量、时间等；支持基于应用、网站类型、用户对用户上网行为进行统计和排序；支持进行违规应用分析、违规网站分析、用户违规访问公示。</w:t>
            </w:r>
          </w:p>
        </w:tc>
        <w:tc>
          <w:tcPr>
            <w:tcW w:w="2695" w:type="dxa"/>
            <w:gridSpan w:val="2"/>
            <w:shd w:val="clear" w:color="auto" w:fill="FFFFFF"/>
            <w:tcMar>
              <w:top w:w="12" w:type="dxa"/>
              <w:left w:w="12" w:type="dxa"/>
              <w:right w:w="12" w:type="dxa"/>
            </w:tcMar>
            <w:vAlign w:val="center"/>
          </w:tcPr>
          <w:p w14:paraId="6426D4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40B7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76BCE0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757FD2A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4E46E9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日志</w:t>
            </w:r>
          </w:p>
        </w:tc>
        <w:tc>
          <w:tcPr>
            <w:tcW w:w="3112" w:type="dxa"/>
            <w:gridSpan w:val="3"/>
            <w:shd w:val="clear" w:color="auto" w:fill="auto"/>
            <w:tcMar>
              <w:top w:w="12" w:type="dxa"/>
              <w:left w:w="12" w:type="dxa"/>
              <w:right w:w="12" w:type="dxa"/>
            </w:tcMar>
            <w:vAlign w:val="center"/>
          </w:tcPr>
          <w:p w14:paraId="53E79C3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支持日志外发至多个SYSLOG服务器，可设置日志传输协议、外发时间类型、日志语言、合并传输、加密传输等参数；日志存储模式支持空间模式和时间模式，时间模式下日志能够保存180天。</w:t>
            </w:r>
          </w:p>
        </w:tc>
        <w:tc>
          <w:tcPr>
            <w:tcW w:w="2695" w:type="dxa"/>
            <w:gridSpan w:val="2"/>
            <w:shd w:val="clear" w:color="auto" w:fill="FFFFFF"/>
            <w:tcMar>
              <w:top w:w="12" w:type="dxa"/>
              <w:left w:w="12" w:type="dxa"/>
              <w:right w:w="12" w:type="dxa"/>
            </w:tcMar>
            <w:vAlign w:val="center"/>
          </w:tcPr>
          <w:p w14:paraId="23E7E6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0777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61366F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4FEA441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581AA9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联动功能</w:t>
            </w:r>
          </w:p>
        </w:tc>
        <w:tc>
          <w:tcPr>
            <w:tcW w:w="3112" w:type="dxa"/>
            <w:gridSpan w:val="3"/>
            <w:shd w:val="clear" w:color="auto" w:fill="auto"/>
            <w:tcMar>
              <w:top w:w="12" w:type="dxa"/>
              <w:left w:w="12" w:type="dxa"/>
              <w:right w:w="12" w:type="dxa"/>
            </w:tcMar>
            <w:vAlign w:val="center"/>
          </w:tcPr>
          <w:p w14:paraId="669101F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支持与漏扫、EDR、DLP、WAF、防病毒网关、数据库审计设备联动，并提供信息产业信息安全测评中心、公安部信息安全产品检测中心、国家版权局、中国软件评测中心之中任意一家机构出具的相关证书或测试报告。</w:t>
            </w:r>
          </w:p>
        </w:tc>
        <w:tc>
          <w:tcPr>
            <w:tcW w:w="2695" w:type="dxa"/>
            <w:gridSpan w:val="2"/>
            <w:shd w:val="clear" w:color="auto" w:fill="FFFFFF"/>
            <w:tcMar>
              <w:top w:w="12" w:type="dxa"/>
              <w:left w:w="12" w:type="dxa"/>
              <w:right w:w="12" w:type="dxa"/>
            </w:tcMar>
            <w:vAlign w:val="center"/>
          </w:tcPr>
          <w:p w14:paraId="7BE18B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8E1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7B2FF0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661FF2F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23FCD7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产品资质</w:t>
            </w:r>
          </w:p>
        </w:tc>
        <w:tc>
          <w:tcPr>
            <w:tcW w:w="3112" w:type="dxa"/>
            <w:gridSpan w:val="3"/>
            <w:shd w:val="clear" w:color="auto" w:fill="auto"/>
            <w:tcMar>
              <w:top w:w="12" w:type="dxa"/>
              <w:left w:w="12" w:type="dxa"/>
              <w:right w:w="12" w:type="dxa"/>
            </w:tcMar>
            <w:vAlign w:val="center"/>
          </w:tcPr>
          <w:p w14:paraId="0F97E45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heme="minorEastAsia" w:hAnsiTheme="minorEastAsia" w:eastAsiaTheme="minorEastAsia" w:cstheme="minorEastAsia"/>
                <w:b w:val="0"/>
                <w:bCs w:val="0"/>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产品需具备IPv6 Ready Logo认证证书</w:t>
            </w:r>
          </w:p>
        </w:tc>
        <w:tc>
          <w:tcPr>
            <w:tcW w:w="2695" w:type="dxa"/>
            <w:gridSpan w:val="2"/>
            <w:shd w:val="clear" w:color="auto" w:fill="FFFFFF"/>
            <w:tcMar>
              <w:top w:w="12" w:type="dxa"/>
              <w:left w:w="12" w:type="dxa"/>
              <w:right w:w="12" w:type="dxa"/>
            </w:tcMar>
            <w:vAlign w:val="center"/>
          </w:tcPr>
          <w:p w14:paraId="19D946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pPr>
          </w:p>
        </w:tc>
      </w:tr>
      <w:tr w14:paraId="26FF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5E4352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632E9F3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381671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产品资质</w:t>
            </w:r>
          </w:p>
        </w:tc>
        <w:tc>
          <w:tcPr>
            <w:tcW w:w="3112" w:type="dxa"/>
            <w:gridSpan w:val="3"/>
            <w:shd w:val="clear" w:color="auto" w:fill="auto"/>
            <w:tcMar>
              <w:top w:w="12" w:type="dxa"/>
              <w:left w:w="12" w:type="dxa"/>
              <w:right w:w="12" w:type="dxa"/>
            </w:tcMar>
            <w:vAlign w:val="center"/>
          </w:tcPr>
          <w:p w14:paraId="7A2646E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产品需具备信息安全产品自主原创证明。</w:t>
            </w:r>
          </w:p>
        </w:tc>
        <w:tc>
          <w:tcPr>
            <w:tcW w:w="2695" w:type="dxa"/>
            <w:gridSpan w:val="2"/>
            <w:shd w:val="clear" w:color="auto" w:fill="FFFFFF"/>
            <w:tcMar>
              <w:top w:w="12" w:type="dxa"/>
              <w:left w:w="12" w:type="dxa"/>
              <w:right w:w="12" w:type="dxa"/>
            </w:tcMar>
            <w:vAlign w:val="center"/>
          </w:tcPr>
          <w:p w14:paraId="43F828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6714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358B7B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35873BD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165AFA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产品资质</w:t>
            </w:r>
          </w:p>
        </w:tc>
        <w:tc>
          <w:tcPr>
            <w:tcW w:w="3112" w:type="dxa"/>
            <w:gridSpan w:val="3"/>
            <w:shd w:val="clear" w:color="auto" w:fill="auto"/>
            <w:tcMar>
              <w:top w:w="12" w:type="dxa"/>
              <w:left w:w="12" w:type="dxa"/>
              <w:right w:w="12" w:type="dxa"/>
            </w:tcMar>
            <w:vAlign w:val="center"/>
          </w:tcPr>
          <w:p w14:paraId="1B5A339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color w:val="auto"/>
                <w:spacing w:val="0"/>
                <w:w w:val="100"/>
                <w:position w:val="0"/>
                <w:sz w:val="21"/>
                <w:szCs w:val="21"/>
                <w:highlight w:val="none"/>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产品需具备网络关键设备和网络安全专用产品安全认证证书</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或</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网络安全专用产品安全检测证书。</w:t>
            </w:r>
          </w:p>
        </w:tc>
        <w:tc>
          <w:tcPr>
            <w:tcW w:w="2695" w:type="dxa"/>
            <w:gridSpan w:val="2"/>
            <w:shd w:val="clear" w:color="auto" w:fill="FFFFFF"/>
            <w:tcMar>
              <w:top w:w="12" w:type="dxa"/>
              <w:left w:w="12" w:type="dxa"/>
              <w:right w:w="12" w:type="dxa"/>
            </w:tcMar>
            <w:vAlign w:val="center"/>
          </w:tcPr>
          <w:p w14:paraId="080DD5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t>列入《网络关键设备和网络安全专用产品目录》的网络安全专用产品，应当按照《信息安全技术网络安全专用产品安全技术要求》等相关国家标准的强制性要求，由具备资格的机构安全认证合格或者安全检测符合要求。</w:t>
            </w:r>
          </w:p>
        </w:tc>
      </w:tr>
      <w:tr w14:paraId="4462A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9023" w:type="dxa"/>
            <w:gridSpan w:val="11"/>
            <w:shd w:val="clear" w:color="auto" w:fill="FFFFFF"/>
            <w:tcMar>
              <w:top w:w="12" w:type="dxa"/>
              <w:left w:w="12" w:type="dxa"/>
              <w:right w:w="12" w:type="dxa"/>
            </w:tcMar>
            <w:vAlign w:val="center"/>
          </w:tcPr>
          <w:p w14:paraId="153F88C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二、内网安全设备</w:t>
            </w:r>
          </w:p>
        </w:tc>
      </w:tr>
      <w:tr w14:paraId="3BF1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94" w:type="dxa"/>
            <w:gridSpan w:val="2"/>
            <w:vMerge w:val="restart"/>
            <w:shd w:val="clear" w:color="auto" w:fill="FFFFFF"/>
            <w:tcMar>
              <w:top w:w="12" w:type="dxa"/>
              <w:left w:w="12" w:type="dxa"/>
              <w:right w:w="12" w:type="dxa"/>
            </w:tcMar>
            <w:vAlign w:val="center"/>
          </w:tcPr>
          <w:p w14:paraId="14FD6F39">
            <w:pPr>
              <w:kinsoku/>
              <w:autoSpaceDE/>
              <w:autoSpaceDN/>
              <w:adjustRightInd/>
              <w:snapToGrid/>
              <w:jc w:val="center"/>
              <w:textAlignment w:val="center"/>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1</w:t>
            </w:r>
          </w:p>
        </w:tc>
        <w:tc>
          <w:tcPr>
            <w:tcW w:w="1126" w:type="dxa"/>
            <w:gridSpan w:val="2"/>
            <w:vMerge w:val="restart"/>
            <w:shd w:val="clear" w:color="auto" w:fill="FFFFFF"/>
            <w:tcMar>
              <w:top w:w="12" w:type="dxa"/>
              <w:left w:w="12" w:type="dxa"/>
              <w:right w:w="12" w:type="dxa"/>
            </w:tcMar>
            <w:vAlign w:val="center"/>
          </w:tcPr>
          <w:p w14:paraId="244A76E5">
            <w:pPr>
              <w:kinsoku/>
              <w:autoSpaceDE/>
              <w:autoSpaceDN/>
              <w:adjustRightInd/>
              <w:snapToGrid/>
              <w:textAlignment w:val="center"/>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堡垒机</w:t>
            </w:r>
          </w:p>
        </w:tc>
        <w:tc>
          <w:tcPr>
            <w:tcW w:w="1496" w:type="dxa"/>
            <w:gridSpan w:val="2"/>
            <w:vMerge w:val="restart"/>
            <w:shd w:val="clear" w:color="auto" w:fill="FFFFFF"/>
            <w:tcMar>
              <w:top w:w="12" w:type="dxa"/>
              <w:left w:w="12" w:type="dxa"/>
              <w:right w:w="12" w:type="dxa"/>
            </w:tcMar>
            <w:vAlign w:val="center"/>
          </w:tcPr>
          <w:p w14:paraId="6360B467">
            <w:pPr>
              <w:kinsoku/>
              <w:autoSpaceDE/>
              <w:autoSpaceDN/>
              <w:adjustRightInd/>
              <w:snapToGrid/>
              <w:jc w:val="center"/>
              <w:textAlignment w:val="center"/>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功能参数</w:t>
            </w:r>
          </w:p>
        </w:tc>
        <w:tc>
          <w:tcPr>
            <w:tcW w:w="3112" w:type="dxa"/>
            <w:gridSpan w:val="3"/>
            <w:shd w:val="clear" w:color="auto" w:fill="FFFFFF"/>
            <w:tcMar>
              <w:top w:w="12" w:type="dxa"/>
              <w:left w:w="12" w:type="dxa"/>
              <w:right w:w="12" w:type="dxa"/>
            </w:tcMar>
            <w:vAlign w:val="center"/>
          </w:tcPr>
          <w:p w14:paraId="0420A70E">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1.运维角色支持时间、命令和审批策略，支持角色克隆；支持用户、资源与角色关联，形成访问策略；可对访问策略进行增删改查；支持超过角色中时间策略中的时间范围，系统将阻断运维会话。</w:t>
            </w:r>
          </w:p>
        </w:tc>
        <w:tc>
          <w:tcPr>
            <w:tcW w:w="2695" w:type="dxa"/>
            <w:gridSpan w:val="2"/>
            <w:shd w:val="clear" w:color="auto" w:fill="FFFFFF"/>
            <w:tcMar>
              <w:top w:w="12" w:type="dxa"/>
              <w:left w:w="12" w:type="dxa"/>
              <w:right w:w="12" w:type="dxa"/>
            </w:tcMar>
            <w:vAlign w:val="center"/>
          </w:tcPr>
          <w:p w14:paraId="5511CD43">
            <w:pPr>
              <w:kinsoku/>
              <w:autoSpaceDE/>
              <w:autoSpaceDN/>
              <w:adjustRightInd/>
              <w:snapToGrid/>
              <w:jc w:val="center"/>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35DF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42198E06">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26B40EB7">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32AD0851">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1060345A">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2.支持数据库协议自动改密，改密类型支持：Oracle、PostgreSQL、MySql、DB2、Informix、SYBASE、SQL SERVER。</w:t>
            </w:r>
          </w:p>
        </w:tc>
        <w:tc>
          <w:tcPr>
            <w:tcW w:w="2695" w:type="dxa"/>
            <w:gridSpan w:val="2"/>
            <w:shd w:val="clear" w:color="auto" w:fill="FFFFFF"/>
            <w:tcMar>
              <w:top w:w="12" w:type="dxa"/>
              <w:left w:w="12" w:type="dxa"/>
              <w:right w:w="12" w:type="dxa"/>
            </w:tcMar>
            <w:vAlign w:val="center"/>
          </w:tcPr>
          <w:p w14:paraId="39639898">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4780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20" w:hRule="atLeast"/>
        </w:trPr>
        <w:tc>
          <w:tcPr>
            <w:tcW w:w="594" w:type="dxa"/>
            <w:gridSpan w:val="2"/>
            <w:vMerge w:val="continue"/>
            <w:shd w:val="clear" w:color="auto" w:fill="FFFFFF"/>
            <w:tcMar>
              <w:top w:w="12" w:type="dxa"/>
              <w:left w:w="12" w:type="dxa"/>
              <w:right w:w="12" w:type="dxa"/>
            </w:tcMar>
            <w:vAlign w:val="center"/>
          </w:tcPr>
          <w:p w14:paraId="52CCCFB5">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3BCE181A">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7B835EAA">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142C0A3E">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w:t>
            </w:r>
            <w:r>
              <w:rPr>
                <w:rFonts w:hint="eastAsia" w:asciiTheme="minorEastAsia" w:hAnsiTheme="minorEastAsia" w:eastAsiaTheme="minorEastAsia" w:cstheme="minorEastAsia"/>
                <w:b w:val="0"/>
                <w:bCs w:val="0"/>
                <w:snapToGrid/>
                <w:color w:val="auto"/>
                <w:sz w:val="24"/>
                <w:szCs w:val="24"/>
                <w:highlight w:val="none"/>
                <w:lang w:eastAsia="zh-CN" w:bidi="ar"/>
              </w:rPr>
              <w:t>3.支持 Oracle（支持ORACLE RAC）、SQL Server、IBM DB2、Sybase、IBM Informix Dynamic Server、MySQL、PostgreSQL、Teradata、DM6\7\8、KingBase、MongoDb、Redis、GBase、GaussDB、OceanBase、GreateDb、GoldenDB、AISWare AntDB数据库命令级审计及下行返回行数记录。</w:t>
            </w:r>
          </w:p>
        </w:tc>
        <w:tc>
          <w:tcPr>
            <w:tcW w:w="2695" w:type="dxa"/>
            <w:gridSpan w:val="2"/>
            <w:shd w:val="clear" w:color="auto" w:fill="FFFFFF"/>
            <w:tcMar>
              <w:top w:w="12" w:type="dxa"/>
              <w:left w:w="12" w:type="dxa"/>
              <w:right w:w="12" w:type="dxa"/>
            </w:tcMar>
            <w:vAlign w:val="center"/>
          </w:tcPr>
          <w:p w14:paraId="2E5E443C">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提供证明材料，包括网站截图、功能截图、第三方检测报告中任意一种，并加盖制造商公章</w:t>
            </w:r>
          </w:p>
        </w:tc>
      </w:tr>
      <w:tr w14:paraId="6DCF5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71C207C7">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72A618BC">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4ED7044A">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1DE86279">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4.支持FTP、SFTP、SSH、RDP、SCP等协议运维时，对传输文件进行留存。</w:t>
            </w:r>
          </w:p>
        </w:tc>
        <w:tc>
          <w:tcPr>
            <w:tcW w:w="2695" w:type="dxa"/>
            <w:gridSpan w:val="2"/>
            <w:shd w:val="clear" w:color="auto" w:fill="FFFFFF"/>
            <w:tcMar>
              <w:top w:w="12" w:type="dxa"/>
              <w:left w:w="12" w:type="dxa"/>
              <w:right w:w="12" w:type="dxa"/>
            </w:tcMar>
            <w:vAlign w:val="center"/>
          </w:tcPr>
          <w:p w14:paraId="5913ECA8">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71F0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20" w:hRule="atLeast"/>
        </w:trPr>
        <w:tc>
          <w:tcPr>
            <w:tcW w:w="594" w:type="dxa"/>
            <w:gridSpan w:val="2"/>
            <w:vMerge w:val="continue"/>
            <w:shd w:val="clear" w:color="auto" w:fill="FFFFFF"/>
            <w:tcMar>
              <w:top w:w="12" w:type="dxa"/>
              <w:left w:w="12" w:type="dxa"/>
              <w:right w:w="12" w:type="dxa"/>
            </w:tcMar>
            <w:vAlign w:val="center"/>
          </w:tcPr>
          <w:p w14:paraId="1201FF29">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2DBA0627">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7055836C">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40FA0DF2">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w:t>
            </w:r>
            <w:r>
              <w:rPr>
                <w:rFonts w:hint="eastAsia" w:asciiTheme="minorEastAsia" w:hAnsiTheme="minorEastAsia" w:eastAsiaTheme="minorEastAsia" w:cstheme="minorEastAsia"/>
                <w:b w:val="0"/>
                <w:bCs w:val="0"/>
                <w:snapToGrid/>
                <w:color w:val="auto"/>
                <w:sz w:val="24"/>
                <w:szCs w:val="24"/>
                <w:highlight w:val="none"/>
                <w:lang w:eastAsia="zh-CN" w:bidi="ar"/>
              </w:rPr>
              <w:t>5.产品支持运维人员操作的全过程的记录与报告；内置USB-KEY认证、国密USB-KEY认证、动态口令认证、国密动态口令认证、手机令牌认证、http通用认证、webservice通用认证、超级SIM认证、邮件认证等身份认证方式；支持用户以手机号码或邮箱地址作为用户身份登录。</w:t>
            </w:r>
          </w:p>
        </w:tc>
        <w:tc>
          <w:tcPr>
            <w:tcW w:w="2695" w:type="dxa"/>
            <w:gridSpan w:val="2"/>
            <w:shd w:val="clear" w:color="auto" w:fill="FFFFFF"/>
            <w:tcMar>
              <w:top w:w="12" w:type="dxa"/>
              <w:left w:w="12" w:type="dxa"/>
              <w:right w:w="12" w:type="dxa"/>
            </w:tcMar>
            <w:vAlign w:val="center"/>
          </w:tcPr>
          <w:p w14:paraId="2981033A">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提供证明材料，包括网站截图、功能截图、第三方检测报告中任意一种，并加盖制造商公章</w:t>
            </w:r>
          </w:p>
        </w:tc>
      </w:tr>
      <w:tr w14:paraId="34B5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69416AED">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546BC36D">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76B392D0">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060476FA">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6.支持HTML5运维与审计，无需安装插件；支持国产化运维终端调用应用发布工具运维，支持发布国产化运维工具，实现录像审计（RDP/VNC/X11/HTTP(S)/国产数据库等）；</w:t>
            </w:r>
          </w:p>
        </w:tc>
        <w:tc>
          <w:tcPr>
            <w:tcW w:w="2695" w:type="dxa"/>
            <w:gridSpan w:val="2"/>
            <w:shd w:val="clear" w:color="auto" w:fill="FFFFFF"/>
            <w:tcMar>
              <w:top w:w="12" w:type="dxa"/>
              <w:left w:w="12" w:type="dxa"/>
              <w:right w:w="12" w:type="dxa"/>
            </w:tcMar>
            <w:vAlign w:val="center"/>
          </w:tcPr>
          <w:p w14:paraId="1305526D">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4A90A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594" w:type="dxa"/>
            <w:gridSpan w:val="2"/>
            <w:vMerge w:val="continue"/>
            <w:shd w:val="clear" w:color="auto" w:fill="FFFFFF"/>
            <w:tcMar>
              <w:top w:w="12" w:type="dxa"/>
              <w:left w:w="12" w:type="dxa"/>
              <w:right w:w="12" w:type="dxa"/>
            </w:tcMar>
            <w:vAlign w:val="center"/>
          </w:tcPr>
          <w:p w14:paraId="5994CE35">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58362088">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039CA572">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79966840">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7.支持通过国产化与非国产化应用发布开启运维屏幕水印，运维本地无法篡改水印内容，提升运维过程数据安全性。</w:t>
            </w:r>
          </w:p>
        </w:tc>
        <w:tc>
          <w:tcPr>
            <w:tcW w:w="2695" w:type="dxa"/>
            <w:gridSpan w:val="2"/>
            <w:shd w:val="clear" w:color="auto" w:fill="FFFFFF"/>
            <w:tcMar>
              <w:top w:w="12" w:type="dxa"/>
              <w:left w:w="12" w:type="dxa"/>
              <w:right w:w="12" w:type="dxa"/>
            </w:tcMar>
            <w:vAlign w:val="center"/>
          </w:tcPr>
          <w:p w14:paraId="78D4FC9F">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6579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08D1C3E1">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42F0A425">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427FE4CE">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2A4A98D1">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8.运维用户可以设置自动运维操作定时/周期执行，实现网络设备配置的自动备份；支持管理员通过WEB界面自定义上传用户手册，保证使用手册及时更新。</w:t>
            </w:r>
          </w:p>
        </w:tc>
        <w:tc>
          <w:tcPr>
            <w:tcW w:w="2695" w:type="dxa"/>
            <w:gridSpan w:val="2"/>
            <w:shd w:val="clear" w:color="auto" w:fill="FFFFFF"/>
            <w:tcMar>
              <w:top w:w="12" w:type="dxa"/>
              <w:left w:w="12" w:type="dxa"/>
              <w:right w:w="12" w:type="dxa"/>
            </w:tcMar>
            <w:vAlign w:val="center"/>
          </w:tcPr>
          <w:p w14:paraId="6888E959">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512E0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77EDA50A">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0F4C0385">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160E6619">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67F23A30">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color w:val="auto"/>
                <w:spacing w:val="0"/>
                <w:w w:val="100"/>
                <w:position w:val="0"/>
                <w:sz w:val="21"/>
                <w:szCs w:val="21"/>
                <w:highlight w:val="none"/>
              </w:rPr>
              <w:t>★</w:t>
            </w:r>
            <w:r>
              <w:rPr>
                <w:rFonts w:hint="eastAsia" w:asciiTheme="minorEastAsia" w:hAnsiTheme="minorEastAsia" w:eastAsiaTheme="minorEastAsia" w:cstheme="minorEastAsia"/>
                <w:b w:val="0"/>
                <w:bCs w:val="0"/>
                <w:color w:val="auto"/>
                <w:spacing w:val="0"/>
                <w:w w:val="100"/>
                <w:position w:val="0"/>
                <w:sz w:val="21"/>
                <w:szCs w:val="21"/>
                <w:highlight w:val="none"/>
                <w:lang w:val="en-US" w:eastAsia="zh-CN"/>
              </w:rPr>
              <w:t>9.</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产品需具备网络关键设备和网络安全专用产品安全认证证书</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或</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网络安全专用产品安全检测证书。</w:t>
            </w:r>
          </w:p>
        </w:tc>
        <w:tc>
          <w:tcPr>
            <w:tcW w:w="2695" w:type="dxa"/>
            <w:gridSpan w:val="2"/>
            <w:shd w:val="clear" w:color="auto" w:fill="FFFFFF"/>
            <w:tcMar>
              <w:top w:w="12" w:type="dxa"/>
              <w:left w:w="12" w:type="dxa"/>
              <w:right w:w="12" w:type="dxa"/>
            </w:tcMar>
            <w:vAlign w:val="center"/>
          </w:tcPr>
          <w:p w14:paraId="6BDBD3CE">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kern w:val="2"/>
                <w:sz w:val="24"/>
                <w:szCs w:val="24"/>
                <w:highlight w:val="none"/>
                <w:lang w:eastAsia="zh-CN"/>
              </w:rPr>
              <w:t>列入《网络关键设备和网络安全专用产品目录》的网络安全专用产品，应当按照《信息安全技术网络安全专用产品安全技术要求》等相关国家标准的强制性要求，由具备资格的机构安全认证合格或者安全检测符合要求。</w:t>
            </w:r>
          </w:p>
        </w:tc>
      </w:tr>
      <w:tr w14:paraId="0E2D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24" w:hRule="atLeast"/>
        </w:trPr>
        <w:tc>
          <w:tcPr>
            <w:tcW w:w="594" w:type="dxa"/>
            <w:gridSpan w:val="2"/>
            <w:vMerge w:val="restart"/>
            <w:shd w:val="clear" w:color="auto" w:fill="FFFFFF"/>
            <w:tcMar>
              <w:top w:w="12" w:type="dxa"/>
              <w:left w:w="12" w:type="dxa"/>
              <w:right w:w="12" w:type="dxa"/>
            </w:tcMar>
            <w:vAlign w:val="center"/>
          </w:tcPr>
          <w:p w14:paraId="13C297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bookmarkStart w:id="2" w:name="OLE_LINK1" w:colFirst="3" w:colLast="3"/>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2</w:t>
            </w:r>
          </w:p>
        </w:tc>
        <w:tc>
          <w:tcPr>
            <w:tcW w:w="1126" w:type="dxa"/>
            <w:gridSpan w:val="2"/>
            <w:vMerge w:val="restart"/>
            <w:shd w:val="clear" w:color="auto" w:fill="FFFFFF"/>
            <w:tcMar>
              <w:top w:w="12" w:type="dxa"/>
              <w:left w:w="12" w:type="dxa"/>
              <w:right w:w="12" w:type="dxa"/>
            </w:tcMar>
            <w:vAlign w:val="center"/>
          </w:tcPr>
          <w:p w14:paraId="51FB02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双因素认证</w:t>
            </w:r>
          </w:p>
        </w:tc>
        <w:tc>
          <w:tcPr>
            <w:tcW w:w="1496" w:type="dxa"/>
            <w:gridSpan w:val="2"/>
            <w:vMerge w:val="restart"/>
            <w:shd w:val="clear" w:color="auto" w:fill="auto"/>
            <w:tcMar>
              <w:top w:w="12" w:type="dxa"/>
              <w:left w:w="12" w:type="dxa"/>
              <w:right w:w="12" w:type="dxa"/>
            </w:tcMar>
            <w:vAlign w:val="center"/>
          </w:tcPr>
          <w:p w14:paraId="23ABF9A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主体功能</w:t>
            </w:r>
          </w:p>
        </w:tc>
        <w:tc>
          <w:tcPr>
            <w:tcW w:w="3112" w:type="dxa"/>
            <w:gridSpan w:val="3"/>
            <w:shd w:val="clear" w:color="auto" w:fill="auto"/>
            <w:tcMar>
              <w:top w:w="12" w:type="dxa"/>
              <w:left w:w="12" w:type="dxa"/>
              <w:right w:w="12" w:type="dxa"/>
            </w:tcMar>
            <w:vAlign w:val="center"/>
          </w:tcPr>
          <w:p w14:paraId="2BEBE79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在账号、静态口令认证基础之上，增加动态口令和生物识别认证方式，在最基本的静态口令认证这一环节，部署双因素动态身份鉴别系统，提升全场景入口安全级别，防止恶意入侵或人为破坏等非法操作。</w:t>
            </w:r>
          </w:p>
        </w:tc>
        <w:tc>
          <w:tcPr>
            <w:tcW w:w="2695" w:type="dxa"/>
            <w:gridSpan w:val="2"/>
            <w:shd w:val="clear" w:color="auto" w:fill="FFFFFF"/>
            <w:tcMar>
              <w:top w:w="12" w:type="dxa"/>
              <w:left w:w="12" w:type="dxa"/>
              <w:right w:w="12" w:type="dxa"/>
            </w:tcMar>
            <w:vAlign w:val="center"/>
          </w:tcPr>
          <w:p w14:paraId="17BA90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4B82E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7892B2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7F5A78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755DC02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23CCFAA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动态认证系统提供认证服务、资源管理、策略管理、账号管理、日志审计、集成动态令牌认证引擎、生物识别认证引擎和RADIUS、TACACS+、LDAP协议服务，支持windows或linux操作系统部署模式，支持双机容错；支持主流网络设备、操作系统、业务系统等场景对接</w:t>
            </w:r>
          </w:p>
        </w:tc>
        <w:tc>
          <w:tcPr>
            <w:tcW w:w="2695" w:type="dxa"/>
            <w:gridSpan w:val="2"/>
            <w:shd w:val="clear" w:color="auto" w:fill="FFFFFF"/>
            <w:tcMar>
              <w:top w:w="12" w:type="dxa"/>
              <w:left w:w="12" w:type="dxa"/>
              <w:right w:w="12" w:type="dxa"/>
            </w:tcMar>
            <w:vAlign w:val="center"/>
          </w:tcPr>
          <w:p w14:paraId="67E0A0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1ED82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56E559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55C3EE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383A092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1C5DFEE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扩展性：兼容多种认证方式，包括硬件令牌、app令牌、短信令牌、PC令牌、H5令牌、微信令牌、指纹令牌等多种方法混合使用</w:t>
            </w:r>
          </w:p>
        </w:tc>
        <w:tc>
          <w:tcPr>
            <w:tcW w:w="2695" w:type="dxa"/>
            <w:gridSpan w:val="2"/>
            <w:shd w:val="clear" w:color="auto" w:fill="FFFFFF"/>
            <w:tcMar>
              <w:top w:w="12" w:type="dxa"/>
              <w:left w:w="12" w:type="dxa"/>
              <w:right w:w="12" w:type="dxa"/>
            </w:tcMar>
            <w:vAlign w:val="center"/>
          </w:tcPr>
          <w:p w14:paraId="301D9A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bookmarkEnd w:id="2"/>
      <w:tr w14:paraId="394F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14D598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71E31F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shd w:val="clear" w:color="auto" w:fill="auto"/>
            <w:tcMar>
              <w:top w:w="12" w:type="dxa"/>
              <w:left w:w="12" w:type="dxa"/>
              <w:right w:w="12" w:type="dxa"/>
            </w:tcMar>
            <w:vAlign w:val="center"/>
          </w:tcPr>
          <w:p w14:paraId="047C407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资源管理</w:t>
            </w:r>
          </w:p>
        </w:tc>
        <w:tc>
          <w:tcPr>
            <w:tcW w:w="3112" w:type="dxa"/>
            <w:gridSpan w:val="3"/>
            <w:shd w:val="clear" w:color="auto" w:fill="auto"/>
            <w:tcMar>
              <w:top w:w="12" w:type="dxa"/>
              <w:left w:w="12" w:type="dxa"/>
              <w:right w:w="12" w:type="dxa"/>
            </w:tcMar>
            <w:vAlign w:val="center"/>
          </w:tcPr>
          <w:p w14:paraId="7B2995E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业务系统、操作系统设备：需要配置设备名称、共享密钥、设备地址；可以定义选择设备类型、认证策略；可以一键开启地址校验、一键开启设备接入是否生效</w:t>
            </w:r>
          </w:p>
        </w:tc>
        <w:tc>
          <w:tcPr>
            <w:tcW w:w="2695" w:type="dxa"/>
            <w:gridSpan w:val="2"/>
            <w:shd w:val="clear" w:color="auto" w:fill="FFFFFF"/>
            <w:tcMar>
              <w:top w:w="12" w:type="dxa"/>
              <w:left w:w="12" w:type="dxa"/>
              <w:right w:w="12" w:type="dxa"/>
            </w:tcMar>
            <w:vAlign w:val="center"/>
          </w:tcPr>
          <w:p w14:paraId="43A85C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4383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70F09E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2ACC72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62F136A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0253F47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认证终端设备管理，需要显示终端序列号、终端类型、终端地址；可以根据终端序列号进行查询，分页显示；支持新增、修改、删除操作</w:t>
            </w:r>
          </w:p>
        </w:tc>
        <w:tc>
          <w:tcPr>
            <w:tcW w:w="2695" w:type="dxa"/>
            <w:gridSpan w:val="2"/>
            <w:shd w:val="clear" w:color="auto" w:fill="FFFFFF"/>
            <w:tcMar>
              <w:top w:w="12" w:type="dxa"/>
              <w:left w:w="12" w:type="dxa"/>
              <w:right w:w="12" w:type="dxa"/>
            </w:tcMar>
            <w:vAlign w:val="center"/>
          </w:tcPr>
          <w:p w14:paraId="331B80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247D7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3B72A7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0FE9EB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47A26E7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7B4206C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网络设备：需要配置设备名称、共享密钥、设备地址；可以定义选择设备类型、认证策略、授权策略、协议认证、Radius属性；可以一键开启多步认证、一键开启接入设备是否生效；支持华为云CHAP</w:t>
            </w:r>
          </w:p>
        </w:tc>
        <w:tc>
          <w:tcPr>
            <w:tcW w:w="2695" w:type="dxa"/>
            <w:gridSpan w:val="2"/>
            <w:shd w:val="clear" w:color="auto" w:fill="FFFFFF"/>
            <w:tcMar>
              <w:top w:w="12" w:type="dxa"/>
              <w:left w:w="12" w:type="dxa"/>
              <w:right w:w="12" w:type="dxa"/>
            </w:tcMar>
            <w:vAlign w:val="center"/>
          </w:tcPr>
          <w:p w14:paraId="6A321A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20B8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7AC12C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464B8F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shd w:val="clear" w:color="auto" w:fill="auto"/>
            <w:tcMar>
              <w:top w:w="12" w:type="dxa"/>
              <w:left w:w="12" w:type="dxa"/>
              <w:right w:w="12" w:type="dxa"/>
            </w:tcMar>
            <w:vAlign w:val="center"/>
          </w:tcPr>
          <w:p w14:paraId="371EA7D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认证策略</w:t>
            </w:r>
          </w:p>
        </w:tc>
        <w:tc>
          <w:tcPr>
            <w:tcW w:w="3112" w:type="dxa"/>
            <w:gridSpan w:val="3"/>
            <w:shd w:val="clear" w:color="auto" w:fill="auto"/>
            <w:tcMar>
              <w:top w:w="12" w:type="dxa"/>
              <w:left w:w="12" w:type="dxa"/>
              <w:right w:w="12" w:type="dxa"/>
            </w:tcMar>
            <w:vAlign w:val="center"/>
          </w:tcPr>
          <w:p w14:paraId="0EC5F70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同时为一个用户支持硬件令牌、手机令牌、短信密码、PC令牌、微信令牌、扫码认证等多种认证方式，支持用户的多种令牌混合使用</w:t>
            </w:r>
          </w:p>
        </w:tc>
        <w:tc>
          <w:tcPr>
            <w:tcW w:w="2695" w:type="dxa"/>
            <w:gridSpan w:val="2"/>
            <w:shd w:val="clear" w:color="auto" w:fill="FFFFFF"/>
            <w:tcMar>
              <w:top w:w="12" w:type="dxa"/>
              <w:left w:w="12" w:type="dxa"/>
              <w:right w:w="12" w:type="dxa"/>
            </w:tcMar>
            <w:vAlign w:val="center"/>
          </w:tcPr>
          <w:p w14:paraId="6EFF9D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07F8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653A2A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4F0560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1E04968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2B6299E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支持消息密码认证、静态密码认证、动态密码认证、推送认证、强认证、认证转发；支持消息令牌过滤；支持内部用户认证、外部用户源认证</w:t>
            </w:r>
          </w:p>
        </w:tc>
        <w:tc>
          <w:tcPr>
            <w:tcW w:w="2695" w:type="dxa"/>
            <w:gridSpan w:val="2"/>
            <w:shd w:val="clear" w:color="auto" w:fill="FFFFFF"/>
            <w:tcMar>
              <w:top w:w="12" w:type="dxa"/>
              <w:left w:w="12" w:type="dxa"/>
              <w:right w:w="12" w:type="dxa"/>
            </w:tcMar>
            <w:vAlign w:val="center"/>
          </w:tcPr>
          <w:p w14:paraId="10053B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16F1E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3A43E7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6770B2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16CAD9A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12DBE5A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可以自定义授权策略，自定义授权规则，自定义规则权限，Radius报文属性自定义</w:t>
            </w:r>
          </w:p>
        </w:tc>
        <w:tc>
          <w:tcPr>
            <w:tcW w:w="2695" w:type="dxa"/>
            <w:gridSpan w:val="2"/>
            <w:shd w:val="clear" w:color="auto" w:fill="FFFFFF"/>
            <w:tcMar>
              <w:top w:w="12" w:type="dxa"/>
              <w:left w:w="12" w:type="dxa"/>
              <w:right w:w="12" w:type="dxa"/>
            </w:tcMar>
            <w:vAlign w:val="center"/>
          </w:tcPr>
          <w:p w14:paraId="676993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C8B2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4BE48E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3CFFFE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0CAC660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5A903CA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默认短信自动触发至用户预制手机上，无需填入手机号</w:t>
            </w:r>
          </w:p>
        </w:tc>
        <w:tc>
          <w:tcPr>
            <w:tcW w:w="2695" w:type="dxa"/>
            <w:gridSpan w:val="2"/>
            <w:shd w:val="clear" w:color="auto" w:fill="FFFFFF"/>
            <w:tcMar>
              <w:top w:w="12" w:type="dxa"/>
              <w:left w:w="12" w:type="dxa"/>
              <w:right w:w="12" w:type="dxa"/>
            </w:tcMar>
            <w:vAlign w:val="center"/>
          </w:tcPr>
          <w:p w14:paraId="42A3B6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68CB4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40AED8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647950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0AF72DC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1A73463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支持策略组设置认证用户是否启用静态密码、动态密码、强认证开关键；支持强制部分用户或所有用户采用动态密码认证方式</w:t>
            </w:r>
          </w:p>
        </w:tc>
        <w:tc>
          <w:tcPr>
            <w:tcW w:w="2695" w:type="dxa"/>
            <w:gridSpan w:val="2"/>
            <w:shd w:val="clear" w:color="auto" w:fill="FFFFFF"/>
            <w:tcMar>
              <w:top w:w="12" w:type="dxa"/>
              <w:left w:w="12" w:type="dxa"/>
              <w:right w:w="12" w:type="dxa"/>
            </w:tcMar>
            <w:vAlign w:val="center"/>
          </w:tcPr>
          <w:p w14:paraId="173631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761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5FEE26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3EFDDA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6883B8C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3CD3FD2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策略组支持设定管理员，管理员可管理应用该策略组的设备</w:t>
            </w:r>
          </w:p>
        </w:tc>
        <w:tc>
          <w:tcPr>
            <w:tcW w:w="2695" w:type="dxa"/>
            <w:gridSpan w:val="2"/>
            <w:shd w:val="clear" w:color="auto" w:fill="FFFFFF"/>
            <w:tcMar>
              <w:top w:w="12" w:type="dxa"/>
              <w:left w:w="12" w:type="dxa"/>
              <w:right w:w="12" w:type="dxa"/>
            </w:tcMar>
            <w:vAlign w:val="center"/>
          </w:tcPr>
          <w:p w14:paraId="12CA16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17AC4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5D870F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1EF0E2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shd w:val="clear" w:color="auto" w:fill="auto"/>
            <w:tcMar>
              <w:top w:w="12" w:type="dxa"/>
              <w:left w:w="12" w:type="dxa"/>
              <w:right w:w="12" w:type="dxa"/>
            </w:tcMar>
            <w:vAlign w:val="center"/>
          </w:tcPr>
          <w:p w14:paraId="7418DB6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账号管理</w:t>
            </w:r>
          </w:p>
        </w:tc>
        <w:tc>
          <w:tcPr>
            <w:tcW w:w="3112" w:type="dxa"/>
            <w:gridSpan w:val="3"/>
            <w:shd w:val="clear" w:color="auto" w:fill="auto"/>
            <w:tcMar>
              <w:top w:w="12" w:type="dxa"/>
              <w:left w:w="12" w:type="dxa"/>
              <w:right w:w="12" w:type="dxa"/>
            </w:tcMar>
            <w:vAlign w:val="center"/>
          </w:tcPr>
          <w:p w14:paraId="6A4E536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基于Web管理，实现账号以及组织架构统一管理，方便操作和使用</w:t>
            </w:r>
          </w:p>
        </w:tc>
        <w:tc>
          <w:tcPr>
            <w:tcW w:w="2695" w:type="dxa"/>
            <w:gridSpan w:val="2"/>
            <w:shd w:val="clear" w:color="auto" w:fill="FFFFFF"/>
            <w:tcMar>
              <w:top w:w="12" w:type="dxa"/>
              <w:left w:w="12" w:type="dxa"/>
              <w:right w:w="12" w:type="dxa"/>
            </w:tcMar>
            <w:vAlign w:val="center"/>
          </w:tcPr>
          <w:p w14:paraId="01ECA7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0909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28497E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2A3611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21FA09B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30F3F5A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支持认证系统内建本地用户账号管理及树形组织架构展现；支持用户账号数据导入和导出</w:t>
            </w:r>
          </w:p>
        </w:tc>
        <w:tc>
          <w:tcPr>
            <w:tcW w:w="2695" w:type="dxa"/>
            <w:gridSpan w:val="2"/>
            <w:shd w:val="clear" w:color="auto" w:fill="FFFFFF"/>
            <w:tcMar>
              <w:top w:w="12" w:type="dxa"/>
              <w:left w:w="12" w:type="dxa"/>
              <w:right w:w="12" w:type="dxa"/>
            </w:tcMar>
            <w:vAlign w:val="center"/>
          </w:tcPr>
          <w:p w14:paraId="510003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4A55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55C285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17EA3F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2B483FE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3AA62C2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针对本地组织架构或者用户组下的用户，支持批量派发和绑定令牌、令牌导出、重置密码、认证策略设定</w:t>
            </w:r>
          </w:p>
        </w:tc>
        <w:tc>
          <w:tcPr>
            <w:tcW w:w="2695" w:type="dxa"/>
            <w:gridSpan w:val="2"/>
            <w:shd w:val="clear" w:color="auto" w:fill="FFFFFF"/>
            <w:tcMar>
              <w:top w:w="12" w:type="dxa"/>
              <w:left w:w="12" w:type="dxa"/>
              <w:right w:w="12" w:type="dxa"/>
            </w:tcMar>
            <w:vAlign w:val="center"/>
          </w:tcPr>
          <w:p w14:paraId="5BEAD8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2E2A4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61761D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140262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5D16470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4580656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支持外部账号源，如AD/LDAP，数据库、API接口等账户源</w:t>
            </w:r>
          </w:p>
        </w:tc>
        <w:tc>
          <w:tcPr>
            <w:tcW w:w="2695" w:type="dxa"/>
            <w:gridSpan w:val="2"/>
            <w:shd w:val="clear" w:color="auto" w:fill="FFFFFF"/>
            <w:tcMar>
              <w:top w:w="12" w:type="dxa"/>
              <w:left w:w="12" w:type="dxa"/>
              <w:right w:w="12" w:type="dxa"/>
            </w:tcMar>
            <w:vAlign w:val="center"/>
          </w:tcPr>
          <w:p w14:paraId="232622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03832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107B7B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18A538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516B524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2936B0D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支持本地角色的自定义维护管理；支持外部数据源角色的自动同步；支持针对角色所属用户是否开启使用消息令牌</w:t>
            </w:r>
          </w:p>
        </w:tc>
        <w:tc>
          <w:tcPr>
            <w:tcW w:w="2695" w:type="dxa"/>
            <w:gridSpan w:val="2"/>
            <w:shd w:val="clear" w:color="auto" w:fill="FFFFFF"/>
            <w:tcMar>
              <w:top w:w="12" w:type="dxa"/>
              <w:left w:w="12" w:type="dxa"/>
              <w:right w:w="12" w:type="dxa"/>
            </w:tcMar>
            <w:vAlign w:val="center"/>
          </w:tcPr>
          <w:p w14:paraId="229B4E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61318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5F2BEF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69FE97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7074F44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375720D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支持单个用户设置认证策略，且单个用户认证设置优先于对接设备的认证策略；便于单个用户灵活认证配置认证策略</w:t>
            </w:r>
          </w:p>
        </w:tc>
        <w:tc>
          <w:tcPr>
            <w:tcW w:w="2695" w:type="dxa"/>
            <w:gridSpan w:val="2"/>
            <w:shd w:val="clear" w:color="auto" w:fill="FFFFFF"/>
            <w:tcMar>
              <w:top w:w="12" w:type="dxa"/>
              <w:left w:w="12" w:type="dxa"/>
              <w:right w:w="12" w:type="dxa"/>
            </w:tcMar>
            <w:vAlign w:val="center"/>
          </w:tcPr>
          <w:p w14:paraId="1B96FF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2B3BE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296CD4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4DE8DD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1536746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2A545FD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可设定用户绑定一种类型令牌个数控制，默认每个用户一个令牌，通过令牌备注用户个体；支持软件令牌激活码通过邮箱模式发送</w:t>
            </w:r>
          </w:p>
        </w:tc>
        <w:tc>
          <w:tcPr>
            <w:tcW w:w="2695" w:type="dxa"/>
            <w:gridSpan w:val="2"/>
            <w:shd w:val="clear" w:color="auto" w:fill="FFFFFF"/>
            <w:tcMar>
              <w:top w:w="12" w:type="dxa"/>
              <w:left w:w="12" w:type="dxa"/>
              <w:right w:w="12" w:type="dxa"/>
            </w:tcMar>
            <w:vAlign w:val="center"/>
          </w:tcPr>
          <w:p w14:paraId="6E43F9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4750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7904A4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50C21B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1D75E2A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1ADBCA2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支持自动生成应急动态密码，用于应急状态下使用</w:t>
            </w:r>
          </w:p>
        </w:tc>
        <w:tc>
          <w:tcPr>
            <w:tcW w:w="2695" w:type="dxa"/>
            <w:gridSpan w:val="2"/>
            <w:shd w:val="clear" w:color="auto" w:fill="FFFFFF"/>
            <w:tcMar>
              <w:top w:w="12" w:type="dxa"/>
              <w:left w:w="12" w:type="dxa"/>
              <w:right w:w="12" w:type="dxa"/>
            </w:tcMar>
            <w:vAlign w:val="center"/>
          </w:tcPr>
          <w:p w14:paraId="63F688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7D75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25F750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4734AD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shd w:val="clear" w:color="auto" w:fill="auto"/>
            <w:tcMar>
              <w:top w:w="12" w:type="dxa"/>
              <w:left w:w="12" w:type="dxa"/>
              <w:right w:w="12" w:type="dxa"/>
            </w:tcMar>
            <w:vAlign w:val="center"/>
          </w:tcPr>
          <w:p w14:paraId="09C61DB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令牌管理</w:t>
            </w:r>
          </w:p>
        </w:tc>
        <w:tc>
          <w:tcPr>
            <w:tcW w:w="3112" w:type="dxa"/>
            <w:gridSpan w:val="3"/>
            <w:shd w:val="clear" w:color="auto" w:fill="auto"/>
            <w:tcMar>
              <w:top w:w="12" w:type="dxa"/>
              <w:left w:w="12" w:type="dxa"/>
              <w:right w:w="12" w:type="dxa"/>
            </w:tcMar>
            <w:vAlign w:val="center"/>
          </w:tcPr>
          <w:p w14:paraId="6BC72E0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能够直观显示令牌与账号的绑定关系、令牌类型等信息，具备对令牌生成的动态密码进行测试和校验；并支持根据令牌序列号进行查询，分页显示</w:t>
            </w:r>
          </w:p>
        </w:tc>
        <w:tc>
          <w:tcPr>
            <w:tcW w:w="2695" w:type="dxa"/>
            <w:gridSpan w:val="2"/>
            <w:shd w:val="clear" w:color="auto" w:fill="FFFFFF"/>
            <w:tcMar>
              <w:top w:w="12" w:type="dxa"/>
              <w:left w:w="12" w:type="dxa"/>
              <w:right w:w="12" w:type="dxa"/>
            </w:tcMar>
            <w:vAlign w:val="center"/>
          </w:tcPr>
          <w:p w14:paraId="4A9C5D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0FB46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310084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5DE0C6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23C715D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04886E2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令牌分发模式包括：模板下载、上传硬件令牌密钥文件、批量硬件令牌派发、消息令牌手动释放等操作</w:t>
            </w:r>
          </w:p>
        </w:tc>
        <w:tc>
          <w:tcPr>
            <w:tcW w:w="2695" w:type="dxa"/>
            <w:gridSpan w:val="2"/>
            <w:shd w:val="clear" w:color="auto" w:fill="FFFFFF"/>
            <w:tcMar>
              <w:top w:w="12" w:type="dxa"/>
              <w:left w:w="12" w:type="dxa"/>
              <w:right w:w="12" w:type="dxa"/>
            </w:tcMar>
            <w:vAlign w:val="center"/>
          </w:tcPr>
          <w:p w14:paraId="564275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8219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4CF795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7E31EE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421E37F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3A5636F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时间型令牌：支持软件令牌种子密钥加密算法类型（SHA1\SM3）；可以自定义软件令牌开头标识符；支持自定义动态密码的有效使用次数；允许用户选择动态密码变换周期（30/60秒）</w:t>
            </w:r>
          </w:p>
        </w:tc>
        <w:tc>
          <w:tcPr>
            <w:tcW w:w="2695" w:type="dxa"/>
            <w:gridSpan w:val="2"/>
            <w:shd w:val="clear" w:color="auto" w:fill="FFFFFF"/>
            <w:tcMar>
              <w:top w:w="12" w:type="dxa"/>
              <w:left w:w="12" w:type="dxa"/>
              <w:right w:w="12" w:type="dxa"/>
            </w:tcMar>
            <w:vAlign w:val="center"/>
          </w:tcPr>
          <w:p w14:paraId="196FD9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2B35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07B23C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39611E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4959E79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7C61DD7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消息令牌：支持根据账号、手机号、微信等条件，选择接受动态密码的发送目标；支持自定义设置短信密码长度，短信验证码有效期时长</w:t>
            </w:r>
          </w:p>
        </w:tc>
        <w:tc>
          <w:tcPr>
            <w:tcW w:w="2695" w:type="dxa"/>
            <w:gridSpan w:val="2"/>
            <w:shd w:val="clear" w:color="auto" w:fill="FFFFFF"/>
            <w:tcMar>
              <w:top w:w="12" w:type="dxa"/>
              <w:left w:w="12" w:type="dxa"/>
              <w:right w:w="12" w:type="dxa"/>
            </w:tcMar>
            <w:vAlign w:val="center"/>
          </w:tcPr>
          <w:p w14:paraId="31C65A7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0BAB0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1CDD28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66E9B3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5A7C6BF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6336E82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支持自助指纹注册功能，便于用户指纹注册采集；</w:t>
            </w:r>
          </w:p>
        </w:tc>
        <w:tc>
          <w:tcPr>
            <w:tcW w:w="2695" w:type="dxa"/>
            <w:gridSpan w:val="2"/>
            <w:shd w:val="clear" w:color="auto" w:fill="FFFFFF"/>
            <w:tcMar>
              <w:top w:w="12" w:type="dxa"/>
              <w:left w:w="12" w:type="dxa"/>
              <w:right w:w="12" w:type="dxa"/>
            </w:tcMar>
            <w:vAlign w:val="center"/>
          </w:tcPr>
          <w:p w14:paraId="4B1484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6621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150450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683715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12EE0EE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09A9C5D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支持一键启动全局短信令牌，并支持有效期内是否连续发送短信验证码</w:t>
            </w:r>
          </w:p>
        </w:tc>
        <w:tc>
          <w:tcPr>
            <w:tcW w:w="2695" w:type="dxa"/>
            <w:gridSpan w:val="2"/>
            <w:shd w:val="clear" w:color="auto" w:fill="FFFFFF"/>
            <w:tcMar>
              <w:top w:w="12" w:type="dxa"/>
              <w:left w:w="12" w:type="dxa"/>
              <w:right w:w="12" w:type="dxa"/>
            </w:tcMar>
            <w:vAlign w:val="center"/>
          </w:tcPr>
          <w:p w14:paraId="0FDE80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1D4E4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5B3829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346BF1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shd w:val="clear" w:color="auto" w:fill="auto"/>
            <w:tcMar>
              <w:top w:w="12" w:type="dxa"/>
              <w:left w:w="12" w:type="dxa"/>
              <w:right w:w="12" w:type="dxa"/>
            </w:tcMar>
            <w:vAlign w:val="center"/>
          </w:tcPr>
          <w:p w14:paraId="3FAFB22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日志审计</w:t>
            </w:r>
          </w:p>
        </w:tc>
        <w:tc>
          <w:tcPr>
            <w:tcW w:w="3112" w:type="dxa"/>
            <w:gridSpan w:val="3"/>
            <w:shd w:val="clear" w:color="auto" w:fill="auto"/>
            <w:tcMar>
              <w:top w:w="12" w:type="dxa"/>
              <w:left w:w="12" w:type="dxa"/>
              <w:right w:w="12" w:type="dxa"/>
            </w:tcMar>
            <w:vAlign w:val="center"/>
          </w:tcPr>
          <w:p w14:paraId="57988DA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支持针对授权日志、审计日志、API认证日志、协议认证日志、终端日志、系统操作日志的管理</w:t>
            </w:r>
          </w:p>
        </w:tc>
        <w:tc>
          <w:tcPr>
            <w:tcW w:w="2695" w:type="dxa"/>
            <w:gridSpan w:val="2"/>
            <w:shd w:val="clear" w:color="auto" w:fill="FFFFFF"/>
            <w:tcMar>
              <w:top w:w="12" w:type="dxa"/>
              <w:left w:w="12" w:type="dxa"/>
              <w:right w:w="12" w:type="dxa"/>
            </w:tcMar>
            <w:vAlign w:val="center"/>
          </w:tcPr>
          <w:p w14:paraId="5EFABD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0E6D4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60A2E1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62EB2C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42B2D75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168BC55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认证日志：通过标准协议对接的所有详细日志，包括账号、用户端IP地址、设备名称、设备地址、认证状态、认证详情、记录时间等；</w:t>
            </w:r>
          </w:p>
        </w:tc>
        <w:tc>
          <w:tcPr>
            <w:tcW w:w="2695" w:type="dxa"/>
            <w:gridSpan w:val="2"/>
            <w:shd w:val="clear" w:color="auto" w:fill="FFFFFF"/>
            <w:tcMar>
              <w:top w:w="12" w:type="dxa"/>
              <w:left w:w="12" w:type="dxa"/>
              <w:right w:w="12" w:type="dxa"/>
            </w:tcMar>
            <w:vAlign w:val="center"/>
          </w:tcPr>
          <w:p w14:paraId="4A66E0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622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28704D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202F95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6DF3E67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1C65C19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所有日志审计记录，均支持导出功能；支持根据账号、设备地址等细粒度查询；支持分时间段、分页等条件查询等；能够做到溯源追踪</w:t>
            </w:r>
          </w:p>
        </w:tc>
        <w:tc>
          <w:tcPr>
            <w:tcW w:w="2695" w:type="dxa"/>
            <w:gridSpan w:val="2"/>
            <w:shd w:val="clear" w:color="auto" w:fill="FFFFFF"/>
            <w:tcMar>
              <w:top w:w="12" w:type="dxa"/>
              <w:left w:w="12" w:type="dxa"/>
              <w:right w:w="12" w:type="dxa"/>
            </w:tcMar>
            <w:vAlign w:val="center"/>
          </w:tcPr>
          <w:p w14:paraId="4B492A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31AD7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3CC7CC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77BF4E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shd w:val="clear" w:color="auto" w:fill="auto"/>
            <w:tcMar>
              <w:top w:w="12" w:type="dxa"/>
              <w:left w:w="12" w:type="dxa"/>
              <w:right w:w="12" w:type="dxa"/>
            </w:tcMar>
            <w:vAlign w:val="center"/>
          </w:tcPr>
          <w:p w14:paraId="78FAB92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安全机制</w:t>
            </w:r>
          </w:p>
        </w:tc>
        <w:tc>
          <w:tcPr>
            <w:tcW w:w="3112" w:type="dxa"/>
            <w:gridSpan w:val="3"/>
            <w:shd w:val="clear" w:color="auto" w:fill="auto"/>
            <w:tcMar>
              <w:top w:w="12" w:type="dxa"/>
              <w:left w:w="12" w:type="dxa"/>
              <w:right w:w="12" w:type="dxa"/>
            </w:tcMar>
            <w:vAlign w:val="center"/>
          </w:tcPr>
          <w:p w14:paraId="075922B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支持密码规则设定，可自定义设置最小密码长度、密码有效期</w:t>
            </w:r>
          </w:p>
        </w:tc>
        <w:tc>
          <w:tcPr>
            <w:tcW w:w="2695" w:type="dxa"/>
            <w:gridSpan w:val="2"/>
            <w:shd w:val="clear" w:color="auto" w:fill="FFFFFF"/>
            <w:tcMar>
              <w:top w:w="12" w:type="dxa"/>
              <w:left w:w="12" w:type="dxa"/>
              <w:right w:w="12" w:type="dxa"/>
            </w:tcMar>
            <w:vAlign w:val="center"/>
          </w:tcPr>
          <w:p w14:paraId="103011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4A65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34A5E9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0DF2C3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2EA5E1B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1AD32A3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支持在首页面显示认证状态，是否存在异常</w:t>
            </w:r>
          </w:p>
        </w:tc>
        <w:tc>
          <w:tcPr>
            <w:tcW w:w="2695" w:type="dxa"/>
            <w:gridSpan w:val="2"/>
            <w:shd w:val="clear" w:color="auto" w:fill="FFFFFF"/>
            <w:tcMar>
              <w:top w:w="12" w:type="dxa"/>
              <w:left w:w="12" w:type="dxa"/>
              <w:right w:w="12" w:type="dxa"/>
            </w:tcMar>
            <w:vAlign w:val="center"/>
          </w:tcPr>
          <w:p w14:paraId="57C01B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2DAC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569E1C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53E69A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5344C9A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206F0BA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支持固定PIN码、灵活动态设置PIN码认证模式，与动态口令组合的方式进行认证；固定PIN码可以有管理员统一设置；动态PIN码支持灵活的设置方式。</w:t>
            </w:r>
          </w:p>
        </w:tc>
        <w:tc>
          <w:tcPr>
            <w:tcW w:w="2695" w:type="dxa"/>
            <w:gridSpan w:val="2"/>
            <w:shd w:val="clear" w:color="auto" w:fill="FFFFFF"/>
            <w:tcMar>
              <w:top w:w="12" w:type="dxa"/>
              <w:left w:w="12" w:type="dxa"/>
              <w:right w:w="12" w:type="dxa"/>
            </w:tcMar>
            <w:vAlign w:val="center"/>
          </w:tcPr>
          <w:p w14:paraId="05ED99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153B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63892B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5F3FD6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4859453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7D9577B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支持日志扩展，防止日志数据量过大造成日志查询性能降低</w:t>
            </w:r>
          </w:p>
        </w:tc>
        <w:tc>
          <w:tcPr>
            <w:tcW w:w="2695" w:type="dxa"/>
            <w:gridSpan w:val="2"/>
            <w:shd w:val="clear" w:color="auto" w:fill="FFFFFF"/>
            <w:tcMar>
              <w:top w:w="12" w:type="dxa"/>
              <w:left w:w="12" w:type="dxa"/>
              <w:right w:w="12" w:type="dxa"/>
            </w:tcMar>
            <w:vAlign w:val="center"/>
          </w:tcPr>
          <w:p w14:paraId="0DC24E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43B1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083317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7C5151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46E9BFE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0A22CF9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支持服务器所有日志信息上传Syslog日志服务器</w:t>
            </w:r>
          </w:p>
        </w:tc>
        <w:tc>
          <w:tcPr>
            <w:tcW w:w="2695" w:type="dxa"/>
            <w:gridSpan w:val="2"/>
            <w:shd w:val="clear" w:color="auto" w:fill="FFFFFF"/>
            <w:tcMar>
              <w:top w:w="12" w:type="dxa"/>
              <w:left w:w="12" w:type="dxa"/>
              <w:right w:w="12" w:type="dxa"/>
            </w:tcMar>
            <w:vAlign w:val="center"/>
          </w:tcPr>
          <w:p w14:paraId="08A857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03396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5F9B05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0A6D4F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0E36CEA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0339561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支持Radius认证服务转发，自动学习，无需手动添加账号</w:t>
            </w:r>
          </w:p>
        </w:tc>
        <w:tc>
          <w:tcPr>
            <w:tcW w:w="2695" w:type="dxa"/>
            <w:gridSpan w:val="2"/>
            <w:shd w:val="clear" w:color="auto" w:fill="FFFFFF"/>
            <w:tcMar>
              <w:top w:w="12" w:type="dxa"/>
              <w:left w:w="12" w:type="dxa"/>
              <w:right w:w="12" w:type="dxa"/>
            </w:tcMar>
            <w:vAlign w:val="center"/>
          </w:tcPr>
          <w:p w14:paraId="3432F5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476B7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02BA33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20B988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shd w:val="clear" w:color="auto" w:fill="auto"/>
            <w:tcMar>
              <w:top w:w="12" w:type="dxa"/>
              <w:left w:w="12" w:type="dxa"/>
              <w:right w:w="12" w:type="dxa"/>
            </w:tcMar>
            <w:vAlign w:val="center"/>
          </w:tcPr>
          <w:p w14:paraId="10092B2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系统自动化</w:t>
            </w:r>
          </w:p>
        </w:tc>
        <w:tc>
          <w:tcPr>
            <w:tcW w:w="3112" w:type="dxa"/>
            <w:gridSpan w:val="3"/>
            <w:shd w:val="clear" w:color="auto" w:fill="auto"/>
            <w:tcMar>
              <w:top w:w="12" w:type="dxa"/>
              <w:left w:w="12" w:type="dxa"/>
              <w:right w:w="12" w:type="dxa"/>
            </w:tcMar>
            <w:vAlign w:val="center"/>
          </w:tcPr>
          <w:p w14:paraId="595398B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支持自动化清理超过3个月的历史记录、日志记录、操作日志，可自定义执行时间、运行间隔时长、启动延时时长；</w:t>
            </w:r>
          </w:p>
        </w:tc>
        <w:tc>
          <w:tcPr>
            <w:tcW w:w="2695" w:type="dxa"/>
            <w:gridSpan w:val="2"/>
            <w:shd w:val="clear" w:color="auto" w:fill="FFFFFF"/>
            <w:tcMar>
              <w:top w:w="12" w:type="dxa"/>
              <w:left w:w="12" w:type="dxa"/>
              <w:right w:w="12" w:type="dxa"/>
            </w:tcMar>
            <w:vAlign w:val="center"/>
          </w:tcPr>
          <w:p w14:paraId="6F7195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43F44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0200B6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5F0724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3A0E424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1A29475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支持无用软件令牌自动清理，可自定义执行时间、运行间隔时长、启动延时时长；</w:t>
            </w:r>
          </w:p>
        </w:tc>
        <w:tc>
          <w:tcPr>
            <w:tcW w:w="2695" w:type="dxa"/>
            <w:gridSpan w:val="2"/>
            <w:shd w:val="clear" w:color="auto" w:fill="FFFFFF"/>
            <w:tcMar>
              <w:top w:w="12" w:type="dxa"/>
              <w:left w:w="12" w:type="dxa"/>
              <w:right w:w="12" w:type="dxa"/>
            </w:tcMar>
            <w:vAlign w:val="center"/>
          </w:tcPr>
          <w:p w14:paraId="0F8DE5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10B3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6C6CF8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213B1C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21A1D97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110E50E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支持一键开启是否放开自助登录服务功能，并支持设定用户自助维护的权限控制，允许/禁用用户自助绑定、解绑令牌；</w:t>
            </w:r>
          </w:p>
        </w:tc>
        <w:tc>
          <w:tcPr>
            <w:tcW w:w="2695" w:type="dxa"/>
            <w:gridSpan w:val="2"/>
            <w:shd w:val="clear" w:color="auto" w:fill="FFFFFF"/>
            <w:tcMar>
              <w:top w:w="12" w:type="dxa"/>
              <w:left w:w="12" w:type="dxa"/>
              <w:right w:w="12" w:type="dxa"/>
            </w:tcMar>
            <w:vAlign w:val="center"/>
          </w:tcPr>
          <w:p w14:paraId="114A2D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22BC5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2377BF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5DFB4A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0D8503E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093D319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支持定时、间隔批量发送软件令牌激活邮件，可自定义执行时间、运行间隔时长、启动延时时长；</w:t>
            </w:r>
          </w:p>
        </w:tc>
        <w:tc>
          <w:tcPr>
            <w:tcW w:w="2695" w:type="dxa"/>
            <w:gridSpan w:val="2"/>
            <w:shd w:val="clear" w:color="auto" w:fill="FFFFFF"/>
            <w:tcMar>
              <w:top w:w="12" w:type="dxa"/>
              <w:left w:w="12" w:type="dxa"/>
              <w:right w:w="12" w:type="dxa"/>
            </w:tcMar>
            <w:vAlign w:val="center"/>
          </w:tcPr>
          <w:p w14:paraId="2D1CB7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78B0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3E7E58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253391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shd w:val="clear" w:color="auto" w:fill="auto"/>
            <w:tcMar>
              <w:top w:w="12" w:type="dxa"/>
              <w:left w:w="12" w:type="dxa"/>
              <w:right w:w="12" w:type="dxa"/>
            </w:tcMar>
            <w:vAlign w:val="center"/>
          </w:tcPr>
          <w:p w14:paraId="04605A9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系统管理</w:t>
            </w:r>
          </w:p>
        </w:tc>
        <w:tc>
          <w:tcPr>
            <w:tcW w:w="3112" w:type="dxa"/>
            <w:gridSpan w:val="3"/>
            <w:shd w:val="clear" w:color="auto" w:fill="auto"/>
            <w:tcMar>
              <w:top w:w="12" w:type="dxa"/>
              <w:left w:w="12" w:type="dxa"/>
              <w:right w:w="12" w:type="dxa"/>
            </w:tcMar>
            <w:vAlign w:val="center"/>
          </w:tcPr>
          <w:p w14:paraId="669D3FC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支持系统软件管理，支持添加系统用户并自定义设定系统用户权限</w:t>
            </w:r>
          </w:p>
        </w:tc>
        <w:tc>
          <w:tcPr>
            <w:tcW w:w="2695" w:type="dxa"/>
            <w:gridSpan w:val="2"/>
            <w:shd w:val="clear" w:color="auto" w:fill="FFFFFF"/>
            <w:tcMar>
              <w:top w:w="12" w:type="dxa"/>
              <w:left w:w="12" w:type="dxa"/>
              <w:right w:w="12" w:type="dxa"/>
            </w:tcMar>
            <w:vAlign w:val="center"/>
          </w:tcPr>
          <w:p w14:paraId="09DDC6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21E14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594242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7D1ED7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67F4741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1366D97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支持管理账号自身双因素认证</w:t>
            </w:r>
          </w:p>
        </w:tc>
        <w:tc>
          <w:tcPr>
            <w:tcW w:w="2695" w:type="dxa"/>
            <w:gridSpan w:val="2"/>
            <w:shd w:val="clear" w:color="auto" w:fill="FFFFFF"/>
            <w:tcMar>
              <w:top w:w="12" w:type="dxa"/>
              <w:left w:w="12" w:type="dxa"/>
              <w:right w:w="12" w:type="dxa"/>
            </w:tcMar>
            <w:vAlign w:val="center"/>
          </w:tcPr>
          <w:p w14:paraId="57E3FB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E447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18A6B4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436FD4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087C95B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28D85AD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支持特定IP地址访问系统平台权限</w:t>
            </w:r>
          </w:p>
        </w:tc>
        <w:tc>
          <w:tcPr>
            <w:tcW w:w="2695" w:type="dxa"/>
            <w:gridSpan w:val="2"/>
            <w:shd w:val="clear" w:color="auto" w:fill="FFFFFF"/>
            <w:tcMar>
              <w:top w:w="12" w:type="dxa"/>
              <w:left w:w="12" w:type="dxa"/>
              <w:right w:w="12" w:type="dxa"/>
            </w:tcMar>
            <w:vAlign w:val="center"/>
          </w:tcPr>
          <w:p w14:paraId="206ED1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05ADA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134B31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7178BF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7ED5A1A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7C47F81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能够直观显示授权信息：包括授权数量、令牌类型、授权日期等相关信息</w:t>
            </w:r>
          </w:p>
        </w:tc>
        <w:tc>
          <w:tcPr>
            <w:tcW w:w="2695" w:type="dxa"/>
            <w:gridSpan w:val="2"/>
            <w:shd w:val="clear" w:color="auto" w:fill="FFFFFF"/>
            <w:tcMar>
              <w:top w:w="12" w:type="dxa"/>
              <w:left w:w="12" w:type="dxa"/>
              <w:right w:w="12" w:type="dxa"/>
            </w:tcMar>
            <w:vAlign w:val="center"/>
          </w:tcPr>
          <w:p w14:paraId="78D948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280D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0F06B9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6D664C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5D9687D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33E1231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支持系统邮件配置管理，支持邮件模板设定</w:t>
            </w:r>
          </w:p>
        </w:tc>
        <w:tc>
          <w:tcPr>
            <w:tcW w:w="2695" w:type="dxa"/>
            <w:gridSpan w:val="2"/>
            <w:shd w:val="clear" w:color="auto" w:fill="FFFFFF"/>
            <w:tcMar>
              <w:top w:w="12" w:type="dxa"/>
              <w:left w:w="12" w:type="dxa"/>
              <w:right w:w="12" w:type="dxa"/>
            </w:tcMar>
            <w:vAlign w:val="center"/>
          </w:tcPr>
          <w:p w14:paraId="7D68A1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0E65C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740954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73A9AE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05AD63E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01FE1F5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支持短信平台对接、支持短信猫、短信网关；支持短信模板自定义；支持多种短信网关接口</w:t>
            </w:r>
          </w:p>
        </w:tc>
        <w:tc>
          <w:tcPr>
            <w:tcW w:w="2695" w:type="dxa"/>
            <w:gridSpan w:val="2"/>
            <w:shd w:val="clear" w:color="auto" w:fill="FFFFFF"/>
            <w:tcMar>
              <w:top w:w="12" w:type="dxa"/>
              <w:left w:w="12" w:type="dxa"/>
              <w:right w:w="12" w:type="dxa"/>
            </w:tcMar>
            <w:vAlign w:val="center"/>
          </w:tcPr>
          <w:p w14:paraId="432B60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6873F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62F0F3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1AC15C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003C103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15AB30F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支持通过web页面模式，实现系统在线升级，简化升级操作流程</w:t>
            </w:r>
          </w:p>
        </w:tc>
        <w:tc>
          <w:tcPr>
            <w:tcW w:w="2695" w:type="dxa"/>
            <w:gridSpan w:val="2"/>
            <w:shd w:val="clear" w:color="auto" w:fill="FFFFFF"/>
            <w:tcMar>
              <w:top w:w="12" w:type="dxa"/>
              <w:left w:w="12" w:type="dxa"/>
              <w:right w:w="12" w:type="dxa"/>
            </w:tcMar>
            <w:vAlign w:val="center"/>
          </w:tcPr>
          <w:p w14:paraId="21878C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39383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4F9366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544C7C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shd w:val="clear" w:color="auto" w:fill="auto"/>
            <w:tcMar>
              <w:top w:w="12" w:type="dxa"/>
              <w:left w:w="12" w:type="dxa"/>
              <w:right w:w="12" w:type="dxa"/>
            </w:tcMar>
            <w:vAlign w:val="center"/>
          </w:tcPr>
          <w:p w14:paraId="13021D1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令牌绑定</w:t>
            </w:r>
          </w:p>
        </w:tc>
        <w:tc>
          <w:tcPr>
            <w:tcW w:w="3112" w:type="dxa"/>
            <w:gridSpan w:val="3"/>
            <w:shd w:val="clear" w:color="auto" w:fill="auto"/>
            <w:tcMar>
              <w:top w:w="12" w:type="dxa"/>
              <w:left w:w="12" w:type="dxa"/>
              <w:right w:w="12" w:type="dxa"/>
            </w:tcMar>
            <w:vAlign w:val="center"/>
          </w:tcPr>
          <w:p w14:paraId="0D12798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支持60秒硬件令牌；支持30秒、60秒自变化手机令牌</w:t>
            </w:r>
          </w:p>
        </w:tc>
        <w:tc>
          <w:tcPr>
            <w:tcW w:w="2695" w:type="dxa"/>
            <w:gridSpan w:val="2"/>
            <w:shd w:val="clear" w:color="auto" w:fill="FFFFFF"/>
            <w:tcMar>
              <w:top w:w="12" w:type="dxa"/>
              <w:left w:w="12" w:type="dxa"/>
              <w:right w:w="12" w:type="dxa"/>
            </w:tcMar>
            <w:vAlign w:val="center"/>
          </w:tcPr>
          <w:p w14:paraId="4CD5A1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7017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3A63BF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77D04F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1431C14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37514D2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手机令牌支持单位时间内激活有效，并可设定时间阈值</w:t>
            </w:r>
          </w:p>
        </w:tc>
        <w:tc>
          <w:tcPr>
            <w:tcW w:w="2695" w:type="dxa"/>
            <w:gridSpan w:val="2"/>
            <w:shd w:val="clear" w:color="auto" w:fill="FFFFFF"/>
            <w:tcMar>
              <w:top w:w="12" w:type="dxa"/>
              <w:left w:w="12" w:type="dxa"/>
              <w:right w:w="12" w:type="dxa"/>
            </w:tcMar>
            <w:vAlign w:val="center"/>
          </w:tcPr>
          <w:p w14:paraId="63C4C0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3AF6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4182BC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157CD3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7B9D7DA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5EF9066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支持短信密码、手机令牌、硬件令牌、指纹令牌同时并存</w:t>
            </w:r>
          </w:p>
        </w:tc>
        <w:tc>
          <w:tcPr>
            <w:tcW w:w="2695" w:type="dxa"/>
            <w:gridSpan w:val="2"/>
            <w:shd w:val="clear" w:color="auto" w:fill="FFFFFF"/>
            <w:tcMar>
              <w:top w:w="12" w:type="dxa"/>
              <w:left w:w="12" w:type="dxa"/>
              <w:right w:w="12" w:type="dxa"/>
            </w:tcMar>
            <w:vAlign w:val="center"/>
          </w:tcPr>
          <w:p w14:paraId="455543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0BC0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31EC73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5C9D26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2F7F53C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2AE4B7E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手机令牌支持依据用户角色派发一个或多个用户</w:t>
            </w:r>
          </w:p>
        </w:tc>
        <w:tc>
          <w:tcPr>
            <w:tcW w:w="2695" w:type="dxa"/>
            <w:gridSpan w:val="2"/>
            <w:shd w:val="clear" w:color="auto" w:fill="FFFFFF"/>
            <w:tcMar>
              <w:top w:w="12" w:type="dxa"/>
              <w:left w:w="12" w:type="dxa"/>
              <w:right w:w="12" w:type="dxa"/>
            </w:tcMar>
            <w:vAlign w:val="center"/>
          </w:tcPr>
          <w:p w14:paraId="0B38A5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3920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1F0E86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15A2C5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594C10B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4D5BE6A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通过为AD/LDAP用户的特定属性字段添加硬件令牌序列号，实现硬件令牌/手机令牌自动绑定</w:t>
            </w:r>
          </w:p>
        </w:tc>
        <w:tc>
          <w:tcPr>
            <w:tcW w:w="2695" w:type="dxa"/>
            <w:gridSpan w:val="2"/>
            <w:shd w:val="clear" w:color="auto" w:fill="FFFFFF"/>
            <w:tcMar>
              <w:top w:w="12" w:type="dxa"/>
              <w:left w:w="12" w:type="dxa"/>
              <w:right w:w="12" w:type="dxa"/>
            </w:tcMar>
            <w:vAlign w:val="center"/>
          </w:tcPr>
          <w:p w14:paraId="49543A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7AF1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7C1896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21587F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3BE681A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29362A0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支持动态口令有效期设定，支持手机令牌和消息令牌属性自定义</w:t>
            </w:r>
          </w:p>
        </w:tc>
        <w:tc>
          <w:tcPr>
            <w:tcW w:w="2695" w:type="dxa"/>
            <w:gridSpan w:val="2"/>
            <w:shd w:val="clear" w:color="auto" w:fill="FFFFFF"/>
            <w:tcMar>
              <w:top w:w="12" w:type="dxa"/>
              <w:left w:w="12" w:type="dxa"/>
              <w:right w:w="12" w:type="dxa"/>
            </w:tcMar>
            <w:vAlign w:val="center"/>
          </w:tcPr>
          <w:p w14:paraId="001D1A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E374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7073B3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063804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shd w:val="clear" w:color="auto" w:fill="auto"/>
            <w:tcMar>
              <w:top w:w="12" w:type="dxa"/>
              <w:left w:w="12" w:type="dxa"/>
              <w:right w:w="12" w:type="dxa"/>
            </w:tcMar>
            <w:vAlign w:val="center"/>
          </w:tcPr>
          <w:p w14:paraId="1568CF4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支持矩阵</w:t>
            </w:r>
          </w:p>
        </w:tc>
        <w:tc>
          <w:tcPr>
            <w:tcW w:w="3112" w:type="dxa"/>
            <w:gridSpan w:val="3"/>
            <w:shd w:val="clear" w:color="auto" w:fill="auto"/>
            <w:tcMar>
              <w:top w:w="12" w:type="dxa"/>
              <w:left w:w="12" w:type="dxa"/>
              <w:right w:w="12" w:type="dxa"/>
            </w:tcMar>
            <w:vAlign w:val="center"/>
          </w:tcPr>
          <w:p w14:paraId="696D930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支持Citrix Netscaler，VMware vcenter、华为、Parallels、IBM等虚拟化场景</w:t>
            </w:r>
          </w:p>
        </w:tc>
        <w:tc>
          <w:tcPr>
            <w:tcW w:w="2695" w:type="dxa"/>
            <w:gridSpan w:val="2"/>
            <w:shd w:val="clear" w:color="auto" w:fill="FFFFFF"/>
            <w:tcMar>
              <w:top w:w="12" w:type="dxa"/>
              <w:left w:w="12" w:type="dxa"/>
              <w:right w:w="12" w:type="dxa"/>
            </w:tcMar>
            <w:vAlign w:val="center"/>
          </w:tcPr>
          <w:p w14:paraId="7926F9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04F7D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1624CE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5FFEE5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23A4EC4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6250209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支持手机令牌、硬件令牌认证、微信小程序、H5令牌等方式认证</w:t>
            </w:r>
          </w:p>
        </w:tc>
        <w:tc>
          <w:tcPr>
            <w:tcW w:w="2695" w:type="dxa"/>
            <w:gridSpan w:val="2"/>
            <w:shd w:val="clear" w:color="auto" w:fill="FFFFFF"/>
            <w:tcMar>
              <w:top w:w="12" w:type="dxa"/>
              <w:left w:w="12" w:type="dxa"/>
              <w:right w:w="12" w:type="dxa"/>
            </w:tcMar>
            <w:vAlign w:val="center"/>
          </w:tcPr>
          <w:p w14:paraId="18979D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13C8C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1D1B78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3E4DDF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6A70967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48CA81D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支持Juniper、Cisco、Array、F5、深信服、H3C、天融信等主流VPN场景</w:t>
            </w:r>
          </w:p>
        </w:tc>
        <w:tc>
          <w:tcPr>
            <w:tcW w:w="2695" w:type="dxa"/>
            <w:gridSpan w:val="2"/>
            <w:shd w:val="clear" w:color="auto" w:fill="FFFFFF"/>
            <w:tcMar>
              <w:top w:w="12" w:type="dxa"/>
              <w:left w:w="12" w:type="dxa"/>
              <w:right w:w="12" w:type="dxa"/>
            </w:tcMar>
            <w:vAlign w:val="center"/>
          </w:tcPr>
          <w:p w14:paraId="29410D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01DA1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721C77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270BD8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56A4DC5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601C020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支持启明星辰、金盾、思福迪、帕拉迪、绿盟、齐治等堡垒机场景</w:t>
            </w:r>
          </w:p>
        </w:tc>
        <w:tc>
          <w:tcPr>
            <w:tcW w:w="2695" w:type="dxa"/>
            <w:gridSpan w:val="2"/>
            <w:shd w:val="clear" w:color="auto" w:fill="FFFFFF"/>
            <w:tcMar>
              <w:top w:w="12" w:type="dxa"/>
              <w:left w:w="12" w:type="dxa"/>
              <w:right w:w="12" w:type="dxa"/>
            </w:tcMar>
            <w:vAlign w:val="center"/>
          </w:tcPr>
          <w:p w14:paraId="28C477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30694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4FEFA6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2F3DEB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20C2AAF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63ABE13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支持Cisco、Huawei、H3C、中兴、锐捷、JUNIPER 等交换机场景</w:t>
            </w:r>
          </w:p>
        </w:tc>
        <w:tc>
          <w:tcPr>
            <w:tcW w:w="2695" w:type="dxa"/>
            <w:gridSpan w:val="2"/>
            <w:shd w:val="clear" w:color="auto" w:fill="FFFFFF"/>
            <w:tcMar>
              <w:top w:w="12" w:type="dxa"/>
              <w:left w:w="12" w:type="dxa"/>
              <w:right w:w="12" w:type="dxa"/>
            </w:tcMar>
            <w:vAlign w:val="center"/>
          </w:tcPr>
          <w:p w14:paraId="60D095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7EBEB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32DEB0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06F188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13D2C79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53C656F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支持华为、华三、天融信、深信服、飞塔、安恒、360等防火墙场景</w:t>
            </w:r>
          </w:p>
        </w:tc>
        <w:tc>
          <w:tcPr>
            <w:tcW w:w="2695" w:type="dxa"/>
            <w:gridSpan w:val="2"/>
            <w:shd w:val="clear" w:color="auto" w:fill="FFFFFF"/>
            <w:tcMar>
              <w:top w:w="12" w:type="dxa"/>
              <w:left w:w="12" w:type="dxa"/>
              <w:right w:w="12" w:type="dxa"/>
            </w:tcMar>
            <w:vAlign w:val="center"/>
          </w:tcPr>
          <w:p w14:paraId="3CA629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1833F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74467F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344A9C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32F6FA1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6CA738C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支持OA、ERP、金蝶、用友、HR、CRM、SAP、Oracle等业务系统集成</w:t>
            </w:r>
          </w:p>
        </w:tc>
        <w:tc>
          <w:tcPr>
            <w:tcW w:w="2695" w:type="dxa"/>
            <w:gridSpan w:val="2"/>
            <w:shd w:val="clear" w:color="auto" w:fill="FFFFFF"/>
            <w:tcMar>
              <w:top w:w="12" w:type="dxa"/>
              <w:left w:w="12" w:type="dxa"/>
              <w:right w:w="12" w:type="dxa"/>
            </w:tcMar>
            <w:vAlign w:val="center"/>
          </w:tcPr>
          <w:p w14:paraId="232D93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0D09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3AE4FA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137D13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58C0D20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16E6DEF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支持http/https 协议API，支持基于C、C、C++、.net、JAVA、PHP、python等各类语言开发的软件系统集成</w:t>
            </w:r>
          </w:p>
        </w:tc>
        <w:tc>
          <w:tcPr>
            <w:tcW w:w="2695" w:type="dxa"/>
            <w:gridSpan w:val="2"/>
            <w:shd w:val="clear" w:color="auto" w:fill="FFFFFF"/>
            <w:tcMar>
              <w:top w:w="12" w:type="dxa"/>
              <w:left w:w="12" w:type="dxa"/>
              <w:right w:w="12" w:type="dxa"/>
            </w:tcMar>
            <w:vAlign w:val="center"/>
          </w:tcPr>
          <w:p w14:paraId="04DCC1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300C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385D5F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000F92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1D7D090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595077F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支持Windows、Ubuntu、linux、CentOS、Suse等操作系统（在线、离线、应急）动态口令登录模式。</w:t>
            </w:r>
          </w:p>
        </w:tc>
        <w:tc>
          <w:tcPr>
            <w:tcW w:w="2695" w:type="dxa"/>
            <w:gridSpan w:val="2"/>
            <w:shd w:val="clear" w:color="auto" w:fill="FFFFFF"/>
            <w:tcMar>
              <w:top w:w="12" w:type="dxa"/>
              <w:left w:w="12" w:type="dxa"/>
              <w:right w:w="12" w:type="dxa"/>
            </w:tcMar>
            <w:vAlign w:val="center"/>
          </w:tcPr>
          <w:p w14:paraId="1D3083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66685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512BA4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1BF8D9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5295FBD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05FD052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提供agent插件，支持Windows 桌面登录，并实现自动化配置</w:t>
            </w:r>
          </w:p>
        </w:tc>
        <w:tc>
          <w:tcPr>
            <w:tcW w:w="2695" w:type="dxa"/>
            <w:gridSpan w:val="2"/>
            <w:shd w:val="clear" w:color="auto" w:fill="FFFFFF"/>
            <w:tcMar>
              <w:top w:w="12" w:type="dxa"/>
              <w:left w:w="12" w:type="dxa"/>
              <w:right w:w="12" w:type="dxa"/>
            </w:tcMar>
            <w:vAlign w:val="center"/>
          </w:tcPr>
          <w:p w14:paraId="1C7329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27389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258E40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11C415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5067199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3C60DD6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支持windows操作系统指纹认证；</w:t>
            </w:r>
          </w:p>
        </w:tc>
        <w:tc>
          <w:tcPr>
            <w:tcW w:w="2695" w:type="dxa"/>
            <w:gridSpan w:val="2"/>
            <w:shd w:val="clear" w:color="auto" w:fill="FFFFFF"/>
            <w:tcMar>
              <w:top w:w="12" w:type="dxa"/>
              <w:left w:w="12" w:type="dxa"/>
              <w:right w:w="12" w:type="dxa"/>
            </w:tcMar>
            <w:vAlign w:val="center"/>
          </w:tcPr>
          <w:p w14:paraId="56406F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1FE3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5ED842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4B0242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2DDB8C8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01B0298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支持Weblogic管理帐号双因素认证</w:t>
            </w:r>
          </w:p>
        </w:tc>
        <w:tc>
          <w:tcPr>
            <w:tcW w:w="2695" w:type="dxa"/>
            <w:gridSpan w:val="2"/>
            <w:shd w:val="clear" w:color="auto" w:fill="FFFFFF"/>
            <w:tcMar>
              <w:top w:w="12" w:type="dxa"/>
              <w:left w:w="12" w:type="dxa"/>
              <w:right w:w="12" w:type="dxa"/>
            </w:tcMar>
            <w:vAlign w:val="center"/>
          </w:tcPr>
          <w:p w14:paraId="04A664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3451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3BFE15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1B26BF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17088D4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3DC7C7A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支持VNC远程连接双因素认证</w:t>
            </w:r>
          </w:p>
        </w:tc>
        <w:tc>
          <w:tcPr>
            <w:tcW w:w="2695" w:type="dxa"/>
            <w:gridSpan w:val="2"/>
            <w:shd w:val="clear" w:color="auto" w:fill="FFFFFF"/>
            <w:tcMar>
              <w:top w:w="12" w:type="dxa"/>
              <w:left w:w="12" w:type="dxa"/>
              <w:right w:w="12" w:type="dxa"/>
            </w:tcMar>
            <w:vAlign w:val="center"/>
          </w:tcPr>
          <w:p w14:paraId="544CE6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1B6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3A2241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5444C9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shd w:val="clear" w:color="auto" w:fill="auto"/>
            <w:tcMar>
              <w:top w:w="12" w:type="dxa"/>
              <w:left w:w="12" w:type="dxa"/>
              <w:right w:w="12" w:type="dxa"/>
            </w:tcMar>
            <w:vAlign w:val="center"/>
          </w:tcPr>
          <w:p w14:paraId="1396742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硬件令牌</w:t>
            </w:r>
          </w:p>
        </w:tc>
        <w:tc>
          <w:tcPr>
            <w:tcW w:w="3112" w:type="dxa"/>
            <w:gridSpan w:val="3"/>
            <w:shd w:val="clear" w:color="auto" w:fill="auto"/>
            <w:tcMar>
              <w:top w:w="12" w:type="dxa"/>
              <w:left w:w="12" w:type="dxa"/>
              <w:right w:w="12" w:type="dxa"/>
            </w:tcMar>
            <w:vAlign w:val="center"/>
          </w:tcPr>
          <w:p w14:paraId="624E266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令牌自保护防拆，令牌拆除自毁</w:t>
            </w:r>
          </w:p>
        </w:tc>
        <w:tc>
          <w:tcPr>
            <w:tcW w:w="2695" w:type="dxa"/>
            <w:gridSpan w:val="2"/>
            <w:shd w:val="clear" w:color="auto" w:fill="FFFFFF"/>
            <w:tcMar>
              <w:top w:w="12" w:type="dxa"/>
              <w:left w:w="12" w:type="dxa"/>
              <w:right w:w="12" w:type="dxa"/>
            </w:tcMar>
            <w:vAlign w:val="center"/>
          </w:tcPr>
          <w:p w14:paraId="27DE85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2B3C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6B3989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13D87C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7E1AFD4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5AE7DF9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算法要求：遵循国密SM3标准算法，符合国家标准。种子文件应该为64个字符。</w:t>
            </w:r>
          </w:p>
        </w:tc>
        <w:tc>
          <w:tcPr>
            <w:tcW w:w="2695" w:type="dxa"/>
            <w:gridSpan w:val="2"/>
            <w:shd w:val="clear" w:color="auto" w:fill="FFFFFF"/>
            <w:tcMar>
              <w:top w:w="12" w:type="dxa"/>
              <w:left w:w="12" w:type="dxa"/>
              <w:right w:w="12" w:type="dxa"/>
            </w:tcMar>
            <w:vAlign w:val="center"/>
          </w:tcPr>
          <w:p w14:paraId="73D932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DA40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090E89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5ED101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08D2832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5A6CBC2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密码显示位数：6位、常显</w:t>
            </w:r>
          </w:p>
        </w:tc>
        <w:tc>
          <w:tcPr>
            <w:tcW w:w="2695" w:type="dxa"/>
            <w:gridSpan w:val="2"/>
            <w:shd w:val="clear" w:color="auto" w:fill="FFFFFF"/>
            <w:tcMar>
              <w:top w:w="12" w:type="dxa"/>
              <w:left w:w="12" w:type="dxa"/>
              <w:right w:w="12" w:type="dxa"/>
            </w:tcMar>
            <w:vAlign w:val="center"/>
          </w:tcPr>
          <w:p w14:paraId="03B151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30E5A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16B36B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37A71D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1F99D0B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1F31E1A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密码变换周期：60秒，可以特殊定制30秒</w:t>
            </w:r>
          </w:p>
        </w:tc>
        <w:tc>
          <w:tcPr>
            <w:tcW w:w="2695" w:type="dxa"/>
            <w:gridSpan w:val="2"/>
            <w:shd w:val="clear" w:color="auto" w:fill="FFFFFF"/>
            <w:tcMar>
              <w:top w:w="12" w:type="dxa"/>
              <w:left w:w="12" w:type="dxa"/>
              <w:right w:w="12" w:type="dxa"/>
            </w:tcMar>
            <w:vAlign w:val="center"/>
          </w:tcPr>
          <w:p w14:paraId="42D9D3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678E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599245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6CA6BD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shd w:val="clear" w:color="auto" w:fill="auto"/>
            <w:tcMar>
              <w:top w:w="12" w:type="dxa"/>
              <w:left w:w="12" w:type="dxa"/>
              <w:right w:w="12" w:type="dxa"/>
            </w:tcMar>
            <w:vAlign w:val="center"/>
          </w:tcPr>
          <w:p w14:paraId="548E479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指纹令牌</w:t>
            </w:r>
          </w:p>
        </w:tc>
        <w:tc>
          <w:tcPr>
            <w:tcW w:w="3112" w:type="dxa"/>
            <w:gridSpan w:val="3"/>
            <w:shd w:val="clear" w:color="auto" w:fill="auto"/>
            <w:tcMar>
              <w:top w:w="12" w:type="dxa"/>
              <w:left w:w="12" w:type="dxa"/>
              <w:right w:w="12" w:type="dxa"/>
            </w:tcMar>
            <w:vAlign w:val="center"/>
          </w:tcPr>
          <w:p w14:paraId="305A08A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采用业内优秀的光学设计，具有采集范围大、指纹图像像素高，干、湿、粗糙指纹效果好等优点。</w:t>
            </w:r>
          </w:p>
        </w:tc>
        <w:tc>
          <w:tcPr>
            <w:tcW w:w="2695" w:type="dxa"/>
            <w:gridSpan w:val="2"/>
            <w:shd w:val="clear" w:color="auto" w:fill="FFFFFF"/>
            <w:tcMar>
              <w:top w:w="12" w:type="dxa"/>
              <w:left w:w="12" w:type="dxa"/>
              <w:right w:w="12" w:type="dxa"/>
            </w:tcMar>
            <w:vAlign w:val="center"/>
          </w:tcPr>
          <w:p w14:paraId="072489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3409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4CBD06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0203CD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592C0EC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76F8AED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按压次数≥400万次；指纹图像录入时间≤250ms</w:t>
            </w:r>
          </w:p>
        </w:tc>
        <w:tc>
          <w:tcPr>
            <w:tcW w:w="2695" w:type="dxa"/>
            <w:gridSpan w:val="2"/>
            <w:shd w:val="clear" w:color="auto" w:fill="FFFFFF"/>
            <w:tcMar>
              <w:top w:w="12" w:type="dxa"/>
              <w:left w:w="12" w:type="dxa"/>
              <w:right w:w="12" w:type="dxa"/>
            </w:tcMar>
            <w:vAlign w:val="center"/>
          </w:tcPr>
          <w:p w14:paraId="5464A5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CD45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46013E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28C0C5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24C09BB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50B8668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对比模式支持：1:1，1:N 比对，支持分布式比对和集中式比对两种比对模式；</w:t>
            </w:r>
          </w:p>
        </w:tc>
        <w:tc>
          <w:tcPr>
            <w:tcW w:w="2695" w:type="dxa"/>
            <w:gridSpan w:val="2"/>
            <w:shd w:val="clear" w:color="auto" w:fill="FFFFFF"/>
            <w:tcMar>
              <w:top w:w="12" w:type="dxa"/>
              <w:left w:w="12" w:type="dxa"/>
              <w:right w:w="12" w:type="dxa"/>
            </w:tcMar>
            <w:vAlign w:val="center"/>
          </w:tcPr>
          <w:p w14:paraId="355B45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3A1BE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7D477F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085B60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shd w:val="clear" w:color="auto" w:fill="auto"/>
            <w:tcMar>
              <w:top w:w="12" w:type="dxa"/>
              <w:left w:w="12" w:type="dxa"/>
              <w:right w:w="12" w:type="dxa"/>
            </w:tcMar>
            <w:vAlign w:val="center"/>
          </w:tcPr>
          <w:p w14:paraId="6F33872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手机令牌</w:t>
            </w:r>
          </w:p>
        </w:tc>
        <w:tc>
          <w:tcPr>
            <w:tcW w:w="3112" w:type="dxa"/>
            <w:gridSpan w:val="3"/>
            <w:shd w:val="clear" w:color="auto" w:fill="auto"/>
            <w:tcMar>
              <w:top w:w="12" w:type="dxa"/>
              <w:left w:w="12" w:type="dxa"/>
              <w:right w:w="12" w:type="dxa"/>
            </w:tcMar>
            <w:vAlign w:val="center"/>
          </w:tcPr>
          <w:p w14:paraId="3E3B044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支持平台：IOS、Android、鸿蒙系统；支持各大应用商店下载</w:t>
            </w:r>
          </w:p>
        </w:tc>
        <w:tc>
          <w:tcPr>
            <w:tcW w:w="2695" w:type="dxa"/>
            <w:gridSpan w:val="2"/>
            <w:shd w:val="clear" w:color="auto" w:fill="FFFFFF"/>
            <w:tcMar>
              <w:top w:w="12" w:type="dxa"/>
              <w:left w:w="12" w:type="dxa"/>
              <w:right w:w="12" w:type="dxa"/>
            </w:tcMar>
            <w:vAlign w:val="center"/>
          </w:tcPr>
          <w:p w14:paraId="25CE5C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1AFC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4AB922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451BBC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21FE370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1A51ED6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激活方式：支持帐号密码、扫描二维码与读图方式激活等方式激活令牌</w:t>
            </w:r>
          </w:p>
        </w:tc>
        <w:tc>
          <w:tcPr>
            <w:tcW w:w="2695" w:type="dxa"/>
            <w:gridSpan w:val="2"/>
            <w:shd w:val="clear" w:color="auto" w:fill="FFFFFF"/>
            <w:tcMar>
              <w:top w:w="12" w:type="dxa"/>
              <w:left w:w="12" w:type="dxa"/>
              <w:right w:w="12" w:type="dxa"/>
            </w:tcMar>
            <w:vAlign w:val="center"/>
          </w:tcPr>
          <w:p w14:paraId="76DF46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61911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32206B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5D0163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6C082A3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26FEDE5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安全性：支持设定手势密码、指纹或人脸识别，提高安全性</w:t>
            </w:r>
          </w:p>
        </w:tc>
        <w:tc>
          <w:tcPr>
            <w:tcW w:w="2695" w:type="dxa"/>
            <w:gridSpan w:val="2"/>
            <w:shd w:val="clear" w:color="auto" w:fill="FFFFFF"/>
            <w:tcMar>
              <w:top w:w="12" w:type="dxa"/>
              <w:left w:w="12" w:type="dxa"/>
              <w:right w:w="12" w:type="dxa"/>
            </w:tcMar>
            <w:vAlign w:val="center"/>
          </w:tcPr>
          <w:p w14:paraId="794B9F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B84E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3D8705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7A05A1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7138C1A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2291597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密码变换周期：30秒、60秒</w:t>
            </w:r>
          </w:p>
        </w:tc>
        <w:tc>
          <w:tcPr>
            <w:tcW w:w="2695" w:type="dxa"/>
            <w:gridSpan w:val="2"/>
            <w:shd w:val="clear" w:color="auto" w:fill="FFFFFF"/>
            <w:tcMar>
              <w:top w:w="12" w:type="dxa"/>
              <w:left w:w="12" w:type="dxa"/>
              <w:right w:w="12" w:type="dxa"/>
            </w:tcMar>
            <w:vAlign w:val="center"/>
          </w:tcPr>
          <w:p w14:paraId="1F012C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380BB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129884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6EEE76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6C6529B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top"/>
          </w:tcPr>
          <w:p w14:paraId="745186B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top"/>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推送认证：支持消息推送认证功能。</w:t>
            </w:r>
          </w:p>
        </w:tc>
        <w:tc>
          <w:tcPr>
            <w:tcW w:w="2695" w:type="dxa"/>
            <w:gridSpan w:val="2"/>
            <w:shd w:val="clear" w:color="auto" w:fill="FFFFFF"/>
            <w:tcMar>
              <w:top w:w="12" w:type="dxa"/>
              <w:left w:w="12" w:type="dxa"/>
              <w:right w:w="12" w:type="dxa"/>
            </w:tcMar>
            <w:vAlign w:val="center"/>
          </w:tcPr>
          <w:p w14:paraId="1AB478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0A149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191C3B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72BA1C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5421DA1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1D5BFFB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批量派发：支持按用户角色批量派发；</w:t>
            </w:r>
          </w:p>
        </w:tc>
        <w:tc>
          <w:tcPr>
            <w:tcW w:w="2695" w:type="dxa"/>
            <w:gridSpan w:val="2"/>
            <w:shd w:val="clear" w:color="auto" w:fill="FFFFFF"/>
            <w:tcMar>
              <w:top w:w="12" w:type="dxa"/>
              <w:left w:w="12" w:type="dxa"/>
              <w:right w:w="12" w:type="dxa"/>
            </w:tcMar>
            <w:vAlign w:val="center"/>
          </w:tcPr>
          <w:p w14:paraId="113D67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288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51449C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1EBCD8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6DA456E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0C966A5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时效性：二维码与激活图片具有时效性，可以支持自定义时效；</w:t>
            </w:r>
          </w:p>
        </w:tc>
        <w:tc>
          <w:tcPr>
            <w:tcW w:w="2695" w:type="dxa"/>
            <w:gridSpan w:val="2"/>
            <w:shd w:val="clear" w:color="auto" w:fill="FFFFFF"/>
            <w:tcMar>
              <w:top w:w="12" w:type="dxa"/>
              <w:left w:w="12" w:type="dxa"/>
              <w:right w:w="12" w:type="dxa"/>
            </w:tcMar>
            <w:vAlign w:val="center"/>
          </w:tcPr>
          <w:p w14:paraId="5BBBE5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297D3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20DE71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0E8FFE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6B6EF46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46954C5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扫码认证：支持扫码登录功能</w:t>
            </w:r>
          </w:p>
        </w:tc>
        <w:tc>
          <w:tcPr>
            <w:tcW w:w="2695" w:type="dxa"/>
            <w:gridSpan w:val="2"/>
            <w:shd w:val="clear" w:color="auto" w:fill="FFFFFF"/>
            <w:tcMar>
              <w:top w:w="12" w:type="dxa"/>
              <w:left w:w="12" w:type="dxa"/>
              <w:right w:w="12" w:type="dxa"/>
            </w:tcMar>
            <w:vAlign w:val="center"/>
          </w:tcPr>
          <w:p w14:paraId="724F9D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9FC4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72C880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216A3B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shd w:val="clear" w:color="auto" w:fill="auto"/>
            <w:tcMar>
              <w:top w:w="12" w:type="dxa"/>
              <w:left w:w="12" w:type="dxa"/>
              <w:right w:w="12" w:type="dxa"/>
            </w:tcMar>
            <w:vAlign w:val="center"/>
          </w:tcPr>
          <w:p w14:paraId="202B23C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资质证书</w:t>
            </w:r>
          </w:p>
        </w:tc>
        <w:tc>
          <w:tcPr>
            <w:tcW w:w="3112" w:type="dxa"/>
            <w:gridSpan w:val="3"/>
            <w:shd w:val="clear" w:color="auto" w:fill="auto"/>
            <w:tcMar>
              <w:top w:w="12" w:type="dxa"/>
              <w:left w:w="12" w:type="dxa"/>
              <w:right w:w="12" w:type="dxa"/>
            </w:tcMar>
            <w:vAlign w:val="center"/>
          </w:tcPr>
          <w:p w14:paraId="37CF8C2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▲产品具备商用密码产品认证证书，符合国家GM/T 0028《密码模块安全技术要求》，且证书在有效期内。</w:t>
            </w:r>
          </w:p>
        </w:tc>
        <w:tc>
          <w:tcPr>
            <w:tcW w:w="2695" w:type="dxa"/>
            <w:gridSpan w:val="2"/>
            <w:shd w:val="clear" w:color="auto" w:fill="FFFFFF"/>
            <w:tcMar>
              <w:top w:w="12" w:type="dxa"/>
              <w:left w:w="12" w:type="dxa"/>
              <w:right w:w="12" w:type="dxa"/>
            </w:tcMar>
            <w:vAlign w:val="center"/>
          </w:tcPr>
          <w:p w14:paraId="60C028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提供有效期内证书复印件并加盖厂家公章</w:t>
            </w:r>
          </w:p>
        </w:tc>
      </w:tr>
      <w:tr w14:paraId="2DEB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1630F9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6DC506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5FE9681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69A87CB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产品具备IPV6 Ready logo 国际认证，提供证书复印件</w:t>
            </w:r>
          </w:p>
        </w:tc>
        <w:tc>
          <w:tcPr>
            <w:tcW w:w="2695" w:type="dxa"/>
            <w:gridSpan w:val="2"/>
            <w:shd w:val="clear" w:color="auto" w:fill="FFFFFF"/>
            <w:tcMar>
              <w:top w:w="12" w:type="dxa"/>
              <w:left w:w="12" w:type="dxa"/>
              <w:right w:w="12" w:type="dxa"/>
            </w:tcMar>
            <w:vAlign w:val="center"/>
          </w:tcPr>
          <w:p w14:paraId="33FD77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9D8B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4846F9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56E9A6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3539E99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17E3FF2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产品原厂具有发明专利证书，提供证书复印件</w:t>
            </w:r>
          </w:p>
        </w:tc>
        <w:tc>
          <w:tcPr>
            <w:tcW w:w="2695" w:type="dxa"/>
            <w:gridSpan w:val="2"/>
            <w:shd w:val="clear" w:color="auto" w:fill="FFFFFF"/>
            <w:tcMar>
              <w:top w:w="12" w:type="dxa"/>
              <w:left w:w="12" w:type="dxa"/>
              <w:right w:w="12" w:type="dxa"/>
            </w:tcMar>
            <w:vAlign w:val="center"/>
          </w:tcPr>
          <w:p w14:paraId="630849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C978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94" w:type="dxa"/>
            <w:gridSpan w:val="2"/>
            <w:vMerge w:val="restart"/>
            <w:shd w:val="clear" w:color="auto" w:fill="FFFFFF"/>
            <w:tcMar>
              <w:top w:w="12" w:type="dxa"/>
              <w:left w:w="12" w:type="dxa"/>
              <w:right w:w="12" w:type="dxa"/>
            </w:tcMar>
            <w:vAlign w:val="center"/>
          </w:tcPr>
          <w:p w14:paraId="4C5AA14A">
            <w:pPr>
              <w:kinsoku/>
              <w:autoSpaceDE/>
              <w:autoSpaceDN/>
              <w:adjustRightInd/>
              <w:snapToGrid/>
              <w:jc w:val="center"/>
              <w:textAlignment w:val="center"/>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3</w:t>
            </w:r>
          </w:p>
        </w:tc>
        <w:tc>
          <w:tcPr>
            <w:tcW w:w="1126" w:type="dxa"/>
            <w:gridSpan w:val="2"/>
            <w:vMerge w:val="restart"/>
            <w:shd w:val="clear" w:color="auto" w:fill="FFFFFF"/>
            <w:tcMar>
              <w:top w:w="12" w:type="dxa"/>
              <w:left w:w="12" w:type="dxa"/>
              <w:right w:w="12" w:type="dxa"/>
            </w:tcMar>
            <w:vAlign w:val="center"/>
          </w:tcPr>
          <w:p w14:paraId="2E6F64F3">
            <w:pPr>
              <w:kinsoku/>
              <w:autoSpaceDE/>
              <w:autoSpaceDN/>
              <w:adjustRightInd/>
              <w:snapToGrid/>
              <w:textAlignment w:val="center"/>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VPN</w:t>
            </w:r>
          </w:p>
        </w:tc>
        <w:tc>
          <w:tcPr>
            <w:tcW w:w="1496" w:type="dxa"/>
            <w:gridSpan w:val="2"/>
            <w:vMerge w:val="restart"/>
            <w:shd w:val="clear" w:color="auto" w:fill="FFFFFF"/>
            <w:tcMar>
              <w:top w:w="12" w:type="dxa"/>
              <w:left w:w="12" w:type="dxa"/>
              <w:right w:w="12" w:type="dxa"/>
            </w:tcMar>
            <w:vAlign w:val="center"/>
          </w:tcPr>
          <w:p w14:paraId="319F3762">
            <w:pPr>
              <w:kinsoku/>
              <w:autoSpaceDE/>
              <w:autoSpaceDN/>
              <w:adjustRightInd/>
              <w:snapToGrid/>
              <w:jc w:val="center"/>
              <w:textAlignment w:val="center"/>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技术要求</w:t>
            </w:r>
          </w:p>
        </w:tc>
        <w:tc>
          <w:tcPr>
            <w:tcW w:w="3112" w:type="dxa"/>
            <w:gridSpan w:val="3"/>
            <w:shd w:val="clear" w:color="auto" w:fill="FFFFFF"/>
            <w:tcMar>
              <w:top w:w="12" w:type="dxa"/>
              <w:left w:w="12" w:type="dxa"/>
              <w:right w:w="12" w:type="dxa"/>
            </w:tcMar>
            <w:vAlign w:val="center"/>
          </w:tcPr>
          <w:p w14:paraId="3F6C9AA4">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1.专业IPSec VPN和SSL VPN二合一设备，非插卡或防火墙带VPN模块设备。</w:t>
            </w:r>
          </w:p>
        </w:tc>
        <w:tc>
          <w:tcPr>
            <w:tcW w:w="2695" w:type="dxa"/>
            <w:gridSpan w:val="2"/>
            <w:shd w:val="clear" w:color="auto" w:fill="FFFFFF"/>
            <w:tcMar>
              <w:top w:w="12" w:type="dxa"/>
              <w:left w:w="12" w:type="dxa"/>
              <w:right w:w="12" w:type="dxa"/>
            </w:tcMar>
            <w:vAlign w:val="center"/>
          </w:tcPr>
          <w:p w14:paraId="535DD100">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39DE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80" w:hRule="atLeast"/>
        </w:trPr>
        <w:tc>
          <w:tcPr>
            <w:tcW w:w="594" w:type="dxa"/>
            <w:gridSpan w:val="2"/>
            <w:vMerge w:val="continue"/>
            <w:shd w:val="clear" w:color="auto" w:fill="FFFFFF"/>
            <w:tcMar>
              <w:top w:w="12" w:type="dxa"/>
              <w:left w:w="12" w:type="dxa"/>
              <w:right w:w="12" w:type="dxa"/>
            </w:tcMar>
            <w:vAlign w:val="center"/>
          </w:tcPr>
          <w:p w14:paraId="3EF6AA81">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1FF591D9">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276D4DFC">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6EB45E83">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w:t>
            </w:r>
            <w:r>
              <w:rPr>
                <w:rFonts w:hint="eastAsia" w:asciiTheme="minorEastAsia" w:hAnsiTheme="minorEastAsia" w:eastAsiaTheme="minorEastAsia" w:cstheme="minorEastAsia"/>
                <w:b w:val="0"/>
                <w:bCs w:val="0"/>
                <w:snapToGrid/>
                <w:color w:val="auto"/>
                <w:sz w:val="24"/>
                <w:szCs w:val="24"/>
                <w:highlight w:val="none"/>
                <w:lang w:eastAsia="zh-CN" w:bidi="ar"/>
              </w:rPr>
              <w:t>2.支持多系统引导，可在管理员界面直接配置启动顺序，≥支持两个操作系统，管理员可自由选择当前启动系统，每个系统拥有独立的配置文件，且分别支持加密导入导出；同时支持全局配置安全检查，支持一键优化或一键锁定。</w:t>
            </w:r>
          </w:p>
        </w:tc>
        <w:tc>
          <w:tcPr>
            <w:tcW w:w="2695" w:type="dxa"/>
            <w:gridSpan w:val="2"/>
            <w:shd w:val="clear" w:color="auto" w:fill="FFFFFF"/>
            <w:tcMar>
              <w:top w:w="12" w:type="dxa"/>
              <w:left w:w="12" w:type="dxa"/>
              <w:right w:w="12" w:type="dxa"/>
            </w:tcMar>
            <w:vAlign w:val="center"/>
          </w:tcPr>
          <w:p w14:paraId="7DDDB679">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提供证明材料，包括网站截图、功能截图、第三方检测报告中任意一种，并加盖制造商公章</w:t>
            </w:r>
          </w:p>
        </w:tc>
      </w:tr>
      <w:tr w14:paraId="1FC0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594" w:type="dxa"/>
            <w:gridSpan w:val="2"/>
            <w:vMerge w:val="continue"/>
            <w:shd w:val="clear" w:color="auto" w:fill="FFFFFF"/>
            <w:tcMar>
              <w:top w:w="12" w:type="dxa"/>
              <w:left w:w="12" w:type="dxa"/>
              <w:right w:w="12" w:type="dxa"/>
            </w:tcMar>
            <w:vAlign w:val="center"/>
          </w:tcPr>
          <w:p w14:paraId="3C5ED481">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08B7076A">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6DAA218F">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5315A77E">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3.支持配置多种资源类型，包括WEB应用、WebVPN应用、TCP/UDP应用，NC应用；支持资源负载均衡，可控制终端接入类型，如PC端（浏览器/独立客户端）、移动端（Android/iOS）；支持WebVPN跨平台免插件访问，支持Windows、Mac、Linux、国产化UOS\银河麒麟V10等系统主流浏览器，免插件免客户端使用VPN接入内网。</w:t>
            </w:r>
          </w:p>
        </w:tc>
        <w:tc>
          <w:tcPr>
            <w:tcW w:w="2695" w:type="dxa"/>
            <w:gridSpan w:val="2"/>
            <w:shd w:val="clear" w:color="auto" w:fill="FFFFFF"/>
            <w:tcMar>
              <w:top w:w="12" w:type="dxa"/>
              <w:left w:w="12" w:type="dxa"/>
              <w:right w:w="12" w:type="dxa"/>
            </w:tcMar>
            <w:vAlign w:val="center"/>
          </w:tcPr>
          <w:p w14:paraId="48013CF3">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7A1F7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3DB90575">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3E97689A">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7324E119">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0319741D">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4.支持短信认证，支持HTTP、WebService接口自定义。支持CAS认证服务联动，通过简单配置即可实现基于身份票据的单点登录；支持密码自助找回功能。</w:t>
            </w:r>
          </w:p>
        </w:tc>
        <w:tc>
          <w:tcPr>
            <w:tcW w:w="2695" w:type="dxa"/>
            <w:gridSpan w:val="2"/>
            <w:shd w:val="clear" w:color="auto" w:fill="FFFFFF"/>
            <w:tcMar>
              <w:top w:w="12" w:type="dxa"/>
              <w:left w:w="12" w:type="dxa"/>
              <w:right w:w="12" w:type="dxa"/>
            </w:tcMar>
            <w:vAlign w:val="center"/>
          </w:tcPr>
          <w:p w14:paraId="482CCC49">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3FA9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594" w:type="dxa"/>
            <w:gridSpan w:val="2"/>
            <w:vMerge w:val="continue"/>
            <w:shd w:val="clear" w:color="auto" w:fill="FFFFFF"/>
            <w:tcMar>
              <w:top w:w="12" w:type="dxa"/>
              <w:left w:w="12" w:type="dxa"/>
              <w:right w:w="12" w:type="dxa"/>
            </w:tcMar>
            <w:vAlign w:val="center"/>
          </w:tcPr>
          <w:p w14:paraId="345AFC14">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0343C690">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513C7308">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592791F4">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5.基于用户和角色设定准入策略，针对操作系统、操作系统补丁、浏览器、进程、服务、端口、文件、注册表、登录IP、时间、凭证、终端指纹进行登录前和使用时定期检查。</w:t>
            </w:r>
          </w:p>
        </w:tc>
        <w:tc>
          <w:tcPr>
            <w:tcW w:w="2695" w:type="dxa"/>
            <w:gridSpan w:val="2"/>
            <w:shd w:val="clear" w:color="auto" w:fill="FFFFFF"/>
            <w:tcMar>
              <w:top w:w="12" w:type="dxa"/>
              <w:left w:w="12" w:type="dxa"/>
              <w:right w:w="12" w:type="dxa"/>
            </w:tcMar>
            <w:vAlign w:val="center"/>
          </w:tcPr>
          <w:p w14:paraId="7D5B8E3A">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5DA4E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594" w:type="dxa"/>
            <w:gridSpan w:val="2"/>
            <w:vMerge w:val="continue"/>
            <w:shd w:val="clear" w:color="auto" w:fill="FFFFFF"/>
            <w:tcMar>
              <w:top w:w="12" w:type="dxa"/>
              <w:left w:w="12" w:type="dxa"/>
              <w:right w:w="12" w:type="dxa"/>
            </w:tcMar>
            <w:vAlign w:val="center"/>
          </w:tcPr>
          <w:p w14:paraId="49D058F0">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56A82802">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7D37A713">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35F97662">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6.支持终端认证功能，包含硬件特征码、IP、MAC、主机绑定，特征码信息可自动生成，支持自定义用户绑定终端数量。支持硬件特征码批量导入导出；支持设定使用VPN时仅能访问内网资源，断开与对互联网的访问，支持登录超时限制时间功能。</w:t>
            </w:r>
          </w:p>
        </w:tc>
        <w:tc>
          <w:tcPr>
            <w:tcW w:w="2695" w:type="dxa"/>
            <w:gridSpan w:val="2"/>
            <w:shd w:val="clear" w:color="auto" w:fill="FFFFFF"/>
            <w:tcMar>
              <w:top w:w="12" w:type="dxa"/>
              <w:left w:w="12" w:type="dxa"/>
              <w:right w:w="12" w:type="dxa"/>
            </w:tcMar>
            <w:vAlign w:val="center"/>
          </w:tcPr>
          <w:p w14:paraId="240AAED7">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6E632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0F9AEA00">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472A879D">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7F44FD67">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4CAC127E">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7.采用加密方式建立隧道连接，支持自主隧道配置技术；具备基于SSL协议的远程安全接入方法和系统技术证书。</w:t>
            </w:r>
          </w:p>
        </w:tc>
        <w:tc>
          <w:tcPr>
            <w:tcW w:w="2695" w:type="dxa"/>
            <w:gridSpan w:val="2"/>
            <w:shd w:val="clear" w:color="auto" w:fill="FFFFFF"/>
            <w:tcMar>
              <w:top w:w="12" w:type="dxa"/>
              <w:left w:w="12" w:type="dxa"/>
              <w:right w:w="12" w:type="dxa"/>
            </w:tcMar>
            <w:vAlign w:val="center"/>
          </w:tcPr>
          <w:p w14:paraId="7536402F">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5A38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70105CDB">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6CF417D5">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4764B02B">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78A0C5C8">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w:t>
            </w:r>
            <w:r>
              <w:rPr>
                <w:rFonts w:hint="eastAsia" w:asciiTheme="minorEastAsia" w:hAnsiTheme="minorEastAsia" w:eastAsiaTheme="minorEastAsia" w:cstheme="minorEastAsia"/>
                <w:b w:val="0"/>
                <w:bCs w:val="0"/>
                <w:snapToGrid/>
                <w:color w:val="auto"/>
                <w:sz w:val="24"/>
                <w:szCs w:val="24"/>
                <w:highlight w:val="none"/>
                <w:lang w:eastAsia="zh-CN" w:bidi="ar"/>
              </w:rPr>
              <w:t>8.产品需具备VSP通用安全平台软件，具备高效、智能、安全、易扩展等特点。</w:t>
            </w:r>
          </w:p>
        </w:tc>
        <w:tc>
          <w:tcPr>
            <w:tcW w:w="2695" w:type="dxa"/>
            <w:gridSpan w:val="2"/>
            <w:shd w:val="clear" w:color="auto" w:fill="FFFFFF"/>
            <w:tcMar>
              <w:top w:w="12" w:type="dxa"/>
              <w:left w:w="12" w:type="dxa"/>
              <w:right w:w="12" w:type="dxa"/>
            </w:tcMar>
            <w:vAlign w:val="center"/>
          </w:tcPr>
          <w:p w14:paraId="0E720590">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提供证书复印件，并加盖制造商公章</w:t>
            </w:r>
          </w:p>
        </w:tc>
      </w:tr>
      <w:tr w14:paraId="499DC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0A86C993">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19F99B4A">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695EA0BE">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18B4D2F4">
            <w:pPr>
              <w:kinsoku/>
              <w:autoSpaceDE/>
              <w:autoSpaceDN/>
              <w:adjustRightInd/>
              <w:snapToGrid/>
              <w:textAlignment w:val="center"/>
              <w:rPr>
                <w:rFonts w:hint="eastAsia" w:asciiTheme="minorEastAsia" w:hAnsiTheme="minorEastAsia" w:eastAsiaTheme="minorEastAsia" w:cstheme="minorEastAsia"/>
                <w:b w:val="0"/>
                <w:bCs w:val="0"/>
                <w:snapToGrid/>
                <w:color w:val="auto"/>
                <w:sz w:val="24"/>
                <w:szCs w:val="24"/>
                <w:highlight w:val="none"/>
                <w:lang w:eastAsia="zh-CN" w:bidi="ar"/>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w:t>
            </w:r>
            <w:r>
              <w:rPr>
                <w:rFonts w:hint="eastAsia" w:asciiTheme="minorEastAsia" w:hAnsiTheme="minorEastAsia" w:eastAsiaTheme="minorEastAsia" w:cstheme="minorEastAsia"/>
                <w:b w:val="0"/>
                <w:bCs w:val="0"/>
                <w:snapToGrid/>
                <w:color w:val="auto"/>
                <w:sz w:val="24"/>
                <w:szCs w:val="24"/>
                <w:highlight w:val="none"/>
                <w:lang w:val="en-US" w:eastAsia="zh-CN" w:bidi="ar"/>
              </w:rPr>
              <w:t>9</w:t>
            </w:r>
            <w:r>
              <w:rPr>
                <w:rFonts w:hint="eastAsia" w:asciiTheme="minorEastAsia" w:hAnsiTheme="minorEastAsia" w:eastAsiaTheme="minorEastAsia" w:cstheme="minorEastAsia"/>
                <w:b w:val="0"/>
                <w:bCs w:val="0"/>
                <w:snapToGrid/>
                <w:color w:val="auto"/>
                <w:sz w:val="24"/>
                <w:szCs w:val="24"/>
                <w:highlight w:val="none"/>
                <w:lang w:eastAsia="zh-CN" w:bidi="ar"/>
              </w:rPr>
              <w:t>.产品需具备国家密码管理局发布的《商用密码产品认证证书》。</w:t>
            </w:r>
          </w:p>
        </w:tc>
        <w:tc>
          <w:tcPr>
            <w:tcW w:w="2695" w:type="dxa"/>
            <w:gridSpan w:val="2"/>
            <w:shd w:val="clear" w:color="auto" w:fill="FFFFFF"/>
            <w:tcMar>
              <w:top w:w="12" w:type="dxa"/>
              <w:left w:w="12" w:type="dxa"/>
              <w:right w:w="12" w:type="dxa"/>
            </w:tcMar>
            <w:vAlign w:val="center"/>
          </w:tcPr>
          <w:p w14:paraId="463D28DC">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sz w:val="24"/>
                <w:szCs w:val="24"/>
                <w:highlight w:val="none"/>
                <w:lang w:eastAsia="zh-CN" w:bidi="ar"/>
              </w:rPr>
            </w:pPr>
            <w:r>
              <w:rPr>
                <w:rFonts w:hint="eastAsia" w:asciiTheme="minorEastAsia" w:hAnsiTheme="minorEastAsia" w:eastAsiaTheme="minorEastAsia" w:cstheme="minorEastAsia"/>
                <w:b w:val="0"/>
                <w:bCs w:val="0"/>
                <w:snapToGrid/>
                <w:color w:val="auto"/>
                <w:sz w:val="24"/>
                <w:szCs w:val="24"/>
                <w:highlight w:val="none"/>
                <w:lang w:eastAsia="zh-CN" w:bidi="ar"/>
              </w:rPr>
              <w:t>提供证书复印件，并加盖制造商公章</w:t>
            </w:r>
          </w:p>
        </w:tc>
      </w:tr>
      <w:tr w14:paraId="7141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2" w:hRule="atLeast"/>
        </w:trPr>
        <w:tc>
          <w:tcPr>
            <w:tcW w:w="594" w:type="dxa"/>
            <w:gridSpan w:val="2"/>
            <w:vMerge w:val="continue"/>
            <w:shd w:val="clear" w:color="auto" w:fill="FFFFFF"/>
            <w:tcMar>
              <w:top w:w="12" w:type="dxa"/>
              <w:left w:w="12" w:type="dxa"/>
              <w:right w:w="12" w:type="dxa"/>
            </w:tcMar>
            <w:vAlign w:val="center"/>
          </w:tcPr>
          <w:p w14:paraId="32D6430B">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35BC8A75">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77162D0C">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30A075AB">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color w:val="auto"/>
                <w:spacing w:val="0"/>
                <w:w w:val="100"/>
                <w:position w:val="0"/>
                <w:sz w:val="21"/>
                <w:szCs w:val="21"/>
                <w:highlight w:val="none"/>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产品需具备网络关键设备和网络安全专用产品安全认证证书</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或</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网络安全专用产品安全检测证书。</w:t>
            </w:r>
          </w:p>
        </w:tc>
        <w:tc>
          <w:tcPr>
            <w:tcW w:w="2695" w:type="dxa"/>
            <w:gridSpan w:val="2"/>
            <w:shd w:val="clear" w:color="auto" w:fill="FFFFFF"/>
            <w:tcMar>
              <w:top w:w="12" w:type="dxa"/>
              <w:left w:w="12" w:type="dxa"/>
              <w:right w:w="12" w:type="dxa"/>
            </w:tcMar>
            <w:vAlign w:val="center"/>
          </w:tcPr>
          <w:p w14:paraId="4A4FBF5E">
            <w:pPr>
              <w:widowControl w:val="0"/>
              <w:kinsoku/>
              <w:autoSpaceDE/>
              <w:autoSpaceDN/>
              <w:adjustRightInd/>
              <w:snapToGrid/>
              <w:jc w:val="center"/>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kern w:val="2"/>
                <w:sz w:val="24"/>
                <w:szCs w:val="24"/>
                <w:highlight w:val="none"/>
                <w:lang w:eastAsia="zh-CN"/>
              </w:rPr>
              <w:t>列入《网络关键设备和网络安全专用产品目录》的网络安全专用产品，应当按照《信息安全技术网络安全专用产品安全技术要求》等相关国家标准的强制性要求，由具备资格的机构安全认证合格或者安全检测符合要求。</w:t>
            </w:r>
          </w:p>
        </w:tc>
      </w:tr>
      <w:tr w14:paraId="2A49A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6" w:hRule="atLeast"/>
        </w:trPr>
        <w:tc>
          <w:tcPr>
            <w:tcW w:w="594" w:type="dxa"/>
            <w:gridSpan w:val="2"/>
            <w:vMerge w:val="restart"/>
            <w:shd w:val="clear" w:color="auto" w:fill="FFFFFF"/>
            <w:tcMar>
              <w:top w:w="12" w:type="dxa"/>
              <w:left w:w="12" w:type="dxa"/>
              <w:right w:w="12" w:type="dxa"/>
            </w:tcMar>
            <w:vAlign w:val="center"/>
          </w:tcPr>
          <w:p w14:paraId="670F47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4</w:t>
            </w:r>
          </w:p>
        </w:tc>
        <w:tc>
          <w:tcPr>
            <w:tcW w:w="1126" w:type="dxa"/>
            <w:gridSpan w:val="2"/>
            <w:vMerge w:val="restart"/>
            <w:shd w:val="clear" w:color="auto" w:fill="FFFFFF"/>
            <w:tcMar>
              <w:top w:w="12" w:type="dxa"/>
              <w:left w:w="12" w:type="dxa"/>
              <w:right w:w="12" w:type="dxa"/>
            </w:tcMar>
            <w:vAlign w:val="center"/>
          </w:tcPr>
          <w:p w14:paraId="1210E43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网络审计</w:t>
            </w:r>
          </w:p>
        </w:tc>
        <w:tc>
          <w:tcPr>
            <w:tcW w:w="1496" w:type="dxa"/>
            <w:gridSpan w:val="2"/>
            <w:vMerge w:val="restart"/>
            <w:shd w:val="clear" w:color="auto" w:fill="auto"/>
            <w:tcMar>
              <w:top w:w="12" w:type="dxa"/>
              <w:left w:w="12" w:type="dxa"/>
              <w:right w:w="12" w:type="dxa"/>
            </w:tcMar>
            <w:vAlign w:val="center"/>
          </w:tcPr>
          <w:p w14:paraId="31A430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内容审计</w:t>
            </w:r>
          </w:p>
        </w:tc>
        <w:tc>
          <w:tcPr>
            <w:tcW w:w="3112" w:type="dxa"/>
            <w:gridSpan w:val="3"/>
            <w:shd w:val="clear" w:color="auto" w:fill="auto"/>
            <w:tcMar>
              <w:top w:w="12" w:type="dxa"/>
              <w:left w:w="12" w:type="dxa"/>
              <w:right w:w="12" w:type="dxa"/>
            </w:tcMar>
            <w:vAlign w:val="center"/>
          </w:tcPr>
          <w:p w14:paraId="7257D06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1.支持对HTTP协议进行内容审计，审计内容包括不限于：访问域名，HTTP引用页、URL、HTTP请求类型、HTTP响应类型、请求文件、请求参数、访问行为、响应码、访问浏览器、服务器、Cookie、源目的IP地址、信誉分值等。</w:t>
            </w:r>
          </w:p>
        </w:tc>
        <w:tc>
          <w:tcPr>
            <w:tcW w:w="2695" w:type="dxa"/>
            <w:gridSpan w:val="2"/>
            <w:shd w:val="clear" w:color="auto" w:fill="FFFFFF"/>
            <w:tcMar>
              <w:top w:w="12" w:type="dxa"/>
              <w:left w:w="12" w:type="dxa"/>
              <w:right w:w="12" w:type="dxa"/>
            </w:tcMar>
            <w:vAlign w:val="center"/>
          </w:tcPr>
          <w:p w14:paraId="5CBAE3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6CD1C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42B454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063C070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2D8340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1DAB778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2.支持文件传输协议审计（FTP、TFTP协议），可针对FTP协议文件传输的网络行为进行审计，审计内容包括但不限于：文件名、操作命令、操作结果等，可以对上传下载的文件进行还原，提供下载。</w:t>
            </w:r>
          </w:p>
        </w:tc>
        <w:tc>
          <w:tcPr>
            <w:tcW w:w="2695" w:type="dxa"/>
            <w:gridSpan w:val="2"/>
            <w:shd w:val="clear" w:color="auto" w:fill="FFFFFF"/>
            <w:tcMar>
              <w:top w:w="12" w:type="dxa"/>
              <w:left w:w="12" w:type="dxa"/>
              <w:right w:w="12" w:type="dxa"/>
            </w:tcMar>
            <w:vAlign w:val="center"/>
          </w:tcPr>
          <w:p w14:paraId="17CCC4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41C74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12622B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1DF21D9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shd w:val="clear" w:color="auto" w:fill="auto"/>
            <w:tcMar>
              <w:top w:w="12" w:type="dxa"/>
              <w:left w:w="12" w:type="dxa"/>
              <w:right w:w="12" w:type="dxa"/>
            </w:tcMar>
            <w:vAlign w:val="center"/>
          </w:tcPr>
          <w:p w14:paraId="5777AA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3112" w:type="dxa"/>
            <w:gridSpan w:val="3"/>
            <w:shd w:val="clear" w:color="auto" w:fill="auto"/>
            <w:tcMar>
              <w:top w:w="12" w:type="dxa"/>
              <w:left w:w="12" w:type="dxa"/>
              <w:right w:w="12" w:type="dxa"/>
            </w:tcMar>
            <w:vAlign w:val="center"/>
          </w:tcPr>
          <w:p w14:paraId="4E85353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3.支持共享协议（SMB 文件共享、NFS 共享）审计。包括不限于：用户名、操作命令、传输文件名/文件类型等。</w:t>
            </w:r>
          </w:p>
        </w:tc>
        <w:tc>
          <w:tcPr>
            <w:tcW w:w="2695" w:type="dxa"/>
            <w:gridSpan w:val="2"/>
            <w:shd w:val="clear" w:color="auto" w:fill="FFFFFF"/>
            <w:tcMar>
              <w:top w:w="12" w:type="dxa"/>
              <w:left w:w="12" w:type="dxa"/>
              <w:right w:w="12" w:type="dxa"/>
            </w:tcMar>
            <w:vAlign w:val="center"/>
          </w:tcPr>
          <w:p w14:paraId="65C759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12314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171861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462ABED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41613E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行为审计</w:t>
            </w:r>
          </w:p>
        </w:tc>
        <w:tc>
          <w:tcPr>
            <w:tcW w:w="3112" w:type="dxa"/>
            <w:gridSpan w:val="3"/>
            <w:shd w:val="clear" w:color="auto" w:fill="auto"/>
            <w:tcMar>
              <w:top w:w="12" w:type="dxa"/>
              <w:left w:w="12" w:type="dxa"/>
              <w:right w:w="12" w:type="dxa"/>
            </w:tcMar>
            <w:vAlign w:val="center"/>
          </w:tcPr>
          <w:p w14:paraId="4C5E2F5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4.支持应用协议行为识别，应用识别规则库最少分为24大类，支持5000种以上的应用协议自动识别与审计记录。</w:t>
            </w:r>
          </w:p>
        </w:tc>
        <w:tc>
          <w:tcPr>
            <w:tcW w:w="2695" w:type="dxa"/>
            <w:gridSpan w:val="2"/>
            <w:shd w:val="clear" w:color="auto" w:fill="FFFFFF"/>
            <w:tcMar>
              <w:top w:w="12" w:type="dxa"/>
              <w:left w:w="12" w:type="dxa"/>
              <w:right w:w="12" w:type="dxa"/>
            </w:tcMar>
            <w:vAlign w:val="center"/>
          </w:tcPr>
          <w:p w14:paraId="63271A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6B26C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026F6A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055EF78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47A41E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告警阻断</w:t>
            </w:r>
          </w:p>
        </w:tc>
        <w:tc>
          <w:tcPr>
            <w:tcW w:w="3112" w:type="dxa"/>
            <w:gridSpan w:val="3"/>
            <w:shd w:val="clear" w:color="auto" w:fill="auto"/>
            <w:tcMar>
              <w:top w:w="12" w:type="dxa"/>
              <w:left w:w="12" w:type="dxa"/>
              <w:right w:w="12" w:type="dxa"/>
            </w:tcMar>
            <w:vAlign w:val="center"/>
          </w:tcPr>
          <w:p w14:paraId="6D6FA1B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5.支持旁路模式阻断和防火墙联动方式阻断，支持与沙箱联动响应；支持Syslog、snmptrap、Kafka、Netflow、FTP、邮箱、短信、企业微信等方式向外发送告警日志。</w:t>
            </w:r>
          </w:p>
        </w:tc>
        <w:tc>
          <w:tcPr>
            <w:tcW w:w="2695" w:type="dxa"/>
            <w:gridSpan w:val="2"/>
            <w:shd w:val="clear" w:color="auto" w:fill="FFFFFF"/>
            <w:tcMar>
              <w:top w:w="12" w:type="dxa"/>
              <w:left w:w="12" w:type="dxa"/>
              <w:right w:w="12" w:type="dxa"/>
            </w:tcMar>
            <w:vAlign w:val="center"/>
          </w:tcPr>
          <w:p w14:paraId="202057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3D5D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94" w:type="dxa"/>
            <w:gridSpan w:val="2"/>
            <w:vMerge w:val="continue"/>
            <w:shd w:val="clear" w:color="auto" w:fill="FFFFFF"/>
            <w:tcMar>
              <w:top w:w="12" w:type="dxa"/>
              <w:left w:w="12" w:type="dxa"/>
              <w:right w:w="12" w:type="dxa"/>
            </w:tcMar>
            <w:vAlign w:val="center"/>
          </w:tcPr>
          <w:p w14:paraId="4ABB4B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5E751A0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4F7600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IPv6环境</w:t>
            </w:r>
          </w:p>
        </w:tc>
        <w:tc>
          <w:tcPr>
            <w:tcW w:w="3112" w:type="dxa"/>
            <w:gridSpan w:val="3"/>
            <w:shd w:val="clear" w:color="auto" w:fill="auto"/>
            <w:tcMar>
              <w:top w:w="12" w:type="dxa"/>
              <w:left w:w="12" w:type="dxa"/>
              <w:right w:w="12" w:type="dxa"/>
            </w:tcMar>
            <w:vAlign w:val="center"/>
          </w:tcPr>
          <w:p w14:paraId="5D8AE1D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6.支持IPV6环境部署和IPV6环境下网络审计系统全部功能的审计。</w:t>
            </w:r>
          </w:p>
        </w:tc>
        <w:tc>
          <w:tcPr>
            <w:tcW w:w="2695" w:type="dxa"/>
            <w:gridSpan w:val="2"/>
            <w:shd w:val="clear" w:color="auto" w:fill="FFFFFF"/>
            <w:tcMar>
              <w:top w:w="12" w:type="dxa"/>
              <w:left w:w="12" w:type="dxa"/>
              <w:right w:w="12" w:type="dxa"/>
            </w:tcMar>
            <w:vAlign w:val="center"/>
          </w:tcPr>
          <w:p w14:paraId="3281A7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994C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65496A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53A4CFB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59C5F8A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审计查询</w:t>
            </w:r>
          </w:p>
        </w:tc>
        <w:tc>
          <w:tcPr>
            <w:tcW w:w="3112" w:type="dxa"/>
            <w:gridSpan w:val="3"/>
            <w:shd w:val="clear" w:color="auto" w:fill="auto"/>
            <w:tcMar>
              <w:top w:w="12" w:type="dxa"/>
              <w:left w:w="12" w:type="dxa"/>
              <w:right w:w="12" w:type="dxa"/>
            </w:tcMar>
            <w:vAlign w:val="center"/>
          </w:tcPr>
          <w:p w14:paraId="5A4AF96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7.支持标准查询、经典查询和专家查询多种查询方式。支持界面展示查询条件、事件数、应用协议及任务运行时间。支持以柱状图的形式展示各时间段审计事件数；支持自定义查询事件数，支持千万级数据秒级查询，支持csv格式导出审计日志。</w:t>
            </w:r>
          </w:p>
        </w:tc>
        <w:tc>
          <w:tcPr>
            <w:tcW w:w="2695" w:type="dxa"/>
            <w:gridSpan w:val="2"/>
            <w:shd w:val="clear" w:color="auto" w:fill="FFFFFF"/>
            <w:tcMar>
              <w:top w:w="12" w:type="dxa"/>
              <w:left w:w="12" w:type="dxa"/>
              <w:right w:w="12" w:type="dxa"/>
            </w:tcMar>
            <w:vAlign w:val="center"/>
          </w:tcPr>
          <w:p w14:paraId="20CAD4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329F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28FCB7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7ABCAED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2700B15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实名审计</w:t>
            </w:r>
          </w:p>
        </w:tc>
        <w:tc>
          <w:tcPr>
            <w:tcW w:w="3112" w:type="dxa"/>
            <w:gridSpan w:val="3"/>
            <w:shd w:val="clear" w:color="auto" w:fill="auto"/>
            <w:tcMar>
              <w:top w:w="12" w:type="dxa"/>
              <w:left w:w="12" w:type="dxa"/>
              <w:right w:w="12" w:type="dxa"/>
            </w:tcMar>
            <w:vAlign w:val="center"/>
          </w:tcPr>
          <w:p w14:paraId="6BDAD6E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8.支持实名审计，支持绑定源IP、用户名，域名、主机名、部门、邮箱及电话，支持手动添加数据来源，或下载模板批量导入，并支持全量导入。支持在审计日志中实名相关信息区域，查看实名关联信息，展示用户名、域名、主机名等。</w:t>
            </w:r>
          </w:p>
        </w:tc>
        <w:tc>
          <w:tcPr>
            <w:tcW w:w="2695" w:type="dxa"/>
            <w:gridSpan w:val="2"/>
            <w:shd w:val="clear" w:color="auto" w:fill="FFFFFF"/>
            <w:tcMar>
              <w:top w:w="12" w:type="dxa"/>
              <w:left w:w="12" w:type="dxa"/>
              <w:right w:w="12" w:type="dxa"/>
            </w:tcMar>
            <w:vAlign w:val="center"/>
          </w:tcPr>
          <w:p w14:paraId="6D0A65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1AC7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4" w:hRule="atLeast"/>
        </w:trPr>
        <w:tc>
          <w:tcPr>
            <w:tcW w:w="594" w:type="dxa"/>
            <w:gridSpan w:val="2"/>
            <w:vMerge w:val="continue"/>
            <w:shd w:val="clear" w:color="auto" w:fill="FFFFFF"/>
            <w:tcMar>
              <w:top w:w="12" w:type="dxa"/>
              <w:left w:w="12" w:type="dxa"/>
              <w:right w:w="12" w:type="dxa"/>
            </w:tcMar>
            <w:vAlign w:val="center"/>
          </w:tcPr>
          <w:p w14:paraId="22C926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611E33E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5089D9B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黑名单检测</w:t>
            </w:r>
          </w:p>
        </w:tc>
        <w:tc>
          <w:tcPr>
            <w:tcW w:w="3112" w:type="dxa"/>
            <w:gridSpan w:val="3"/>
            <w:shd w:val="clear" w:color="auto" w:fill="auto"/>
            <w:tcMar>
              <w:top w:w="12" w:type="dxa"/>
              <w:left w:w="12" w:type="dxa"/>
              <w:right w:w="12" w:type="dxa"/>
            </w:tcMar>
            <w:vAlign w:val="center"/>
          </w:tcPr>
          <w:p w14:paraId="01AC1DA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9.支持黑名单检测，支持黑URL、黑IP、黑域名、黑账号检测等审计策略，支持报文留存。支持黑URL地址、黑域名、账号多种匹配类型，包括子串匹配、左匹配、右匹配、完全匹配及正则匹配。</w:t>
            </w:r>
          </w:p>
        </w:tc>
        <w:tc>
          <w:tcPr>
            <w:tcW w:w="2695" w:type="dxa"/>
            <w:gridSpan w:val="2"/>
            <w:shd w:val="clear" w:color="auto" w:fill="FFFFFF"/>
            <w:tcMar>
              <w:top w:w="12" w:type="dxa"/>
              <w:left w:w="12" w:type="dxa"/>
              <w:right w:w="12" w:type="dxa"/>
            </w:tcMar>
            <w:vAlign w:val="center"/>
          </w:tcPr>
          <w:p w14:paraId="275C6D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4A1D4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095623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2EFF099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7AA9036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攻击检测</w:t>
            </w:r>
          </w:p>
        </w:tc>
        <w:tc>
          <w:tcPr>
            <w:tcW w:w="3112" w:type="dxa"/>
            <w:gridSpan w:val="3"/>
            <w:shd w:val="clear" w:color="auto" w:fill="auto"/>
            <w:tcMar>
              <w:top w:w="12" w:type="dxa"/>
              <w:left w:w="12" w:type="dxa"/>
              <w:right w:w="12" w:type="dxa"/>
            </w:tcMar>
            <w:vAlign w:val="center"/>
          </w:tcPr>
          <w:p w14:paraId="189C985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▲10.集成攻击检测规则库，支持对扫描探测、暴力破解、后门控制、溢出攻击、注入攻击等攻击行为检测告警，并且支持自定义攻击规则。</w:t>
            </w:r>
          </w:p>
        </w:tc>
        <w:tc>
          <w:tcPr>
            <w:tcW w:w="2695" w:type="dxa"/>
            <w:gridSpan w:val="2"/>
            <w:shd w:val="clear" w:color="auto" w:fill="FFFFFF"/>
            <w:tcMar>
              <w:top w:w="12" w:type="dxa"/>
              <w:left w:w="12" w:type="dxa"/>
              <w:right w:w="12" w:type="dxa"/>
            </w:tcMar>
            <w:vAlign w:val="center"/>
          </w:tcPr>
          <w:p w14:paraId="265B95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w:t>
            </w:r>
          </w:p>
        </w:tc>
      </w:tr>
      <w:tr w14:paraId="5C7C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6658F5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6785754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516845D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僵尸检测</w:t>
            </w:r>
          </w:p>
        </w:tc>
        <w:tc>
          <w:tcPr>
            <w:tcW w:w="3112" w:type="dxa"/>
            <w:gridSpan w:val="3"/>
            <w:shd w:val="clear" w:color="auto" w:fill="auto"/>
            <w:tcMar>
              <w:top w:w="12" w:type="dxa"/>
              <w:left w:w="12" w:type="dxa"/>
              <w:right w:w="12" w:type="dxa"/>
            </w:tcMar>
            <w:vAlign w:val="center"/>
          </w:tcPr>
          <w:p w14:paraId="6275F6E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▲11.支持对僵尸网络、木马控制、蠕虫、挖矿、勒索等僵尸规则的管理和侦听，并对攻击信息详细审计（攻击类型、操作系统、风险等级），可对风险主机进行取证、告警及阻断处置。</w:t>
            </w:r>
          </w:p>
        </w:tc>
        <w:tc>
          <w:tcPr>
            <w:tcW w:w="2695" w:type="dxa"/>
            <w:gridSpan w:val="2"/>
            <w:shd w:val="clear" w:color="auto" w:fill="FFFFFF"/>
            <w:tcMar>
              <w:top w:w="12" w:type="dxa"/>
              <w:left w:w="12" w:type="dxa"/>
              <w:right w:w="12" w:type="dxa"/>
            </w:tcMar>
            <w:vAlign w:val="center"/>
          </w:tcPr>
          <w:p w14:paraId="65E565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w:t>
            </w:r>
          </w:p>
        </w:tc>
      </w:tr>
      <w:tr w14:paraId="064A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4" w:hRule="atLeast"/>
        </w:trPr>
        <w:tc>
          <w:tcPr>
            <w:tcW w:w="594" w:type="dxa"/>
            <w:gridSpan w:val="2"/>
            <w:vMerge w:val="continue"/>
            <w:shd w:val="clear" w:color="auto" w:fill="FFFFFF"/>
            <w:tcMar>
              <w:top w:w="12" w:type="dxa"/>
              <w:left w:w="12" w:type="dxa"/>
              <w:right w:w="12" w:type="dxa"/>
            </w:tcMar>
            <w:vAlign w:val="center"/>
          </w:tcPr>
          <w:p w14:paraId="35C31D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2C39582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34E3B0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异常流量检测</w:t>
            </w:r>
          </w:p>
        </w:tc>
        <w:tc>
          <w:tcPr>
            <w:tcW w:w="3112" w:type="dxa"/>
            <w:gridSpan w:val="3"/>
            <w:shd w:val="clear" w:color="auto" w:fill="auto"/>
            <w:tcMar>
              <w:top w:w="12" w:type="dxa"/>
              <w:left w:w="12" w:type="dxa"/>
              <w:right w:w="12" w:type="dxa"/>
            </w:tcMar>
            <w:vAlign w:val="center"/>
          </w:tcPr>
          <w:p w14:paraId="3464C6A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12.支持异常流量检测，支持flood攻击检测、接口流量监测。支持配置异常连接检测周期、接口流量上限及总流量上线。</w:t>
            </w:r>
          </w:p>
        </w:tc>
        <w:tc>
          <w:tcPr>
            <w:tcW w:w="2695" w:type="dxa"/>
            <w:gridSpan w:val="2"/>
            <w:shd w:val="clear" w:color="auto" w:fill="FFFFFF"/>
            <w:tcMar>
              <w:top w:w="12" w:type="dxa"/>
              <w:left w:w="12" w:type="dxa"/>
              <w:right w:w="12" w:type="dxa"/>
            </w:tcMar>
            <w:vAlign w:val="center"/>
          </w:tcPr>
          <w:p w14:paraId="2545DF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6B9E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6C0C9E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4A5452B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270FDCB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资产识别</w:t>
            </w:r>
          </w:p>
        </w:tc>
        <w:tc>
          <w:tcPr>
            <w:tcW w:w="3112" w:type="dxa"/>
            <w:gridSpan w:val="3"/>
            <w:shd w:val="clear" w:color="auto" w:fill="auto"/>
            <w:tcMar>
              <w:top w:w="12" w:type="dxa"/>
              <w:left w:w="12" w:type="dxa"/>
              <w:right w:w="12" w:type="dxa"/>
            </w:tcMar>
            <w:vAlign w:val="center"/>
          </w:tcPr>
          <w:p w14:paraId="19F4678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13.支持资产发现，支持指定网络中的在线资产识别, 支持主动监测，对网络中设备资产进行发现和梳理，能够对资产IP、资产状态、系统版本、开放端口进行安全监测。</w:t>
            </w:r>
          </w:p>
        </w:tc>
        <w:tc>
          <w:tcPr>
            <w:tcW w:w="2695" w:type="dxa"/>
            <w:gridSpan w:val="2"/>
            <w:shd w:val="clear" w:color="auto" w:fill="FFFFFF"/>
            <w:tcMar>
              <w:top w:w="12" w:type="dxa"/>
              <w:left w:w="12" w:type="dxa"/>
              <w:right w:w="12" w:type="dxa"/>
            </w:tcMar>
            <w:vAlign w:val="center"/>
          </w:tcPr>
          <w:p w14:paraId="3DEA6C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4BC3B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32433D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4CBC2CC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1F690B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统计报表</w:t>
            </w:r>
          </w:p>
        </w:tc>
        <w:tc>
          <w:tcPr>
            <w:tcW w:w="3112" w:type="dxa"/>
            <w:gridSpan w:val="3"/>
            <w:shd w:val="clear" w:color="auto" w:fill="auto"/>
            <w:tcMar>
              <w:top w:w="12" w:type="dxa"/>
              <w:left w:w="12" w:type="dxa"/>
              <w:right w:w="12" w:type="dxa"/>
            </w:tcMar>
            <w:vAlign w:val="center"/>
          </w:tcPr>
          <w:p w14:paraId="123D7AC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14.支持按协议或告警类型统计报表，以文字和图表的形式展示报表内容。支持WORD、PDF、OFD、EXCEL、HTML 等格式导出报表。</w:t>
            </w:r>
          </w:p>
        </w:tc>
        <w:tc>
          <w:tcPr>
            <w:tcW w:w="2695" w:type="dxa"/>
            <w:gridSpan w:val="2"/>
            <w:shd w:val="clear" w:color="auto" w:fill="FFFFFF"/>
            <w:tcMar>
              <w:top w:w="12" w:type="dxa"/>
              <w:left w:w="12" w:type="dxa"/>
              <w:right w:w="12" w:type="dxa"/>
            </w:tcMar>
            <w:vAlign w:val="center"/>
          </w:tcPr>
          <w:p w14:paraId="2805AD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43270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5F1565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025126C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7F4B3C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系统告警</w:t>
            </w:r>
          </w:p>
        </w:tc>
        <w:tc>
          <w:tcPr>
            <w:tcW w:w="3112" w:type="dxa"/>
            <w:gridSpan w:val="3"/>
            <w:shd w:val="clear" w:color="auto" w:fill="auto"/>
            <w:tcMar>
              <w:top w:w="12" w:type="dxa"/>
              <w:left w:w="12" w:type="dxa"/>
              <w:right w:w="12" w:type="dxa"/>
            </w:tcMar>
            <w:vAlign w:val="center"/>
          </w:tcPr>
          <w:p w14:paraId="183C25A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15.支持系统状态阈值设置，包括不限于 CPU 阈值设置、硬盘空间阈值设置、内存空间阀值设置等，当使用率达到预定的阈值时，系统会发出报警。</w:t>
            </w:r>
          </w:p>
        </w:tc>
        <w:tc>
          <w:tcPr>
            <w:tcW w:w="2695" w:type="dxa"/>
            <w:gridSpan w:val="2"/>
            <w:shd w:val="clear" w:color="auto" w:fill="FFFFFF"/>
            <w:tcMar>
              <w:top w:w="12" w:type="dxa"/>
              <w:left w:w="12" w:type="dxa"/>
              <w:right w:w="12" w:type="dxa"/>
            </w:tcMar>
            <w:vAlign w:val="center"/>
          </w:tcPr>
          <w:p w14:paraId="35D9B5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55E65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28" w:hRule="atLeast"/>
        </w:trPr>
        <w:tc>
          <w:tcPr>
            <w:tcW w:w="594" w:type="dxa"/>
            <w:gridSpan w:val="2"/>
            <w:vMerge w:val="continue"/>
            <w:shd w:val="clear" w:color="auto" w:fill="FFFFFF"/>
            <w:tcMar>
              <w:top w:w="12" w:type="dxa"/>
              <w:left w:w="12" w:type="dxa"/>
              <w:right w:w="12" w:type="dxa"/>
            </w:tcMar>
            <w:vAlign w:val="center"/>
          </w:tcPr>
          <w:p w14:paraId="0F61C3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7AB95CE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384A3B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系统管理</w:t>
            </w:r>
          </w:p>
        </w:tc>
        <w:tc>
          <w:tcPr>
            <w:tcW w:w="3112" w:type="dxa"/>
            <w:gridSpan w:val="3"/>
            <w:shd w:val="clear" w:color="auto" w:fill="FFFFFF"/>
            <w:tcMar>
              <w:top w:w="12" w:type="dxa"/>
              <w:left w:w="12" w:type="dxa"/>
              <w:right w:w="12" w:type="dxa"/>
            </w:tcMar>
            <w:vAlign w:val="center"/>
          </w:tcPr>
          <w:p w14:paraId="1F4B1EC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16.支持本地认证、Radius、LDAP等用户认证方式。支持双因子认证。</w:t>
            </w:r>
          </w:p>
        </w:tc>
        <w:tc>
          <w:tcPr>
            <w:tcW w:w="2695" w:type="dxa"/>
            <w:gridSpan w:val="2"/>
            <w:shd w:val="clear" w:color="auto" w:fill="FFFFFF"/>
            <w:tcMar>
              <w:top w:w="12" w:type="dxa"/>
              <w:left w:w="12" w:type="dxa"/>
              <w:right w:w="12" w:type="dxa"/>
            </w:tcMar>
            <w:vAlign w:val="center"/>
          </w:tcPr>
          <w:p w14:paraId="7AF129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251C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4BF53A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78EB295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2404BE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探针部署</w:t>
            </w:r>
          </w:p>
        </w:tc>
        <w:tc>
          <w:tcPr>
            <w:tcW w:w="3112" w:type="dxa"/>
            <w:gridSpan w:val="3"/>
            <w:shd w:val="clear" w:color="auto" w:fill="auto"/>
            <w:tcMar>
              <w:top w:w="12" w:type="dxa"/>
              <w:left w:w="12" w:type="dxa"/>
              <w:right w:w="12" w:type="dxa"/>
            </w:tcMar>
            <w:vAlign w:val="center"/>
          </w:tcPr>
          <w:p w14:paraId="507AA32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17.对无法通过旁路方式进行镜像监听场景，支持多种类型操作系统的探针部署，适配的操作系统≥包括以下几种：  AIX5/6/7、WinSer2003 /2008 /2012 /2016 /2019、Centos、opensuse、redhat、Ubuntu、麒麟、统信、凝思、普华等。</w:t>
            </w:r>
          </w:p>
        </w:tc>
        <w:tc>
          <w:tcPr>
            <w:tcW w:w="2695" w:type="dxa"/>
            <w:gridSpan w:val="2"/>
            <w:shd w:val="clear" w:color="auto" w:fill="FFFFFF"/>
            <w:tcMar>
              <w:top w:w="12" w:type="dxa"/>
              <w:left w:w="12" w:type="dxa"/>
              <w:right w:w="12" w:type="dxa"/>
            </w:tcMar>
            <w:vAlign w:val="center"/>
          </w:tcPr>
          <w:p w14:paraId="20B5F0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7A892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4ED70A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22BD083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5AECDA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产品资质</w:t>
            </w:r>
          </w:p>
        </w:tc>
        <w:tc>
          <w:tcPr>
            <w:tcW w:w="3112" w:type="dxa"/>
            <w:gridSpan w:val="3"/>
            <w:shd w:val="clear" w:color="auto" w:fill="auto"/>
            <w:tcMar>
              <w:top w:w="12" w:type="dxa"/>
              <w:left w:w="12" w:type="dxa"/>
              <w:right w:w="12" w:type="dxa"/>
            </w:tcMar>
            <w:vAlign w:val="center"/>
          </w:tcPr>
          <w:p w14:paraId="3C128A1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18.产品具有IPV6金牌证书。</w:t>
            </w:r>
          </w:p>
        </w:tc>
        <w:tc>
          <w:tcPr>
            <w:tcW w:w="2695" w:type="dxa"/>
            <w:gridSpan w:val="2"/>
            <w:shd w:val="clear" w:color="auto" w:fill="FFFFFF"/>
            <w:tcMar>
              <w:top w:w="12" w:type="dxa"/>
              <w:left w:w="12" w:type="dxa"/>
              <w:right w:w="12" w:type="dxa"/>
            </w:tcMar>
            <w:vAlign w:val="center"/>
          </w:tcPr>
          <w:p w14:paraId="4DAF9A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3F31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4D572D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3455297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37535A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产品资质</w:t>
            </w:r>
          </w:p>
        </w:tc>
        <w:tc>
          <w:tcPr>
            <w:tcW w:w="3112" w:type="dxa"/>
            <w:gridSpan w:val="3"/>
            <w:shd w:val="clear" w:color="auto" w:fill="auto"/>
            <w:tcMar>
              <w:top w:w="12" w:type="dxa"/>
              <w:left w:w="12" w:type="dxa"/>
              <w:right w:w="12" w:type="dxa"/>
            </w:tcMar>
            <w:vAlign w:val="center"/>
          </w:tcPr>
          <w:p w14:paraId="21F3EE3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19.产品具备中国信息安全测评中心颁发的信息技术产品安全测评证书EAL3+级以上。</w:t>
            </w:r>
          </w:p>
        </w:tc>
        <w:tc>
          <w:tcPr>
            <w:tcW w:w="2695" w:type="dxa"/>
            <w:gridSpan w:val="2"/>
            <w:shd w:val="clear" w:color="auto" w:fill="FFFFFF"/>
            <w:tcMar>
              <w:top w:w="12" w:type="dxa"/>
              <w:left w:w="12" w:type="dxa"/>
              <w:right w:w="12" w:type="dxa"/>
            </w:tcMar>
            <w:vAlign w:val="center"/>
          </w:tcPr>
          <w:p w14:paraId="6BC1D2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p>
        </w:tc>
      </w:tr>
      <w:tr w14:paraId="649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594" w:type="dxa"/>
            <w:gridSpan w:val="2"/>
            <w:vMerge w:val="continue"/>
            <w:shd w:val="clear" w:color="auto" w:fill="FFFFFF"/>
            <w:tcMar>
              <w:top w:w="12" w:type="dxa"/>
              <w:left w:w="12" w:type="dxa"/>
              <w:right w:w="12" w:type="dxa"/>
            </w:tcMar>
            <w:vAlign w:val="center"/>
          </w:tcPr>
          <w:p w14:paraId="6DB0A0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gridSpan w:val="2"/>
            <w:vMerge w:val="continue"/>
            <w:shd w:val="clear" w:color="auto" w:fill="FFFFFF"/>
            <w:tcMar>
              <w:top w:w="12" w:type="dxa"/>
              <w:left w:w="12" w:type="dxa"/>
              <w:right w:w="12" w:type="dxa"/>
            </w:tcMar>
            <w:vAlign w:val="center"/>
          </w:tcPr>
          <w:p w14:paraId="4CDAAF9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shd w:val="clear" w:color="auto" w:fill="auto"/>
            <w:tcMar>
              <w:top w:w="12" w:type="dxa"/>
              <w:left w:w="12" w:type="dxa"/>
              <w:right w:w="12" w:type="dxa"/>
            </w:tcMar>
            <w:vAlign w:val="center"/>
          </w:tcPr>
          <w:p w14:paraId="5FD4FC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产品资质</w:t>
            </w:r>
          </w:p>
        </w:tc>
        <w:tc>
          <w:tcPr>
            <w:tcW w:w="3112" w:type="dxa"/>
            <w:gridSpan w:val="3"/>
            <w:shd w:val="clear" w:color="auto" w:fill="auto"/>
            <w:tcMar>
              <w:top w:w="12" w:type="dxa"/>
              <w:left w:w="12" w:type="dxa"/>
              <w:right w:w="12" w:type="dxa"/>
            </w:tcMar>
            <w:vAlign w:val="center"/>
          </w:tcPr>
          <w:p w14:paraId="590E60B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color w:val="auto"/>
                <w:spacing w:val="0"/>
                <w:w w:val="100"/>
                <w:position w:val="0"/>
                <w:sz w:val="21"/>
                <w:szCs w:val="21"/>
                <w:highlight w:val="none"/>
              </w:rPr>
              <w:t>★</w:t>
            </w:r>
            <w:r>
              <w:rPr>
                <w:rFonts w:hint="eastAsia" w:asciiTheme="minorEastAsia" w:hAnsiTheme="minorEastAsia" w:eastAsiaTheme="minorEastAsia" w:cstheme="minorEastAsia"/>
                <w:b w:val="0"/>
                <w:bCs w:val="0"/>
                <w:color w:val="auto"/>
                <w:spacing w:val="0"/>
                <w:w w:val="100"/>
                <w:position w:val="0"/>
                <w:sz w:val="21"/>
                <w:szCs w:val="21"/>
                <w:highlight w:val="none"/>
                <w:lang w:val="en-US" w:eastAsia="zh-CN"/>
              </w:rPr>
              <w:t>20.</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产品需具备网络关键设备和网络安全专用产品安全认证证书</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或</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网络安全专用产品安全检测证书。</w:t>
            </w:r>
          </w:p>
        </w:tc>
        <w:tc>
          <w:tcPr>
            <w:tcW w:w="2695" w:type="dxa"/>
            <w:gridSpan w:val="2"/>
            <w:shd w:val="clear" w:color="auto" w:fill="FFFFFF"/>
            <w:tcMar>
              <w:top w:w="12" w:type="dxa"/>
              <w:left w:w="12" w:type="dxa"/>
              <w:right w:w="12" w:type="dxa"/>
            </w:tcMar>
            <w:vAlign w:val="center"/>
          </w:tcPr>
          <w:p w14:paraId="3CC9B3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i w:val="0"/>
                <w:snapToGrid/>
                <w:color w:val="auto"/>
                <w:kern w:val="2"/>
                <w:sz w:val="24"/>
                <w:szCs w:val="24"/>
                <w:highlight w:val="none"/>
                <w:u w:val="none"/>
                <w:lang w:eastAsia="zh-CN"/>
              </w:rPr>
              <w:t>列入《网络关键设备和网络安全专用产品目录》的网络安全专用产品，应当按照《信息安全技术网络安全专用产品安全技术要求》等相关国家标准的强制性要求，由具备资格的机构安全认证合格或者安全检测符合要求。</w:t>
            </w:r>
          </w:p>
        </w:tc>
      </w:tr>
      <w:tr w14:paraId="4EDD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20" w:hRule="atLeast"/>
        </w:trPr>
        <w:tc>
          <w:tcPr>
            <w:tcW w:w="594" w:type="dxa"/>
            <w:gridSpan w:val="2"/>
            <w:vMerge w:val="restart"/>
            <w:shd w:val="clear" w:color="auto" w:fill="FFFFFF"/>
            <w:tcMar>
              <w:top w:w="12" w:type="dxa"/>
              <w:left w:w="12" w:type="dxa"/>
              <w:right w:w="12" w:type="dxa"/>
            </w:tcMar>
            <w:vAlign w:val="center"/>
          </w:tcPr>
          <w:p w14:paraId="64B485E3">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5</w:t>
            </w:r>
          </w:p>
        </w:tc>
        <w:tc>
          <w:tcPr>
            <w:tcW w:w="1126" w:type="dxa"/>
            <w:gridSpan w:val="2"/>
            <w:vMerge w:val="restart"/>
            <w:shd w:val="clear" w:color="auto" w:fill="FFFFFF"/>
            <w:tcMar>
              <w:top w:w="12" w:type="dxa"/>
              <w:left w:w="12" w:type="dxa"/>
              <w:right w:w="12" w:type="dxa"/>
            </w:tcMar>
            <w:vAlign w:val="center"/>
          </w:tcPr>
          <w:p w14:paraId="3CA450AE">
            <w:pPr>
              <w:kinsoku/>
              <w:autoSpaceDE/>
              <w:autoSpaceDN/>
              <w:adjustRightInd/>
              <w:snapToGrid/>
              <w:textAlignment w:val="center"/>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网络安全漏洞扫描系统</w:t>
            </w:r>
          </w:p>
        </w:tc>
        <w:tc>
          <w:tcPr>
            <w:tcW w:w="1496" w:type="dxa"/>
            <w:gridSpan w:val="2"/>
            <w:vMerge w:val="restart"/>
            <w:shd w:val="clear" w:color="auto" w:fill="FFFFFF"/>
            <w:tcMar>
              <w:top w:w="12" w:type="dxa"/>
              <w:left w:w="12" w:type="dxa"/>
              <w:right w:w="12" w:type="dxa"/>
            </w:tcMar>
            <w:vAlign w:val="center"/>
          </w:tcPr>
          <w:p w14:paraId="62F5091E">
            <w:pPr>
              <w:kinsoku/>
              <w:autoSpaceDE/>
              <w:autoSpaceDN/>
              <w:adjustRightInd/>
              <w:snapToGrid/>
              <w:jc w:val="center"/>
              <w:textAlignment w:val="center"/>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功能要求</w:t>
            </w:r>
          </w:p>
        </w:tc>
        <w:tc>
          <w:tcPr>
            <w:tcW w:w="3112" w:type="dxa"/>
            <w:gridSpan w:val="3"/>
            <w:shd w:val="clear" w:color="auto" w:fill="FFFFFF"/>
            <w:tcMar>
              <w:top w:w="12" w:type="dxa"/>
              <w:left w:w="12" w:type="dxa"/>
              <w:right w:w="12" w:type="dxa"/>
            </w:tcMar>
            <w:vAlign w:val="center"/>
          </w:tcPr>
          <w:p w14:paraId="04B3B5A0">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1.支持扫描的漏洞数≥400000个，支持IPv4和IPv6环境的部署和扫描。</w:t>
            </w:r>
          </w:p>
        </w:tc>
        <w:tc>
          <w:tcPr>
            <w:tcW w:w="2695" w:type="dxa"/>
            <w:gridSpan w:val="2"/>
            <w:shd w:val="clear" w:color="auto" w:fill="FFFFFF"/>
            <w:tcMar>
              <w:top w:w="12" w:type="dxa"/>
              <w:left w:w="12" w:type="dxa"/>
              <w:right w:w="12" w:type="dxa"/>
            </w:tcMar>
            <w:vAlign w:val="center"/>
          </w:tcPr>
          <w:p w14:paraId="40C3C9B5">
            <w:pPr>
              <w:widowControl w:val="0"/>
              <w:kinsoku/>
              <w:autoSpaceDE/>
              <w:autoSpaceDN/>
              <w:adjustRightInd/>
              <w:snapToGrid/>
              <w:jc w:val="both"/>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7F3C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594" w:type="dxa"/>
            <w:gridSpan w:val="2"/>
            <w:vMerge w:val="continue"/>
            <w:shd w:val="clear" w:color="auto" w:fill="FFFFFF"/>
            <w:tcMar>
              <w:top w:w="12" w:type="dxa"/>
              <w:left w:w="12" w:type="dxa"/>
              <w:right w:w="12" w:type="dxa"/>
            </w:tcMar>
            <w:vAlign w:val="center"/>
          </w:tcPr>
          <w:p w14:paraId="4D36C907">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077E70FA">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6037D4CE">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267AA156">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2.支持对主流操作系统、网络设备、数据库、虚拟化软件的识别与扫描，</w:t>
            </w:r>
            <w:r>
              <w:rPr>
                <w:rFonts w:hint="eastAsia" w:asciiTheme="minorEastAsia" w:hAnsiTheme="minorEastAsia" w:eastAsiaTheme="minorEastAsia" w:cstheme="minorEastAsia"/>
                <w:b w:val="0"/>
                <w:bCs w:val="0"/>
                <w:snapToGrid/>
                <w:color w:val="auto"/>
                <w:kern w:val="2"/>
                <w:sz w:val="24"/>
                <w:szCs w:val="24"/>
                <w:highlight w:val="none"/>
                <w:lang w:eastAsia="zh-CN"/>
              </w:rPr>
              <w:t>包括国产化炒作系统、国产化数据库、国产化应用。</w:t>
            </w:r>
          </w:p>
        </w:tc>
        <w:tc>
          <w:tcPr>
            <w:tcW w:w="2695" w:type="dxa"/>
            <w:gridSpan w:val="2"/>
            <w:shd w:val="clear" w:color="auto" w:fill="FFFFFF"/>
            <w:tcMar>
              <w:top w:w="12" w:type="dxa"/>
              <w:left w:w="12" w:type="dxa"/>
              <w:right w:w="12" w:type="dxa"/>
            </w:tcMar>
            <w:vAlign w:val="center"/>
          </w:tcPr>
          <w:p w14:paraId="28725E56">
            <w:pPr>
              <w:widowControl w:val="0"/>
              <w:kinsoku/>
              <w:autoSpaceDE/>
              <w:autoSpaceDN/>
              <w:adjustRightInd/>
              <w:snapToGrid/>
              <w:jc w:val="both"/>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0998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594" w:type="dxa"/>
            <w:gridSpan w:val="2"/>
            <w:vMerge w:val="continue"/>
            <w:shd w:val="clear" w:color="auto" w:fill="FFFFFF"/>
            <w:tcMar>
              <w:top w:w="12" w:type="dxa"/>
              <w:left w:w="12" w:type="dxa"/>
              <w:right w:w="12" w:type="dxa"/>
            </w:tcMar>
            <w:vAlign w:val="center"/>
          </w:tcPr>
          <w:p w14:paraId="7D9A21B3">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307EEB75">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473BA096">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336C7A60">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w:t>
            </w:r>
            <w:r>
              <w:rPr>
                <w:rFonts w:hint="eastAsia" w:asciiTheme="minorEastAsia" w:hAnsiTheme="minorEastAsia" w:eastAsiaTheme="minorEastAsia" w:cstheme="minorEastAsia"/>
                <w:b w:val="0"/>
                <w:bCs w:val="0"/>
                <w:snapToGrid/>
                <w:color w:val="auto"/>
                <w:sz w:val="24"/>
                <w:szCs w:val="24"/>
                <w:highlight w:val="none"/>
                <w:lang w:eastAsia="zh-CN" w:bidi="ar"/>
              </w:rPr>
              <w:t>3.支持对视频监控类设备的识别与扫描，包括大华、海康、宇视、雄迈、科达、TBK、NUUO、Samsung、Vivotek、Wanscam、Axis、Geutebrück、Keeper、Blink、CACAGOO等。</w:t>
            </w:r>
          </w:p>
        </w:tc>
        <w:tc>
          <w:tcPr>
            <w:tcW w:w="2695" w:type="dxa"/>
            <w:gridSpan w:val="2"/>
            <w:shd w:val="clear" w:color="auto" w:fill="FFFFFF"/>
            <w:tcMar>
              <w:top w:w="12" w:type="dxa"/>
              <w:left w:w="12" w:type="dxa"/>
              <w:right w:w="12" w:type="dxa"/>
            </w:tcMar>
            <w:vAlign w:val="center"/>
          </w:tcPr>
          <w:p w14:paraId="357E74A3">
            <w:pPr>
              <w:widowControl w:val="0"/>
              <w:kinsoku/>
              <w:autoSpaceDE/>
              <w:autoSpaceDN/>
              <w:adjustRightInd/>
              <w:snapToGrid/>
              <w:jc w:val="both"/>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提供包含相关指标项的证明材料，证明材料可以使用生产厂家官方网站截图或产品白皮书或第三方机构检验报告或其他相关证明材料，并加盖制造商公章。</w:t>
            </w:r>
          </w:p>
        </w:tc>
      </w:tr>
      <w:tr w14:paraId="5E71C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80" w:hRule="atLeast"/>
        </w:trPr>
        <w:tc>
          <w:tcPr>
            <w:tcW w:w="594" w:type="dxa"/>
            <w:gridSpan w:val="2"/>
            <w:vMerge w:val="continue"/>
            <w:shd w:val="clear" w:color="auto" w:fill="FFFFFF"/>
            <w:tcMar>
              <w:top w:w="12" w:type="dxa"/>
              <w:left w:w="12" w:type="dxa"/>
              <w:right w:w="12" w:type="dxa"/>
            </w:tcMar>
            <w:vAlign w:val="center"/>
          </w:tcPr>
          <w:p w14:paraId="2C1AEE6C">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7543BC5C">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02F4C559">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211F01CF">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4.支持对Web应用系统的扫描，支持检测SQL注入漏洞、命令注入漏洞、CRLF注入漏洞、LDAP注入漏洞、XSS跨站脚本漏洞、路径遍历漏洞、信息泄漏漏洞、URL跳转漏洞、文件包含漏洞、应用程序漏洞、文件上传漏洞等。</w:t>
            </w:r>
          </w:p>
        </w:tc>
        <w:tc>
          <w:tcPr>
            <w:tcW w:w="2695" w:type="dxa"/>
            <w:gridSpan w:val="2"/>
            <w:shd w:val="clear" w:color="auto" w:fill="FFFFFF"/>
            <w:tcMar>
              <w:top w:w="12" w:type="dxa"/>
              <w:left w:w="12" w:type="dxa"/>
              <w:right w:w="12" w:type="dxa"/>
            </w:tcMar>
            <w:vAlign w:val="center"/>
          </w:tcPr>
          <w:p w14:paraId="1829C900">
            <w:pPr>
              <w:widowControl w:val="0"/>
              <w:kinsoku/>
              <w:autoSpaceDE/>
              <w:autoSpaceDN/>
              <w:adjustRightInd/>
              <w:snapToGrid/>
              <w:jc w:val="both"/>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15DF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594" w:type="dxa"/>
            <w:gridSpan w:val="2"/>
            <w:vMerge w:val="continue"/>
            <w:shd w:val="clear" w:color="auto" w:fill="FFFFFF"/>
            <w:tcMar>
              <w:top w:w="12" w:type="dxa"/>
              <w:left w:w="12" w:type="dxa"/>
              <w:right w:w="12" w:type="dxa"/>
            </w:tcMar>
            <w:vAlign w:val="center"/>
          </w:tcPr>
          <w:p w14:paraId="4755675B">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7DA7C70F">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45A09E51">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6D1A95AE">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5.支持针对网站漏洞进行问题点、问题参数描述，具备完整的测试用例来验证漏洞存在的真实性。</w:t>
            </w:r>
          </w:p>
        </w:tc>
        <w:tc>
          <w:tcPr>
            <w:tcW w:w="2695" w:type="dxa"/>
            <w:gridSpan w:val="2"/>
            <w:shd w:val="clear" w:color="auto" w:fill="FFFFFF"/>
            <w:tcMar>
              <w:top w:w="12" w:type="dxa"/>
              <w:left w:w="12" w:type="dxa"/>
              <w:right w:w="12" w:type="dxa"/>
            </w:tcMar>
            <w:vAlign w:val="center"/>
          </w:tcPr>
          <w:p w14:paraId="608A7BFE">
            <w:pPr>
              <w:widowControl w:val="0"/>
              <w:kinsoku/>
              <w:autoSpaceDE/>
              <w:autoSpaceDN/>
              <w:adjustRightInd/>
              <w:snapToGrid/>
              <w:jc w:val="both"/>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5091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594" w:type="dxa"/>
            <w:gridSpan w:val="2"/>
            <w:vMerge w:val="continue"/>
            <w:shd w:val="clear" w:color="auto" w:fill="FFFFFF"/>
            <w:tcMar>
              <w:top w:w="12" w:type="dxa"/>
              <w:left w:w="12" w:type="dxa"/>
              <w:right w:w="12" w:type="dxa"/>
            </w:tcMar>
            <w:vAlign w:val="center"/>
          </w:tcPr>
          <w:p w14:paraId="3814D7D2">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583C4AC7">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4DEFC5A4">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0F7B6870">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6.支持配置变更检查，可以根据实际情况设置任意检查结果作为变更基线，支持与自身或者其他设备的同类型变更项进行对比，检查设备间核心配置项的异同之处。</w:t>
            </w:r>
          </w:p>
        </w:tc>
        <w:tc>
          <w:tcPr>
            <w:tcW w:w="2695" w:type="dxa"/>
            <w:gridSpan w:val="2"/>
            <w:shd w:val="clear" w:color="auto" w:fill="FFFFFF"/>
            <w:tcMar>
              <w:top w:w="12" w:type="dxa"/>
              <w:left w:w="12" w:type="dxa"/>
              <w:right w:w="12" w:type="dxa"/>
            </w:tcMar>
            <w:vAlign w:val="center"/>
          </w:tcPr>
          <w:p w14:paraId="219B88B5">
            <w:pPr>
              <w:widowControl w:val="0"/>
              <w:kinsoku/>
              <w:autoSpaceDE/>
              <w:autoSpaceDN/>
              <w:adjustRightInd/>
              <w:snapToGrid/>
              <w:jc w:val="both"/>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772A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258F55CF">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4126F089">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1B787312">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57248829">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7.支持扫描任务参数设置，包括执行方式、执行时间段、任务模板、策略模板、扫描方法、任务优先级、插件超时时间、断网续扫、模糊扫描等。</w:t>
            </w:r>
          </w:p>
        </w:tc>
        <w:tc>
          <w:tcPr>
            <w:tcW w:w="2695" w:type="dxa"/>
            <w:gridSpan w:val="2"/>
            <w:shd w:val="clear" w:color="auto" w:fill="FFFFFF"/>
            <w:tcMar>
              <w:top w:w="12" w:type="dxa"/>
              <w:left w:w="12" w:type="dxa"/>
              <w:right w:w="12" w:type="dxa"/>
            </w:tcMar>
            <w:vAlign w:val="center"/>
          </w:tcPr>
          <w:p w14:paraId="6EEB79EE">
            <w:pPr>
              <w:widowControl w:val="0"/>
              <w:kinsoku/>
              <w:autoSpaceDE/>
              <w:autoSpaceDN/>
              <w:adjustRightInd/>
              <w:snapToGrid/>
              <w:jc w:val="both"/>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1857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594" w:type="dxa"/>
            <w:gridSpan w:val="2"/>
            <w:vMerge w:val="continue"/>
            <w:shd w:val="clear" w:color="auto" w:fill="FFFFFF"/>
            <w:tcMar>
              <w:top w:w="12" w:type="dxa"/>
              <w:left w:w="12" w:type="dxa"/>
              <w:right w:w="12" w:type="dxa"/>
            </w:tcMar>
            <w:vAlign w:val="center"/>
          </w:tcPr>
          <w:p w14:paraId="5B6D83B5">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2402E86B">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0C419005">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1EADD8C7">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8.支持资产拓扑功能，可自动生成资产拓扑图；支持按照部门、资产类型、IP分组等多种方式对所有资产进行展示。</w:t>
            </w:r>
          </w:p>
        </w:tc>
        <w:tc>
          <w:tcPr>
            <w:tcW w:w="2695" w:type="dxa"/>
            <w:gridSpan w:val="2"/>
            <w:shd w:val="clear" w:color="auto" w:fill="FFFFFF"/>
            <w:tcMar>
              <w:top w:w="12" w:type="dxa"/>
              <w:left w:w="12" w:type="dxa"/>
              <w:right w:w="12" w:type="dxa"/>
            </w:tcMar>
            <w:vAlign w:val="center"/>
          </w:tcPr>
          <w:p w14:paraId="40DF974F">
            <w:pPr>
              <w:widowControl w:val="0"/>
              <w:kinsoku/>
              <w:autoSpaceDE/>
              <w:autoSpaceDN/>
              <w:adjustRightInd/>
              <w:snapToGrid/>
              <w:jc w:val="both"/>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29CC5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594" w:type="dxa"/>
            <w:gridSpan w:val="2"/>
            <w:vMerge w:val="continue"/>
            <w:shd w:val="clear" w:color="auto" w:fill="FFFFFF"/>
            <w:tcMar>
              <w:top w:w="12" w:type="dxa"/>
              <w:left w:w="12" w:type="dxa"/>
              <w:right w:w="12" w:type="dxa"/>
            </w:tcMar>
            <w:vAlign w:val="center"/>
          </w:tcPr>
          <w:p w14:paraId="40467C97">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5C46765C">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7EF1ED2F">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7ADD8212">
            <w:pPr>
              <w:kinsoku/>
              <w:autoSpaceDE/>
              <w:autoSpaceDN/>
              <w:adjustRightInd/>
              <w:snapToGrid/>
              <w:textAlignment w:val="center"/>
              <w:rPr>
                <w:rFonts w:hint="eastAsia" w:asciiTheme="minorEastAsia" w:hAnsiTheme="minorEastAsia" w:eastAsiaTheme="minorEastAsia" w:cstheme="minorEastAsia"/>
                <w:b w:val="0"/>
                <w:bCs w:val="0"/>
                <w:snapToGrid/>
                <w:color w:val="auto"/>
                <w:sz w:val="24"/>
                <w:szCs w:val="24"/>
                <w:highlight w:val="none"/>
                <w:lang w:eastAsia="zh-CN" w:bidi="ar"/>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w:t>
            </w:r>
            <w:r>
              <w:rPr>
                <w:rFonts w:hint="eastAsia" w:asciiTheme="minorEastAsia" w:hAnsiTheme="minorEastAsia" w:eastAsiaTheme="minorEastAsia" w:cstheme="minorEastAsia"/>
                <w:b w:val="0"/>
                <w:bCs w:val="0"/>
                <w:snapToGrid/>
                <w:color w:val="auto"/>
                <w:sz w:val="24"/>
                <w:szCs w:val="24"/>
                <w:highlight w:val="none"/>
                <w:lang w:val="en-US" w:eastAsia="zh-CN" w:bidi="ar"/>
              </w:rPr>
              <w:t>9</w:t>
            </w:r>
            <w:r>
              <w:rPr>
                <w:rFonts w:hint="eastAsia" w:asciiTheme="minorEastAsia" w:hAnsiTheme="minorEastAsia" w:eastAsiaTheme="minorEastAsia" w:cstheme="minorEastAsia"/>
                <w:b w:val="0"/>
                <w:bCs w:val="0"/>
                <w:snapToGrid/>
                <w:color w:val="auto"/>
                <w:sz w:val="24"/>
                <w:szCs w:val="24"/>
                <w:highlight w:val="none"/>
                <w:lang w:eastAsia="zh-CN" w:bidi="ar"/>
              </w:rPr>
              <w:t>.产品需具备《IT产品信息安全认证证书》级别EAL3增强级。</w:t>
            </w:r>
          </w:p>
        </w:tc>
        <w:tc>
          <w:tcPr>
            <w:tcW w:w="2695" w:type="dxa"/>
            <w:gridSpan w:val="2"/>
            <w:shd w:val="clear" w:color="auto" w:fill="FFFFFF"/>
            <w:tcMar>
              <w:top w:w="12" w:type="dxa"/>
              <w:left w:w="12" w:type="dxa"/>
              <w:right w:w="12" w:type="dxa"/>
            </w:tcMar>
            <w:vAlign w:val="center"/>
          </w:tcPr>
          <w:p w14:paraId="6C1958CC">
            <w:pPr>
              <w:widowControl w:val="0"/>
              <w:kinsoku/>
              <w:autoSpaceDE/>
              <w:autoSpaceDN/>
              <w:adjustRightInd/>
              <w:snapToGrid/>
              <w:jc w:val="both"/>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提供证书复印件，并加盖制造商公章</w:t>
            </w:r>
          </w:p>
        </w:tc>
      </w:tr>
      <w:tr w14:paraId="5067D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529C464D">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5740657A">
            <w:pPr>
              <w:widowControl w:val="0"/>
              <w:kinsoku/>
              <w:autoSpaceDE/>
              <w:autoSpaceDN/>
              <w:adjustRightInd/>
              <w:snapToGrid/>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66AED19C">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4A1F60B4">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color w:val="auto"/>
                <w:highlight w:val="none"/>
                <w:lang w:eastAsia="zh-CN"/>
              </w:rPr>
              <w:t>★</w:t>
            </w:r>
            <w:r>
              <w:rPr>
                <w:rFonts w:hint="eastAsia" w:asciiTheme="minorEastAsia" w:hAnsiTheme="minorEastAsia" w:eastAsiaTheme="minorEastAsia" w:cstheme="minorEastAsia"/>
                <w:b w:val="0"/>
                <w:bCs w:val="0"/>
                <w:snapToGrid/>
                <w:color w:val="auto"/>
                <w:sz w:val="24"/>
                <w:szCs w:val="24"/>
                <w:highlight w:val="none"/>
                <w:lang w:val="en-US" w:eastAsia="zh-CN" w:bidi="ar"/>
              </w:rPr>
              <w:t>10.</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产品需具备网络关键设备和网络安全专用产品安全认证证书</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或</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网络安全专用产品安全检测证书。</w:t>
            </w:r>
          </w:p>
        </w:tc>
        <w:tc>
          <w:tcPr>
            <w:tcW w:w="2695" w:type="dxa"/>
            <w:gridSpan w:val="2"/>
            <w:shd w:val="clear" w:color="auto" w:fill="FFFFFF"/>
            <w:tcMar>
              <w:top w:w="12" w:type="dxa"/>
              <w:left w:w="12" w:type="dxa"/>
              <w:right w:w="12" w:type="dxa"/>
            </w:tcMar>
            <w:vAlign w:val="center"/>
          </w:tcPr>
          <w:p w14:paraId="7632CF89">
            <w:pPr>
              <w:widowControl w:val="0"/>
              <w:kinsoku/>
              <w:autoSpaceDE/>
              <w:autoSpaceDN/>
              <w:adjustRightInd/>
              <w:snapToGrid/>
              <w:jc w:val="both"/>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kern w:val="2"/>
                <w:sz w:val="24"/>
                <w:szCs w:val="24"/>
                <w:highlight w:val="none"/>
                <w:lang w:eastAsia="zh-CN"/>
              </w:rPr>
              <w:t>列入《网络关键设备和网络安全专用产品目录》的网络安全专用产品，应当按照《信息安全技术网络安全专用产品安全技术要求》等相关国家标准的强制性要求，由具备资格的机构安全认证合格或者安全检测符合要求。</w:t>
            </w:r>
          </w:p>
        </w:tc>
      </w:tr>
      <w:tr w14:paraId="6B16E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9" w:hRule="atLeast"/>
        </w:trPr>
        <w:tc>
          <w:tcPr>
            <w:tcW w:w="594" w:type="dxa"/>
            <w:gridSpan w:val="2"/>
            <w:vMerge w:val="restart"/>
            <w:shd w:val="clear" w:color="auto" w:fill="FFFFFF"/>
            <w:tcMar>
              <w:top w:w="12" w:type="dxa"/>
              <w:left w:w="12" w:type="dxa"/>
              <w:right w:w="12" w:type="dxa"/>
            </w:tcMar>
            <w:vAlign w:val="center"/>
          </w:tcPr>
          <w:p w14:paraId="3F07896C">
            <w:pPr>
              <w:kinsoku/>
              <w:autoSpaceDE/>
              <w:autoSpaceDN/>
              <w:adjustRightInd/>
              <w:snapToGrid/>
              <w:jc w:val="center"/>
              <w:textAlignment w:val="center"/>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6</w:t>
            </w:r>
          </w:p>
        </w:tc>
        <w:tc>
          <w:tcPr>
            <w:tcW w:w="1126" w:type="dxa"/>
            <w:gridSpan w:val="2"/>
            <w:vMerge w:val="restart"/>
            <w:shd w:val="clear" w:color="auto" w:fill="FFFFFF"/>
            <w:tcMar>
              <w:top w:w="12" w:type="dxa"/>
              <w:left w:w="12" w:type="dxa"/>
              <w:right w:w="12" w:type="dxa"/>
            </w:tcMar>
            <w:vAlign w:val="center"/>
          </w:tcPr>
          <w:p w14:paraId="34BB94A5">
            <w:pPr>
              <w:kinsoku/>
              <w:autoSpaceDE/>
              <w:autoSpaceDN/>
              <w:adjustRightInd/>
              <w:snapToGrid/>
              <w:jc w:val="center"/>
              <w:textAlignment w:val="center"/>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态势感知平台流量探针</w:t>
            </w:r>
          </w:p>
        </w:tc>
        <w:tc>
          <w:tcPr>
            <w:tcW w:w="1496" w:type="dxa"/>
            <w:gridSpan w:val="2"/>
            <w:vMerge w:val="restart"/>
            <w:shd w:val="clear" w:color="auto" w:fill="FFFFFF"/>
            <w:tcMar>
              <w:top w:w="12" w:type="dxa"/>
              <w:left w:w="12" w:type="dxa"/>
              <w:right w:w="12" w:type="dxa"/>
            </w:tcMar>
            <w:vAlign w:val="center"/>
          </w:tcPr>
          <w:p w14:paraId="22B0A588">
            <w:pPr>
              <w:kinsoku/>
              <w:autoSpaceDE/>
              <w:autoSpaceDN/>
              <w:adjustRightInd/>
              <w:snapToGrid/>
              <w:jc w:val="center"/>
              <w:textAlignment w:val="center"/>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技术要求</w:t>
            </w:r>
          </w:p>
        </w:tc>
        <w:tc>
          <w:tcPr>
            <w:tcW w:w="3112" w:type="dxa"/>
            <w:gridSpan w:val="3"/>
            <w:shd w:val="clear" w:color="auto" w:fill="FFFFFF"/>
            <w:tcMar>
              <w:top w:w="12" w:type="dxa"/>
              <w:left w:w="12" w:type="dxa"/>
              <w:right w:w="12" w:type="dxa"/>
            </w:tcMar>
            <w:vAlign w:val="center"/>
          </w:tcPr>
          <w:p w14:paraId="5A3EBAF6">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1.支持大屏展示能力，可通过大屏展示网络整体态势与趋势，支持对亚太版世界地图与中国地图展示进行切换，大屏安全汇总信息可下钻至具体数据。</w:t>
            </w:r>
          </w:p>
        </w:tc>
        <w:tc>
          <w:tcPr>
            <w:tcW w:w="2695" w:type="dxa"/>
            <w:gridSpan w:val="2"/>
            <w:shd w:val="clear" w:color="auto" w:fill="FFFFFF"/>
            <w:tcMar>
              <w:top w:w="12" w:type="dxa"/>
              <w:left w:w="12" w:type="dxa"/>
              <w:right w:w="12" w:type="dxa"/>
            </w:tcMar>
            <w:vAlign w:val="center"/>
          </w:tcPr>
          <w:p w14:paraId="07BBC793">
            <w:pPr>
              <w:widowControl w:val="0"/>
              <w:kinsoku/>
              <w:autoSpaceDE/>
              <w:autoSpaceDN/>
              <w:adjustRightInd/>
              <w:snapToGrid/>
              <w:jc w:val="both"/>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3416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80" w:hRule="atLeast"/>
        </w:trPr>
        <w:tc>
          <w:tcPr>
            <w:tcW w:w="594" w:type="dxa"/>
            <w:gridSpan w:val="2"/>
            <w:vMerge w:val="continue"/>
            <w:shd w:val="clear" w:color="auto" w:fill="FFFFFF"/>
            <w:tcMar>
              <w:top w:w="12" w:type="dxa"/>
              <w:left w:w="12" w:type="dxa"/>
              <w:right w:w="12" w:type="dxa"/>
            </w:tcMar>
            <w:vAlign w:val="center"/>
          </w:tcPr>
          <w:p w14:paraId="15D31C60">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0705127B">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31D4E9C3">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6894708E">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2.支持支持深度协议解析包括http、https、dhcp、dns、ftp、mysql、imap、bgp、sip、pptp、l2tp等多种通用协议解析；支持gtpu、ngap、pfcp等5G协议及工控协议的解析；支持基于不完整会话流的单包攻击检测能力。</w:t>
            </w:r>
          </w:p>
        </w:tc>
        <w:tc>
          <w:tcPr>
            <w:tcW w:w="2695" w:type="dxa"/>
            <w:gridSpan w:val="2"/>
            <w:shd w:val="clear" w:color="auto" w:fill="FFFFFF"/>
            <w:tcMar>
              <w:top w:w="12" w:type="dxa"/>
              <w:left w:w="12" w:type="dxa"/>
              <w:right w:w="12" w:type="dxa"/>
            </w:tcMar>
            <w:vAlign w:val="center"/>
          </w:tcPr>
          <w:p w14:paraId="622AB2B8">
            <w:pPr>
              <w:widowControl w:val="0"/>
              <w:kinsoku/>
              <w:autoSpaceDE/>
              <w:autoSpaceDN/>
              <w:adjustRightInd/>
              <w:snapToGrid/>
              <w:jc w:val="both"/>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2FDC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594" w:type="dxa"/>
            <w:gridSpan w:val="2"/>
            <w:vMerge w:val="continue"/>
            <w:shd w:val="clear" w:color="auto" w:fill="FFFFFF"/>
            <w:tcMar>
              <w:top w:w="12" w:type="dxa"/>
              <w:left w:w="12" w:type="dxa"/>
              <w:right w:w="12" w:type="dxa"/>
            </w:tcMar>
            <w:vAlign w:val="center"/>
          </w:tcPr>
          <w:p w14:paraId="5B397668">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2721A160">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4FD891C6">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0AD6695B">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3.支持导入HTTPS、POP3S、IMAPS、SMTPS、RDPS证书,对加密流量进行解密及还原，支持SSL3.0、TLS1.0/1.1/1.2。</w:t>
            </w:r>
          </w:p>
        </w:tc>
        <w:tc>
          <w:tcPr>
            <w:tcW w:w="2695" w:type="dxa"/>
            <w:gridSpan w:val="2"/>
            <w:shd w:val="clear" w:color="auto" w:fill="FFFFFF"/>
            <w:tcMar>
              <w:top w:w="12" w:type="dxa"/>
              <w:left w:w="12" w:type="dxa"/>
              <w:right w:w="12" w:type="dxa"/>
            </w:tcMar>
            <w:vAlign w:val="center"/>
          </w:tcPr>
          <w:p w14:paraId="5FA82140">
            <w:pPr>
              <w:widowControl w:val="0"/>
              <w:kinsoku/>
              <w:autoSpaceDE/>
              <w:autoSpaceDN/>
              <w:adjustRightInd/>
              <w:snapToGrid/>
              <w:jc w:val="both"/>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572FA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594" w:type="dxa"/>
            <w:gridSpan w:val="2"/>
            <w:vMerge w:val="continue"/>
            <w:shd w:val="clear" w:color="auto" w:fill="FFFFFF"/>
            <w:tcMar>
              <w:top w:w="12" w:type="dxa"/>
              <w:left w:w="12" w:type="dxa"/>
              <w:right w:w="12" w:type="dxa"/>
            </w:tcMar>
            <w:vAlign w:val="center"/>
          </w:tcPr>
          <w:p w14:paraId="2FA92331">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35F26362">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14392337">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29CFCD92">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4.支持程序具备AI引擎自动对攻击进行威胁情报云查，页面自动呈现情报云查信息，查询结果≥包含：威胁等级、标签、威胁类型、IP地址、IP类型、活跃时间、发现时间、国家、地区、运营商、恶意端口等。</w:t>
            </w:r>
          </w:p>
        </w:tc>
        <w:tc>
          <w:tcPr>
            <w:tcW w:w="2695" w:type="dxa"/>
            <w:gridSpan w:val="2"/>
            <w:shd w:val="clear" w:color="auto" w:fill="FFFFFF"/>
            <w:tcMar>
              <w:top w:w="12" w:type="dxa"/>
              <w:left w:w="12" w:type="dxa"/>
              <w:right w:w="12" w:type="dxa"/>
            </w:tcMar>
            <w:vAlign w:val="center"/>
          </w:tcPr>
          <w:p w14:paraId="5DD1D89A">
            <w:pPr>
              <w:widowControl w:val="0"/>
              <w:kinsoku/>
              <w:autoSpaceDE/>
              <w:autoSpaceDN/>
              <w:adjustRightInd/>
              <w:snapToGrid/>
              <w:jc w:val="both"/>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59A4F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594" w:type="dxa"/>
            <w:gridSpan w:val="2"/>
            <w:vMerge w:val="continue"/>
            <w:shd w:val="clear" w:color="auto" w:fill="FFFFFF"/>
            <w:tcMar>
              <w:top w:w="12" w:type="dxa"/>
              <w:left w:w="12" w:type="dxa"/>
              <w:right w:w="12" w:type="dxa"/>
            </w:tcMar>
            <w:vAlign w:val="center"/>
          </w:tcPr>
          <w:p w14:paraId="6C6412D0">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2BB14751">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47C18CB6">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6AE989D8">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5.支持自定义规则，可结合用户业务进行深度检测，自定义内容包括源IP、源端口、目的IP、目的端口、协议、事件威胁等级、主机状态、事件类型、攻击阶段、攻击结果、攻击手段；支持关联规则分析，进行双向检测规则编写，兼容业界主流snort规则。</w:t>
            </w:r>
          </w:p>
        </w:tc>
        <w:tc>
          <w:tcPr>
            <w:tcW w:w="2695" w:type="dxa"/>
            <w:gridSpan w:val="2"/>
            <w:shd w:val="clear" w:color="auto" w:fill="FFFFFF"/>
            <w:tcMar>
              <w:top w:w="12" w:type="dxa"/>
              <w:left w:w="12" w:type="dxa"/>
              <w:right w:w="12" w:type="dxa"/>
            </w:tcMar>
            <w:vAlign w:val="center"/>
          </w:tcPr>
          <w:p w14:paraId="1EF72E99">
            <w:pPr>
              <w:widowControl w:val="0"/>
              <w:kinsoku/>
              <w:autoSpaceDE/>
              <w:autoSpaceDN/>
              <w:adjustRightInd/>
              <w:snapToGrid/>
              <w:jc w:val="both"/>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7639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594" w:type="dxa"/>
            <w:gridSpan w:val="2"/>
            <w:vMerge w:val="continue"/>
            <w:shd w:val="clear" w:color="auto" w:fill="FFFFFF"/>
            <w:tcMar>
              <w:top w:w="12" w:type="dxa"/>
              <w:left w:w="12" w:type="dxa"/>
              <w:right w:w="12" w:type="dxa"/>
            </w:tcMar>
            <w:vAlign w:val="center"/>
          </w:tcPr>
          <w:p w14:paraId="08E4B9BE">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410EDAF5">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10E9E1A6">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2EBD667C">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6.支持通过web页面导入pcap包离线回放检测能力，支持导入pcap数量不少于100个；支持导入单个文件、批量导入多个文件、导入文件夹；支持对导入的pcap单独回放或批量回放。</w:t>
            </w:r>
          </w:p>
        </w:tc>
        <w:tc>
          <w:tcPr>
            <w:tcW w:w="2695" w:type="dxa"/>
            <w:gridSpan w:val="2"/>
            <w:shd w:val="clear" w:color="auto" w:fill="FFFFFF"/>
            <w:tcMar>
              <w:top w:w="12" w:type="dxa"/>
              <w:left w:w="12" w:type="dxa"/>
              <w:right w:w="12" w:type="dxa"/>
            </w:tcMar>
            <w:vAlign w:val="center"/>
          </w:tcPr>
          <w:p w14:paraId="3BD73780">
            <w:pPr>
              <w:widowControl w:val="0"/>
              <w:kinsoku/>
              <w:autoSpaceDE/>
              <w:autoSpaceDN/>
              <w:adjustRightInd/>
              <w:snapToGrid/>
              <w:jc w:val="both"/>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6894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594" w:type="dxa"/>
            <w:gridSpan w:val="2"/>
            <w:vMerge w:val="continue"/>
            <w:shd w:val="clear" w:color="auto" w:fill="FFFFFF"/>
            <w:tcMar>
              <w:top w:w="12" w:type="dxa"/>
              <w:left w:w="12" w:type="dxa"/>
              <w:right w:w="12" w:type="dxa"/>
            </w:tcMar>
            <w:vAlign w:val="center"/>
          </w:tcPr>
          <w:p w14:paraId="595EE396">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2AB6D3FF">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5AF768AC">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27E62063">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w:t>
            </w:r>
            <w:r>
              <w:rPr>
                <w:rFonts w:hint="eastAsia" w:asciiTheme="minorEastAsia" w:hAnsiTheme="minorEastAsia" w:eastAsiaTheme="minorEastAsia" w:cstheme="minorEastAsia"/>
                <w:b w:val="0"/>
                <w:bCs w:val="0"/>
                <w:snapToGrid/>
                <w:color w:val="auto"/>
                <w:sz w:val="24"/>
                <w:szCs w:val="24"/>
                <w:highlight w:val="none"/>
                <w:lang w:eastAsia="zh-CN" w:bidi="ar"/>
              </w:rPr>
              <w:t>7.支持基于特征库检测挖矿主机，支持对挖矿主机进行连接矿池阶段、获取挖矿任务阶段、控制命令通信阶段、挖矿成功阶段，形成挖矿链可视跟踪。对网络中的挖矿主机活跃程度，挖矿币种有直观的图形化展示。</w:t>
            </w:r>
          </w:p>
        </w:tc>
        <w:tc>
          <w:tcPr>
            <w:tcW w:w="2695" w:type="dxa"/>
            <w:gridSpan w:val="2"/>
            <w:shd w:val="clear" w:color="auto" w:fill="FFFFFF"/>
            <w:tcMar>
              <w:top w:w="12" w:type="dxa"/>
              <w:left w:w="12" w:type="dxa"/>
              <w:right w:w="12" w:type="dxa"/>
            </w:tcMar>
            <w:vAlign w:val="center"/>
          </w:tcPr>
          <w:p w14:paraId="5DACD5FF">
            <w:pPr>
              <w:widowControl w:val="0"/>
              <w:kinsoku/>
              <w:autoSpaceDE/>
              <w:autoSpaceDN/>
              <w:adjustRightInd/>
              <w:snapToGrid/>
              <w:jc w:val="both"/>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提供包含相关指标项的证明材料，证明材料可以使用生产厂家官方网站截图或产品白皮书或第三方机构检验报告或其他相关证明材料，并加盖制造商公章。</w:t>
            </w:r>
          </w:p>
        </w:tc>
      </w:tr>
      <w:tr w14:paraId="04B3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2CDE5C47">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3867FB23">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53F4D6A9">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55DDCFE4">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8.支持通过syslog/kafka/SNMP trap方式将告警日志、违规互联日志、威胁情报日志、流数据日志、协议元数据外发至第三方数据采集平台，支持同时配置多个外发采集平台。</w:t>
            </w:r>
          </w:p>
        </w:tc>
        <w:tc>
          <w:tcPr>
            <w:tcW w:w="2695" w:type="dxa"/>
            <w:gridSpan w:val="2"/>
            <w:shd w:val="clear" w:color="auto" w:fill="FFFFFF"/>
            <w:tcMar>
              <w:top w:w="12" w:type="dxa"/>
              <w:left w:w="12" w:type="dxa"/>
              <w:right w:w="12" w:type="dxa"/>
            </w:tcMar>
            <w:vAlign w:val="center"/>
          </w:tcPr>
          <w:p w14:paraId="136E0BD4">
            <w:pPr>
              <w:widowControl w:val="0"/>
              <w:kinsoku/>
              <w:autoSpaceDE/>
              <w:autoSpaceDN/>
              <w:adjustRightInd/>
              <w:snapToGrid/>
              <w:jc w:val="both"/>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67E1B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31AB001E">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46460625">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3B60A061">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15497586">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9.产品需具有网络入侵特征配制方法及配置系统；具有加快旁路入侵检测的方法及检测装置。</w:t>
            </w:r>
          </w:p>
        </w:tc>
        <w:tc>
          <w:tcPr>
            <w:tcW w:w="2695" w:type="dxa"/>
            <w:gridSpan w:val="2"/>
            <w:shd w:val="clear" w:color="auto" w:fill="FFFFFF"/>
            <w:tcMar>
              <w:top w:w="12" w:type="dxa"/>
              <w:left w:w="12" w:type="dxa"/>
              <w:right w:w="12" w:type="dxa"/>
            </w:tcMar>
            <w:vAlign w:val="center"/>
          </w:tcPr>
          <w:p w14:paraId="1C5669C7">
            <w:pPr>
              <w:widowControl w:val="0"/>
              <w:kinsoku/>
              <w:autoSpaceDE/>
              <w:autoSpaceDN/>
              <w:adjustRightInd/>
              <w:snapToGrid/>
              <w:jc w:val="both"/>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p>
        </w:tc>
      </w:tr>
      <w:tr w14:paraId="25F7E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594" w:type="dxa"/>
            <w:gridSpan w:val="2"/>
            <w:vMerge w:val="continue"/>
            <w:shd w:val="clear" w:color="auto" w:fill="FFFFFF"/>
            <w:tcMar>
              <w:top w:w="12" w:type="dxa"/>
              <w:left w:w="12" w:type="dxa"/>
              <w:right w:w="12" w:type="dxa"/>
            </w:tcMar>
            <w:vAlign w:val="center"/>
          </w:tcPr>
          <w:p w14:paraId="49B18BAC">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48E5ADE9">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53AB898E">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759D380F">
            <w:pPr>
              <w:kinsoku/>
              <w:autoSpaceDE/>
              <w:autoSpaceDN/>
              <w:adjustRightInd/>
              <w:snapToGrid/>
              <w:textAlignment w:val="center"/>
              <w:rPr>
                <w:rFonts w:hint="eastAsia" w:asciiTheme="minorEastAsia" w:hAnsiTheme="minorEastAsia" w:eastAsiaTheme="minorEastAsia" w:cstheme="minorEastAsia"/>
                <w:b w:val="0"/>
                <w:bCs w:val="0"/>
                <w:snapToGrid/>
                <w:color w:val="auto"/>
                <w:sz w:val="24"/>
                <w:szCs w:val="24"/>
                <w:highlight w:val="none"/>
                <w:lang w:eastAsia="zh-CN" w:bidi="ar"/>
              </w:rPr>
            </w:pPr>
            <w:r>
              <w:rPr>
                <w:rFonts w:hint="eastAsia" w:asciiTheme="minorEastAsia" w:hAnsiTheme="minorEastAsia" w:eastAsiaTheme="minorEastAsia" w:cstheme="minorEastAsia"/>
                <w:b w:val="0"/>
                <w:bCs w:val="0"/>
                <w:i w:val="0"/>
                <w:snapToGrid/>
                <w:color w:val="auto"/>
                <w:kern w:val="0"/>
                <w:sz w:val="24"/>
                <w:szCs w:val="24"/>
                <w:highlight w:val="none"/>
                <w:u w:val="none"/>
                <w:lang w:val="en-US" w:eastAsia="zh-CN" w:bidi="ar"/>
              </w:rPr>
              <w:t>▲</w:t>
            </w:r>
            <w:r>
              <w:rPr>
                <w:rFonts w:hint="eastAsia" w:asciiTheme="minorEastAsia" w:hAnsiTheme="minorEastAsia" w:eastAsiaTheme="minorEastAsia" w:cstheme="minorEastAsia"/>
                <w:b w:val="0"/>
                <w:bCs w:val="0"/>
                <w:snapToGrid/>
                <w:color w:val="auto"/>
                <w:sz w:val="24"/>
                <w:szCs w:val="24"/>
                <w:highlight w:val="none"/>
                <w:lang w:eastAsia="zh-CN" w:bidi="ar"/>
              </w:rPr>
              <w:t>1</w:t>
            </w:r>
            <w:r>
              <w:rPr>
                <w:rFonts w:hint="eastAsia" w:asciiTheme="minorEastAsia" w:hAnsiTheme="minorEastAsia" w:eastAsiaTheme="minorEastAsia" w:cstheme="minorEastAsia"/>
                <w:b w:val="0"/>
                <w:bCs w:val="0"/>
                <w:snapToGrid/>
                <w:color w:val="auto"/>
                <w:sz w:val="24"/>
                <w:szCs w:val="24"/>
                <w:highlight w:val="none"/>
                <w:lang w:val="en-US" w:eastAsia="zh-CN" w:bidi="ar"/>
              </w:rPr>
              <w:t>0</w:t>
            </w:r>
            <w:r>
              <w:rPr>
                <w:rFonts w:hint="eastAsia" w:asciiTheme="minorEastAsia" w:hAnsiTheme="minorEastAsia" w:eastAsiaTheme="minorEastAsia" w:cstheme="minorEastAsia"/>
                <w:b w:val="0"/>
                <w:bCs w:val="0"/>
                <w:snapToGrid/>
                <w:color w:val="auto"/>
                <w:sz w:val="24"/>
                <w:szCs w:val="24"/>
                <w:highlight w:val="none"/>
                <w:lang w:eastAsia="zh-CN" w:bidi="ar"/>
              </w:rPr>
              <w:t>.产品需具备《IT产品信息安全认证证书》级别EAL3增强级。</w:t>
            </w:r>
          </w:p>
        </w:tc>
        <w:tc>
          <w:tcPr>
            <w:tcW w:w="2695" w:type="dxa"/>
            <w:gridSpan w:val="2"/>
            <w:shd w:val="clear" w:color="auto" w:fill="FFFFFF"/>
            <w:tcMar>
              <w:top w:w="12" w:type="dxa"/>
              <w:left w:w="12" w:type="dxa"/>
              <w:right w:w="12" w:type="dxa"/>
            </w:tcMar>
            <w:vAlign w:val="center"/>
          </w:tcPr>
          <w:p w14:paraId="06BAD482">
            <w:pPr>
              <w:widowControl w:val="0"/>
              <w:kinsoku/>
              <w:autoSpaceDE/>
              <w:autoSpaceDN/>
              <w:adjustRightInd/>
              <w:snapToGrid/>
              <w:jc w:val="both"/>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提供证书复印件，并加盖盖制造商公章</w:t>
            </w:r>
          </w:p>
        </w:tc>
      </w:tr>
      <w:tr w14:paraId="018AF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073" w:hRule="atLeast"/>
        </w:trPr>
        <w:tc>
          <w:tcPr>
            <w:tcW w:w="594" w:type="dxa"/>
            <w:gridSpan w:val="2"/>
            <w:vMerge w:val="continue"/>
            <w:shd w:val="clear" w:color="auto" w:fill="FFFFFF"/>
            <w:tcMar>
              <w:top w:w="12" w:type="dxa"/>
              <w:left w:w="12" w:type="dxa"/>
              <w:right w:w="12" w:type="dxa"/>
            </w:tcMar>
            <w:vAlign w:val="center"/>
          </w:tcPr>
          <w:p w14:paraId="688D903D">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76169740">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4DFF9066">
            <w:pPr>
              <w:widowControl w:val="0"/>
              <w:kinsoku/>
              <w:autoSpaceDE/>
              <w:autoSpaceDN/>
              <w:adjustRightInd/>
              <w:snapToGrid/>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p>
        </w:tc>
        <w:tc>
          <w:tcPr>
            <w:tcW w:w="3112" w:type="dxa"/>
            <w:gridSpan w:val="3"/>
            <w:shd w:val="clear" w:color="auto" w:fill="FFFFFF"/>
            <w:tcMar>
              <w:top w:w="12" w:type="dxa"/>
              <w:left w:w="12" w:type="dxa"/>
              <w:right w:w="12" w:type="dxa"/>
            </w:tcMar>
            <w:vAlign w:val="center"/>
          </w:tcPr>
          <w:p w14:paraId="74BF67E6">
            <w:pPr>
              <w:kinsoku/>
              <w:autoSpaceDE/>
              <w:autoSpaceDN/>
              <w:adjustRightInd/>
              <w:snapToGrid/>
              <w:textAlignment w:val="center"/>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color w:val="auto"/>
                <w:highlight w:val="none"/>
                <w:lang w:eastAsia="zh-CN"/>
              </w:rPr>
              <w:t>★</w:t>
            </w:r>
            <w:r>
              <w:rPr>
                <w:rFonts w:hint="eastAsia" w:asciiTheme="minorEastAsia" w:hAnsiTheme="minorEastAsia" w:eastAsiaTheme="minorEastAsia" w:cstheme="minorEastAsia"/>
                <w:b w:val="0"/>
                <w:bCs w:val="0"/>
                <w:snapToGrid/>
                <w:color w:val="auto"/>
                <w:sz w:val="24"/>
                <w:szCs w:val="24"/>
                <w:highlight w:val="none"/>
                <w:lang w:eastAsia="zh-CN" w:bidi="ar"/>
              </w:rPr>
              <w:t>1</w:t>
            </w:r>
            <w:r>
              <w:rPr>
                <w:rFonts w:hint="eastAsia" w:asciiTheme="minorEastAsia" w:hAnsiTheme="minorEastAsia" w:eastAsiaTheme="minorEastAsia" w:cstheme="minorEastAsia"/>
                <w:b w:val="0"/>
                <w:bCs w:val="0"/>
                <w:snapToGrid/>
                <w:color w:val="auto"/>
                <w:sz w:val="24"/>
                <w:szCs w:val="24"/>
                <w:highlight w:val="none"/>
                <w:lang w:val="en-US" w:eastAsia="zh-CN" w:bidi="ar"/>
              </w:rPr>
              <w:t>1</w:t>
            </w:r>
            <w:r>
              <w:rPr>
                <w:rFonts w:hint="eastAsia" w:asciiTheme="minorEastAsia" w:hAnsiTheme="minorEastAsia" w:eastAsiaTheme="minorEastAsia" w:cstheme="minorEastAsia"/>
                <w:b w:val="0"/>
                <w:bCs w:val="0"/>
                <w:snapToGrid/>
                <w:color w:val="auto"/>
                <w:sz w:val="24"/>
                <w:szCs w:val="24"/>
                <w:highlight w:val="none"/>
                <w:lang w:eastAsia="zh-CN" w:bidi="ar"/>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产品需具备网络关键设备和网络安全专用产品安全认证证书</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或</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网络安全专用产品安全检测证书。</w:t>
            </w:r>
          </w:p>
        </w:tc>
        <w:tc>
          <w:tcPr>
            <w:tcW w:w="2695" w:type="dxa"/>
            <w:gridSpan w:val="2"/>
            <w:shd w:val="clear" w:color="auto" w:fill="FFFFFF"/>
            <w:tcMar>
              <w:top w:w="12" w:type="dxa"/>
              <w:left w:w="12" w:type="dxa"/>
              <w:right w:w="12" w:type="dxa"/>
            </w:tcMar>
            <w:vAlign w:val="center"/>
          </w:tcPr>
          <w:p w14:paraId="3B72E93B">
            <w:pPr>
              <w:widowControl w:val="0"/>
              <w:kinsoku/>
              <w:autoSpaceDE/>
              <w:autoSpaceDN/>
              <w:adjustRightInd/>
              <w:snapToGrid/>
              <w:jc w:val="both"/>
              <w:textAlignment w:val="auto"/>
              <w:rPr>
                <w:rFonts w:hint="eastAsia"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kern w:val="2"/>
                <w:sz w:val="24"/>
                <w:szCs w:val="24"/>
                <w:highlight w:val="none"/>
                <w:lang w:eastAsia="zh-CN"/>
              </w:rPr>
              <w:t>列入《网络关键设备和网络安全专用产品目录》的网络安全专用产品，应当按照《信息安全技术网络安全专用产品安全技术要求》等相关国家标准的强制性要求，由具备资格的机构安全认证合格或者安全检测符合要求。</w:t>
            </w:r>
          </w:p>
        </w:tc>
      </w:tr>
      <w:tr w14:paraId="6C731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9023" w:type="dxa"/>
            <w:gridSpan w:val="11"/>
            <w:shd w:val="clear" w:color="auto" w:fill="FFFFFF"/>
            <w:tcMar>
              <w:top w:w="12" w:type="dxa"/>
              <w:left w:w="12" w:type="dxa"/>
              <w:right w:w="12" w:type="dxa"/>
            </w:tcMar>
            <w:vAlign w:val="center"/>
          </w:tcPr>
          <w:p w14:paraId="2557B0A2">
            <w:pPr>
              <w:keepNext w:val="0"/>
              <w:keepLines w:val="0"/>
              <w:widowControl/>
              <w:suppressLineNumbers w:val="0"/>
              <w:jc w:val="both"/>
              <w:textAlignment w:val="center"/>
              <w:rPr>
                <w:rFonts w:hint="eastAsia" w:ascii="宋体" w:hAnsi="宋体" w:eastAsia="宋体" w:cs="宋体"/>
                <w:b/>
                <w:i w:val="0"/>
                <w:color w:val="auto"/>
                <w:sz w:val="24"/>
                <w:szCs w:val="24"/>
                <w:highlight w:val="none"/>
                <w:u w:val="none"/>
              </w:rPr>
            </w:pPr>
            <w:r>
              <w:rPr>
                <w:rFonts w:hint="eastAsia" w:ascii="宋体" w:hAnsi="宋体" w:eastAsia="宋体" w:cs="宋体"/>
                <w:b/>
                <w:i w:val="0"/>
                <w:snapToGrid w:val="0"/>
                <w:color w:val="auto"/>
                <w:kern w:val="0"/>
                <w:sz w:val="24"/>
                <w:szCs w:val="24"/>
                <w:highlight w:val="none"/>
                <w:u w:val="none"/>
                <w:lang w:val="en-US" w:eastAsia="zh-CN" w:bidi="ar"/>
              </w:rPr>
              <w:t>三、IPv6协议转换平台</w:t>
            </w:r>
          </w:p>
        </w:tc>
      </w:tr>
      <w:tr w14:paraId="4847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580" w:type="dxa"/>
            <w:shd w:val="clear" w:color="auto" w:fill="FFFFFF"/>
            <w:tcMar>
              <w:top w:w="12" w:type="dxa"/>
              <w:left w:w="12" w:type="dxa"/>
              <w:right w:w="12" w:type="dxa"/>
            </w:tcMar>
            <w:vAlign w:val="center"/>
          </w:tcPr>
          <w:p w14:paraId="7FA4E653">
            <w:pPr>
              <w:keepNext w:val="0"/>
              <w:keepLines w:val="0"/>
              <w:widowControl/>
              <w:suppressLineNumbers w:val="0"/>
              <w:jc w:val="center"/>
              <w:textAlignment w:val="center"/>
              <w:rPr>
                <w:rFonts w:hint="eastAsia" w:ascii="宋体" w:hAnsi="宋体" w:eastAsia="宋体" w:cs="宋体"/>
                <w:b/>
                <w:i w:val="0"/>
                <w:color w:val="auto"/>
                <w:sz w:val="24"/>
                <w:szCs w:val="24"/>
                <w:highlight w:val="none"/>
                <w:u w:val="none"/>
              </w:rPr>
            </w:pPr>
            <w:r>
              <w:rPr>
                <w:rFonts w:hint="eastAsia" w:ascii="宋体" w:hAnsi="宋体" w:eastAsia="宋体" w:cs="宋体"/>
                <w:b/>
                <w:i w:val="0"/>
                <w:snapToGrid w:val="0"/>
                <w:color w:val="auto"/>
                <w:kern w:val="0"/>
                <w:sz w:val="24"/>
                <w:szCs w:val="24"/>
                <w:highlight w:val="none"/>
                <w:u w:val="none"/>
                <w:lang w:val="en-US" w:eastAsia="zh-CN" w:bidi="ar"/>
              </w:rPr>
              <w:t>序号</w:t>
            </w:r>
          </w:p>
        </w:tc>
        <w:tc>
          <w:tcPr>
            <w:tcW w:w="1102" w:type="dxa"/>
            <w:gridSpan w:val="2"/>
            <w:shd w:val="clear" w:color="auto" w:fill="FFFFFF"/>
            <w:tcMar>
              <w:top w:w="12" w:type="dxa"/>
              <w:left w:w="12" w:type="dxa"/>
              <w:right w:w="12" w:type="dxa"/>
            </w:tcMar>
            <w:vAlign w:val="center"/>
          </w:tcPr>
          <w:p w14:paraId="3A47A909">
            <w:pPr>
              <w:keepNext w:val="0"/>
              <w:keepLines w:val="0"/>
              <w:widowControl/>
              <w:suppressLineNumbers w:val="0"/>
              <w:jc w:val="center"/>
              <w:textAlignment w:val="center"/>
              <w:rPr>
                <w:rFonts w:hint="eastAsia" w:ascii="宋体" w:hAnsi="宋体" w:eastAsia="宋体" w:cs="宋体"/>
                <w:b/>
                <w:i w:val="0"/>
                <w:color w:val="auto"/>
                <w:sz w:val="24"/>
                <w:szCs w:val="24"/>
                <w:highlight w:val="none"/>
                <w:u w:val="none"/>
              </w:rPr>
            </w:pPr>
            <w:r>
              <w:rPr>
                <w:rFonts w:hint="eastAsia" w:ascii="宋体" w:hAnsi="宋体" w:eastAsia="宋体" w:cs="宋体"/>
                <w:b/>
                <w:i w:val="0"/>
                <w:snapToGrid w:val="0"/>
                <w:color w:val="auto"/>
                <w:kern w:val="0"/>
                <w:sz w:val="24"/>
                <w:szCs w:val="24"/>
                <w:highlight w:val="none"/>
                <w:u w:val="none"/>
                <w:lang w:val="en-US" w:eastAsia="zh-CN" w:bidi="ar"/>
              </w:rPr>
              <w:t>产品</w:t>
            </w:r>
          </w:p>
        </w:tc>
        <w:tc>
          <w:tcPr>
            <w:tcW w:w="7341" w:type="dxa"/>
            <w:gridSpan w:val="8"/>
            <w:shd w:val="clear" w:color="auto" w:fill="FFFFFF"/>
            <w:tcMar>
              <w:top w:w="12" w:type="dxa"/>
              <w:left w:w="12" w:type="dxa"/>
              <w:right w:w="12" w:type="dxa"/>
            </w:tcMar>
            <w:vAlign w:val="center"/>
          </w:tcPr>
          <w:p w14:paraId="4DC77284">
            <w:pPr>
              <w:keepNext w:val="0"/>
              <w:keepLines w:val="0"/>
              <w:widowControl/>
              <w:suppressLineNumbers w:val="0"/>
              <w:jc w:val="center"/>
              <w:textAlignment w:val="center"/>
              <w:rPr>
                <w:rFonts w:hint="eastAsia" w:ascii="宋体" w:hAnsi="宋体" w:eastAsia="宋体" w:cs="宋体"/>
                <w:b/>
                <w:i w:val="0"/>
                <w:color w:val="auto"/>
                <w:sz w:val="24"/>
                <w:szCs w:val="24"/>
                <w:highlight w:val="none"/>
                <w:u w:val="none"/>
              </w:rPr>
            </w:pPr>
            <w:r>
              <w:rPr>
                <w:rFonts w:hint="eastAsia" w:ascii="宋体" w:hAnsi="宋体" w:eastAsia="宋体" w:cs="宋体"/>
                <w:b/>
                <w:i w:val="0"/>
                <w:snapToGrid w:val="0"/>
                <w:color w:val="auto"/>
                <w:kern w:val="0"/>
                <w:sz w:val="24"/>
                <w:szCs w:val="24"/>
                <w:highlight w:val="none"/>
                <w:u w:val="none"/>
                <w:lang w:val="en-US" w:eastAsia="zh-CN" w:bidi="ar"/>
              </w:rPr>
              <w:t>功能要求</w:t>
            </w:r>
          </w:p>
        </w:tc>
      </w:tr>
      <w:tr w14:paraId="66EA7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51" w:hRule="atLeast"/>
        </w:trPr>
        <w:tc>
          <w:tcPr>
            <w:tcW w:w="580" w:type="dxa"/>
            <w:vMerge w:val="restart"/>
            <w:shd w:val="clear" w:color="auto" w:fill="FFFFFF"/>
            <w:tcMar>
              <w:top w:w="12" w:type="dxa"/>
              <w:left w:w="12" w:type="dxa"/>
              <w:right w:w="12" w:type="dxa"/>
            </w:tcMar>
            <w:vAlign w:val="center"/>
          </w:tcPr>
          <w:p w14:paraId="285776C4">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snapToGrid w:val="0"/>
                <w:color w:val="auto"/>
                <w:kern w:val="0"/>
                <w:sz w:val="24"/>
                <w:szCs w:val="24"/>
                <w:highlight w:val="none"/>
                <w:u w:val="none"/>
                <w:lang w:val="en-US" w:eastAsia="zh-CN" w:bidi="ar"/>
              </w:rPr>
              <w:t>1</w:t>
            </w:r>
          </w:p>
        </w:tc>
        <w:tc>
          <w:tcPr>
            <w:tcW w:w="1102" w:type="dxa"/>
            <w:gridSpan w:val="2"/>
            <w:vMerge w:val="restart"/>
            <w:shd w:val="clear" w:color="auto" w:fill="FFFFFF"/>
            <w:tcMar>
              <w:top w:w="12" w:type="dxa"/>
              <w:left w:w="12" w:type="dxa"/>
              <w:right w:w="12" w:type="dxa"/>
            </w:tcMar>
            <w:vAlign w:val="center"/>
          </w:tcPr>
          <w:p w14:paraId="6E4D55F2">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IPv6协议转换平台</w:t>
            </w:r>
          </w:p>
        </w:tc>
        <w:tc>
          <w:tcPr>
            <w:tcW w:w="607" w:type="dxa"/>
            <w:gridSpan w:val="2"/>
            <w:vMerge w:val="restart"/>
            <w:shd w:val="clear" w:color="auto" w:fill="auto"/>
            <w:tcMar>
              <w:top w:w="12" w:type="dxa"/>
              <w:left w:w="12" w:type="dxa"/>
              <w:right w:w="12" w:type="dxa"/>
            </w:tcMar>
            <w:vAlign w:val="center"/>
          </w:tcPr>
          <w:p w14:paraId="65C38AE9">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IPv6智能升级系统</w:t>
            </w:r>
          </w:p>
        </w:tc>
        <w:tc>
          <w:tcPr>
            <w:tcW w:w="946" w:type="dxa"/>
            <w:gridSpan w:val="2"/>
            <w:vMerge w:val="restart"/>
            <w:shd w:val="clear" w:color="auto" w:fill="auto"/>
            <w:tcMar>
              <w:top w:w="12" w:type="dxa"/>
              <w:left w:w="12" w:type="dxa"/>
              <w:right w:w="12" w:type="dxa"/>
            </w:tcMar>
            <w:vAlign w:val="center"/>
          </w:tcPr>
          <w:p w14:paraId="56A48E00">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翻译功能、用户溯源</w:t>
            </w:r>
          </w:p>
        </w:tc>
        <w:tc>
          <w:tcPr>
            <w:tcW w:w="3093" w:type="dxa"/>
            <w:gridSpan w:val="2"/>
            <w:shd w:val="clear" w:color="auto" w:fill="auto"/>
            <w:tcMar>
              <w:top w:w="12" w:type="dxa"/>
              <w:left w:w="12" w:type="dxa"/>
              <w:right w:w="12" w:type="dxa"/>
            </w:tcMar>
            <w:vAlign w:val="center"/>
          </w:tcPr>
          <w:p w14:paraId="41C62E69">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lang w:val="en-US"/>
              </w:rPr>
            </w:pPr>
            <w:r>
              <w:rPr>
                <w:rFonts w:hint="eastAsia" w:ascii="宋体" w:hAnsi="宋体" w:eastAsia="宋体" w:cs="宋体"/>
                <w:b w:val="0"/>
                <w:bCs w:val="0"/>
                <w:i w:val="0"/>
                <w:snapToGrid w:val="0"/>
                <w:color w:val="auto"/>
                <w:kern w:val="0"/>
                <w:sz w:val="24"/>
                <w:szCs w:val="24"/>
                <w:highlight w:val="none"/>
                <w:u w:val="none"/>
                <w:lang w:val="en-US" w:eastAsia="zh-CN" w:bidi="ar"/>
              </w:rPr>
              <w:t>▲IPv6翻译，支持IPv4和IPv6协议的双向翻译；</w:t>
            </w:r>
            <w:r>
              <w:rPr>
                <w:rFonts w:hint="eastAsia" w:ascii="宋体" w:hAnsi="宋体" w:eastAsia="宋体" w:cs="宋体"/>
                <w:b w:val="0"/>
                <w:bCs w:val="0"/>
                <w:i w:val="0"/>
                <w:snapToGrid w:val="0"/>
                <w:color w:val="auto"/>
                <w:kern w:val="0"/>
                <w:sz w:val="24"/>
                <w:szCs w:val="24"/>
                <w:highlight w:val="none"/>
                <w:u w:val="none"/>
                <w:lang w:val="en-US" w:eastAsia="zh-CN" w:bidi="ar"/>
              </w:rPr>
              <w:br w:type="textWrapping"/>
            </w:r>
            <w:r>
              <w:rPr>
                <w:rFonts w:hint="eastAsia" w:ascii="宋体" w:hAnsi="宋体" w:eastAsia="宋体" w:cs="宋体"/>
                <w:b w:val="0"/>
                <w:bCs w:val="0"/>
                <w:i w:val="0"/>
                <w:snapToGrid w:val="0"/>
                <w:color w:val="auto"/>
                <w:kern w:val="0"/>
                <w:sz w:val="24"/>
                <w:szCs w:val="24"/>
                <w:highlight w:val="none"/>
                <w:u w:val="none"/>
                <w:lang w:val="en-US" w:eastAsia="zh-CN" w:bidi="ar"/>
              </w:rPr>
              <w:t>溯源分析，支持IPv4和IPv6用户溯源功能；</w:t>
            </w:r>
            <w:r>
              <w:rPr>
                <w:rFonts w:hint="eastAsia" w:ascii="宋体" w:hAnsi="宋体" w:eastAsia="宋体" w:cs="宋体"/>
                <w:b w:val="0"/>
                <w:bCs w:val="0"/>
                <w:i w:val="0"/>
                <w:snapToGrid w:val="0"/>
                <w:color w:val="auto"/>
                <w:kern w:val="0"/>
                <w:sz w:val="24"/>
                <w:szCs w:val="24"/>
                <w:highlight w:val="none"/>
                <w:u w:val="none"/>
                <w:lang w:val="en-US" w:eastAsia="zh-CN" w:bidi="ar"/>
              </w:rPr>
              <w:br w:type="textWrapping"/>
            </w:r>
            <w:r>
              <w:rPr>
                <w:rFonts w:hint="eastAsia" w:ascii="宋体" w:hAnsi="宋体" w:eastAsia="宋体" w:cs="宋体"/>
                <w:b w:val="0"/>
                <w:bCs w:val="0"/>
                <w:i w:val="0"/>
                <w:snapToGrid w:val="0"/>
                <w:color w:val="auto"/>
                <w:kern w:val="0"/>
                <w:sz w:val="24"/>
                <w:szCs w:val="24"/>
                <w:highlight w:val="none"/>
                <w:u w:val="none"/>
                <w:lang w:val="en-US" w:eastAsia="zh-CN" w:bidi="ar"/>
              </w:rPr>
              <w:t>IPv6访问标识，能够为IPv6用户访问页面时提供IPv6标识展示，提示当前正在使用IPv6协议访问网站。</w:t>
            </w:r>
          </w:p>
        </w:tc>
        <w:tc>
          <w:tcPr>
            <w:tcW w:w="2695" w:type="dxa"/>
            <w:gridSpan w:val="2"/>
            <w:shd w:val="clear" w:color="auto" w:fill="auto"/>
            <w:tcMar>
              <w:top w:w="12" w:type="dxa"/>
              <w:left w:w="12" w:type="dxa"/>
              <w:right w:w="12" w:type="dxa"/>
            </w:tcMar>
            <w:vAlign w:val="center"/>
          </w:tcPr>
          <w:p w14:paraId="6350DDAD">
            <w:pPr>
              <w:keepNext w:val="0"/>
              <w:keepLines w:val="0"/>
              <w:widowControl/>
              <w:suppressLineNumbers w:val="0"/>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提供工信部或国家认可的检测机构检测报告复印件</w:t>
            </w:r>
            <w:r>
              <w:rPr>
                <w:rStyle w:val="36"/>
                <w:b w:val="0"/>
                <w:bCs w:val="0"/>
                <w:snapToGrid w:val="0"/>
                <w:color w:val="auto"/>
                <w:highlight w:val="none"/>
                <w:lang w:val="en-US" w:eastAsia="zh-CN" w:bidi="ar"/>
              </w:rPr>
              <w:t>,并加盖供应商公章</w:t>
            </w:r>
          </w:p>
        </w:tc>
      </w:tr>
      <w:tr w14:paraId="52B10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1" w:hRule="atLeast"/>
        </w:trPr>
        <w:tc>
          <w:tcPr>
            <w:tcW w:w="580" w:type="dxa"/>
            <w:vMerge w:val="continue"/>
            <w:shd w:val="clear" w:color="auto" w:fill="FFFFFF"/>
            <w:tcMar>
              <w:top w:w="12" w:type="dxa"/>
              <w:left w:w="12" w:type="dxa"/>
              <w:right w:w="12" w:type="dxa"/>
            </w:tcMar>
            <w:vAlign w:val="center"/>
          </w:tcPr>
          <w:p w14:paraId="309207B9">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18EE151E">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028E83F7">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0CF6696D">
            <w:pP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2841F209">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内容升级，支持在IPv4和IPv6之间进行内容的处理如标识显示应答等；</w:t>
            </w:r>
          </w:p>
        </w:tc>
        <w:tc>
          <w:tcPr>
            <w:tcW w:w="2695" w:type="dxa"/>
            <w:gridSpan w:val="2"/>
            <w:shd w:val="clear" w:color="auto" w:fill="auto"/>
            <w:tcMar>
              <w:top w:w="12" w:type="dxa"/>
              <w:left w:w="12" w:type="dxa"/>
              <w:right w:w="12" w:type="dxa"/>
            </w:tcMar>
            <w:vAlign w:val="center"/>
          </w:tcPr>
          <w:p w14:paraId="7D1E2DF2">
            <w:pPr>
              <w:jc w:val="center"/>
              <w:rPr>
                <w:rFonts w:hint="eastAsia" w:ascii="宋体" w:hAnsi="宋体" w:eastAsia="宋体" w:cs="宋体"/>
                <w:b w:val="0"/>
                <w:bCs w:val="0"/>
                <w:i w:val="0"/>
                <w:color w:val="auto"/>
                <w:sz w:val="24"/>
                <w:szCs w:val="24"/>
                <w:highlight w:val="none"/>
                <w:u w:val="none"/>
              </w:rPr>
            </w:pPr>
          </w:p>
        </w:tc>
      </w:tr>
      <w:tr w14:paraId="6B8BF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3" w:hRule="atLeast"/>
        </w:trPr>
        <w:tc>
          <w:tcPr>
            <w:tcW w:w="580" w:type="dxa"/>
            <w:vMerge w:val="continue"/>
            <w:shd w:val="clear" w:color="auto" w:fill="FFFFFF"/>
            <w:tcMar>
              <w:top w:w="12" w:type="dxa"/>
              <w:left w:w="12" w:type="dxa"/>
              <w:right w:w="12" w:type="dxa"/>
            </w:tcMar>
            <w:vAlign w:val="center"/>
          </w:tcPr>
          <w:p w14:paraId="4841B697">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769CA254">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63739813">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486AD9B2">
            <w:pP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5C9B38A1">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内容缓存，支持在IPv4和IPv6通道之上的内容池的管理和可控互通使用，大幅提高升级系统的吞吐能力；</w:t>
            </w:r>
          </w:p>
        </w:tc>
        <w:tc>
          <w:tcPr>
            <w:tcW w:w="2695" w:type="dxa"/>
            <w:gridSpan w:val="2"/>
            <w:shd w:val="clear" w:color="auto" w:fill="auto"/>
            <w:tcMar>
              <w:top w:w="12" w:type="dxa"/>
              <w:left w:w="12" w:type="dxa"/>
              <w:right w:w="12" w:type="dxa"/>
            </w:tcMar>
            <w:vAlign w:val="center"/>
          </w:tcPr>
          <w:p w14:paraId="4CC124D1">
            <w:pPr>
              <w:jc w:val="center"/>
              <w:rPr>
                <w:rFonts w:hint="eastAsia" w:ascii="宋体" w:hAnsi="宋体" w:eastAsia="宋体" w:cs="宋体"/>
                <w:b w:val="0"/>
                <w:bCs w:val="0"/>
                <w:i w:val="0"/>
                <w:color w:val="auto"/>
                <w:sz w:val="24"/>
                <w:szCs w:val="24"/>
                <w:highlight w:val="none"/>
                <w:u w:val="none"/>
              </w:rPr>
            </w:pPr>
          </w:p>
        </w:tc>
      </w:tr>
      <w:tr w14:paraId="7E57D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87" w:hRule="atLeast"/>
        </w:trPr>
        <w:tc>
          <w:tcPr>
            <w:tcW w:w="580" w:type="dxa"/>
            <w:vMerge w:val="continue"/>
            <w:shd w:val="clear" w:color="auto" w:fill="FFFFFF"/>
            <w:tcMar>
              <w:top w:w="12" w:type="dxa"/>
              <w:left w:w="12" w:type="dxa"/>
              <w:right w:w="12" w:type="dxa"/>
            </w:tcMar>
            <w:vAlign w:val="center"/>
          </w:tcPr>
          <w:p w14:paraId="54A67A81">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6F55C007">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5B4071B0">
            <w:pPr>
              <w:jc w:val="center"/>
              <w:rPr>
                <w:rFonts w:hint="eastAsia" w:ascii="宋体" w:hAnsi="宋体" w:eastAsia="宋体" w:cs="宋体"/>
                <w:i w:val="0"/>
                <w:color w:val="auto"/>
                <w:sz w:val="24"/>
                <w:szCs w:val="24"/>
                <w:highlight w:val="none"/>
                <w:u w:val="none"/>
              </w:rPr>
            </w:pPr>
          </w:p>
        </w:tc>
        <w:tc>
          <w:tcPr>
            <w:tcW w:w="946" w:type="dxa"/>
            <w:gridSpan w:val="2"/>
            <w:vMerge w:val="restart"/>
            <w:shd w:val="clear" w:color="auto" w:fill="auto"/>
            <w:tcMar>
              <w:top w:w="12" w:type="dxa"/>
              <w:left w:w="12" w:type="dxa"/>
              <w:right w:w="12" w:type="dxa"/>
            </w:tcMar>
            <w:vAlign w:val="center"/>
          </w:tcPr>
          <w:p w14:paraId="0A1BE787">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负载均衡</w:t>
            </w:r>
          </w:p>
        </w:tc>
        <w:tc>
          <w:tcPr>
            <w:tcW w:w="3093" w:type="dxa"/>
            <w:gridSpan w:val="2"/>
            <w:shd w:val="clear" w:color="auto" w:fill="auto"/>
            <w:tcMar>
              <w:top w:w="12" w:type="dxa"/>
              <w:left w:w="12" w:type="dxa"/>
              <w:right w:w="12" w:type="dxa"/>
            </w:tcMar>
            <w:vAlign w:val="center"/>
          </w:tcPr>
          <w:p w14:paraId="44DF0FE6">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4层负载均衡，提供主备，主主等多种工作模式，自动检测并调度资源系统，提供异常资源秒级切换能力，同时负载均衡服务故障能够自动发现和剔除；</w:t>
            </w:r>
          </w:p>
        </w:tc>
        <w:tc>
          <w:tcPr>
            <w:tcW w:w="2695" w:type="dxa"/>
            <w:gridSpan w:val="2"/>
            <w:shd w:val="clear" w:color="auto" w:fill="auto"/>
            <w:tcMar>
              <w:top w:w="12" w:type="dxa"/>
              <w:left w:w="12" w:type="dxa"/>
              <w:right w:w="12" w:type="dxa"/>
            </w:tcMar>
            <w:vAlign w:val="center"/>
          </w:tcPr>
          <w:p w14:paraId="42F88DF4">
            <w:pPr>
              <w:jc w:val="center"/>
              <w:rPr>
                <w:rFonts w:hint="eastAsia" w:ascii="宋体" w:hAnsi="宋体" w:eastAsia="宋体" w:cs="宋体"/>
                <w:b w:val="0"/>
                <w:bCs w:val="0"/>
                <w:i w:val="0"/>
                <w:color w:val="auto"/>
                <w:sz w:val="24"/>
                <w:szCs w:val="24"/>
                <w:highlight w:val="none"/>
                <w:u w:val="none"/>
              </w:rPr>
            </w:pPr>
          </w:p>
        </w:tc>
      </w:tr>
      <w:tr w14:paraId="654FB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3" w:hRule="atLeast"/>
        </w:trPr>
        <w:tc>
          <w:tcPr>
            <w:tcW w:w="580" w:type="dxa"/>
            <w:vMerge w:val="continue"/>
            <w:shd w:val="clear" w:color="auto" w:fill="FFFFFF"/>
            <w:tcMar>
              <w:top w:w="12" w:type="dxa"/>
              <w:left w:w="12" w:type="dxa"/>
              <w:right w:w="12" w:type="dxa"/>
            </w:tcMar>
            <w:vAlign w:val="center"/>
          </w:tcPr>
          <w:p w14:paraId="1A73A33F">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020A73C5">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14D88053">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0D6C593E">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17D5C891">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7层负载均衡，提供应用层弹性负载均衡的能力，通过提供依据请求IP，请求头，请求会话等多个维度的负载均衡算法；</w:t>
            </w:r>
          </w:p>
        </w:tc>
        <w:tc>
          <w:tcPr>
            <w:tcW w:w="2695" w:type="dxa"/>
            <w:gridSpan w:val="2"/>
            <w:shd w:val="clear" w:color="auto" w:fill="auto"/>
            <w:tcMar>
              <w:top w:w="12" w:type="dxa"/>
              <w:left w:w="12" w:type="dxa"/>
              <w:right w:w="12" w:type="dxa"/>
            </w:tcMar>
            <w:vAlign w:val="center"/>
          </w:tcPr>
          <w:p w14:paraId="2E6649AE">
            <w:pPr>
              <w:jc w:val="center"/>
              <w:rPr>
                <w:rFonts w:hint="eastAsia" w:ascii="宋体" w:hAnsi="宋体" w:eastAsia="宋体" w:cs="宋体"/>
                <w:b w:val="0"/>
                <w:bCs w:val="0"/>
                <w:i w:val="0"/>
                <w:color w:val="auto"/>
                <w:sz w:val="24"/>
                <w:szCs w:val="24"/>
                <w:highlight w:val="none"/>
                <w:u w:val="none"/>
              </w:rPr>
            </w:pPr>
          </w:p>
        </w:tc>
      </w:tr>
      <w:tr w14:paraId="381B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9" w:hRule="atLeast"/>
        </w:trPr>
        <w:tc>
          <w:tcPr>
            <w:tcW w:w="580" w:type="dxa"/>
            <w:vMerge w:val="continue"/>
            <w:shd w:val="clear" w:color="auto" w:fill="FFFFFF"/>
            <w:tcMar>
              <w:top w:w="12" w:type="dxa"/>
              <w:left w:w="12" w:type="dxa"/>
              <w:right w:w="12" w:type="dxa"/>
            </w:tcMar>
            <w:vAlign w:val="center"/>
          </w:tcPr>
          <w:p w14:paraId="050AC83E">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6B96F79C">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41B6498A">
            <w:pPr>
              <w:jc w:val="center"/>
              <w:rPr>
                <w:rFonts w:hint="eastAsia" w:ascii="宋体" w:hAnsi="宋体" w:eastAsia="宋体" w:cs="宋体"/>
                <w:i w:val="0"/>
                <w:color w:val="auto"/>
                <w:sz w:val="24"/>
                <w:szCs w:val="24"/>
                <w:highlight w:val="none"/>
                <w:u w:val="none"/>
              </w:rPr>
            </w:pPr>
          </w:p>
        </w:tc>
        <w:tc>
          <w:tcPr>
            <w:tcW w:w="946" w:type="dxa"/>
            <w:gridSpan w:val="2"/>
            <w:vMerge w:val="restart"/>
            <w:shd w:val="clear" w:color="auto" w:fill="auto"/>
            <w:tcMar>
              <w:top w:w="12" w:type="dxa"/>
              <w:left w:w="12" w:type="dxa"/>
              <w:right w:w="12" w:type="dxa"/>
            </w:tcMar>
            <w:vAlign w:val="center"/>
          </w:tcPr>
          <w:p w14:paraId="462A1435">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域名解析</w:t>
            </w:r>
          </w:p>
        </w:tc>
        <w:tc>
          <w:tcPr>
            <w:tcW w:w="3093" w:type="dxa"/>
            <w:gridSpan w:val="2"/>
            <w:shd w:val="clear" w:color="auto" w:fill="auto"/>
            <w:tcMar>
              <w:top w:w="12" w:type="dxa"/>
              <w:left w:w="12" w:type="dxa"/>
              <w:right w:w="12" w:type="dxa"/>
            </w:tcMar>
            <w:vAlign w:val="center"/>
          </w:tcPr>
          <w:p w14:paraId="0C934F8B">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支持IPv4/IPv6智能地址解析和查询；</w:t>
            </w:r>
          </w:p>
        </w:tc>
        <w:tc>
          <w:tcPr>
            <w:tcW w:w="2695" w:type="dxa"/>
            <w:gridSpan w:val="2"/>
            <w:shd w:val="clear" w:color="auto" w:fill="auto"/>
            <w:tcMar>
              <w:top w:w="12" w:type="dxa"/>
              <w:left w:w="12" w:type="dxa"/>
              <w:right w:w="12" w:type="dxa"/>
            </w:tcMar>
            <w:vAlign w:val="center"/>
          </w:tcPr>
          <w:p w14:paraId="4C59B75A">
            <w:pPr>
              <w:jc w:val="center"/>
              <w:rPr>
                <w:rFonts w:hint="eastAsia" w:ascii="宋体" w:hAnsi="宋体" w:eastAsia="宋体" w:cs="宋体"/>
                <w:b w:val="0"/>
                <w:bCs w:val="0"/>
                <w:i w:val="0"/>
                <w:color w:val="auto"/>
                <w:sz w:val="24"/>
                <w:szCs w:val="24"/>
                <w:highlight w:val="none"/>
                <w:u w:val="none"/>
              </w:rPr>
            </w:pPr>
          </w:p>
        </w:tc>
      </w:tr>
      <w:tr w14:paraId="19021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39" w:hRule="atLeast"/>
        </w:trPr>
        <w:tc>
          <w:tcPr>
            <w:tcW w:w="580" w:type="dxa"/>
            <w:vMerge w:val="continue"/>
            <w:shd w:val="clear" w:color="auto" w:fill="FFFFFF"/>
            <w:tcMar>
              <w:top w:w="12" w:type="dxa"/>
              <w:left w:w="12" w:type="dxa"/>
              <w:right w:w="12" w:type="dxa"/>
            </w:tcMar>
            <w:vAlign w:val="center"/>
          </w:tcPr>
          <w:p w14:paraId="7207DECC">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61D50663">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6CC4412D">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3F30CEDF">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750036F2">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支持在IPv4/IPv6双栈环境下DNS授权解析和递归解析；</w:t>
            </w:r>
          </w:p>
        </w:tc>
        <w:tc>
          <w:tcPr>
            <w:tcW w:w="2695" w:type="dxa"/>
            <w:gridSpan w:val="2"/>
            <w:shd w:val="clear" w:color="auto" w:fill="auto"/>
            <w:tcMar>
              <w:top w:w="12" w:type="dxa"/>
              <w:left w:w="12" w:type="dxa"/>
              <w:right w:w="12" w:type="dxa"/>
            </w:tcMar>
            <w:vAlign w:val="center"/>
          </w:tcPr>
          <w:p w14:paraId="72BE2E82">
            <w:pPr>
              <w:jc w:val="center"/>
              <w:rPr>
                <w:rFonts w:hint="eastAsia" w:ascii="宋体" w:hAnsi="宋体" w:eastAsia="宋体" w:cs="宋体"/>
                <w:b w:val="0"/>
                <w:bCs w:val="0"/>
                <w:i w:val="0"/>
                <w:color w:val="auto"/>
                <w:sz w:val="24"/>
                <w:szCs w:val="24"/>
                <w:highlight w:val="none"/>
                <w:u w:val="none"/>
              </w:rPr>
            </w:pPr>
          </w:p>
        </w:tc>
      </w:tr>
      <w:tr w14:paraId="4631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9" w:hRule="atLeast"/>
        </w:trPr>
        <w:tc>
          <w:tcPr>
            <w:tcW w:w="580" w:type="dxa"/>
            <w:vMerge w:val="continue"/>
            <w:shd w:val="clear" w:color="auto" w:fill="FFFFFF"/>
            <w:tcMar>
              <w:top w:w="12" w:type="dxa"/>
              <w:left w:w="12" w:type="dxa"/>
              <w:right w:w="12" w:type="dxa"/>
            </w:tcMar>
            <w:vAlign w:val="center"/>
          </w:tcPr>
          <w:p w14:paraId="46FCD319">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070E82C6">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66E82824">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233F9423">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35E439D7">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支持IPv4环境或纯IPv6环境下的A/AAAA记录解析；</w:t>
            </w:r>
          </w:p>
        </w:tc>
        <w:tc>
          <w:tcPr>
            <w:tcW w:w="2695" w:type="dxa"/>
            <w:gridSpan w:val="2"/>
            <w:shd w:val="clear" w:color="auto" w:fill="auto"/>
            <w:tcMar>
              <w:top w:w="12" w:type="dxa"/>
              <w:left w:w="12" w:type="dxa"/>
              <w:right w:w="12" w:type="dxa"/>
            </w:tcMar>
            <w:vAlign w:val="center"/>
          </w:tcPr>
          <w:p w14:paraId="5679E529">
            <w:pPr>
              <w:jc w:val="center"/>
              <w:rPr>
                <w:rFonts w:hint="eastAsia" w:ascii="宋体" w:hAnsi="宋体" w:eastAsia="宋体" w:cs="宋体"/>
                <w:b w:val="0"/>
                <w:bCs w:val="0"/>
                <w:i w:val="0"/>
                <w:color w:val="auto"/>
                <w:sz w:val="24"/>
                <w:szCs w:val="24"/>
                <w:highlight w:val="none"/>
                <w:u w:val="none"/>
              </w:rPr>
            </w:pPr>
          </w:p>
        </w:tc>
      </w:tr>
      <w:tr w14:paraId="2D79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3" w:hRule="atLeast"/>
        </w:trPr>
        <w:tc>
          <w:tcPr>
            <w:tcW w:w="580" w:type="dxa"/>
            <w:vMerge w:val="continue"/>
            <w:shd w:val="clear" w:color="auto" w:fill="FFFFFF"/>
            <w:tcMar>
              <w:top w:w="12" w:type="dxa"/>
              <w:left w:w="12" w:type="dxa"/>
              <w:right w:w="12" w:type="dxa"/>
            </w:tcMar>
            <w:vAlign w:val="center"/>
          </w:tcPr>
          <w:p w14:paraId="09E1B29F">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0D981035">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3431B3CE">
            <w:pPr>
              <w:jc w:val="center"/>
              <w:rPr>
                <w:rFonts w:hint="eastAsia" w:ascii="宋体" w:hAnsi="宋体" w:eastAsia="宋体" w:cs="宋体"/>
                <w:i w:val="0"/>
                <w:color w:val="auto"/>
                <w:sz w:val="24"/>
                <w:szCs w:val="24"/>
                <w:highlight w:val="none"/>
                <w:u w:val="none"/>
              </w:rPr>
            </w:pPr>
          </w:p>
        </w:tc>
        <w:tc>
          <w:tcPr>
            <w:tcW w:w="946" w:type="dxa"/>
            <w:gridSpan w:val="2"/>
            <w:vMerge w:val="restart"/>
            <w:shd w:val="clear" w:color="auto" w:fill="auto"/>
            <w:tcMar>
              <w:top w:w="12" w:type="dxa"/>
              <w:left w:w="12" w:type="dxa"/>
              <w:right w:w="12" w:type="dxa"/>
            </w:tcMar>
            <w:vAlign w:val="center"/>
          </w:tcPr>
          <w:p w14:paraId="4949F3C3">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外链改造</w:t>
            </w:r>
          </w:p>
        </w:tc>
        <w:tc>
          <w:tcPr>
            <w:tcW w:w="3093" w:type="dxa"/>
            <w:gridSpan w:val="2"/>
            <w:shd w:val="clear" w:color="auto" w:fill="auto"/>
            <w:tcMar>
              <w:top w:w="12" w:type="dxa"/>
              <w:left w:w="12" w:type="dxa"/>
              <w:right w:w="12" w:type="dxa"/>
            </w:tcMar>
            <w:vAlign w:val="center"/>
          </w:tcPr>
          <w:p w14:paraId="2C79AA6A">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支持外链协议升级，在单一IPv6 用户环境下可以访问IPv6 的外链网站并且没有天窗问题；</w:t>
            </w:r>
          </w:p>
        </w:tc>
        <w:tc>
          <w:tcPr>
            <w:tcW w:w="2695" w:type="dxa"/>
            <w:gridSpan w:val="2"/>
            <w:shd w:val="clear" w:color="auto" w:fill="auto"/>
            <w:tcMar>
              <w:top w:w="12" w:type="dxa"/>
              <w:left w:w="12" w:type="dxa"/>
              <w:right w:w="12" w:type="dxa"/>
            </w:tcMar>
            <w:vAlign w:val="center"/>
          </w:tcPr>
          <w:p w14:paraId="49F1F50A">
            <w:pPr>
              <w:jc w:val="center"/>
              <w:rPr>
                <w:rFonts w:hint="eastAsia" w:ascii="宋体" w:hAnsi="宋体" w:eastAsia="宋体" w:cs="宋体"/>
                <w:b w:val="0"/>
                <w:bCs w:val="0"/>
                <w:i w:val="0"/>
                <w:color w:val="auto"/>
                <w:sz w:val="24"/>
                <w:szCs w:val="24"/>
                <w:highlight w:val="none"/>
                <w:u w:val="none"/>
              </w:rPr>
            </w:pPr>
          </w:p>
        </w:tc>
      </w:tr>
      <w:tr w14:paraId="58D9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3" w:hRule="atLeast"/>
        </w:trPr>
        <w:tc>
          <w:tcPr>
            <w:tcW w:w="580" w:type="dxa"/>
            <w:vMerge w:val="continue"/>
            <w:shd w:val="clear" w:color="auto" w:fill="FFFFFF"/>
            <w:tcMar>
              <w:top w:w="12" w:type="dxa"/>
              <w:left w:w="12" w:type="dxa"/>
              <w:right w:w="12" w:type="dxa"/>
            </w:tcMar>
            <w:vAlign w:val="center"/>
          </w:tcPr>
          <w:p w14:paraId="215F87E6">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6762D201">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0F4C390B">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60C41D58">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5C933DD4">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支持自动发现网站已经支持IPv6 的外链域名，且对于已经支持IPv6 的外链智能不进行协议升级；</w:t>
            </w:r>
          </w:p>
        </w:tc>
        <w:tc>
          <w:tcPr>
            <w:tcW w:w="2695" w:type="dxa"/>
            <w:gridSpan w:val="2"/>
            <w:shd w:val="clear" w:color="auto" w:fill="auto"/>
            <w:tcMar>
              <w:top w:w="12" w:type="dxa"/>
              <w:left w:w="12" w:type="dxa"/>
              <w:right w:w="12" w:type="dxa"/>
            </w:tcMar>
            <w:vAlign w:val="center"/>
          </w:tcPr>
          <w:p w14:paraId="272B7157">
            <w:pPr>
              <w:jc w:val="center"/>
              <w:rPr>
                <w:rFonts w:hint="eastAsia" w:ascii="宋体" w:hAnsi="宋体" w:eastAsia="宋体" w:cs="宋体"/>
                <w:b w:val="0"/>
                <w:bCs w:val="0"/>
                <w:i w:val="0"/>
                <w:color w:val="auto"/>
                <w:sz w:val="24"/>
                <w:szCs w:val="24"/>
                <w:highlight w:val="none"/>
                <w:u w:val="none"/>
              </w:rPr>
            </w:pPr>
          </w:p>
        </w:tc>
      </w:tr>
      <w:tr w14:paraId="15E3D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51" w:hRule="atLeast"/>
        </w:trPr>
        <w:tc>
          <w:tcPr>
            <w:tcW w:w="580" w:type="dxa"/>
            <w:vMerge w:val="continue"/>
            <w:shd w:val="clear" w:color="auto" w:fill="FFFFFF"/>
            <w:tcMar>
              <w:top w:w="12" w:type="dxa"/>
              <w:left w:w="12" w:type="dxa"/>
              <w:right w:w="12" w:type="dxa"/>
            </w:tcMar>
            <w:vAlign w:val="center"/>
          </w:tcPr>
          <w:p w14:paraId="4ADD553A">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67D40F3D">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6BB69613">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7B82FEBD">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452FC8FC">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支持设置单个域名的外链翻译开关功能，支持一健控制全部外链翻译的开关功能；</w:t>
            </w:r>
          </w:p>
        </w:tc>
        <w:tc>
          <w:tcPr>
            <w:tcW w:w="2695" w:type="dxa"/>
            <w:gridSpan w:val="2"/>
            <w:shd w:val="clear" w:color="auto" w:fill="auto"/>
            <w:tcMar>
              <w:top w:w="12" w:type="dxa"/>
              <w:left w:w="12" w:type="dxa"/>
              <w:right w:w="12" w:type="dxa"/>
            </w:tcMar>
            <w:vAlign w:val="center"/>
          </w:tcPr>
          <w:p w14:paraId="533B9900">
            <w:pPr>
              <w:jc w:val="center"/>
              <w:rPr>
                <w:rFonts w:hint="eastAsia" w:ascii="宋体" w:hAnsi="宋体" w:eastAsia="宋体" w:cs="宋体"/>
                <w:b w:val="0"/>
                <w:bCs w:val="0"/>
                <w:i w:val="0"/>
                <w:color w:val="auto"/>
                <w:sz w:val="24"/>
                <w:szCs w:val="24"/>
                <w:highlight w:val="none"/>
                <w:u w:val="none"/>
              </w:rPr>
            </w:pPr>
          </w:p>
        </w:tc>
      </w:tr>
      <w:tr w14:paraId="4CFC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51" w:hRule="atLeast"/>
        </w:trPr>
        <w:tc>
          <w:tcPr>
            <w:tcW w:w="580" w:type="dxa"/>
            <w:vMerge w:val="continue"/>
            <w:shd w:val="clear" w:color="auto" w:fill="FFFFFF"/>
            <w:tcMar>
              <w:top w:w="12" w:type="dxa"/>
              <w:left w:w="12" w:type="dxa"/>
              <w:right w:w="12" w:type="dxa"/>
            </w:tcMar>
            <w:vAlign w:val="center"/>
          </w:tcPr>
          <w:p w14:paraId="3013ACEF">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1A2CCB13">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4EB4ACC1">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36F45862">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6A8FE17D">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支持手动添加外链白名单功能，对白名单外链接不进行翻译；</w:t>
            </w:r>
          </w:p>
        </w:tc>
        <w:tc>
          <w:tcPr>
            <w:tcW w:w="2695" w:type="dxa"/>
            <w:gridSpan w:val="2"/>
            <w:shd w:val="clear" w:color="auto" w:fill="auto"/>
            <w:tcMar>
              <w:top w:w="12" w:type="dxa"/>
              <w:left w:w="12" w:type="dxa"/>
              <w:right w:w="12" w:type="dxa"/>
            </w:tcMar>
            <w:vAlign w:val="center"/>
          </w:tcPr>
          <w:p w14:paraId="1362D81E">
            <w:pPr>
              <w:jc w:val="center"/>
              <w:rPr>
                <w:rFonts w:hint="eastAsia" w:ascii="宋体" w:hAnsi="宋体" w:eastAsia="宋体" w:cs="宋体"/>
                <w:b w:val="0"/>
                <w:bCs w:val="0"/>
                <w:i w:val="0"/>
                <w:color w:val="auto"/>
                <w:sz w:val="24"/>
                <w:szCs w:val="24"/>
                <w:highlight w:val="none"/>
                <w:u w:val="none"/>
              </w:rPr>
            </w:pPr>
          </w:p>
        </w:tc>
      </w:tr>
      <w:tr w14:paraId="31FD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1" w:hRule="atLeast"/>
        </w:trPr>
        <w:tc>
          <w:tcPr>
            <w:tcW w:w="580" w:type="dxa"/>
            <w:vMerge w:val="continue"/>
            <w:shd w:val="clear" w:color="auto" w:fill="FFFFFF"/>
            <w:tcMar>
              <w:top w:w="12" w:type="dxa"/>
              <w:left w:w="12" w:type="dxa"/>
              <w:right w:w="12" w:type="dxa"/>
            </w:tcMar>
            <w:vAlign w:val="center"/>
          </w:tcPr>
          <w:p w14:paraId="11ABA452">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58D56893">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567F0E8E">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143DD306">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2C973F68">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支持可视化外链翻译开关，保证纯IPv6 用户访问网站页面与布局的一致性。</w:t>
            </w:r>
          </w:p>
        </w:tc>
        <w:tc>
          <w:tcPr>
            <w:tcW w:w="2695" w:type="dxa"/>
            <w:gridSpan w:val="2"/>
            <w:shd w:val="clear" w:color="auto" w:fill="auto"/>
            <w:tcMar>
              <w:top w:w="12" w:type="dxa"/>
              <w:left w:w="12" w:type="dxa"/>
              <w:right w:w="12" w:type="dxa"/>
            </w:tcMar>
            <w:vAlign w:val="center"/>
          </w:tcPr>
          <w:p w14:paraId="3FBD7B11">
            <w:pPr>
              <w:jc w:val="center"/>
              <w:rPr>
                <w:rFonts w:hint="eastAsia" w:ascii="宋体" w:hAnsi="宋体" w:eastAsia="宋体" w:cs="宋体"/>
                <w:b w:val="0"/>
                <w:bCs w:val="0"/>
                <w:i w:val="0"/>
                <w:color w:val="auto"/>
                <w:sz w:val="24"/>
                <w:szCs w:val="24"/>
                <w:highlight w:val="none"/>
                <w:u w:val="none"/>
              </w:rPr>
            </w:pPr>
          </w:p>
        </w:tc>
      </w:tr>
      <w:tr w14:paraId="66946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580" w:type="dxa"/>
            <w:vMerge w:val="continue"/>
            <w:shd w:val="clear" w:color="auto" w:fill="FFFFFF"/>
            <w:tcMar>
              <w:top w:w="12" w:type="dxa"/>
              <w:left w:w="12" w:type="dxa"/>
              <w:right w:w="12" w:type="dxa"/>
            </w:tcMar>
            <w:vAlign w:val="center"/>
          </w:tcPr>
          <w:p w14:paraId="271ABD25">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15DF4341">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52675258">
            <w:pPr>
              <w:jc w:val="center"/>
              <w:rPr>
                <w:rFonts w:hint="eastAsia" w:ascii="宋体" w:hAnsi="宋体" w:eastAsia="宋体" w:cs="宋体"/>
                <w:i w:val="0"/>
                <w:color w:val="auto"/>
                <w:sz w:val="24"/>
                <w:szCs w:val="24"/>
                <w:highlight w:val="none"/>
                <w:u w:val="none"/>
              </w:rPr>
            </w:pPr>
          </w:p>
        </w:tc>
        <w:tc>
          <w:tcPr>
            <w:tcW w:w="946" w:type="dxa"/>
            <w:gridSpan w:val="2"/>
            <w:vMerge w:val="restart"/>
            <w:shd w:val="clear" w:color="auto" w:fill="auto"/>
            <w:tcMar>
              <w:top w:w="12" w:type="dxa"/>
              <w:left w:w="12" w:type="dxa"/>
              <w:right w:w="12" w:type="dxa"/>
            </w:tcMar>
            <w:vAlign w:val="center"/>
          </w:tcPr>
          <w:p w14:paraId="3E709262">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内容加速</w:t>
            </w:r>
          </w:p>
        </w:tc>
        <w:tc>
          <w:tcPr>
            <w:tcW w:w="3093" w:type="dxa"/>
            <w:gridSpan w:val="2"/>
            <w:shd w:val="clear" w:color="auto" w:fill="auto"/>
            <w:tcMar>
              <w:top w:w="12" w:type="dxa"/>
              <w:left w:w="12" w:type="dxa"/>
              <w:right w:w="12" w:type="dxa"/>
            </w:tcMar>
            <w:vAlign w:val="center"/>
          </w:tcPr>
          <w:p w14:paraId="647E405E">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支持自主制定缓存策略；</w:t>
            </w:r>
          </w:p>
        </w:tc>
        <w:tc>
          <w:tcPr>
            <w:tcW w:w="2695" w:type="dxa"/>
            <w:gridSpan w:val="2"/>
            <w:shd w:val="clear" w:color="auto" w:fill="auto"/>
            <w:tcMar>
              <w:top w:w="12" w:type="dxa"/>
              <w:left w:w="12" w:type="dxa"/>
              <w:right w:w="12" w:type="dxa"/>
            </w:tcMar>
            <w:vAlign w:val="center"/>
          </w:tcPr>
          <w:p w14:paraId="0EB8923F">
            <w:pPr>
              <w:jc w:val="center"/>
              <w:rPr>
                <w:rFonts w:hint="eastAsia" w:ascii="宋体" w:hAnsi="宋体" w:eastAsia="宋体" w:cs="宋体"/>
                <w:b w:val="0"/>
                <w:bCs w:val="0"/>
                <w:i w:val="0"/>
                <w:color w:val="auto"/>
                <w:sz w:val="24"/>
                <w:szCs w:val="24"/>
                <w:highlight w:val="none"/>
                <w:u w:val="none"/>
              </w:rPr>
            </w:pPr>
          </w:p>
        </w:tc>
      </w:tr>
      <w:tr w14:paraId="603A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39" w:hRule="atLeast"/>
        </w:trPr>
        <w:tc>
          <w:tcPr>
            <w:tcW w:w="580" w:type="dxa"/>
            <w:vMerge w:val="continue"/>
            <w:shd w:val="clear" w:color="auto" w:fill="FFFFFF"/>
            <w:tcMar>
              <w:top w:w="12" w:type="dxa"/>
              <w:left w:w="12" w:type="dxa"/>
              <w:right w:w="12" w:type="dxa"/>
            </w:tcMar>
            <w:vAlign w:val="center"/>
          </w:tcPr>
          <w:p w14:paraId="6B9AF4D5">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6DCD13D3">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16E9284B">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5EE5D413">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7D2A8C85">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支持自动或者手工方式刷新缓存；</w:t>
            </w:r>
          </w:p>
        </w:tc>
        <w:tc>
          <w:tcPr>
            <w:tcW w:w="2695" w:type="dxa"/>
            <w:gridSpan w:val="2"/>
            <w:shd w:val="clear" w:color="auto" w:fill="auto"/>
            <w:tcMar>
              <w:top w:w="12" w:type="dxa"/>
              <w:left w:w="12" w:type="dxa"/>
              <w:right w:w="12" w:type="dxa"/>
            </w:tcMar>
            <w:vAlign w:val="center"/>
          </w:tcPr>
          <w:p w14:paraId="1F671A35">
            <w:pPr>
              <w:jc w:val="center"/>
              <w:rPr>
                <w:rFonts w:hint="eastAsia" w:ascii="宋体" w:hAnsi="宋体" w:eastAsia="宋体" w:cs="宋体"/>
                <w:b w:val="0"/>
                <w:bCs w:val="0"/>
                <w:i w:val="0"/>
                <w:color w:val="auto"/>
                <w:sz w:val="24"/>
                <w:szCs w:val="24"/>
                <w:highlight w:val="none"/>
                <w:u w:val="none"/>
              </w:rPr>
            </w:pPr>
          </w:p>
        </w:tc>
      </w:tr>
      <w:tr w14:paraId="083A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87" w:hRule="atLeast"/>
        </w:trPr>
        <w:tc>
          <w:tcPr>
            <w:tcW w:w="580" w:type="dxa"/>
            <w:vMerge w:val="continue"/>
            <w:shd w:val="clear" w:color="auto" w:fill="FFFFFF"/>
            <w:tcMar>
              <w:top w:w="12" w:type="dxa"/>
              <w:left w:w="12" w:type="dxa"/>
              <w:right w:w="12" w:type="dxa"/>
            </w:tcMar>
            <w:vAlign w:val="center"/>
          </w:tcPr>
          <w:p w14:paraId="0635FA83">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35CBCBC2">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792DCCAA">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790762AE">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53079BAA">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支持JPEG、GIF、MP3、MP4、WMA、ZIP、RAR、FLV、LETV、F4V、EXE、ISO、APK、XML、CSS、JS资源的缓存，支持永久缓存、不缓存或短期缓存和分段缓存；</w:t>
            </w:r>
          </w:p>
        </w:tc>
        <w:tc>
          <w:tcPr>
            <w:tcW w:w="2695" w:type="dxa"/>
            <w:gridSpan w:val="2"/>
            <w:shd w:val="clear" w:color="auto" w:fill="auto"/>
            <w:tcMar>
              <w:top w:w="12" w:type="dxa"/>
              <w:left w:w="12" w:type="dxa"/>
              <w:right w:w="12" w:type="dxa"/>
            </w:tcMar>
            <w:vAlign w:val="center"/>
          </w:tcPr>
          <w:p w14:paraId="46316EF7">
            <w:pPr>
              <w:jc w:val="center"/>
              <w:rPr>
                <w:rFonts w:hint="eastAsia" w:ascii="宋体" w:hAnsi="宋体" w:eastAsia="宋体" w:cs="宋体"/>
                <w:b w:val="0"/>
                <w:bCs w:val="0"/>
                <w:i w:val="0"/>
                <w:color w:val="auto"/>
                <w:sz w:val="24"/>
                <w:szCs w:val="24"/>
                <w:highlight w:val="none"/>
                <w:u w:val="none"/>
              </w:rPr>
            </w:pPr>
          </w:p>
        </w:tc>
      </w:tr>
      <w:tr w14:paraId="33B3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9" w:hRule="atLeast"/>
        </w:trPr>
        <w:tc>
          <w:tcPr>
            <w:tcW w:w="580" w:type="dxa"/>
            <w:vMerge w:val="continue"/>
            <w:shd w:val="clear" w:color="auto" w:fill="FFFFFF"/>
            <w:tcMar>
              <w:top w:w="12" w:type="dxa"/>
              <w:left w:w="12" w:type="dxa"/>
              <w:right w:w="12" w:type="dxa"/>
            </w:tcMar>
            <w:vAlign w:val="center"/>
          </w:tcPr>
          <w:p w14:paraId="498AC5B6">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49EA0841">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56D8D113">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243380A7">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64377126">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具备全局负载均衡和智能调度，可自主制定缓存策略，根据策略自动选择时延最短、节点负载最轻的传输路径，将用户的请求导向整个网络中的最佳节点，为客户提供稳定、优质的加速服务。</w:t>
            </w:r>
          </w:p>
        </w:tc>
        <w:tc>
          <w:tcPr>
            <w:tcW w:w="2695" w:type="dxa"/>
            <w:gridSpan w:val="2"/>
            <w:shd w:val="clear" w:color="auto" w:fill="auto"/>
            <w:tcMar>
              <w:top w:w="12" w:type="dxa"/>
              <w:left w:w="12" w:type="dxa"/>
              <w:right w:w="12" w:type="dxa"/>
            </w:tcMar>
            <w:vAlign w:val="center"/>
          </w:tcPr>
          <w:p w14:paraId="6138403D">
            <w:pPr>
              <w:jc w:val="center"/>
              <w:rPr>
                <w:rFonts w:hint="eastAsia" w:ascii="宋体" w:hAnsi="宋体" w:eastAsia="宋体" w:cs="宋体"/>
                <w:b w:val="0"/>
                <w:bCs w:val="0"/>
                <w:i w:val="0"/>
                <w:color w:val="auto"/>
                <w:sz w:val="24"/>
                <w:szCs w:val="24"/>
                <w:highlight w:val="none"/>
                <w:u w:val="none"/>
              </w:rPr>
            </w:pPr>
          </w:p>
        </w:tc>
      </w:tr>
      <w:tr w14:paraId="1909A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3" w:hRule="atLeast"/>
        </w:trPr>
        <w:tc>
          <w:tcPr>
            <w:tcW w:w="580" w:type="dxa"/>
            <w:vMerge w:val="continue"/>
            <w:shd w:val="clear" w:color="auto" w:fill="FFFFFF"/>
            <w:tcMar>
              <w:top w:w="12" w:type="dxa"/>
              <w:left w:w="12" w:type="dxa"/>
              <w:right w:w="12" w:type="dxa"/>
            </w:tcMar>
            <w:vAlign w:val="center"/>
          </w:tcPr>
          <w:p w14:paraId="6456C03C">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6CBDBF17">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1BBAEBD1">
            <w:pPr>
              <w:jc w:val="center"/>
              <w:rPr>
                <w:rFonts w:hint="eastAsia" w:ascii="宋体" w:hAnsi="宋体" w:eastAsia="宋体" w:cs="宋体"/>
                <w:i w:val="0"/>
                <w:color w:val="auto"/>
                <w:sz w:val="24"/>
                <w:szCs w:val="24"/>
                <w:highlight w:val="none"/>
                <w:u w:val="none"/>
              </w:rPr>
            </w:pPr>
          </w:p>
        </w:tc>
        <w:tc>
          <w:tcPr>
            <w:tcW w:w="946" w:type="dxa"/>
            <w:gridSpan w:val="2"/>
            <w:vMerge w:val="restart"/>
            <w:shd w:val="clear" w:color="auto" w:fill="auto"/>
            <w:tcMar>
              <w:top w:w="12" w:type="dxa"/>
              <w:left w:w="12" w:type="dxa"/>
              <w:right w:w="12" w:type="dxa"/>
            </w:tcMar>
            <w:vAlign w:val="center"/>
          </w:tcPr>
          <w:p w14:paraId="7DDA59C9">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集群管理</w:t>
            </w:r>
          </w:p>
        </w:tc>
        <w:tc>
          <w:tcPr>
            <w:tcW w:w="3093" w:type="dxa"/>
            <w:gridSpan w:val="2"/>
            <w:shd w:val="clear" w:color="auto" w:fill="auto"/>
            <w:tcMar>
              <w:top w:w="12" w:type="dxa"/>
              <w:left w:w="12" w:type="dxa"/>
              <w:right w:w="12" w:type="dxa"/>
            </w:tcMar>
            <w:vAlign w:val="center"/>
          </w:tcPr>
          <w:p w14:paraId="531463AC">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支持集群中设备支持自定义角色，≥包括：配置服务器、业务服务器、日志服务器，配置服务器支持主备设备；</w:t>
            </w:r>
          </w:p>
        </w:tc>
        <w:tc>
          <w:tcPr>
            <w:tcW w:w="2695" w:type="dxa"/>
            <w:gridSpan w:val="2"/>
            <w:shd w:val="clear" w:color="auto" w:fill="auto"/>
            <w:tcMar>
              <w:top w:w="12" w:type="dxa"/>
              <w:left w:w="12" w:type="dxa"/>
              <w:right w:w="12" w:type="dxa"/>
            </w:tcMar>
            <w:vAlign w:val="center"/>
          </w:tcPr>
          <w:p w14:paraId="4119FD99">
            <w:pPr>
              <w:jc w:val="center"/>
              <w:rPr>
                <w:rFonts w:hint="eastAsia" w:ascii="宋体" w:hAnsi="宋体" w:eastAsia="宋体" w:cs="宋体"/>
                <w:b w:val="0"/>
                <w:bCs w:val="0"/>
                <w:i w:val="0"/>
                <w:color w:val="auto"/>
                <w:sz w:val="24"/>
                <w:szCs w:val="24"/>
                <w:highlight w:val="none"/>
                <w:u w:val="none"/>
              </w:rPr>
            </w:pPr>
          </w:p>
        </w:tc>
      </w:tr>
      <w:tr w14:paraId="635AA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1" w:hRule="atLeast"/>
        </w:trPr>
        <w:tc>
          <w:tcPr>
            <w:tcW w:w="580" w:type="dxa"/>
            <w:vMerge w:val="continue"/>
            <w:shd w:val="clear" w:color="auto" w:fill="FFFFFF"/>
            <w:tcMar>
              <w:top w:w="12" w:type="dxa"/>
              <w:left w:w="12" w:type="dxa"/>
              <w:right w:w="12" w:type="dxa"/>
            </w:tcMar>
            <w:vAlign w:val="center"/>
          </w:tcPr>
          <w:p w14:paraId="73E31421">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47711500">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507ED8B7">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7671778A">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1FE48463">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支持不中断业务下的设备级扩容，集群支持主备模式和负载均衡模式；</w:t>
            </w:r>
          </w:p>
        </w:tc>
        <w:tc>
          <w:tcPr>
            <w:tcW w:w="2695" w:type="dxa"/>
            <w:gridSpan w:val="2"/>
            <w:shd w:val="clear" w:color="auto" w:fill="auto"/>
            <w:tcMar>
              <w:top w:w="12" w:type="dxa"/>
              <w:left w:w="12" w:type="dxa"/>
              <w:right w:w="12" w:type="dxa"/>
            </w:tcMar>
            <w:vAlign w:val="center"/>
          </w:tcPr>
          <w:p w14:paraId="46E87455">
            <w:pPr>
              <w:jc w:val="center"/>
              <w:rPr>
                <w:rFonts w:hint="eastAsia" w:ascii="宋体" w:hAnsi="宋体" w:eastAsia="宋体" w:cs="宋体"/>
                <w:b w:val="0"/>
                <w:bCs w:val="0"/>
                <w:i w:val="0"/>
                <w:color w:val="auto"/>
                <w:sz w:val="24"/>
                <w:szCs w:val="24"/>
                <w:highlight w:val="none"/>
                <w:u w:val="none"/>
              </w:rPr>
            </w:pPr>
          </w:p>
        </w:tc>
      </w:tr>
      <w:tr w14:paraId="3286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3" w:hRule="atLeast"/>
        </w:trPr>
        <w:tc>
          <w:tcPr>
            <w:tcW w:w="580" w:type="dxa"/>
            <w:vMerge w:val="continue"/>
            <w:shd w:val="clear" w:color="auto" w:fill="FFFFFF"/>
            <w:tcMar>
              <w:top w:w="12" w:type="dxa"/>
              <w:left w:w="12" w:type="dxa"/>
              <w:right w:w="12" w:type="dxa"/>
            </w:tcMar>
            <w:vAlign w:val="center"/>
          </w:tcPr>
          <w:p w14:paraId="076D59A9">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2521E8FE">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751D8EE4">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5C126E20">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045154F5">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支持网络发布服务负载均衡模式调整，包括稳定模式、根据连接数、流量或者源地址进行负载均衡；</w:t>
            </w:r>
          </w:p>
        </w:tc>
        <w:tc>
          <w:tcPr>
            <w:tcW w:w="2695" w:type="dxa"/>
            <w:gridSpan w:val="2"/>
            <w:shd w:val="clear" w:color="auto" w:fill="auto"/>
            <w:tcMar>
              <w:top w:w="12" w:type="dxa"/>
              <w:left w:w="12" w:type="dxa"/>
              <w:right w:w="12" w:type="dxa"/>
            </w:tcMar>
            <w:vAlign w:val="center"/>
          </w:tcPr>
          <w:p w14:paraId="594F433E">
            <w:pPr>
              <w:jc w:val="center"/>
              <w:rPr>
                <w:rFonts w:hint="eastAsia" w:ascii="宋体" w:hAnsi="宋体" w:eastAsia="宋体" w:cs="宋体"/>
                <w:b w:val="0"/>
                <w:bCs w:val="0"/>
                <w:i w:val="0"/>
                <w:color w:val="auto"/>
                <w:sz w:val="24"/>
                <w:szCs w:val="24"/>
                <w:highlight w:val="none"/>
                <w:u w:val="none"/>
              </w:rPr>
            </w:pPr>
          </w:p>
        </w:tc>
      </w:tr>
      <w:tr w14:paraId="72C4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3" w:hRule="atLeast"/>
        </w:trPr>
        <w:tc>
          <w:tcPr>
            <w:tcW w:w="580" w:type="dxa"/>
            <w:vMerge w:val="continue"/>
            <w:shd w:val="clear" w:color="auto" w:fill="FFFFFF"/>
            <w:tcMar>
              <w:top w:w="12" w:type="dxa"/>
              <w:left w:w="12" w:type="dxa"/>
              <w:right w:w="12" w:type="dxa"/>
            </w:tcMar>
            <w:vAlign w:val="center"/>
          </w:tcPr>
          <w:p w14:paraId="10F01CC4">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341636EF">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5BA35E23">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199ADE9D">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2A9688DD">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支持基于服务状态、网络状态、端口状态的集群负载切换，自动剔除集群中存在故障的设备，保证业务连续可用性。</w:t>
            </w:r>
          </w:p>
        </w:tc>
        <w:tc>
          <w:tcPr>
            <w:tcW w:w="2695" w:type="dxa"/>
            <w:gridSpan w:val="2"/>
            <w:shd w:val="clear" w:color="auto" w:fill="auto"/>
            <w:tcMar>
              <w:top w:w="12" w:type="dxa"/>
              <w:left w:w="12" w:type="dxa"/>
              <w:right w:w="12" w:type="dxa"/>
            </w:tcMar>
            <w:vAlign w:val="center"/>
          </w:tcPr>
          <w:p w14:paraId="428BF789">
            <w:pPr>
              <w:jc w:val="center"/>
              <w:rPr>
                <w:rFonts w:hint="eastAsia" w:ascii="宋体" w:hAnsi="宋体" w:eastAsia="宋体" w:cs="宋体"/>
                <w:b w:val="0"/>
                <w:bCs w:val="0"/>
                <w:i w:val="0"/>
                <w:color w:val="auto"/>
                <w:sz w:val="24"/>
                <w:szCs w:val="24"/>
                <w:highlight w:val="none"/>
                <w:u w:val="none"/>
              </w:rPr>
            </w:pPr>
          </w:p>
        </w:tc>
      </w:tr>
      <w:tr w14:paraId="3F77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9" w:hRule="atLeast"/>
        </w:trPr>
        <w:tc>
          <w:tcPr>
            <w:tcW w:w="580" w:type="dxa"/>
            <w:vMerge w:val="continue"/>
            <w:shd w:val="clear" w:color="auto" w:fill="FFFFFF"/>
            <w:tcMar>
              <w:top w:w="12" w:type="dxa"/>
              <w:left w:w="12" w:type="dxa"/>
              <w:right w:w="12" w:type="dxa"/>
            </w:tcMar>
            <w:vAlign w:val="center"/>
          </w:tcPr>
          <w:p w14:paraId="1D52B7EB">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37B4B6A7">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44DB8C39">
            <w:pPr>
              <w:jc w:val="center"/>
              <w:rPr>
                <w:rFonts w:hint="eastAsia" w:ascii="宋体" w:hAnsi="宋体" w:eastAsia="宋体" w:cs="宋体"/>
                <w:i w:val="0"/>
                <w:color w:val="auto"/>
                <w:sz w:val="24"/>
                <w:szCs w:val="24"/>
                <w:highlight w:val="none"/>
                <w:u w:val="none"/>
              </w:rPr>
            </w:pPr>
          </w:p>
        </w:tc>
        <w:tc>
          <w:tcPr>
            <w:tcW w:w="946" w:type="dxa"/>
            <w:gridSpan w:val="2"/>
            <w:vMerge w:val="restart"/>
            <w:shd w:val="clear" w:color="auto" w:fill="auto"/>
            <w:tcMar>
              <w:top w:w="12" w:type="dxa"/>
              <w:left w:w="12" w:type="dxa"/>
              <w:right w:w="12" w:type="dxa"/>
            </w:tcMar>
            <w:vAlign w:val="center"/>
          </w:tcPr>
          <w:p w14:paraId="1CE6B132">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协议升级</w:t>
            </w:r>
          </w:p>
        </w:tc>
        <w:tc>
          <w:tcPr>
            <w:tcW w:w="3093" w:type="dxa"/>
            <w:gridSpan w:val="2"/>
            <w:shd w:val="clear" w:color="auto" w:fill="auto"/>
            <w:tcMar>
              <w:top w:w="12" w:type="dxa"/>
              <w:left w:w="12" w:type="dxa"/>
              <w:right w:w="12" w:type="dxa"/>
            </w:tcMar>
            <w:vAlign w:val="center"/>
          </w:tcPr>
          <w:p w14:paraId="7867D049">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支持将HTTP协议的网站升级为HTTPS协议的能力；</w:t>
            </w:r>
          </w:p>
        </w:tc>
        <w:tc>
          <w:tcPr>
            <w:tcW w:w="2695" w:type="dxa"/>
            <w:gridSpan w:val="2"/>
            <w:shd w:val="clear" w:color="auto" w:fill="auto"/>
            <w:tcMar>
              <w:top w:w="12" w:type="dxa"/>
              <w:left w:w="12" w:type="dxa"/>
              <w:right w:w="12" w:type="dxa"/>
            </w:tcMar>
            <w:vAlign w:val="center"/>
          </w:tcPr>
          <w:p w14:paraId="53002082">
            <w:pPr>
              <w:jc w:val="center"/>
              <w:rPr>
                <w:rFonts w:hint="eastAsia" w:ascii="宋体" w:hAnsi="宋体" w:eastAsia="宋体" w:cs="宋体"/>
                <w:b w:val="0"/>
                <w:bCs w:val="0"/>
                <w:i w:val="0"/>
                <w:color w:val="auto"/>
                <w:sz w:val="24"/>
                <w:szCs w:val="24"/>
                <w:highlight w:val="none"/>
                <w:u w:val="none"/>
              </w:rPr>
            </w:pPr>
          </w:p>
        </w:tc>
      </w:tr>
      <w:tr w14:paraId="12CB8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39" w:hRule="atLeast"/>
        </w:trPr>
        <w:tc>
          <w:tcPr>
            <w:tcW w:w="580" w:type="dxa"/>
            <w:vMerge w:val="continue"/>
            <w:shd w:val="clear" w:color="auto" w:fill="FFFFFF"/>
            <w:tcMar>
              <w:top w:w="12" w:type="dxa"/>
              <w:left w:w="12" w:type="dxa"/>
              <w:right w:w="12" w:type="dxa"/>
            </w:tcMar>
            <w:vAlign w:val="center"/>
          </w:tcPr>
          <w:p w14:paraId="4F9B9CDE">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6C6C0268">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6FFB2CB7">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5BF1A5A2">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0CDBFF45">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支持将HTTP1.0/1.1协议的网站升级为HTTP2协议的能力</w:t>
            </w:r>
          </w:p>
        </w:tc>
        <w:tc>
          <w:tcPr>
            <w:tcW w:w="2695" w:type="dxa"/>
            <w:gridSpan w:val="2"/>
            <w:shd w:val="clear" w:color="auto" w:fill="auto"/>
            <w:tcMar>
              <w:top w:w="12" w:type="dxa"/>
              <w:left w:w="12" w:type="dxa"/>
              <w:right w:w="12" w:type="dxa"/>
            </w:tcMar>
            <w:vAlign w:val="center"/>
          </w:tcPr>
          <w:p w14:paraId="46DFAD10">
            <w:pPr>
              <w:jc w:val="center"/>
              <w:rPr>
                <w:rFonts w:hint="eastAsia" w:ascii="宋体" w:hAnsi="宋体" w:eastAsia="宋体" w:cs="宋体"/>
                <w:b w:val="0"/>
                <w:bCs w:val="0"/>
                <w:i w:val="0"/>
                <w:color w:val="auto"/>
                <w:sz w:val="24"/>
                <w:szCs w:val="24"/>
                <w:highlight w:val="none"/>
                <w:u w:val="none"/>
              </w:rPr>
            </w:pPr>
          </w:p>
        </w:tc>
      </w:tr>
      <w:tr w14:paraId="738B0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1" w:hRule="atLeast"/>
        </w:trPr>
        <w:tc>
          <w:tcPr>
            <w:tcW w:w="580" w:type="dxa"/>
            <w:vMerge w:val="continue"/>
            <w:shd w:val="clear" w:color="auto" w:fill="FFFFFF"/>
            <w:tcMar>
              <w:top w:w="12" w:type="dxa"/>
              <w:left w:w="12" w:type="dxa"/>
              <w:right w:w="12" w:type="dxa"/>
            </w:tcMar>
            <w:vAlign w:val="center"/>
          </w:tcPr>
          <w:p w14:paraId="6DA00C67">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0773EF07">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656D05DD">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01D9BF8A">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58B7FBCF">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支持主流网站采用的所有协议，包括HTTPS等，支持4A模式升级（IPv6与IPv4网站同域名），改造网站的二级、三级链接均能保证正常访问，并且保证支持网络购物网络银行等电子商务、在线视频、聊天软件等页面内容；</w:t>
            </w:r>
          </w:p>
        </w:tc>
        <w:tc>
          <w:tcPr>
            <w:tcW w:w="2695" w:type="dxa"/>
            <w:gridSpan w:val="2"/>
            <w:shd w:val="clear" w:color="auto" w:fill="auto"/>
            <w:tcMar>
              <w:top w:w="12" w:type="dxa"/>
              <w:left w:w="12" w:type="dxa"/>
              <w:right w:w="12" w:type="dxa"/>
            </w:tcMar>
            <w:vAlign w:val="center"/>
          </w:tcPr>
          <w:p w14:paraId="4E121126">
            <w:pPr>
              <w:jc w:val="center"/>
              <w:rPr>
                <w:rFonts w:hint="eastAsia" w:ascii="宋体" w:hAnsi="宋体" w:eastAsia="宋体" w:cs="宋体"/>
                <w:b w:val="0"/>
                <w:bCs w:val="0"/>
                <w:i w:val="0"/>
                <w:color w:val="auto"/>
                <w:sz w:val="24"/>
                <w:szCs w:val="24"/>
                <w:highlight w:val="none"/>
                <w:u w:val="none"/>
              </w:rPr>
            </w:pPr>
          </w:p>
        </w:tc>
      </w:tr>
      <w:tr w14:paraId="26617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1" w:hRule="atLeast"/>
        </w:trPr>
        <w:tc>
          <w:tcPr>
            <w:tcW w:w="580" w:type="dxa"/>
            <w:vMerge w:val="continue"/>
            <w:shd w:val="clear" w:color="auto" w:fill="FFFFFF"/>
            <w:tcMar>
              <w:top w:w="12" w:type="dxa"/>
              <w:left w:w="12" w:type="dxa"/>
              <w:right w:w="12" w:type="dxa"/>
            </w:tcMar>
            <w:vAlign w:val="center"/>
          </w:tcPr>
          <w:p w14:paraId="7EEDB482">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6A698C3E">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041EBA2D">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7D3EC2F3">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5590F400">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支持多域名或多网站共享IPv4地址；支持多域名或多网站共享IPv6地址；</w:t>
            </w:r>
          </w:p>
        </w:tc>
        <w:tc>
          <w:tcPr>
            <w:tcW w:w="2695" w:type="dxa"/>
            <w:gridSpan w:val="2"/>
            <w:shd w:val="clear" w:color="auto" w:fill="auto"/>
            <w:tcMar>
              <w:top w:w="12" w:type="dxa"/>
              <w:left w:w="12" w:type="dxa"/>
              <w:right w:w="12" w:type="dxa"/>
            </w:tcMar>
            <w:vAlign w:val="center"/>
          </w:tcPr>
          <w:p w14:paraId="60BA36BA">
            <w:pPr>
              <w:jc w:val="center"/>
              <w:rPr>
                <w:rFonts w:hint="eastAsia" w:ascii="宋体" w:hAnsi="宋体" w:eastAsia="宋体" w:cs="宋体"/>
                <w:b w:val="0"/>
                <w:bCs w:val="0"/>
                <w:i w:val="0"/>
                <w:color w:val="auto"/>
                <w:sz w:val="24"/>
                <w:szCs w:val="24"/>
                <w:highlight w:val="none"/>
                <w:u w:val="none"/>
              </w:rPr>
            </w:pPr>
          </w:p>
        </w:tc>
      </w:tr>
      <w:tr w14:paraId="59413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9" w:hRule="atLeast"/>
        </w:trPr>
        <w:tc>
          <w:tcPr>
            <w:tcW w:w="580" w:type="dxa"/>
            <w:vMerge w:val="continue"/>
            <w:shd w:val="clear" w:color="auto" w:fill="FFFFFF"/>
            <w:tcMar>
              <w:top w:w="12" w:type="dxa"/>
              <w:left w:w="12" w:type="dxa"/>
              <w:right w:w="12" w:type="dxa"/>
            </w:tcMar>
            <w:vAlign w:val="center"/>
          </w:tcPr>
          <w:p w14:paraId="3695AD85">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76A4A755">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79E54907">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620BF40E">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7AA8283C">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支持对源站死链的智能优化，如400 转200；</w:t>
            </w:r>
          </w:p>
        </w:tc>
        <w:tc>
          <w:tcPr>
            <w:tcW w:w="2695" w:type="dxa"/>
            <w:gridSpan w:val="2"/>
            <w:shd w:val="clear" w:color="auto" w:fill="auto"/>
            <w:tcMar>
              <w:top w:w="12" w:type="dxa"/>
              <w:left w:w="12" w:type="dxa"/>
              <w:right w:w="12" w:type="dxa"/>
            </w:tcMar>
            <w:vAlign w:val="center"/>
          </w:tcPr>
          <w:p w14:paraId="3E003608">
            <w:pPr>
              <w:jc w:val="center"/>
              <w:rPr>
                <w:rFonts w:hint="eastAsia" w:ascii="宋体" w:hAnsi="宋体" w:eastAsia="宋体" w:cs="宋体"/>
                <w:b w:val="0"/>
                <w:bCs w:val="0"/>
                <w:i w:val="0"/>
                <w:color w:val="auto"/>
                <w:sz w:val="24"/>
                <w:szCs w:val="24"/>
                <w:highlight w:val="none"/>
                <w:u w:val="none"/>
              </w:rPr>
            </w:pPr>
          </w:p>
        </w:tc>
      </w:tr>
      <w:tr w14:paraId="20FD7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75" w:hRule="atLeast"/>
        </w:trPr>
        <w:tc>
          <w:tcPr>
            <w:tcW w:w="580" w:type="dxa"/>
            <w:vMerge w:val="continue"/>
            <w:shd w:val="clear" w:color="auto" w:fill="FFFFFF"/>
            <w:tcMar>
              <w:top w:w="12" w:type="dxa"/>
              <w:left w:w="12" w:type="dxa"/>
              <w:right w:w="12" w:type="dxa"/>
            </w:tcMar>
            <w:vAlign w:val="center"/>
          </w:tcPr>
          <w:p w14:paraId="1558B1BB">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1AD303E0">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29AFF7B5">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0090B06F">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40CE41BC">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支持HTTP ALG应用层转换、FTP ALG应用层转2换；支持HTTP、HTTPS、POP3、SMTP、IMAP, RTCP、RTSP、MMS, XFF等协议；</w:t>
            </w:r>
          </w:p>
        </w:tc>
        <w:tc>
          <w:tcPr>
            <w:tcW w:w="2695" w:type="dxa"/>
            <w:gridSpan w:val="2"/>
            <w:shd w:val="clear" w:color="auto" w:fill="auto"/>
            <w:tcMar>
              <w:top w:w="12" w:type="dxa"/>
              <w:left w:w="12" w:type="dxa"/>
              <w:right w:w="12" w:type="dxa"/>
            </w:tcMar>
            <w:vAlign w:val="center"/>
          </w:tcPr>
          <w:p w14:paraId="37E7AEC7">
            <w:pPr>
              <w:jc w:val="center"/>
              <w:rPr>
                <w:rFonts w:hint="eastAsia" w:ascii="宋体" w:hAnsi="宋体" w:eastAsia="宋体" w:cs="宋体"/>
                <w:b w:val="0"/>
                <w:bCs w:val="0"/>
                <w:i w:val="0"/>
                <w:color w:val="auto"/>
                <w:sz w:val="24"/>
                <w:szCs w:val="24"/>
                <w:highlight w:val="none"/>
                <w:u w:val="none"/>
              </w:rPr>
            </w:pPr>
          </w:p>
        </w:tc>
      </w:tr>
      <w:tr w14:paraId="4231C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9" w:hRule="atLeast"/>
        </w:trPr>
        <w:tc>
          <w:tcPr>
            <w:tcW w:w="580" w:type="dxa"/>
            <w:vMerge w:val="continue"/>
            <w:shd w:val="clear" w:color="auto" w:fill="FFFFFF"/>
            <w:tcMar>
              <w:top w:w="12" w:type="dxa"/>
              <w:left w:w="12" w:type="dxa"/>
              <w:right w:w="12" w:type="dxa"/>
            </w:tcMar>
            <w:vAlign w:val="center"/>
          </w:tcPr>
          <w:p w14:paraId="7D27BBB2">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2D365CF3">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77CBD20B">
            <w:pPr>
              <w:jc w:val="center"/>
              <w:rPr>
                <w:rFonts w:hint="eastAsia" w:ascii="宋体" w:hAnsi="宋体" w:eastAsia="宋体" w:cs="宋体"/>
                <w:i w:val="0"/>
                <w:color w:val="auto"/>
                <w:sz w:val="24"/>
                <w:szCs w:val="24"/>
                <w:highlight w:val="none"/>
                <w:u w:val="none"/>
              </w:rPr>
            </w:pPr>
          </w:p>
        </w:tc>
        <w:tc>
          <w:tcPr>
            <w:tcW w:w="946" w:type="dxa"/>
            <w:gridSpan w:val="2"/>
            <w:vMerge w:val="restart"/>
            <w:shd w:val="clear" w:color="auto" w:fill="auto"/>
            <w:tcMar>
              <w:top w:w="12" w:type="dxa"/>
              <w:left w:w="12" w:type="dxa"/>
              <w:right w:w="12" w:type="dxa"/>
            </w:tcMar>
            <w:vAlign w:val="center"/>
          </w:tcPr>
          <w:p w14:paraId="72A5CEF0">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访问控制</w:t>
            </w:r>
          </w:p>
        </w:tc>
        <w:tc>
          <w:tcPr>
            <w:tcW w:w="3093" w:type="dxa"/>
            <w:gridSpan w:val="2"/>
            <w:shd w:val="clear" w:color="auto" w:fill="auto"/>
            <w:tcMar>
              <w:top w:w="12" w:type="dxa"/>
              <w:left w:w="12" w:type="dxa"/>
              <w:right w:w="12" w:type="dxa"/>
            </w:tcMar>
            <w:vAlign w:val="center"/>
          </w:tcPr>
          <w:p w14:paraId="1C987131">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黑白名单，支持基于IP地址以及IP段的访问控制能力</w:t>
            </w:r>
          </w:p>
        </w:tc>
        <w:tc>
          <w:tcPr>
            <w:tcW w:w="2695" w:type="dxa"/>
            <w:gridSpan w:val="2"/>
            <w:shd w:val="clear" w:color="auto" w:fill="auto"/>
            <w:tcMar>
              <w:top w:w="12" w:type="dxa"/>
              <w:left w:w="12" w:type="dxa"/>
              <w:right w:w="12" w:type="dxa"/>
            </w:tcMar>
            <w:vAlign w:val="center"/>
          </w:tcPr>
          <w:p w14:paraId="031289F9">
            <w:pPr>
              <w:jc w:val="center"/>
              <w:rPr>
                <w:rFonts w:hint="eastAsia" w:ascii="宋体" w:hAnsi="宋体" w:eastAsia="宋体" w:cs="宋体"/>
                <w:b w:val="0"/>
                <w:bCs w:val="0"/>
                <w:i w:val="0"/>
                <w:color w:val="auto"/>
                <w:sz w:val="24"/>
                <w:szCs w:val="24"/>
                <w:highlight w:val="none"/>
                <w:u w:val="none"/>
              </w:rPr>
            </w:pPr>
          </w:p>
        </w:tc>
      </w:tr>
      <w:tr w14:paraId="2B381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9" w:hRule="atLeast"/>
        </w:trPr>
        <w:tc>
          <w:tcPr>
            <w:tcW w:w="580" w:type="dxa"/>
            <w:vMerge w:val="continue"/>
            <w:shd w:val="clear" w:color="auto" w:fill="FFFFFF"/>
            <w:tcMar>
              <w:top w:w="12" w:type="dxa"/>
              <w:left w:w="12" w:type="dxa"/>
              <w:right w:w="12" w:type="dxa"/>
            </w:tcMar>
            <w:vAlign w:val="center"/>
          </w:tcPr>
          <w:p w14:paraId="5AFB1A5B">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21D44583">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24CEE68A">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4E250C3C">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4817A808">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访问限速，支持≥6种标准特征下的访问频率控制能力</w:t>
            </w:r>
          </w:p>
        </w:tc>
        <w:tc>
          <w:tcPr>
            <w:tcW w:w="2695" w:type="dxa"/>
            <w:gridSpan w:val="2"/>
            <w:shd w:val="clear" w:color="auto" w:fill="auto"/>
            <w:tcMar>
              <w:top w:w="12" w:type="dxa"/>
              <w:left w:w="12" w:type="dxa"/>
              <w:right w:w="12" w:type="dxa"/>
            </w:tcMar>
            <w:vAlign w:val="center"/>
          </w:tcPr>
          <w:p w14:paraId="06ABF95D">
            <w:pPr>
              <w:jc w:val="center"/>
              <w:rPr>
                <w:rFonts w:hint="eastAsia" w:ascii="宋体" w:hAnsi="宋体" w:eastAsia="宋体" w:cs="宋体"/>
                <w:b w:val="0"/>
                <w:bCs w:val="0"/>
                <w:i w:val="0"/>
                <w:color w:val="auto"/>
                <w:sz w:val="24"/>
                <w:szCs w:val="24"/>
                <w:highlight w:val="none"/>
                <w:u w:val="none"/>
              </w:rPr>
            </w:pPr>
          </w:p>
        </w:tc>
      </w:tr>
      <w:tr w14:paraId="1AF6E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9" w:hRule="atLeast"/>
        </w:trPr>
        <w:tc>
          <w:tcPr>
            <w:tcW w:w="580" w:type="dxa"/>
            <w:vMerge w:val="continue"/>
            <w:shd w:val="clear" w:color="auto" w:fill="FFFFFF"/>
            <w:tcMar>
              <w:top w:w="12" w:type="dxa"/>
              <w:left w:w="12" w:type="dxa"/>
              <w:right w:w="12" w:type="dxa"/>
            </w:tcMar>
            <w:vAlign w:val="center"/>
          </w:tcPr>
          <w:p w14:paraId="1397FF5C">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23400032">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04497452">
            <w:pPr>
              <w:jc w:val="center"/>
              <w:rPr>
                <w:rFonts w:hint="eastAsia" w:ascii="宋体" w:hAnsi="宋体" w:eastAsia="宋体" w:cs="宋体"/>
                <w:i w:val="0"/>
                <w:color w:val="auto"/>
                <w:sz w:val="24"/>
                <w:szCs w:val="24"/>
                <w:highlight w:val="none"/>
                <w:u w:val="none"/>
              </w:rPr>
            </w:pPr>
          </w:p>
        </w:tc>
        <w:tc>
          <w:tcPr>
            <w:tcW w:w="946" w:type="dxa"/>
            <w:gridSpan w:val="2"/>
            <w:vMerge w:val="restart"/>
            <w:shd w:val="clear" w:color="auto" w:fill="auto"/>
            <w:tcMar>
              <w:top w:w="12" w:type="dxa"/>
              <w:left w:w="12" w:type="dxa"/>
              <w:right w:w="12" w:type="dxa"/>
            </w:tcMar>
            <w:vAlign w:val="center"/>
          </w:tcPr>
          <w:p w14:paraId="6E8B2BF3">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源站保护</w:t>
            </w:r>
          </w:p>
        </w:tc>
        <w:tc>
          <w:tcPr>
            <w:tcW w:w="3093" w:type="dxa"/>
            <w:gridSpan w:val="2"/>
            <w:shd w:val="clear" w:color="auto" w:fill="auto"/>
            <w:tcMar>
              <w:top w:w="12" w:type="dxa"/>
              <w:left w:w="12" w:type="dxa"/>
              <w:right w:w="12" w:type="dxa"/>
            </w:tcMar>
            <w:vAlign w:val="center"/>
          </w:tcPr>
          <w:p w14:paraId="721AA3C0">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负载均衡，支持多个源IP情况下的自动负载均衡能力</w:t>
            </w:r>
          </w:p>
        </w:tc>
        <w:tc>
          <w:tcPr>
            <w:tcW w:w="2695" w:type="dxa"/>
            <w:gridSpan w:val="2"/>
            <w:shd w:val="clear" w:color="auto" w:fill="auto"/>
            <w:tcMar>
              <w:top w:w="12" w:type="dxa"/>
              <w:left w:w="12" w:type="dxa"/>
              <w:right w:w="12" w:type="dxa"/>
            </w:tcMar>
            <w:vAlign w:val="center"/>
          </w:tcPr>
          <w:p w14:paraId="207809F4">
            <w:pPr>
              <w:jc w:val="center"/>
              <w:rPr>
                <w:rFonts w:hint="eastAsia" w:ascii="宋体" w:hAnsi="宋体" w:eastAsia="宋体" w:cs="宋体"/>
                <w:b w:val="0"/>
                <w:bCs w:val="0"/>
                <w:i w:val="0"/>
                <w:color w:val="auto"/>
                <w:sz w:val="24"/>
                <w:szCs w:val="24"/>
                <w:highlight w:val="none"/>
                <w:u w:val="none"/>
              </w:rPr>
            </w:pPr>
          </w:p>
        </w:tc>
      </w:tr>
      <w:tr w14:paraId="531F9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1" w:hRule="atLeast"/>
        </w:trPr>
        <w:tc>
          <w:tcPr>
            <w:tcW w:w="580" w:type="dxa"/>
            <w:vMerge w:val="continue"/>
            <w:shd w:val="clear" w:color="auto" w:fill="FFFFFF"/>
            <w:tcMar>
              <w:top w:w="12" w:type="dxa"/>
              <w:left w:w="12" w:type="dxa"/>
              <w:right w:w="12" w:type="dxa"/>
            </w:tcMar>
            <w:vAlign w:val="center"/>
          </w:tcPr>
          <w:p w14:paraId="05C82A0B">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38AB9AF6">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62ADF0C7">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3757C3DB">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079C9BB7">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异常调度，支持多个源IP情况下单源质量下降甚至服务中断情况下的无损切换能力</w:t>
            </w:r>
          </w:p>
        </w:tc>
        <w:tc>
          <w:tcPr>
            <w:tcW w:w="2695" w:type="dxa"/>
            <w:gridSpan w:val="2"/>
            <w:shd w:val="clear" w:color="auto" w:fill="auto"/>
            <w:tcMar>
              <w:top w:w="12" w:type="dxa"/>
              <w:left w:w="12" w:type="dxa"/>
              <w:right w:w="12" w:type="dxa"/>
            </w:tcMar>
            <w:vAlign w:val="center"/>
          </w:tcPr>
          <w:p w14:paraId="3590D64D">
            <w:pPr>
              <w:jc w:val="center"/>
              <w:rPr>
                <w:rFonts w:hint="eastAsia" w:ascii="宋体" w:hAnsi="宋体" w:eastAsia="宋体" w:cs="宋体"/>
                <w:b w:val="0"/>
                <w:bCs w:val="0"/>
                <w:i w:val="0"/>
                <w:color w:val="auto"/>
                <w:sz w:val="24"/>
                <w:szCs w:val="24"/>
                <w:highlight w:val="none"/>
                <w:u w:val="none"/>
              </w:rPr>
            </w:pPr>
          </w:p>
        </w:tc>
      </w:tr>
      <w:tr w14:paraId="59882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1" w:hRule="atLeast"/>
        </w:trPr>
        <w:tc>
          <w:tcPr>
            <w:tcW w:w="580" w:type="dxa"/>
            <w:vMerge w:val="continue"/>
            <w:shd w:val="clear" w:color="auto" w:fill="FFFFFF"/>
            <w:tcMar>
              <w:top w:w="12" w:type="dxa"/>
              <w:left w:w="12" w:type="dxa"/>
              <w:right w:w="12" w:type="dxa"/>
            </w:tcMar>
            <w:vAlign w:val="center"/>
          </w:tcPr>
          <w:p w14:paraId="1F3A6CCC">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568E2926">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67FED1A9">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2C34B4FC">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475D7607">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有序回源，支持在高并发情况下的回源队列控制能力，避免源站被大量并发请求冲垮</w:t>
            </w:r>
          </w:p>
        </w:tc>
        <w:tc>
          <w:tcPr>
            <w:tcW w:w="2695" w:type="dxa"/>
            <w:gridSpan w:val="2"/>
            <w:shd w:val="clear" w:color="auto" w:fill="auto"/>
            <w:tcMar>
              <w:top w:w="12" w:type="dxa"/>
              <w:left w:w="12" w:type="dxa"/>
              <w:right w:w="12" w:type="dxa"/>
            </w:tcMar>
            <w:vAlign w:val="center"/>
          </w:tcPr>
          <w:p w14:paraId="2799AB69">
            <w:pPr>
              <w:jc w:val="center"/>
              <w:rPr>
                <w:rFonts w:hint="eastAsia" w:ascii="宋体" w:hAnsi="宋体" w:eastAsia="宋体" w:cs="宋体"/>
                <w:b w:val="0"/>
                <w:bCs w:val="0"/>
                <w:i w:val="0"/>
                <w:color w:val="auto"/>
                <w:sz w:val="24"/>
                <w:szCs w:val="24"/>
                <w:highlight w:val="none"/>
                <w:u w:val="none"/>
              </w:rPr>
            </w:pPr>
          </w:p>
        </w:tc>
      </w:tr>
      <w:tr w14:paraId="60BE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36" w:hRule="atLeast"/>
        </w:trPr>
        <w:tc>
          <w:tcPr>
            <w:tcW w:w="580" w:type="dxa"/>
            <w:vMerge w:val="continue"/>
            <w:shd w:val="clear" w:color="auto" w:fill="FFFFFF"/>
            <w:tcMar>
              <w:top w:w="12" w:type="dxa"/>
              <w:left w:w="12" w:type="dxa"/>
              <w:right w:w="12" w:type="dxa"/>
            </w:tcMar>
            <w:vAlign w:val="center"/>
          </w:tcPr>
          <w:p w14:paraId="07F003A5">
            <w:pP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44D4585B">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0CAD16EC">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52A25594">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4D41704A">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应急快照服务，在站点维护期间，通过快照对外提供服务保障。</w:t>
            </w:r>
          </w:p>
        </w:tc>
        <w:tc>
          <w:tcPr>
            <w:tcW w:w="2695" w:type="dxa"/>
            <w:gridSpan w:val="2"/>
            <w:shd w:val="clear" w:color="auto" w:fill="auto"/>
            <w:tcMar>
              <w:top w:w="12" w:type="dxa"/>
              <w:left w:w="12" w:type="dxa"/>
              <w:right w:w="12" w:type="dxa"/>
            </w:tcMar>
            <w:vAlign w:val="center"/>
          </w:tcPr>
          <w:p w14:paraId="55E5C8C1">
            <w:pPr>
              <w:jc w:val="center"/>
              <w:rPr>
                <w:rFonts w:hint="eastAsia" w:ascii="宋体" w:hAnsi="宋体" w:eastAsia="宋体" w:cs="宋体"/>
                <w:b w:val="0"/>
                <w:bCs w:val="0"/>
                <w:i w:val="0"/>
                <w:color w:val="auto"/>
                <w:sz w:val="24"/>
                <w:szCs w:val="24"/>
                <w:highlight w:val="none"/>
                <w:u w:val="none"/>
              </w:rPr>
            </w:pPr>
          </w:p>
        </w:tc>
      </w:tr>
      <w:tr w14:paraId="4EBC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9" w:hRule="atLeast"/>
        </w:trPr>
        <w:tc>
          <w:tcPr>
            <w:tcW w:w="580" w:type="dxa"/>
            <w:vMerge w:val="restart"/>
            <w:shd w:val="clear" w:color="auto" w:fill="FFFFFF"/>
            <w:tcMar>
              <w:top w:w="12" w:type="dxa"/>
              <w:left w:w="12" w:type="dxa"/>
              <w:right w:w="12" w:type="dxa"/>
            </w:tcMar>
            <w:vAlign w:val="center"/>
          </w:tcPr>
          <w:p w14:paraId="7923B80D">
            <w:pPr>
              <w:jc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2</w:t>
            </w:r>
          </w:p>
        </w:tc>
        <w:tc>
          <w:tcPr>
            <w:tcW w:w="1102" w:type="dxa"/>
            <w:gridSpan w:val="2"/>
            <w:vMerge w:val="continue"/>
            <w:shd w:val="clear" w:color="auto" w:fill="FFFFFF"/>
            <w:tcMar>
              <w:top w:w="12" w:type="dxa"/>
              <w:left w:w="12" w:type="dxa"/>
              <w:right w:w="12" w:type="dxa"/>
            </w:tcMar>
            <w:vAlign w:val="center"/>
          </w:tcPr>
          <w:p w14:paraId="02F6DF30">
            <w:pPr>
              <w:jc w:val="center"/>
              <w:rPr>
                <w:rFonts w:hint="eastAsia" w:ascii="宋体" w:hAnsi="宋体" w:eastAsia="宋体" w:cs="宋体"/>
                <w:i w:val="0"/>
                <w:color w:val="auto"/>
                <w:sz w:val="24"/>
                <w:szCs w:val="24"/>
                <w:highlight w:val="none"/>
                <w:u w:val="none"/>
              </w:rPr>
            </w:pPr>
          </w:p>
        </w:tc>
        <w:tc>
          <w:tcPr>
            <w:tcW w:w="607" w:type="dxa"/>
            <w:gridSpan w:val="2"/>
            <w:vMerge w:val="restart"/>
            <w:shd w:val="clear" w:color="auto" w:fill="auto"/>
            <w:tcMar>
              <w:top w:w="12" w:type="dxa"/>
              <w:left w:w="12" w:type="dxa"/>
              <w:right w:w="12" w:type="dxa"/>
            </w:tcMar>
            <w:vAlign w:val="center"/>
          </w:tcPr>
          <w:p w14:paraId="0026D3DD">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IPv6 WAF安全防护系统</w:t>
            </w:r>
          </w:p>
        </w:tc>
        <w:tc>
          <w:tcPr>
            <w:tcW w:w="946" w:type="dxa"/>
            <w:gridSpan w:val="2"/>
            <w:vMerge w:val="restart"/>
            <w:shd w:val="clear" w:color="auto" w:fill="auto"/>
            <w:tcMar>
              <w:top w:w="12" w:type="dxa"/>
              <w:left w:w="12" w:type="dxa"/>
              <w:right w:w="12" w:type="dxa"/>
            </w:tcMar>
            <w:vAlign w:val="center"/>
          </w:tcPr>
          <w:p w14:paraId="0A44F5D4">
            <w:pPr>
              <w:jc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源站保护</w:t>
            </w:r>
          </w:p>
        </w:tc>
        <w:tc>
          <w:tcPr>
            <w:tcW w:w="3093" w:type="dxa"/>
            <w:gridSpan w:val="2"/>
            <w:shd w:val="clear" w:color="auto" w:fill="auto"/>
            <w:tcMar>
              <w:top w:w="12" w:type="dxa"/>
              <w:left w:w="12" w:type="dxa"/>
              <w:right w:w="12" w:type="dxa"/>
            </w:tcMar>
            <w:vAlign w:val="center"/>
          </w:tcPr>
          <w:p w14:paraId="4F7A8BF8">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▲七层防护：支持http七层防护功能（平台级WAF），防止Web入侵及数据泄露；</w:t>
            </w:r>
            <w:r>
              <w:rPr>
                <w:rFonts w:hint="eastAsia" w:ascii="宋体" w:hAnsi="宋体" w:eastAsia="宋体" w:cs="宋体"/>
                <w:b w:val="0"/>
                <w:bCs w:val="0"/>
                <w:i w:val="0"/>
                <w:snapToGrid w:val="0"/>
                <w:color w:val="auto"/>
                <w:kern w:val="0"/>
                <w:sz w:val="24"/>
                <w:szCs w:val="24"/>
                <w:highlight w:val="none"/>
                <w:u w:val="none"/>
                <w:lang w:val="en-US" w:eastAsia="zh-CN" w:bidi="ar"/>
              </w:rPr>
              <w:br w:type="textWrapping"/>
            </w:r>
            <w:r>
              <w:rPr>
                <w:rFonts w:hint="eastAsia" w:ascii="宋体" w:hAnsi="宋体" w:eastAsia="宋体" w:cs="宋体"/>
                <w:b w:val="0"/>
                <w:bCs w:val="0"/>
                <w:i w:val="0"/>
                <w:snapToGrid w:val="0"/>
                <w:color w:val="auto"/>
                <w:kern w:val="0"/>
                <w:sz w:val="24"/>
                <w:szCs w:val="24"/>
                <w:highlight w:val="none"/>
                <w:u w:val="none"/>
                <w:lang w:val="en-US" w:eastAsia="zh-CN" w:bidi="ar"/>
              </w:rPr>
              <w:t>防盗链：支持防盗链，防止站点元素或者连接被盗链；</w:t>
            </w:r>
            <w:r>
              <w:rPr>
                <w:rFonts w:hint="eastAsia" w:ascii="宋体" w:hAnsi="宋体" w:eastAsia="宋体" w:cs="宋体"/>
                <w:b w:val="0"/>
                <w:bCs w:val="0"/>
                <w:i w:val="0"/>
                <w:snapToGrid w:val="0"/>
                <w:color w:val="auto"/>
                <w:kern w:val="0"/>
                <w:sz w:val="24"/>
                <w:szCs w:val="24"/>
                <w:highlight w:val="none"/>
                <w:u w:val="none"/>
                <w:lang w:val="en-US" w:eastAsia="zh-CN" w:bidi="ar"/>
              </w:rPr>
              <w:br w:type="textWrapping"/>
            </w:r>
            <w:r>
              <w:rPr>
                <w:rFonts w:hint="eastAsia" w:ascii="宋体" w:hAnsi="宋体" w:eastAsia="宋体" w:cs="宋体"/>
                <w:b w:val="0"/>
                <w:bCs w:val="0"/>
                <w:i w:val="0"/>
                <w:snapToGrid w:val="0"/>
                <w:color w:val="auto"/>
                <w:kern w:val="0"/>
                <w:sz w:val="24"/>
                <w:szCs w:val="24"/>
                <w:highlight w:val="none"/>
                <w:u w:val="none"/>
                <w:lang w:val="en-US" w:eastAsia="zh-CN" w:bidi="ar"/>
              </w:rPr>
              <w:t>URL校验：支持对Url进行校验功能；</w:t>
            </w:r>
          </w:p>
        </w:tc>
        <w:tc>
          <w:tcPr>
            <w:tcW w:w="2695" w:type="dxa"/>
            <w:gridSpan w:val="2"/>
            <w:shd w:val="clear" w:color="auto" w:fill="auto"/>
            <w:tcMar>
              <w:top w:w="12" w:type="dxa"/>
              <w:left w:w="12" w:type="dxa"/>
              <w:right w:w="12" w:type="dxa"/>
            </w:tcMar>
            <w:vAlign w:val="center"/>
          </w:tcPr>
          <w:p w14:paraId="15FEC27B">
            <w:pPr>
              <w:keepNext w:val="0"/>
              <w:keepLines w:val="0"/>
              <w:widowControl/>
              <w:suppressLineNumbers w:val="0"/>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提供工信部或国家认可的检测机构检测报告复印件</w:t>
            </w:r>
            <w:r>
              <w:rPr>
                <w:rStyle w:val="36"/>
                <w:b w:val="0"/>
                <w:bCs w:val="0"/>
                <w:snapToGrid w:val="0"/>
                <w:color w:val="auto"/>
                <w:highlight w:val="none"/>
                <w:lang w:val="en-US" w:eastAsia="zh-CN" w:bidi="ar"/>
              </w:rPr>
              <w:t>,并加盖供应商公章</w:t>
            </w:r>
          </w:p>
        </w:tc>
      </w:tr>
      <w:tr w14:paraId="7FA1D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63" w:hRule="atLeast"/>
        </w:trPr>
        <w:tc>
          <w:tcPr>
            <w:tcW w:w="580" w:type="dxa"/>
            <w:vMerge w:val="continue"/>
            <w:shd w:val="clear" w:color="auto" w:fill="FFFFFF"/>
            <w:tcMar>
              <w:top w:w="12" w:type="dxa"/>
              <w:left w:w="12" w:type="dxa"/>
              <w:right w:w="12" w:type="dxa"/>
            </w:tcMar>
            <w:vAlign w:val="center"/>
          </w:tcPr>
          <w:p w14:paraId="51FDCEA5">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289D6B01">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082CAACE">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0FE57771">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10586DB2">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五元组过滤：支持IPv4和IPv6五元组（源地址、源端口、目的地址、目的端口、协议类型）过滤防护；</w:t>
            </w:r>
          </w:p>
        </w:tc>
        <w:tc>
          <w:tcPr>
            <w:tcW w:w="2695" w:type="dxa"/>
            <w:gridSpan w:val="2"/>
            <w:shd w:val="clear" w:color="auto" w:fill="auto"/>
            <w:tcMar>
              <w:top w:w="12" w:type="dxa"/>
              <w:left w:w="12" w:type="dxa"/>
              <w:right w:w="12" w:type="dxa"/>
            </w:tcMar>
            <w:vAlign w:val="center"/>
          </w:tcPr>
          <w:p w14:paraId="2E7CFB46">
            <w:pPr>
              <w:jc w:val="center"/>
              <w:rPr>
                <w:rFonts w:hint="eastAsia" w:ascii="宋体" w:hAnsi="宋体" w:eastAsia="宋体" w:cs="宋体"/>
                <w:b w:val="0"/>
                <w:bCs w:val="0"/>
                <w:i w:val="0"/>
                <w:color w:val="auto"/>
                <w:sz w:val="24"/>
                <w:szCs w:val="24"/>
                <w:highlight w:val="none"/>
                <w:u w:val="none"/>
              </w:rPr>
            </w:pPr>
          </w:p>
        </w:tc>
      </w:tr>
      <w:tr w14:paraId="477E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9" w:hRule="atLeast"/>
        </w:trPr>
        <w:tc>
          <w:tcPr>
            <w:tcW w:w="580" w:type="dxa"/>
            <w:vMerge w:val="continue"/>
            <w:shd w:val="clear" w:color="auto" w:fill="FFFFFF"/>
            <w:tcMar>
              <w:top w:w="12" w:type="dxa"/>
              <w:left w:w="12" w:type="dxa"/>
              <w:right w:w="12" w:type="dxa"/>
            </w:tcMar>
            <w:vAlign w:val="center"/>
          </w:tcPr>
          <w:p w14:paraId="39E7529D">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20A0227B">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09956488">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53C0A8C6">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0DD296FF">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0day攻击防护：基于漏洞预警+规则提取进行未知攻击拦截；</w:t>
            </w:r>
          </w:p>
        </w:tc>
        <w:tc>
          <w:tcPr>
            <w:tcW w:w="2695" w:type="dxa"/>
            <w:gridSpan w:val="2"/>
            <w:shd w:val="clear" w:color="auto" w:fill="auto"/>
            <w:tcMar>
              <w:top w:w="12" w:type="dxa"/>
              <w:left w:w="12" w:type="dxa"/>
              <w:right w:w="12" w:type="dxa"/>
            </w:tcMar>
            <w:vAlign w:val="center"/>
          </w:tcPr>
          <w:p w14:paraId="4A9584A6">
            <w:pPr>
              <w:jc w:val="center"/>
              <w:rPr>
                <w:rFonts w:hint="eastAsia" w:ascii="宋体" w:hAnsi="宋体" w:eastAsia="宋体" w:cs="宋体"/>
                <w:b w:val="0"/>
                <w:bCs w:val="0"/>
                <w:i w:val="0"/>
                <w:color w:val="auto"/>
                <w:sz w:val="24"/>
                <w:szCs w:val="24"/>
                <w:highlight w:val="none"/>
                <w:u w:val="none"/>
              </w:rPr>
            </w:pPr>
          </w:p>
        </w:tc>
      </w:tr>
      <w:tr w14:paraId="12A14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3" w:hRule="atLeast"/>
        </w:trPr>
        <w:tc>
          <w:tcPr>
            <w:tcW w:w="580" w:type="dxa"/>
            <w:vMerge w:val="continue"/>
            <w:shd w:val="clear" w:color="auto" w:fill="FFFFFF"/>
            <w:tcMar>
              <w:top w:w="12" w:type="dxa"/>
              <w:left w:w="12" w:type="dxa"/>
              <w:right w:w="12" w:type="dxa"/>
            </w:tcMar>
            <w:vAlign w:val="center"/>
          </w:tcPr>
          <w:p w14:paraId="09071627">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517BE844">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448209F2">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5D25A652">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33218F11">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防扫描：通过访问频率、访问请求头信息，访问IP，访问内容进行智能识别，对扫描流量进行阻断；</w:t>
            </w:r>
          </w:p>
        </w:tc>
        <w:tc>
          <w:tcPr>
            <w:tcW w:w="2695" w:type="dxa"/>
            <w:gridSpan w:val="2"/>
            <w:shd w:val="clear" w:color="auto" w:fill="auto"/>
            <w:tcMar>
              <w:top w:w="12" w:type="dxa"/>
              <w:left w:w="12" w:type="dxa"/>
              <w:right w:w="12" w:type="dxa"/>
            </w:tcMar>
            <w:vAlign w:val="center"/>
          </w:tcPr>
          <w:p w14:paraId="1F337DA5">
            <w:pPr>
              <w:jc w:val="center"/>
              <w:rPr>
                <w:rFonts w:hint="eastAsia" w:ascii="宋体" w:hAnsi="宋体" w:eastAsia="宋体" w:cs="宋体"/>
                <w:b w:val="0"/>
                <w:bCs w:val="0"/>
                <w:i w:val="0"/>
                <w:color w:val="auto"/>
                <w:sz w:val="24"/>
                <w:szCs w:val="24"/>
                <w:highlight w:val="none"/>
                <w:u w:val="none"/>
              </w:rPr>
            </w:pPr>
          </w:p>
        </w:tc>
      </w:tr>
      <w:tr w14:paraId="5B8A4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3" w:hRule="atLeast"/>
        </w:trPr>
        <w:tc>
          <w:tcPr>
            <w:tcW w:w="580" w:type="dxa"/>
            <w:vMerge w:val="continue"/>
            <w:shd w:val="clear" w:color="auto" w:fill="FFFFFF"/>
            <w:tcMar>
              <w:top w:w="12" w:type="dxa"/>
              <w:left w:w="12" w:type="dxa"/>
              <w:right w:w="12" w:type="dxa"/>
            </w:tcMar>
            <w:vAlign w:val="center"/>
          </w:tcPr>
          <w:p w14:paraId="14213C92">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0E7722DF">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46DA0672">
            <w:pPr>
              <w:jc w:val="center"/>
              <w:rPr>
                <w:rFonts w:hint="eastAsia" w:ascii="宋体" w:hAnsi="宋体" w:eastAsia="宋体" w:cs="宋体"/>
                <w:i w:val="0"/>
                <w:color w:val="auto"/>
                <w:sz w:val="24"/>
                <w:szCs w:val="24"/>
                <w:highlight w:val="none"/>
                <w:u w:val="none"/>
              </w:rPr>
            </w:pPr>
          </w:p>
        </w:tc>
        <w:tc>
          <w:tcPr>
            <w:tcW w:w="946" w:type="dxa"/>
            <w:gridSpan w:val="2"/>
            <w:vMerge w:val="restart"/>
            <w:shd w:val="clear" w:color="auto" w:fill="auto"/>
            <w:tcMar>
              <w:top w:w="12" w:type="dxa"/>
              <w:left w:w="12" w:type="dxa"/>
              <w:right w:w="12" w:type="dxa"/>
            </w:tcMar>
            <w:vAlign w:val="center"/>
          </w:tcPr>
          <w:p w14:paraId="15128A48">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监测报警</w:t>
            </w:r>
          </w:p>
        </w:tc>
        <w:tc>
          <w:tcPr>
            <w:tcW w:w="3093" w:type="dxa"/>
            <w:gridSpan w:val="2"/>
            <w:shd w:val="clear" w:color="auto" w:fill="auto"/>
            <w:tcMar>
              <w:top w:w="12" w:type="dxa"/>
              <w:left w:w="12" w:type="dxa"/>
              <w:right w:w="12" w:type="dxa"/>
            </w:tcMar>
            <w:vAlign w:val="center"/>
          </w:tcPr>
          <w:p w14:paraId="567B3AA2">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安全报警：通过大数据分析平台对云端攻击数据进行分析，提取攻击特征，进行安全事件关联分析；</w:t>
            </w:r>
          </w:p>
        </w:tc>
        <w:tc>
          <w:tcPr>
            <w:tcW w:w="2695" w:type="dxa"/>
            <w:gridSpan w:val="2"/>
            <w:shd w:val="clear" w:color="auto" w:fill="auto"/>
            <w:tcMar>
              <w:top w:w="12" w:type="dxa"/>
              <w:left w:w="12" w:type="dxa"/>
              <w:right w:w="12" w:type="dxa"/>
            </w:tcMar>
            <w:vAlign w:val="center"/>
          </w:tcPr>
          <w:p w14:paraId="0451F31C">
            <w:pPr>
              <w:jc w:val="center"/>
              <w:rPr>
                <w:rFonts w:hint="eastAsia" w:ascii="宋体" w:hAnsi="宋体" w:eastAsia="宋体" w:cs="宋体"/>
                <w:b w:val="0"/>
                <w:bCs w:val="0"/>
                <w:i w:val="0"/>
                <w:color w:val="auto"/>
                <w:sz w:val="24"/>
                <w:szCs w:val="24"/>
                <w:highlight w:val="none"/>
                <w:u w:val="none"/>
              </w:rPr>
            </w:pPr>
          </w:p>
        </w:tc>
      </w:tr>
      <w:tr w14:paraId="0173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5" w:hRule="atLeast"/>
        </w:trPr>
        <w:tc>
          <w:tcPr>
            <w:tcW w:w="580" w:type="dxa"/>
            <w:vMerge w:val="continue"/>
            <w:shd w:val="clear" w:color="auto" w:fill="FFFFFF"/>
            <w:tcMar>
              <w:top w:w="12" w:type="dxa"/>
              <w:left w:w="12" w:type="dxa"/>
              <w:right w:w="12" w:type="dxa"/>
            </w:tcMar>
            <w:vAlign w:val="center"/>
          </w:tcPr>
          <w:p w14:paraId="22268E68">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40713F35">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65C87E27">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485759C4">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77087111">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网站可用性监控：对网站进行HTTP/HTTPS监控、PING监控，分布于不同地区节点实时获取响应码和请求详情，进行监控；</w:t>
            </w:r>
          </w:p>
        </w:tc>
        <w:tc>
          <w:tcPr>
            <w:tcW w:w="2695" w:type="dxa"/>
            <w:gridSpan w:val="2"/>
            <w:shd w:val="clear" w:color="auto" w:fill="auto"/>
            <w:tcMar>
              <w:top w:w="12" w:type="dxa"/>
              <w:left w:w="12" w:type="dxa"/>
              <w:right w:w="12" w:type="dxa"/>
            </w:tcMar>
            <w:vAlign w:val="center"/>
          </w:tcPr>
          <w:p w14:paraId="00BC8F5C">
            <w:pPr>
              <w:jc w:val="center"/>
              <w:rPr>
                <w:rFonts w:hint="eastAsia" w:ascii="宋体" w:hAnsi="宋体" w:eastAsia="宋体" w:cs="宋体"/>
                <w:b w:val="0"/>
                <w:bCs w:val="0"/>
                <w:i w:val="0"/>
                <w:color w:val="auto"/>
                <w:sz w:val="24"/>
                <w:szCs w:val="24"/>
                <w:highlight w:val="none"/>
                <w:u w:val="none"/>
              </w:rPr>
            </w:pPr>
          </w:p>
        </w:tc>
      </w:tr>
      <w:tr w14:paraId="135AF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1" w:hRule="atLeast"/>
        </w:trPr>
        <w:tc>
          <w:tcPr>
            <w:tcW w:w="580" w:type="dxa"/>
            <w:vMerge w:val="continue"/>
            <w:shd w:val="clear" w:color="auto" w:fill="FFFFFF"/>
            <w:tcMar>
              <w:top w:w="12" w:type="dxa"/>
              <w:left w:w="12" w:type="dxa"/>
              <w:right w:w="12" w:type="dxa"/>
            </w:tcMar>
            <w:vAlign w:val="center"/>
          </w:tcPr>
          <w:p w14:paraId="3A9F2A0E">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0BFC13C5">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1865AE54">
            <w:pPr>
              <w:jc w:val="center"/>
              <w:rPr>
                <w:rFonts w:hint="eastAsia" w:ascii="宋体" w:hAnsi="宋体" w:eastAsia="宋体" w:cs="宋体"/>
                <w:i w:val="0"/>
                <w:color w:val="auto"/>
                <w:sz w:val="24"/>
                <w:szCs w:val="24"/>
                <w:highlight w:val="none"/>
                <w:u w:val="none"/>
              </w:rPr>
            </w:pPr>
          </w:p>
        </w:tc>
        <w:tc>
          <w:tcPr>
            <w:tcW w:w="946" w:type="dxa"/>
            <w:gridSpan w:val="2"/>
            <w:vMerge w:val="restart"/>
            <w:shd w:val="clear" w:color="auto" w:fill="auto"/>
            <w:tcMar>
              <w:top w:w="12" w:type="dxa"/>
              <w:left w:w="12" w:type="dxa"/>
              <w:right w:w="12" w:type="dxa"/>
            </w:tcMar>
            <w:vAlign w:val="center"/>
          </w:tcPr>
          <w:p w14:paraId="3AE00183">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离线分析</w:t>
            </w:r>
          </w:p>
        </w:tc>
        <w:tc>
          <w:tcPr>
            <w:tcW w:w="3093" w:type="dxa"/>
            <w:gridSpan w:val="2"/>
            <w:shd w:val="clear" w:color="auto" w:fill="auto"/>
            <w:tcMar>
              <w:top w:w="12" w:type="dxa"/>
              <w:left w:w="12" w:type="dxa"/>
              <w:right w:w="12" w:type="dxa"/>
            </w:tcMar>
            <w:vAlign w:val="center"/>
          </w:tcPr>
          <w:p w14:paraId="6509606E">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1）离线分析：对日志进行离线分析、机器学习，对未知攻击进行拉黑处理；</w:t>
            </w:r>
          </w:p>
        </w:tc>
        <w:tc>
          <w:tcPr>
            <w:tcW w:w="2695" w:type="dxa"/>
            <w:gridSpan w:val="2"/>
            <w:shd w:val="clear" w:color="auto" w:fill="auto"/>
            <w:tcMar>
              <w:top w:w="12" w:type="dxa"/>
              <w:left w:w="12" w:type="dxa"/>
              <w:right w:w="12" w:type="dxa"/>
            </w:tcMar>
            <w:vAlign w:val="center"/>
          </w:tcPr>
          <w:p w14:paraId="026C7D9B">
            <w:pPr>
              <w:jc w:val="center"/>
              <w:rPr>
                <w:rFonts w:hint="eastAsia" w:ascii="宋体" w:hAnsi="宋体" w:eastAsia="宋体" w:cs="宋体"/>
                <w:b w:val="0"/>
                <w:bCs w:val="0"/>
                <w:i w:val="0"/>
                <w:color w:val="auto"/>
                <w:sz w:val="24"/>
                <w:szCs w:val="24"/>
                <w:highlight w:val="none"/>
                <w:u w:val="none"/>
              </w:rPr>
            </w:pPr>
          </w:p>
        </w:tc>
      </w:tr>
      <w:tr w14:paraId="6136D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9" w:hRule="atLeast"/>
        </w:trPr>
        <w:tc>
          <w:tcPr>
            <w:tcW w:w="580" w:type="dxa"/>
            <w:vMerge w:val="continue"/>
            <w:shd w:val="clear" w:color="auto" w:fill="FFFFFF"/>
            <w:tcMar>
              <w:top w:w="12" w:type="dxa"/>
              <w:left w:w="12" w:type="dxa"/>
              <w:right w:w="12" w:type="dxa"/>
            </w:tcMar>
            <w:vAlign w:val="center"/>
          </w:tcPr>
          <w:p w14:paraId="5D77C6AF">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6A70542E">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15594948">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7A314130">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5DF333C6">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2）离线展示：对防护日志进行处理，生成可视化页面展示；</w:t>
            </w:r>
          </w:p>
        </w:tc>
        <w:tc>
          <w:tcPr>
            <w:tcW w:w="2695" w:type="dxa"/>
            <w:gridSpan w:val="2"/>
            <w:shd w:val="clear" w:color="auto" w:fill="auto"/>
            <w:tcMar>
              <w:top w:w="12" w:type="dxa"/>
              <w:left w:w="12" w:type="dxa"/>
              <w:right w:w="12" w:type="dxa"/>
            </w:tcMar>
            <w:vAlign w:val="center"/>
          </w:tcPr>
          <w:p w14:paraId="026AA7E6">
            <w:pPr>
              <w:jc w:val="center"/>
              <w:rPr>
                <w:rFonts w:hint="eastAsia" w:ascii="宋体" w:hAnsi="宋体" w:eastAsia="宋体" w:cs="宋体"/>
                <w:b w:val="0"/>
                <w:bCs w:val="0"/>
                <w:i w:val="0"/>
                <w:color w:val="auto"/>
                <w:sz w:val="24"/>
                <w:szCs w:val="24"/>
                <w:highlight w:val="none"/>
                <w:u w:val="none"/>
              </w:rPr>
            </w:pPr>
          </w:p>
        </w:tc>
      </w:tr>
      <w:tr w14:paraId="26F91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1" w:hRule="atLeast"/>
        </w:trPr>
        <w:tc>
          <w:tcPr>
            <w:tcW w:w="580" w:type="dxa"/>
            <w:vMerge w:val="continue"/>
            <w:shd w:val="clear" w:color="auto" w:fill="FFFFFF"/>
            <w:tcMar>
              <w:top w:w="12" w:type="dxa"/>
              <w:left w:w="12" w:type="dxa"/>
              <w:right w:w="12" w:type="dxa"/>
            </w:tcMar>
            <w:vAlign w:val="center"/>
          </w:tcPr>
          <w:p w14:paraId="729F3C82">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3A5AC883">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3026F354">
            <w:pPr>
              <w:jc w:val="center"/>
              <w:rPr>
                <w:rFonts w:hint="eastAsia" w:ascii="宋体" w:hAnsi="宋体" w:eastAsia="宋体" w:cs="宋体"/>
                <w:i w:val="0"/>
                <w:color w:val="auto"/>
                <w:sz w:val="24"/>
                <w:szCs w:val="24"/>
                <w:highlight w:val="none"/>
                <w:u w:val="none"/>
              </w:rPr>
            </w:pPr>
          </w:p>
        </w:tc>
        <w:tc>
          <w:tcPr>
            <w:tcW w:w="946" w:type="dxa"/>
            <w:gridSpan w:val="2"/>
            <w:vMerge w:val="restart"/>
            <w:shd w:val="clear" w:color="auto" w:fill="auto"/>
            <w:tcMar>
              <w:top w:w="12" w:type="dxa"/>
              <w:left w:w="12" w:type="dxa"/>
              <w:right w:w="12" w:type="dxa"/>
            </w:tcMar>
            <w:vAlign w:val="center"/>
          </w:tcPr>
          <w:p w14:paraId="32FCBC6B">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其他辅助功能</w:t>
            </w:r>
          </w:p>
        </w:tc>
        <w:tc>
          <w:tcPr>
            <w:tcW w:w="3093" w:type="dxa"/>
            <w:gridSpan w:val="2"/>
            <w:shd w:val="clear" w:color="auto" w:fill="auto"/>
            <w:tcMar>
              <w:top w:w="12" w:type="dxa"/>
              <w:left w:w="12" w:type="dxa"/>
              <w:right w:w="12" w:type="dxa"/>
            </w:tcMar>
            <w:vAlign w:val="center"/>
          </w:tcPr>
          <w:p w14:paraId="00027978">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1）审计取证能力：保存半年存储日志，支持常见的HTTP字段查询，支持ELK查询</w:t>
            </w:r>
          </w:p>
        </w:tc>
        <w:tc>
          <w:tcPr>
            <w:tcW w:w="2695" w:type="dxa"/>
            <w:gridSpan w:val="2"/>
            <w:shd w:val="clear" w:color="auto" w:fill="auto"/>
            <w:tcMar>
              <w:top w:w="12" w:type="dxa"/>
              <w:left w:w="12" w:type="dxa"/>
              <w:right w:w="12" w:type="dxa"/>
            </w:tcMar>
            <w:vAlign w:val="center"/>
          </w:tcPr>
          <w:p w14:paraId="682DB606">
            <w:pPr>
              <w:jc w:val="center"/>
              <w:rPr>
                <w:rFonts w:hint="eastAsia" w:ascii="宋体" w:hAnsi="宋体" w:eastAsia="宋体" w:cs="宋体"/>
                <w:b w:val="0"/>
                <w:bCs w:val="0"/>
                <w:i w:val="0"/>
                <w:color w:val="auto"/>
                <w:sz w:val="24"/>
                <w:szCs w:val="24"/>
                <w:highlight w:val="none"/>
                <w:u w:val="none"/>
              </w:rPr>
            </w:pPr>
          </w:p>
        </w:tc>
      </w:tr>
      <w:tr w14:paraId="1FB8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1" w:hRule="atLeast"/>
        </w:trPr>
        <w:tc>
          <w:tcPr>
            <w:tcW w:w="580" w:type="dxa"/>
            <w:vMerge w:val="continue"/>
            <w:shd w:val="clear" w:color="auto" w:fill="FFFFFF"/>
            <w:tcMar>
              <w:top w:w="12" w:type="dxa"/>
              <w:left w:w="12" w:type="dxa"/>
              <w:right w:w="12" w:type="dxa"/>
            </w:tcMar>
            <w:vAlign w:val="center"/>
          </w:tcPr>
          <w:p w14:paraId="018DBAD1">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0A800E0A">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624C4CCE">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5BFCE347">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6A8A839D">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2）隐藏源站IP：对源站系统信息、版本信息以及中间信息进行隐藏</w:t>
            </w:r>
          </w:p>
        </w:tc>
        <w:tc>
          <w:tcPr>
            <w:tcW w:w="2695" w:type="dxa"/>
            <w:gridSpan w:val="2"/>
            <w:shd w:val="clear" w:color="auto" w:fill="auto"/>
            <w:tcMar>
              <w:top w:w="12" w:type="dxa"/>
              <w:left w:w="12" w:type="dxa"/>
              <w:right w:w="12" w:type="dxa"/>
            </w:tcMar>
            <w:vAlign w:val="center"/>
          </w:tcPr>
          <w:p w14:paraId="54548552">
            <w:pPr>
              <w:jc w:val="center"/>
              <w:rPr>
                <w:rFonts w:hint="eastAsia" w:ascii="宋体" w:hAnsi="宋体" w:eastAsia="宋体" w:cs="宋体"/>
                <w:b w:val="0"/>
                <w:bCs w:val="0"/>
                <w:i w:val="0"/>
                <w:color w:val="auto"/>
                <w:sz w:val="24"/>
                <w:szCs w:val="24"/>
                <w:highlight w:val="none"/>
                <w:u w:val="none"/>
              </w:rPr>
            </w:pPr>
          </w:p>
        </w:tc>
      </w:tr>
      <w:tr w14:paraId="59B6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1" w:hRule="atLeast"/>
        </w:trPr>
        <w:tc>
          <w:tcPr>
            <w:tcW w:w="580" w:type="dxa"/>
            <w:vMerge w:val="continue"/>
            <w:shd w:val="clear" w:color="auto" w:fill="FFFFFF"/>
            <w:tcMar>
              <w:top w:w="12" w:type="dxa"/>
              <w:left w:w="12" w:type="dxa"/>
              <w:right w:w="12" w:type="dxa"/>
            </w:tcMar>
            <w:vAlign w:val="center"/>
          </w:tcPr>
          <w:p w14:paraId="15ED877C">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5F1C5896">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71E5DE9C">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3A145D6C">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4FC3FAD0">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3）情报收集能力：收集IP地址库、HTTP代理库、VPN库，具有黑白名单处理功能</w:t>
            </w:r>
          </w:p>
        </w:tc>
        <w:tc>
          <w:tcPr>
            <w:tcW w:w="2695" w:type="dxa"/>
            <w:gridSpan w:val="2"/>
            <w:shd w:val="clear" w:color="auto" w:fill="auto"/>
            <w:tcMar>
              <w:top w:w="12" w:type="dxa"/>
              <w:left w:w="12" w:type="dxa"/>
              <w:right w:w="12" w:type="dxa"/>
            </w:tcMar>
            <w:vAlign w:val="center"/>
          </w:tcPr>
          <w:p w14:paraId="79913015">
            <w:pPr>
              <w:jc w:val="center"/>
              <w:rPr>
                <w:rFonts w:hint="eastAsia" w:ascii="宋体" w:hAnsi="宋体" w:eastAsia="宋体" w:cs="宋体"/>
                <w:b w:val="0"/>
                <w:bCs w:val="0"/>
                <w:i w:val="0"/>
                <w:color w:val="auto"/>
                <w:sz w:val="24"/>
                <w:szCs w:val="24"/>
                <w:highlight w:val="none"/>
                <w:u w:val="none"/>
              </w:rPr>
            </w:pPr>
          </w:p>
        </w:tc>
      </w:tr>
      <w:tr w14:paraId="1074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51" w:hRule="atLeast"/>
        </w:trPr>
        <w:tc>
          <w:tcPr>
            <w:tcW w:w="580" w:type="dxa"/>
            <w:vMerge w:val="restart"/>
            <w:shd w:val="clear" w:color="auto" w:fill="FFFFFF"/>
            <w:tcMar>
              <w:top w:w="12" w:type="dxa"/>
              <w:left w:w="12" w:type="dxa"/>
              <w:right w:w="12" w:type="dxa"/>
            </w:tcMar>
            <w:vAlign w:val="center"/>
          </w:tcPr>
          <w:p w14:paraId="4C9A6271">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3</w:t>
            </w:r>
          </w:p>
        </w:tc>
        <w:tc>
          <w:tcPr>
            <w:tcW w:w="1102" w:type="dxa"/>
            <w:gridSpan w:val="2"/>
            <w:vMerge w:val="continue"/>
            <w:shd w:val="clear" w:color="auto" w:fill="FFFFFF"/>
            <w:tcMar>
              <w:top w:w="12" w:type="dxa"/>
              <w:left w:w="12" w:type="dxa"/>
              <w:right w:w="12" w:type="dxa"/>
            </w:tcMar>
            <w:vAlign w:val="center"/>
          </w:tcPr>
          <w:p w14:paraId="6057E62A">
            <w:pPr>
              <w:jc w:val="center"/>
              <w:rPr>
                <w:rFonts w:hint="eastAsia" w:ascii="宋体" w:hAnsi="宋体" w:eastAsia="宋体" w:cs="宋体"/>
                <w:i w:val="0"/>
                <w:color w:val="auto"/>
                <w:sz w:val="24"/>
                <w:szCs w:val="24"/>
                <w:highlight w:val="none"/>
                <w:u w:val="none"/>
              </w:rPr>
            </w:pPr>
          </w:p>
        </w:tc>
        <w:tc>
          <w:tcPr>
            <w:tcW w:w="607" w:type="dxa"/>
            <w:gridSpan w:val="2"/>
            <w:vMerge w:val="restart"/>
            <w:shd w:val="clear" w:color="auto" w:fill="auto"/>
            <w:tcMar>
              <w:top w:w="12" w:type="dxa"/>
              <w:left w:w="12" w:type="dxa"/>
              <w:right w:w="12" w:type="dxa"/>
            </w:tcMar>
            <w:vAlign w:val="center"/>
          </w:tcPr>
          <w:p w14:paraId="3EB4CE93">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IPv6防DDos攻击服务系统</w:t>
            </w:r>
          </w:p>
        </w:tc>
        <w:tc>
          <w:tcPr>
            <w:tcW w:w="946" w:type="dxa"/>
            <w:gridSpan w:val="2"/>
            <w:vMerge w:val="restart"/>
            <w:shd w:val="clear" w:color="auto" w:fill="auto"/>
            <w:tcMar>
              <w:top w:w="12" w:type="dxa"/>
              <w:left w:w="12" w:type="dxa"/>
              <w:right w:w="12" w:type="dxa"/>
            </w:tcMar>
            <w:vAlign w:val="center"/>
          </w:tcPr>
          <w:p w14:paraId="0362451D">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系统功能</w:t>
            </w:r>
          </w:p>
        </w:tc>
        <w:tc>
          <w:tcPr>
            <w:tcW w:w="3093" w:type="dxa"/>
            <w:gridSpan w:val="2"/>
            <w:shd w:val="clear" w:color="auto" w:fill="auto"/>
            <w:tcMar>
              <w:top w:w="12" w:type="dxa"/>
              <w:left w:w="12" w:type="dxa"/>
              <w:right w:w="12" w:type="dxa"/>
            </w:tcMar>
            <w:vAlign w:val="center"/>
          </w:tcPr>
          <w:p w14:paraId="546E7166">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1.支持 TCP/HTTP/HTTPS 及最新的 HTTP/2 协议,HTTPS 全链路支持；</w:t>
            </w:r>
          </w:p>
        </w:tc>
        <w:tc>
          <w:tcPr>
            <w:tcW w:w="2695" w:type="dxa"/>
            <w:gridSpan w:val="2"/>
            <w:shd w:val="clear" w:color="auto" w:fill="auto"/>
            <w:tcMar>
              <w:top w:w="12" w:type="dxa"/>
              <w:left w:w="12" w:type="dxa"/>
              <w:right w:w="12" w:type="dxa"/>
            </w:tcMar>
            <w:vAlign w:val="center"/>
          </w:tcPr>
          <w:p w14:paraId="16C62A6C">
            <w:pPr>
              <w:jc w:val="center"/>
              <w:rPr>
                <w:rFonts w:hint="eastAsia" w:ascii="宋体" w:hAnsi="宋体" w:eastAsia="宋体" w:cs="宋体"/>
                <w:b w:val="0"/>
                <w:bCs w:val="0"/>
                <w:i w:val="0"/>
                <w:color w:val="auto"/>
                <w:sz w:val="24"/>
                <w:szCs w:val="24"/>
                <w:highlight w:val="none"/>
                <w:u w:val="none"/>
              </w:rPr>
            </w:pPr>
          </w:p>
        </w:tc>
      </w:tr>
      <w:tr w14:paraId="5D11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1" w:hRule="atLeast"/>
        </w:trPr>
        <w:tc>
          <w:tcPr>
            <w:tcW w:w="580" w:type="dxa"/>
            <w:vMerge w:val="continue"/>
            <w:shd w:val="clear" w:color="auto" w:fill="FFFFFF"/>
            <w:tcMar>
              <w:top w:w="12" w:type="dxa"/>
              <w:left w:w="12" w:type="dxa"/>
              <w:right w:w="12" w:type="dxa"/>
            </w:tcMar>
            <w:vAlign w:val="center"/>
          </w:tcPr>
          <w:p w14:paraId="5912952C">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00C3D249">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60F55F60">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1899FA1A">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1576FBD3">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2.支持保护网站、应用程序和整个网络，同时确保合法流量的性能不受影响；</w:t>
            </w:r>
          </w:p>
        </w:tc>
        <w:tc>
          <w:tcPr>
            <w:tcW w:w="2695" w:type="dxa"/>
            <w:gridSpan w:val="2"/>
            <w:shd w:val="clear" w:color="auto" w:fill="auto"/>
            <w:tcMar>
              <w:top w:w="12" w:type="dxa"/>
              <w:left w:w="12" w:type="dxa"/>
              <w:right w:w="12" w:type="dxa"/>
            </w:tcMar>
            <w:vAlign w:val="center"/>
          </w:tcPr>
          <w:p w14:paraId="2E6E1751">
            <w:pPr>
              <w:jc w:val="center"/>
              <w:rPr>
                <w:rFonts w:hint="eastAsia" w:ascii="宋体" w:hAnsi="宋体" w:eastAsia="宋体" w:cs="宋体"/>
                <w:b w:val="0"/>
                <w:bCs w:val="0"/>
                <w:i w:val="0"/>
                <w:color w:val="auto"/>
                <w:sz w:val="24"/>
                <w:szCs w:val="24"/>
                <w:highlight w:val="none"/>
                <w:u w:val="none"/>
              </w:rPr>
            </w:pPr>
          </w:p>
        </w:tc>
      </w:tr>
      <w:tr w14:paraId="7F0DA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580" w:type="dxa"/>
            <w:vMerge w:val="continue"/>
            <w:shd w:val="clear" w:color="auto" w:fill="FFFFFF"/>
            <w:tcMar>
              <w:top w:w="12" w:type="dxa"/>
              <w:left w:w="12" w:type="dxa"/>
              <w:right w:w="12" w:type="dxa"/>
            </w:tcMar>
            <w:vAlign w:val="center"/>
          </w:tcPr>
          <w:p w14:paraId="2F3A5D90">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47647985">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22D8A363">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5D955FC8">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316562CA">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3.提供转发规则数 60 个；</w:t>
            </w:r>
          </w:p>
        </w:tc>
        <w:tc>
          <w:tcPr>
            <w:tcW w:w="2695" w:type="dxa"/>
            <w:gridSpan w:val="2"/>
            <w:shd w:val="clear" w:color="auto" w:fill="auto"/>
            <w:tcMar>
              <w:top w:w="12" w:type="dxa"/>
              <w:left w:w="12" w:type="dxa"/>
              <w:right w:w="12" w:type="dxa"/>
            </w:tcMar>
            <w:vAlign w:val="center"/>
          </w:tcPr>
          <w:p w14:paraId="0FBB7EE9">
            <w:pPr>
              <w:jc w:val="center"/>
              <w:rPr>
                <w:rFonts w:hint="eastAsia" w:ascii="宋体" w:hAnsi="宋体" w:eastAsia="宋体" w:cs="宋体"/>
                <w:b w:val="0"/>
                <w:bCs w:val="0"/>
                <w:i w:val="0"/>
                <w:color w:val="auto"/>
                <w:sz w:val="24"/>
                <w:szCs w:val="24"/>
                <w:highlight w:val="none"/>
                <w:u w:val="none"/>
              </w:rPr>
            </w:pPr>
          </w:p>
        </w:tc>
      </w:tr>
      <w:tr w14:paraId="70AA3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39" w:hRule="atLeast"/>
        </w:trPr>
        <w:tc>
          <w:tcPr>
            <w:tcW w:w="580" w:type="dxa"/>
            <w:vMerge w:val="continue"/>
            <w:shd w:val="clear" w:color="auto" w:fill="FFFFFF"/>
            <w:tcMar>
              <w:top w:w="12" w:type="dxa"/>
              <w:left w:w="12" w:type="dxa"/>
              <w:right w:w="12" w:type="dxa"/>
            </w:tcMar>
            <w:vAlign w:val="center"/>
          </w:tcPr>
          <w:p w14:paraId="24637BCE">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0EB18754">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781A7A47">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3AC577F7">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74A4A557">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4.支持IP/域名的黑白名单，域名自动检测；</w:t>
            </w:r>
          </w:p>
        </w:tc>
        <w:tc>
          <w:tcPr>
            <w:tcW w:w="2695" w:type="dxa"/>
            <w:gridSpan w:val="2"/>
            <w:shd w:val="clear" w:color="auto" w:fill="auto"/>
            <w:tcMar>
              <w:top w:w="12" w:type="dxa"/>
              <w:left w:w="12" w:type="dxa"/>
              <w:right w:w="12" w:type="dxa"/>
            </w:tcMar>
            <w:vAlign w:val="center"/>
          </w:tcPr>
          <w:p w14:paraId="4C8B4AF0">
            <w:pPr>
              <w:jc w:val="center"/>
              <w:rPr>
                <w:rFonts w:hint="eastAsia" w:ascii="宋体" w:hAnsi="宋体" w:eastAsia="宋体" w:cs="宋体"/>
                <w:b w:val="0"/>
                <w:bCs w:val="0"/>
                <w:i w:val="0"/>
                <w:color w:val="auto"/>
                <w:sz w:val="24"/>
                <w:szCs w:val="24"/>
                <w:highlight w:val="none"/>
                <w:u w:val="none"/>
              </w:rPr>
            </w:pPr>
          </w:p>
        </w:tc>
      </w:tr>
      <w:tr w14:paraId="661F8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580" w:type="dxa"/>
            <w:vMerge w:val="continue"/>
            <w:shd w:val="clear" w:color="auto" w:fill="FFFFFF"/>
            <w:tcMar>
              <w:top w:w="12" w:type="dxa"/>
              <w:left w:w="12" w:type="dxa"/>
              <w:right w:w="12" w:type="dxa"/>
            </w:tcMar>
            <w:vAlign w:val="center"/>
          </w:tcPr>
          <w:p w14:paraId="4754970E">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4A420EB1">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61A59B28">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7E8F6778">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287478BD">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5.支持自定义防护策略；</w:t>
            </w:r>
          </w:p>
        </w:tc>
        <w:tc>
          <w:tcPr>
            <w:tcW w:w="2695" w:type="dxa"/>
            <w:gridSpan w:val="2"/>
            <w:shd w:val="clear" w:color="auto" w:fill="auto"/>
            <w:tcMar>
              <w:top w:w="12" w:type="dxa"/>
              <w:left w:w="12" w:type="dxa"/>
              <w:right w:w="12" w:type="dxa"/>
            </w:tcMar>
            <w:vAlign w:val="center"/>
          </w:tcPr>
          <w:p w14:paraId="0EA46233">
            <w:pPr>
              <w:jc w:val="center"/>
              <w:rPr>
                <w:rFonts w:hint="eastAsia" w:ascii="宋体" w:hAnsi="宋体" w:eastAsia="宋体" w:cs="宋体"/>
                <w:b w:val="0"/>
                <w:bCs w:val="0"/>
                <w:i w:val="0"/>
                <w:color w:val="auto"/>
                <w:sz w:val="24"/>
                <w:szCs w:val="24"/>
                <w:highlight w:val="none"/>
                <w:u w:val="none"/>
              </w:rPr>
            </w:pPr>
          </w:p>
        </w:tc>
      </w:tr>
      <w:tr w14:paraId="7FC4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1" w:hRule="atLeast"/>
        </w:trPr>
        <w:tc>
          <w:tcPr>
            <w:tcW w:w="580" w:type="dxa"/>
            <w:vMerge w:val="continue"/>
            <w:shd w:val="clear" w:color="auto" w:fill="FFFFFF"/>
            <w:tcMar>
              <w:top w:w="12" w:type="dxa"/>
              <w:left w:w="12" w:type="dxa"/>
              <w:right w:w="12" w:type="dxa"/>
            </w:tcMar>
            <w:vAlign w:val="center"/>
          </w:tcPr>
          <w:p w14:paraId="43E0D2B6">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4DE42773">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6376A8A2">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7DCAC166">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2AB99417">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6.支持流量清洗数据统计与分析、攻击事件详细记录，支持生成数据；</w:t>
            </w:r>
          </w:p>
        </w:tc>
        <w:tc>
          <w:tcPr>
            <w:tcW w:w="2695" w:type="dxa"/>
            <w:gridSpan w:val="2"/>
            <w:shd w:val="clear" w:color="auto" w:fill="auto"/>
            <w:tcMar>
              <w:top w:w="12" w:type="dxa"/>
              <w:left w:w="12" w:type="dxa"/>
              <w:right w:w="12" w:type="dxa"/>
            </w:tcMar>
            <w:vAlign w:val="center"/>
          </w:tcPr>
          <w:p w14:paraId="42805552">
            <w:pPr>
              <w:jc w:val="center"/>
              <w:rPr>
                <w:rFonts w:hint="eastAsia" w:ascii="宋体" w:hAnsi="宋体" w:eastAsia="宋体" w:cs="宋体"/>
                <w:b w:val="0"/>
                <w:bCs w:val="0"/>
                <w:i w:val="0"/>
                <w:color w:val="auto"/>
                <w:sz w:val="24"/>
                <w:szCs w:val="24"/>
                <w:highlight w:val="none"/>
                <w:u w:val="none"/>
              </w:rPr>
            </w:pPr>
          </w:p>
        </w:tc>
      </w:tr>
      <w:tr w14:paraId="71BB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1" w:hRule="atLeast"/>
        </w:trPr>
        <w:tc>
          <w:tcPr>
            <w:tcW w:w="580" w:type="dxa"/>
            <w:vMerge w:val="continue"/>
            <w:shd w:val="clear" w:color="auto" w:fill="FFFFFF"/>
            <w:tcMar>
              <w:top w:w="12" w:type="dxa"/>
              <w:left w:w="12" w:type="dxa"/>
              <w:right w:w="12" w:type="dxa"/>
            </w:tcMar>
            <w:vAlign w:val="center"/>
          </w:tcPr>
          <w:p w14:paraId="3081AA77">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63F6974C">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44B74DE9">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3450D860">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66BA717A">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7.支持完整的记录攻击事件的各种元素，方便客户分析和了解攻击状态,实现攻击溯源；</w:t>
            </w:r>
          </w:p>
        </w:tc>
        <w:tc>
          <w:tcPr>
            <w:tcW w:w="2695" w:type="dxa"/>
            <w:gridSpan w:val="2"/>
            <w:shd w:val="clear" w:color="auto" w:fill="auto"/>
            <w:tcMar>
              <w:top w:w="12" w:type="dxa"/>
              <w:left w:w="12" w:type="dxa"/>
              <w:right w:w="12" w:type="dxa"/>
            </w:tcMar>
            <w:vAlign w:val="center"/>
          </w:tcPr>
          <w:p w14:paraId="2842862A">
            <w:pPr>
              <w:jc w:val="center"/>
              <w:rPr>
                <w:rFonts w:hint="eastAsia" w:ascii="宋体" w:hAnsi="宋体" w:eastAsia="宋体" w:cs="宋体"/>
                <w:b w:val="0"/>
                <w:bCs w:val="0"/>
                <w:i w:val="0"/>
                <w:color w:val="auto"/>
                <w:sz w:val="24"/>
                <w:szCs w:val="24"/>
                <w:highlight w:val="none"/>
                <w:u w:val="none"/>
              </w:rPr>
            </w:pPr>
          </w:p>
        </w:tc>
      </w:tr>
      <w:tr w14:paraId="38C5E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5" w:hRule="atLeast"/>
        </w:trPr>
        <w:tc>
          <w:tcPr>
            <w:tcW w:w="580" w:type="dxa"/>
            <w:vMerge w:val="restart"/>
            <w:shd w:val="clear" w:color="auto" w:fill="FFFFFF"/>
            <w:tcMar>
              <w:top w:w="12" w:type="dxa"/>
              <w:left w:w="12" w:type="dxa"/>
              <w:right w:w="12" w:type="dxa"/>
            </w:tcMar>
            <w:vAlign w:val="center"/>
          </w:tcPr>
          <w:p w14:paraId="47A138C8">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4</w:t>
            </w:r>
          </w:p>
        </w:tc>
        <w:tc>
          <w:tcPr>
            <w:tcW w:w="1102" w:type="dxa"/>
            <w:gridSpan w:val="2"/>
            <w:vMerge w:val="continue"/>
            <w:shd w:val="clear" w:color="auto" w:fill="FFFFFF"/>
            <w:tcMar>
              <w:top w:w="12" w:type="dxa"/>
              <w:left w:w="12" w:type="dxa"/>
              <w:right w:w="12" w:type="dxa"/>
            </w:tcMar>
            <w:vAlign w:val="center"/>
          </w:tcPr>
          <w:p w14:paraId="46F503F1">
            <w:pPr>
              <w:jc w:val="center"/>
              <w:rPr>
                <w:rFonts w:hint="eastAsia" w:ascii="宋体" w:hAnsi="宋体" w:eastAsia="宋体" w:cs="宋体"/>
                <w:i w:val="0"/>
                <w:color w:val="auto"/>
                <w:sz w:val="24"/>
                <w:szCs w:val="24"/>
                <w:highlight w:val="none"/>
                <w:u w:val="none"/>
              </w:rPr>
            </w:pPr>
          </w:p>
        </w:tc>
        <w:tc>
          <w:tcPr>
            <w:tcW w:w="607" w:type="dxa"/>
            <w:gridSpan w:val="2"/>
            <w:vMerge w:val="restart"/>
            <w:shd w:val="clear" w:color="auto" w:fill="auto"/>
            <w:tcMar>
              <w:top w:w="12" w:type="dxa"/>
              <w:left w:w="12" w:type="dxa"/>
              <w:right w:w="12" w:type="dxa"/>
            </w:tcMar>
            <w:vAlign w:val="center"/>
          </w:tcPr>
          <w:p w14:paraId="7C9B098F">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运维服务</w:t>
            </w:r>
          </w:p>
        </w:tc>
        <w:tc>
          <w:tcPr>
            <w:tcW w:w="946" w:type="dxa"/>
            <w:gridSpan w:val="2"/>
            <w:shd w:val="clear" w:color="auto" w:fill="auto"/>
            <w:tcMar>
              <w:top w:w="12" w:type="dxa"/>
              <w:left w:w="12" w:type="dxa"/>
              <w:right w:w="12" w:type="dxa"/>
            </w:tcMar>
            <w:vAlign w:val="center"/>
          </w:tcPr>
          <w:p w14:paraId="6D4767A6">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配置系统</w:t>
            </w:r>
          </w:p>
        </w:tc>
        <w:tc>
          <w:tcPr>
            <w:tcW w:w="3093" w:type="dxa"/>
            <w:gridSpan w:val="2"/>
            <w:shd w:val="clear" w:color="auto" w:fill="auto"/>
            <w:tcMar>
              <w:top w:w="12" w:type="dxa"/>
              <w:left w:w="12" w:type="dxa"/>
              <w:right w:w="12" w:type="dxa"/>
            </w:tcMar>
            <w:vAlign w:val="center"/>
          </w:tcPr>
          <w:p w14:paraId="7CC8290B">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针对客户的配置进行管理配置，以及对服务器上的软件和配置进行管理，包括IPv6客户配置系统、软件配置管理系统。</w:t>
            </w:r>
          </w:p>
        </w:tc>
        <w:tc>
          <w:tcPr>
            <w:tcW w:w="2695" w:type="dxa"/>
            <w:gridSpan w:val="2"/>
            <w:shd w:val="clear" w:color="auto" w:fill="auto"/>
            <w:tcMar>
              <w:top w:w="12" w:type="dxa"/>
              <w:left w:w="12" w:type="dxa"/>
              <w:right w:w="12" w:type="dxa"/>
            </w:tcMar>
            <w:vAlign w:val="center"/>
          </w:tcPr>
          <w:p w14:paraId="299CA7DB">
            <w:pPr>
              <w:jc w:val="center"/>
              <w:rPr>
                <w:rFonts w:hint="eastAsia" w:ascii="宋体" w:hAnsi="宋体" w:eastAsia="宋体" w:cs="宋体"/>
                <w:b w:val="0"/>
                <w:bCs w:val="0"/>
                <w:i w:val="0"/>
                <w:color w:val="auto"/>
                <w:sz w:val="24"/>
                <w:szCs w:val="24"/>
                <w:highlight w:val="none"/>
                <w:u w:val="none"/>
              </w:rPr>
            </w:pPr>
          </w:p>
        </w:tc>
      </w:tr>
      <w:tr w14:paraId="7EA5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3" w:hRule="atLeast"/>
        </w:trPr>
        <w:tc>
          <w:tcPr>
            <w:tcW w:w="580" w:type="dxa"/>
            <w:vMerge w:val="continue"/>
            <w:shd w:val="clear" w:color="auto" w:fill="FFFFFF"/>
            <w:tcMar>
              <w:top w:w="12" w:type="dxa"/>
              <w:left w:w="12" w:type="dxa"/>
              <w:right w:w="12" w:type="dxa"/>
            </w:tcMar>
            <w:vAlign w:val="center"/>
          </w:tcPr>
          <w:p w14:paraId="78A49CB6">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2683D1A5">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3E8D38C7">
            <w:pPr>
              <w:jc w:val="center"/>
              <w:rPr>
                <w:rFonts w:hint="eastAsia" w:ascii="宋体" w:hAnsi="宋体" w:eastAsia="宋体" w:cs="宋体"/>
                <w:i w:val="0"/>
                <w:color w:val="auto"/>
                <w:sz w:val="24"/>
                <w:szCs w:val="24"/>
                <w:highlight w:val="none"/>
                <w:u w:val="none"/>
              </w:rPr>
            </w:pPr>
          </w:p>
        </w:tc>
        <w:tc>
          <w:tcPr>
            <w:tcW w:w="946" w:type="dxa"/>
            <w:gridSpan w:val="2"/>
            <w:shd w:val="clear" w:color="auto" w:fill="auto"/>
            <w:tcMar>
              <w:top w:w="12" w:type="dxa"/>
              <w:left w:w="12" w:type="dxa"/>
              <w:right w:w="12" w:type="dxa"/>
            </w:tcMar>
            <w:vAlign w:val="center"/>
          </w:tcPr>
          <w:p w14:paraId="289141DD">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部署系统</w:t>
            </w:r>
          </w:p>
        </w:tc>
        <w:tc>
          <w:tcPr>
            <w:tcW w:w="3093" w:type="dxa"/>
            <w:gridSpan w:val="2"/>
            <w:shd w:val="clear" w:color="auto" w:fill="auto"/>
            <w:tcMar>
              <w:top w:w="12" w:type="dxa"/>
              <w:left w:w="12" w:type="dxa"/>
              <w:right w:w="12" w:type="dxa"/>
            </w:tcMar>
            <w:vAlign w:val="center"/>
          </w:tcPr>
          <w:p w14:paraId="0371813A">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对接入IPv6云服务的网站应用部署相关服务器的软件升级、配置更新等部署操作进行管理。</w:t>
            </w:r>
          </w:p>
        </w:tc>
        <w:tc>
          <w:tcPr>
            <w:tcW w:w="2695" w:type="dxa"/>
            <w:gridSpan w:val="2"/>
            <w:shd w:val="clear" w:color="auto" w:fill="auto"/>
            <w:tcMar>
              <w:top w:w="12" w:type="dxa"/>
              <w:left w:w="12" w:type="dxa"/>
              <w:right w:w="12" w:type="dxa"/>
            </w:tcMar>
            <w:vAlign w:val="center"/>
          </w:tcPr>
          <w:p w14:paraId="189525D2">
            <w:pPr>
              <w:jc w:val="center"/>
              <w:rPr>
                <w:rFonts w:hint="eastAsia" w:ascii="宋体" w:hAnsi="宋体" w:eastAsia="宋体" w:cs="宋体"/>
                <w:b w:val="0"/>
                <w:bCs w:val="0"/>
                <w:i w:val="0"/>
                <w:color w:val="auto"/>
                <w:sz w:val="24"/>
                <w:szCs w:val="24"/>
                <w:highlight w:val="none"/>
                <w:u w:val="none"/>
              </w:rPr>
            </w:pPr>
          </w:p>
        </w:tc>
      </w:tr>
      <w:tr w14:paraId="2AC7C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63" w:hRule="atLeast"/>
        </w:trPr>
        <w:tc>
          <w:tcPr>
            <w:tcW w:w="580" w:type="dxa"/>
            <w:vMerge w:val="continue"/>
            <w:shd w:val="clear" w:color="auto" w:fill="FFFFFF"/>
            <w:tcMar>
              <w:top w:w="12" w:type="dxa"/>
              <w:left w:w="12" w:type="dxa"/>
              <w:right w:w="12" w:type="dxa"/>
            </w:tcMar>
            <w:vAlign w:val="center"/>
          </w:tcPr>
          <w:p w14:paraId="607DE79E">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67469A14">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4F21031E">
            <w:pPr>
              <w:jc w:val="center"/>
              <w:rPr>
                <w:rFonts w:hint="eastAsia" w:ascii="宋体" w:hAnsi="宋体" w:eastAsia="宋体" w:cs="宋体"/>
                <w:i w:val="0"/>
                <w:color w:val="auto"/>
                <w:sz w:val="24"/>
                <w:szCs w:val="24"/>
                <w:highlight w:val="none"/>
                <w:u w:val="none"/>
              </w:rPr>
            </w:pPr>
          </w:p>
        </w:tc>
        <w:tc>
          <w:tcPr>
            <w:tcW w:w="946" w:type="dxa"/>
            <w:gridSpan w:val="2"/>
            <w:shd w:val="clear" w:color="auto" w:fill="auto"/>
            <w:tcMar>
              <w:top w:w="12" w:type="dxa"/>
              <w:left w:w="12" w:type="dxa"/>
              <w:right w:w="12" w:type="dxa"/>
            </w:tcMar>
            <w:vAlign w:val="center"/>
          </w:tcPr>
          <w:p w14:paraId="43019022">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监控系统</w:t>
            </w:r>
          </w:p>
        </w:tc>
        <w:tc>
          <w:tcPr>
            <w:tcW w:w="3093" w:type="dxa"/>
            <w:gridSpan w:val="2"/>
            <w:shd w:val="clear" w:color="auto" w:fill="auto"/>
            <w:tcMar>
              <w:top w:w="12" w:type="dxa"/>
              <w:left w:w="12" w:type="dxa"/>
              <w:right w:w="12" w:type="dxa"/>
            </w:tcMar>
            <w:vAlign w:val="center"/>
          </w:tcPr>
          <w:p w14:paraId="63868E36">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通过部署监控服务，针对接入网站的运行状态、可用性等监控，并将信息进行汇总分析，生成告警信息。</w:t>
            </w:r>
          </w:p>
        </w:tc>
        <w:tc>
          <w:tcPr>
            <w:tcW w:w="2695" w:type="dxa"/>
            <w:gridSpan w:val="2"/>
            <w:shd w:val="clear" w:color="auto" w:fill="auto"/>
            <w:tcMar>
              <w:top w:w="12" w:type="dxa"/>
              <w:left w:w="12" w:type="dxa"/>
              <w:right w:w="12" w:type="dxa"/>
            </w:tcMar>
            <w:vAlign w:val="center"/>
          </w:tcPr>
          <w:p w14:paraId="5A3B585F">
            <w:pPr>
              <w:jc w:val="center"/>
              <w:rPr>
                <w:rFonts w:hint="eastAsia" w:ascii="宋体" w:hAnsi="宋体" w:eastAsia="宋体" w:cs="宋体"/>
                <w:b w:val="0"/>
                <w:bCs w:val="0"/>
                <w:i w:val="0"/>
                <w:color w:val="auto"/>
                <w:sz w:val="24"/>
                <w:szCs w:val="24"/>
                <w:highlight w:val="none"/>
                <w:u w:val="none"/>
              </w:rPr>
            </w:pPr>
          </w:p>
        </w:tc>
      </w:tr>
      <w:tr w14:paraId="5ED37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887" w:hRule="atLeast"/>
        </w:trPr>
        <w:tc>
          <w:tcPr>
            <w:tcW w:w="580" w:type="dxa"/>
            <w:vMerge w:val="continue"/>
            <w:shd w:val="clear" w:color="auto" w:fill="FFFFFF"/>
            <w:tcMar>
              <w:top w:w="12" w:type="dxa"/>
              <w:left w:w="12" w:type="dxa"/>
              <w:right w:w="12" w:type="dxa"/>
            </w:tcMar>
            <w:vAlign w:val="center"/>
          </w:tcPr>
          <w:p w14:paraId="6E4CE65F">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3091B4BF">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473C7DB1">
            <w:pPr>
              <w:jc w:val="center"/>
              <w:rPr>
                <w:rFonts w:hint="eastAsia" w:ascii="宋体" w:hAnsi="宋体" w:eastAsia="宋体" w:cs="宋体"/>
                <w:i w:val="0"/>
                <w:color w:val="auto"/>
                <w:sz w:val="24"/>
                <w:szCs w:val="24"/>
                <w:highlight w:val="none"/>
                <w:u w:val="none"/>
              </w:rPr>
            </w:pPr>
          </w:p>
        </w:tc>
        <w:tc>
          <w:tcPr>
            <w:tcW w:w="946" w:type="dxa"/>
            <w:gridSpan w:val="2"/>
            <w:shd w:val="clear" w:color="auto" w:fill="auto"/>
            <w:tcMar>
              <w:top w:w="12" w:type="dxa"/>
              <w:left w:w="12" w:type="dxa"/>
              <w:right w:w="12" w:type="dxa"/>
            </w:tcMar>
            <w:vAlign w:val="center"/>
          </w:tcPr>
          <w:p w14:paraId="08AE2D56">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数据分析</w:t>
            </w:r>
          </w:p>
        </w:tc>
        <w:tc>
          <w:tcPr>
            <w:tcW w:w="3093" w:type="dxa"/>
            <w:gridSpan w:val="2"/>
            <w:shd w:val="clear" w:color="auto" w:fill="auto"/>
            <w:tcMar>
              <w:top w:w="12" w:type="dxa"/>
              <w:left w:w="12" w:type="dxa"/>
              <w:right w:w="12" w:type="dxa"/>
            </w:tcMar>
            <w:vAlign w:val="center"/>
          </w:tcPr>
          <w:p w14:paraId="5721324A">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提供访问数据分析。包括对客户的访问日志进行各种分析，对客户的使用流量进行统计。分析项目包括源站访问流量、IPv6用户请求数、用户请求状态码以及运营商分布。</w:t>
            </w:r>
          </w:p>
        </w:tc>
        <w:tc>
          <w:tcPr>
            <w:tcW w:w="2695" w:type="dxa"/>
            <w:gridSpan w:val="2"/>
            <w:shd w:val="clear" w:color="auto" w:fill="auto"/>
            <w:tcMar>
              <w:top w:w="12" w:type="dxa"/>
              <w:left w:w="12" w:type="dxa"/>
              <w:right w:w="12" w:type="dxa"/>
            </w:tcMar>
            <w:vAlign w:val="center"/>
          </w:tcPr>
          <w:p w14:paraId="45FE95D6">
            <w:pPr>
              <w:jc w:val="center"/>
              <w:rPr>
                <w:rFonts w:hint="eastAsia" w:ascii="宋体" w:hAnsi="宋体" w:eastAsia="宋体" w:cs="宋体"/>
                <w:b w:val="0"/>
                <w:bCs w:val="0"/>
                <w:i w:val="0"/>
                <w:color w:val="auto"/>
                <w:sz w:val="24"/>
                <w:szCs w:val="24"/>
                <w:highlight w:val="none"/>
                <w:u w:val="none"/>
              </w:rPr>
            </w:pPr>
          </w:p>
        </w:tc>
      </w:tr>
      <w:tr w14:paraId="06070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1" w:hRule="atLeast"/>
        </w:trPr>
        <w:tc>
          <w:tcPr>
            <w:tcW w:w="580" w:type="dxa"/>
            <w:vMerge w:val="restart"/>
            <w:shd w:val="clear" w:color="auto" w:fill="FFFFFF"/>
            <w:tcMar>
              <w:top w:w="12" w:type="dxa"/>
              <w:left w:w="12" w:type="dxa"/>
              <w:right w:w="12" w:type="dxa"/>
            </w:tcMar>
            <w:vAlign w:val="center"/>
          </w:tcPr>
          <w:p w14:paraId="197A911E">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5</w:t>
            </w:r>
          </w:p>
        </w:tc>
        <w:tc>
          <w:tcPr>
            <w:tcW w:w="1102" w:type="dxa"/>
            <w:gridSpan w:val="2"/>
            <w:vMerge w:val="continue"/>
            <w:shd w:val="clear" w:color="auto" w:fill="FFFFFF"/>
            <w:tcMar>
              <w:top w:w="12" w:type="dxa"/>
              <w:left w:w="12" w:type="dxa"/>
              <w:right w:w="12" w:type="dxa"/>
            </w:tcMar>
            <w:vAlign w:val="center"/>
          </w:tcPr>
          <w:p w14:paraId="6BD7F306">
            <w:pPr>
              <w:jc w:val="center"/>
              <w:rPr>
                <w:rFonts w:hint="eastAsia" w:ascii="宋体" w:hAnsi="宋体" w:eastAsia="宋体" w:cs="宋体"/>
                <w:i w:val="0"/>
                <w:color w:val="auto"/>
                <w:sz w:val="24"/>
                <w:szCs w:val="24"/>
                <w:highlight w:val="none"/>
                <w:u w:val="none"/>
              </w:rPr>
            </w:pPr>
          </w:p>
        </w:tc>
        <w:tc>
          <w:tcPr>
            <w:tcW w:w="607" w:type="dxa"/>
            <w:gridSpan w:val="2"/>
            <w:vMerge w:val="restart"/>
            <w:shd w:val="clear" w:color="auto" w:fill="auto"/>
            <w:tcMar>
              <w:top w:w="12" w:type="dxa"/>
              <w:left w:w="12" w:type="dxa"/>
              <w:right w:w="12" w:type="dxa"/>
            </w:tcMar>
            <w:vAlign w:val="center"/>
          </w:tcPr>
          <w:p w14:paraId="45106697">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检测服务</w:t>
            </w:r>
          </w:p>
        </w:tc>
        <w:tc>
          <w:tcPr>
            <w:tcW w:w="946" w:type="dxa"/>
            <w:gridSpan w:val="2"/>
            <w:vMerge w:val="restart"/>
            <w:shd w:val="clear" w:color="auto" w:fill="auto"/>
            <w:tcMar>
              <w:top w:w="12" w:type="dxa"/>
              <w:left w:w="12" w:type="dxa"/>
              <w:right w:w="12" w:type="dxa"/>
            </w:tcMar>
            <w:vAlign w:val="center"/>
          </w:tcPr>
          <w:p w14:paraId="041A449D">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网站IPv6支持度检测服务</w:t>
            </w:r>
          </w:p>
        </w:tc>
        <w:tc>
          <w:tcPr>
            <w:tcW w:w="3093" w:type="dxa"/>
            <w:gridSpan w:val="2"/>
            <w:shd w:val="clear" w:color="auto" w:fill="auto"/>
            <w:tcMar>
              <w:top w:w="12" w:type="dxa"/>
              <w:left w:w="12" w:type="dxa"/>
              <w:right w:w="12" w:type="dxa"/>
            </w:tcMar>
            <w:vAlign w:val="center"/>
          </w:tcPr>
          <w:p w14:paraId="055C36F5">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网站 IPv6 支持度深度检测服务及每月提供检测报告，服务器3年，检测项如下：</w:t>
            </w:r>
          </w:p>
        </w:tc>
        <w:tc>
          <w:tcPr>
            <w:tcW w:w="2695" w:type="dxa"/>
            <w:gridSpan w:val="2"/>
            <w:shd w:val="clear" w:color="auto" w:fill="auto"/>
            <w:tcMar>
              <w:top w:w="12" w:type="dxa"/>
              <w:left w:w="12" w:type="dxa"/>
              <w:right w:w="12" w:type="dxa"/>
            </w:tcMar>
            <w:vAlign w:val="center"/>
          </w:tcPr>
          <w:p w14:paraId="366A01FC">
            <w:pPr>
              <w:jc w:val="center"/>
              <w:rPr>
                <w:rFonts w:hint="eastAsia" w:ascii="宋体" w:hAnsi="宋体" w:eastAsia="宋体" w:cs="宋体"/>
                <w:b w:val="0"/>
                <w:bCs w:val="0"/>
                <w:i w:val="0"/>
                <w:color w:val="auto"/>
                <w:sz w:val="24"/>
                <w:szCs w:val="24"/>
                <w:highlight w:val="none"/>
                <w:u w:val="none"/>
              </w:rPr>
            </w:pPr>
          </w:p>
        </w:tc>
      </w:tr>
      <w:tr w14:paraId="176E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9" w:hRule="atLeast"/>
        </w:trPr>
        <w:tc>
          <w:tcPr>
            <w:tcW w:w="580" w:type="dxa"/>
            <w:vMerge w:val="continue"/>
            <w:shd w:val="clear" w:color="auto" w:fill="FFFFFF"/>
            <w:tcMar>
              <w:top w:w="12" w:type="dxa"/>
              <w:left w:w="12" w:type="dxa"/>
              <w:right w:w="12" w:type="dxa"/>
            </w:tcMar>
            <w:vAlign w:val="center"/>
          </w:tcPr>
          <w:p w14:paraId="0EF6B8C9">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068FA54B">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524CC0D4">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048390D7">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59F732CD">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1.网站域名 IPv6 地址解析能力</w:t>
            </w:r>
          </w:p>
        </w:tc>
        <w:tc>
          <w:tcPr>
            <w:tcW w:w="2695" w:type="dxa"/>
            <w:gridSpan w:val="2"/>
            <w:shd w:val="clear" w:color="auto" w:fill="auto"/>
            <w:tcMar>
              <w:top w:w="12" w:type="dxa"/>
              <w:left w:w="12" w:type="dxa"/>
              <w:right w:w="12" w:type="dxa"/>
            </w:tcMar>
            <w:vAlign w:val="center"/>
          </w:tcPr>
          <w:p w14:paraId="6598A5B6">
            <w:pPr>
              <w:jc w:val="center"/>
              <w:rPr>
                <w:rFonts w:hint="eastAsia" w:ascii="宋体" w:hAnsi="宋体" w:eastAsia="宋体" w:cs="宋体"/>
                <w:b w:val="0"/>
                <w:bCs w:val="0"/>
                <w:i w:val="0"/>
                <w:color w:val="auto"/>
                <w:sz w:val="24"/>
                <w:szCs w:val="24"/>
                <w:highlight w:val="none"/>
                <w:u w:val="none"/>
              </w:rPr>
            </w:pPr>
          </w:p>
        </w:tc>
      </w:tr>
      <w:tr w14:paraId="6FE9D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27" w:hRule="atLeast"/>
        </w:trPr>
        <w:tc>
          <w:tcPr>
            <w:tcW w:w="580" w:type="dxa"/>
            <w:vMerge w:val="continue"/>
            <w:shd w:val="clear" w:color="auto" w:fill="FFFFFF"/>
            <w:tcMar>
              <w:top w:w="12" w:type="dxa"/>
              <w:left w:w="12" w:type="dxa"/>
              <w:right w:w="12" w:type="dxa"/>
            </w:tcMar>
            <w:vAlign w:val="center"/>
          </w:tcPr>
          <w:p w14:paraId="0A1CE807">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1655B99B">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6B9D8ABB">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4D3B85BA">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5FC55559">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2.网站首页 IPv6 可访问</w:t>
            </w:r>
          </w:p>
        </w:tc>
        <w:tc>
          <w:tcPr>
            <w:tcW w:w="2695" w:type="dxa"/>
            <w:gridSpan w:val="2"/>
            <w:shd w:val="clear" w:color="auto" w:fill="auto"/>
            <w:tcMar>
              <w:top w:w="12" w:type="dxa"/>
              <w:left w:w="12" w:type="dxa"/>
              <w:right w:w="12" w:type="dxa"/>
            </w:tcMar>
            <w:vAlign w:val="center"/>
          </w:tcPr>
          <w:p w14:paraId="1A29237F">
            <w:pPr>
              <w:jc w:val="center"/>
              <w:rPr>
                <w:rFonts w:hint="eastAsia" w:ascii="宋体" w:hAnsi="宋体" w:eastAsia="宋体" w:cs="宋体"/>
                <w:b w:val="0"/>
                <w:bCs w:val="0"/>
                <w:i w:val="0"/>
                <w:color w:val="auto"/>
                <w:sz w:val="24"/>
                <w:szCs w:val="24"/>
                <w:highlight w:val="none"/>
                <w:u w:val="none"/>
              </w:rPr>
            </w:pPr>
          </w:p>
        </w:tc>
      </w:tr>
      <w:tr w14:paraId="4BD29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580" w:type="dxa"/>
            <w:vMerge w:val="continue"/>
            <w:shd w:val="clear" w:color="auto" w:fill="FFFFFF"/>
            <w:tcMar>
              <w:top w:w="12" w:type="dxa"/>
              <w:left w:w="12" w:type="dxa"/>
              <w:right w:w="12" w:type="dxa"/>
            </w:tcMar>
            <w:vAlign w:val="center"/>
          </w:tcPr>
          <w:p w14:paraId="4FD3AA75">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41BC145B">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2AE2329E">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6EC2BC22">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5D9B9961">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3.网站首页 IPv6 访问成功率</w:t>
            </w:r>
          </w:p>
        </w:tc>
        <w:tc>
          <w:tcPr>
            <w:tcW w:w="2695" w:type="dxa"/>
            <w:gridSpan w:val="2"/>
            <w:shd w:val="clear" w:color="auto" w:fill="auto"/>
            <w:tcMar>
              <w:top w:w="12" w:type="dxa"/>
              <w:left w:w="12" w:type="dxa"/>
              <w:right w:w="12" w:type="dxa"/>
            </w:tcMar>
            <w:vAlign w:val="center"/>
          </w:tcPr>
          <w:p w14:paraId="426CDF01">
            <w:pPr>
              <w:jc w:val="center"/>
              <w:rPr>
                <w:rFonts w:hint="eastAsia" w:ascii="宋体" w:hAnsi="宋体" w:eastAsia="宋体" w:cs="宋体"/>
                <w:b w:val="0"/>
                <w:bCs w:val="0"/>
                <w:i w:val="0"/>
                <w:color w:val="auto"/>
                <w:sz w:val="24"/>
                <w:szCs w:val="24"/>
                <w:highlight w:val="none"/>
                <w:u w:val="none"/>
              </w:rPr>
            </w:pPr>
          </w:p>
        </w:tc>
      </w:tr>
      <w:tr w14:paraId="3B565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9" w:hRule="atLeast"/>
        </w:trPr>
        <w:tc>
          <w:tcPr>
            <w:tcW w:w="580" w:type="dxa"/>
            <w:vMerge w:val="continue"/>
            <w:shd w:val="clear" w:color="auto" w:fill="FFFFFF"/>
            <w:tcMar>
              <w:top w:w="12" w:type="dxa"/>
              <w:left w:w="12" w:type="dxa"/>
              <w:right w:w="12" w:type="dxa"/>
            </w:tcMar>
            <w:vAlign w:val="center"/>
          </w:tcPr>
          <w:p w14:paraId="2CB81E24">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0BCF60EC">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26A95D4B">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01B3335E">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1F73BB57">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4.网站首页内容 IPv6 和 IPv4 的一致性</w:t>
            </w:r>
          </w:p>
        </w:tc>
        <w:tc>
          <w:tcPr>
            <w:tcW w:w="2695" w:type="dxa"/>
            <w:gridSpan w:val="2"/>
            <w:shd w:val="clear" w:color="auto" w:fill="auto"/>
            <w:tcMar>
              <w:top w:w="12" w:type="dxa"/>
              <w:left w:w="12" w:type="dxa"/>
              <w:right w:w="12" w:type="dxa"/>
            </w:tcMar>
            <w:vAlign w:val="center"/>
          </w:tcPr>
          <w:p w14:paraId="2C8934B2">
            <w:pPr>
              <w:jc w:val="center"/>
              <w:rPr>
                <w:rFonts w:hint="eastAsia" w:ascii="宋体" w:hAnsi="宋体" w:eastAsia="宋体" w:cs="宋体"/>
                <w:b w:val="0"/>
                <w:bCs w:val="0"/>
                <w:i w:val="0"/>
                <w:color w:val="auto"/>
                <w:sz w:val="24"/>
                <w:szCs w:val="24"/>
                <w:highlight w:val="none"/>
                <w:u w:val="none"/>
              </w:rPr>
            </w:pPr>
          </w:p>
        </w:tc>
      </w:tr>
      <w:tr w14:paraId="2D66B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9" w:hRule="atLeast"/>
        </w:trPr>
        <w:tc>
          <w:tcPr>
            <w:tcW w:w="580" w:type="dxa"/>
            <w:vMerge w:val="continue"/>
            <w:shd w:val="clear" w:color="auto" w:fill="FFFFFF"/>
            <w:tcMar>
              <w:top w:w="12" w:type="dxa"/>
              <w:left w:w="12" w:type="dxa"/>
              <w:right w:w="12" w:type="dxa"/>
            </w:tcMar>
            <w:vAlign w:val="center"/>
          </w:tcPr>
          <w:p w14:paraId="7BFF8AEC">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38B3E755">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4AFA9079">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7A229E54">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36B550E3">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5.网站首页布局 IPv6 和 IPv4 的一致性</w:t>
            </w:r>
          </w:p>
        </w:tc>
        <w:tc>
          <w:tcPr>
            <w:tcW w:w="2695" w:type="dxa"/>
            <w:gridSpan w:val="2"/>
            <w:shd w:val="clear" w:color="auto" w:fill="auto"/>
            <w:tcMar>
              <w:top w:w="12" w:type="dxa"/>
              <w:left w:w="12" w:type="dxa"/>
              <w:right w:w="12" w:type="dxa"/>
            </w:tcMar>
            <w:vAlign w:val="center"/>
          </w:tcPr>
          <w:p w14:paraId="7ACDEC00">
            <w:pPr>
              <w:jc w:val="center"/>
              <w:rPr>
                <w:rFonts w:hint="eastAsia" w:ascii="宋体" w:hAnsi="宋体" w:eastAsia="宋体" w:cs="宋体"/>
                <w:b w:val="0"/>
                <w:bCs w:val="0"/>
                <w:i w:val="0"/>
                <w:color w:val="auto"/>
                <w:sz w:val="24"/>
                <w:szCs w:val="24"/>
                <w:highlight w:val="none"/>
                <w:u w:val="none"/>
              </w:rPr>
            </w:pPr>
          </w:p>
        </w:tc>
      </w:tr>
      <w:tr w14:paraId="2E75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39" w:hRule="atLeast"/>
        </w:trPr>
        <w:tc>
          <w:tcPr>
            <w:tcW w:w="580" w:type="dxa"/>
            <w:vMerge w:val="continue"/>
            <w:shd w:val="clear" w:color="auto" w:fill="FFFFFF"/>
            <w:tcMar>
              <w:top w:w="12" w:type="dxa"/>
              <w:left w:w="12" w:type="dxa"/>
              <w:right w:w="12" w:type="dxa"/>
            </w:tcMar>
            <w:vAlign w:val="center"/>
          </w:tcPr>
          <w:p w14:paraId="48E77EFC">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645F2C70">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640A2326">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557864C7">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5B38358C">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6.网站域名具备完整的 IPv6 域名授权体系</w:t>
            </w:r>
          </w:p>
        </w:tc>
        <w:tc>
          <w:tcPr>
            <w:tcW w:w="2695" w:type="dxa"/>
            <w:gridSpan w:val="2"/>
            <w:shd w:val="clear" w:color="auto" w:fill="auto"/>
            <w:tcMar>
              <w:top w:w="12" w:type="dxa"/>
              <w:left w:w="12" w:type="dxa"/>
              <w:right w:w="12" w:type="dxa"/>
            </w:tcMar>
            <w:vAlign w:val="center"/>
          </w:tcPr>
          <w:p w14:paraId="45361CF9">
            <w:pPr>
              <w:jc w:val="center"/>
              <w:rPr>
                <w:rFonts w:hint="eastAsia" w:ascii="宋体" w:hAnsi="宋体" w:eastAsia="宋体" w:cs="宋体"/>
                <w:b w:val="0"/>
                <w:bCs w:val="0"/>
                <w:i w:val="0"/>
                <w:color w:val="auto"/>
                <w:sz w:val="24"/>
                <w:szCs w:val="24"/>
                <w:highlight w:val="none"/>
                <w:u w:val="none"/>
              </w:rPr>
            </w:pPr>
          </w:p>
        </w:tc>
      </w:tr>
      <w:tr w14:paraId="3DE82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580" w:type="dxa"/>
            <w:vMerge w:val="continue"/>
            <w:shd w:val="clear" w:color="auto" w:fill="FFFFFF"/>
            <w:tcMar>
              <w:top w:w="12" w:type="dxa"/>
              <w:left w:w="12" w:type="dxa"/>
              <w:right w:w="12" w:type="dxa"/>
            </w:tcMar>
            <w:vAlign w:val="center"/>
          </w:tcPr>
          <w:p w14:paraId="6938DE29">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01224F6D">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797656E7">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73CAFA53">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1B7BBD95">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7.网站二级链接 IPv6 支持率</w:t>
            </w:r>
          </w:p>
        </w:tc>
        <w:tc>
          <w:tcPr>
            <w:tcW w:w="2695" w:type="dxa"/>
            <w:gridSpan w:val="2"/>
            <w:shd w:val="clear" w:color="auto" w:fill="auto"/>
            <w:tcMar>
              <w:top w:w="12" w:type="dxa"/>
              <w:left w:w="12" w:type="dxa"/>
              <w:right w:w="12" w:type="dxa"/>
            </w:tcMar>
            <w:vAlign w:val="center"/>
          </w:tcPr>
          <w:p w14:paraId="7788DC09">
            <w:pPr>
              <w:jc w:val="center"/>
              <w:rPr>
                <w:rFonts w:hint="eastAsia" w:ascii="宋体" w:hAnsi="宋体" w:eastAsia="宋体" w:cs="宋体"/>
                <w:b w:val="0"/>
                <w:bCs w:val="0"/>
                <w:i w:val="0"/>
                <w:color w:val="auto"/>
                <w:sz w:val="24"/>
                <w:szCs w:val="24"/>
                <w:highlight w:val="none"/>
                <w:u w:val="none"/>
              </w:rPr>
            </w:pPr>
          </w:p>
        </w:tc>
      </w:tr>
      <w:tr w14:paraId="7FA4F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580" w:type="dxa"/>
            <w:vMerge w:val="continue"/>
            <w:shd w:val="clear" w:color="auto" w:fill="FFFFFF"/>
            <w:tcMar>
              <w:top w:w="12" w:type="dxa"/>
              <w:left w:w="12" w:type="dxa"/>
              <w:right w:w="12" w:type="dxa"/>
            </w:tcMar>
            <w:vAlign w:val="center"/>
          </w:tcPr>
          <w:p w14:paraId="22F473A7">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4F7D63BA">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15D721DA">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4F8085BB">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65ED6EB1">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8.网站三级链接 IPv6 支持率</w:t>
            </w:r>
          </w:p>
        </w:tc>
        <w:tc>
          <w:tcPr>
            <w:tcW w:w="2695" w:type="dxa"/>
            <w:gridSpan w:val="2"/>
            <w:shd w:val="clear" w:color="auto" w:fill="auto"/>
            <w:tcMar>
              <w:top w:w="12" w:type="dxa"/>
              <w:left w:w="12" w:type="dxa"/>
              <w:right w:w="12" w:type="dxa"/>
            </w:tcMar>
            <w:vAlign w:val="center"/>
          </w:tcPr>
          <w:p w14:paraId="2461DEC8">
            <w:pPr>
              <w:jc w:val="center"/>
              <w:rPr>
                <w:rFonts w:hint="eastAsia" w:ascii="宋体" w:hAnsi="宋体" w:eastAsia="宋体" w:cs="宋体"/>
                <w:b w:val="0"/>
                <w:bCs w:val="0"/>
                <w:i w:val="0"/>
                <w:color w:val="auto"/>
                <w:sz w:val="24"/>
                <w:szCs w:val="24"/>
                <w:highlight w:val="none"/>
                <w:u w:val="none"/>
              </w:rPr>
            </w:pPr>
          </w:p>
        </w:tc>
      </w:tr>
      <w:tr w14:paraId="0A2B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27" w:hRule="atLeast"/>
        </w:trPr>
        <w:tc>
          <w:tcPr>
            <w:tcW w:w="580" w:type="dxa"/>
            <w:vMerge w:val="continue"/>
            <w:shd w:val="clear" w:color="auto" w:fill="FFFFFF"/>
            <w:tcMar>
              <w:top w:w="12" w:type="dxa"/>
              <w:left w:w="12" w:type="dxa"/>
              <w:right w:w="12" w:type="dxa"/>
            </w:tcMar>
            <w:vAlign w:val="center"/>
          </w:tcPr>
          <w:p w14:paraId="133A5526">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201B9968">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445C8DBE">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3F54AB8D">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789675A1">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9.网站域名解析时延</w:t>
            </w:r>
          </w:p>
        </w:tc>
        <w:tc>
          <w:tcPr>
            <w:tcW w:w="2695" w:type="dxa"/>
            <w:gridSpan w:val="2"/>
            <w:shd w:val="clear" w:color="auto" w:fill="auto"/>
            <w:tcMar>
              <w:top w:w="12" w:type="dxa"/>
              <w:left w:w="12" w:type="dxa"/>
              <w:right w:w="12" w:type="dxa"/>
            </w:tcMar>
            <w:vAlign w:val="center"/>
          </w:tcPr>
          <w:p w14:paraId="7C605F1A">
            <w:pPr>
              <w:jc w:val="center"/>
              <w:rPr>
                <w:rFonts w:hint="eastAsia" w:ascii="宋体" w:hAnsi="宋体" w:eastAsia="宋体" w:cs="宋体"/>
                <w:b w:val="0"/>
                <w:bCs w:val="0"/>
                <w:i w:val="0"/>
                <w:color w:val="auto"/>
                <w:sz w:val="24"/>
                <w:szCs w:val="24"/>
                <w:highlight w:val="none"/>
                <w:u w:val="none"/>
              </w:rPr>
            </w:pPr>
          </w:p>
        </w:tc>
      </w:tr>
      <w:tr w14:paraId="49CE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580" w:type="dxa"/>
            <w:vMerge w:val="continue"/>
            <w:shd w:val="clear" w:color="auto" w:fill="FFFFFF"/>
            <w:tcMar>
              <w:top w:w="12" w:type="dxa"/>
              <w:left w:w="12" w:type="dxa"/>
              <w:right w:w="12" w:type="dxa"/>
            </w:tcMar>
            <w:vAlign w:val="center"/>
          </w:tcPr>
          <w:p w14:paraId="54996B55">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6B2DDE04">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7DE13072">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18A7A4BE">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0674C4DC">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10.网站首页访问时延</w:t>
            </w:r>
          </w:p>
        </w:tc>
        <w:tc>
          <w:tcPr>
            <w:tcW w:w="2695" w:type="dxa"/>
            <w:gridSpan w:val="2"/>
            <w:shd w:val="clear" w:color="auto" w:fill="auto"/>
            <w:tcMar>
              <w:top w:w="12" w:type="dxa"/>
              <w:left w:w="12" w:type="dxa"/>
              <w:right w:w="12" w:type="dxa"/>
            </w:tcMar>
            <w:vAlign w:val="center"/>
          </w:tcPr>
          <w:p w14:paraId="649E4980">
            <w:pPr>
              <w:jc w:val="center"/>
              <w:rPr>
                <w:rFonts w:hint="eastAsia" w:ascii="宋体" w:hAnsi="宋体" w:eastAsia="宋体" w:cs="宋体"/>
                <w:b w:val="0"/>
                <w:bCs w:val="0"/>
                <w:i w:val="0"/>
                <w:color w:val="auto"/>
                <w:sz w:val="24"/>
                <w:szCs w:val="24"/>
                <w:highlight w:val="none"/>
                <w:u w:val="none"/>
              </w:rPr>
            </w:pPr>
          </w:p>
        </w:tc>
      </w:tr>
      <w:tr w14:paraId="1471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580" w:type="dxa"/>
            <w:vMerge w:val="continue"/>
            <w:shd w:val="clear" w:color="auto" w:fill="FFFFFF"/>
            <w:tcMar>
              <w:top w:w="12" w:type="dxa"/>
              <w:left w:w="12" w:type="dxa"/>
              <w:right w:w="12" w:type="dxa"/>
            </w:tcMar>
            <w:vAlign w:val="center"/>
          </w:tcPr>
          <w:p w14:paraId="59A9CD3D">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6EBB45BC">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0E1F0999">
            <w:pPr>
              <w:jc w:val="center"/>
              <w:rPr>
                <w:rFonts w:hint="eastAsia" w:ascii="宋体" w:hAnsi="宋体" w:eastAsia="宋体" w:cs="宋体"/>
                <w:i w:val="0"/>
                <w:color w:val="auto"/>
                <w:sz w:val="24"/>
                <w:szCs w:val="24"/>
                <w:highlight w:val="none"/>
                <w:u w:val="none"/>
              </w:rPr>
            </w:pPr>
          </w:p>
        </w:tc>
        <w:tc>
          <w:tcPr>
            <w:tcW w:w="946" w:type="dxa"/>
            <w:gridSpan w:val="2"/>
            <w:vMerge w:val="continue"/>
            <w:shd w:val="clear" w:color="auto" w:fill="auto"/>
            <w:tcMar>
              <w:top w:w="12" w:type="dxa"/>
              <w:left w:w="12" w:type="dxa"/>
              <w:right w:w="12" w:type="dxa"/>
            </w:tcMar>
            <w:vAlign w:val="center"/>
          </w:tcPr>
          <w:p w14:paraId="6AEADB95">
            <w:pPr>
              <w:jc w:val="center"/>
              <w:rPr>
                <w:rFonts w:hint="eastAsia" w:ascii="宋体" w:hAnsi="宋体" w:eastAsia="宋体" w:cs="宋体"/>
                <w:i w:val="0"/>
                <w:color w:val="auto"/>
                <w:sz w:val="24"/>
                <w:szCs w:val="24"/>
                <w:highlight w:val="none"/>
                <w:u w:val="none"/>
              </w:rPr>
            </w:pPr>
          </w:p>
        </w:tc>
        <w:tc>
          <w:tcPr>
            <w:tcW w:w="3093" w:type="dxa"/>
            <w:gridSpan w:val="2"/>
            <w:shd w:val="clear" w:color="auto" w:fill="auto"/>
            <w:tcMar>
              <w:top w:w="12" w:type="dxa"/>
              <w:left w:w="12" w:type="dxa"/>
              <w:right w:w="12" w:type="dxa"/>
            </w:tcMar>
            <w:vAlign w:val="center"/>
          </w:tcPr>
          <w:p w14:paraId="0923E4F9">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snapToGrid w:val="0"/>
                <w:color w:val="auto"/>
                <w:kern w:val="0"/>
                <w:sz w:val="24"/>
                <w:szCs w:val="24"/>
                <w:highlight w:val="none"/>
                <w:u w:val="none"/>
                <w:lang w:val="en-US" w:eastAsia="zh-CN" w:bidi="ar"/>
              </w:rPr>
              <w:t>11.网站 IPv6 可访问稳定性</w:t>
            </w:r>
          </w:p>
        </w:tc>
        <w:tc>
          <w:tcPr>
            <w:tcW w:w="2695" w:type="dxa"/>
            <w:gridSpan w:val="2"/>
            <w:shd w:val="clear" w:color="auto" w:fill="auto"/>
            <w:tcMar>
              <w:top w:w="12" w:type="dxa"/>
              <w:left w:w="12" w:type="dxa"/>
              <w:right w:w="12" w:type="dxa"/>
            </w:tcMar>
            <w:vAlign w:val="center"/>
          </w:tcPr>
          <w:p w14:paraId="7EE86E2E">
            <w:pPr>
              <w:jc w:val="center"/>
              <w:rPr>
                <w:rFonts w:hint="eastAsia" w:ascii="宋体" w:hAnsi="宋体" w:eastAsia="宋体" w:cs="宋体"/>
                <w:b w:val="0"/>
                <w:bCs w:val="0"/>
                <w:i w:val="0"/>
                <w:color w:val="auto"/>
                <w:sz w:val="24"/>
                <w:szCs w:val="24"/>
                <w:highlight w:val="none"/>
                <w:u w:val="none"/>
              </w:rPr>
            </w:pPr>
          </w:p>
        </w:tc>
      </w:tr>
      <w:tr w14:paraId="5211B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1" w:hRule="atLeast"/>
        </w:trPr>
        <w:tc>
          <w:tcPr>
            <w:tcW w:w="580" w:type="dxa"/>
            <w:vMerge w:val="continue"/>
            <w:shd w:val="clear" w:color="auto" w:fill="FFFFFF"/>
            <w:tcMar>
              <w:top w:w="12" w:type="dxa"/>
              <w:left w:w="12" w:type="dxa"/>
              <w:right w:w="12" w:type="dxa"/>
            </w:tcMar>
            <w:vAlign w:val="center"/>
          </w:tcPr>
          <w:p w14:paraId="054A21EB">
            <w:pPr>
              <w:jc w:val="center"/>
              <w:rPr>
                <w:rFonts w:hint="eastAsia" w:ascii="宋体" w:hAnsi="宋体" w:eastAsia="宋体" w:cs="宋体"/>
                <w:i w:val="0"/>
                <w:color w:val="auto"/>
                <w:sz w:val="24"/>
                <w:szCs w:val="24"/>
                <w:highlight w:val="none"/>
                <w:u w:val="none"/>
              </w:rPr>
            </w:pPr>
          </w:p>
        </w:tc>
        <w:tc>
          <w:tcPr>
            <w:tcW w:w="1102" w:type="dxa"/>
            <w:gridSpan w:val="2"/>
            <w:vMerge w:val="continue"/>
            <w:shd w:val="clear" w:color="auto" w:fill="FFFFFF"/>
            <w:tcMar>
              <w:top w:w="12" w:type="dxa"/>
              <w:left w:w="12" w:type="dxa"/>
              <w:right w:w="12" w:type="dxa"/>
            </w:tcMar>
            <w:vAlign w:val="center"/>
          </w:tcPr>
          <w:p w14:paraId="37A0D1CE">
            <w:pPr>
              <w:jc w:val="center"/>
              <w:rPr>
                <w:rFonts w:hint="eastAsia" w:ascii="宋体" w:hAnsi="宋体" w:eastAsia="宋体" w:cs="宋体"/>
                <w:i w:val="0"/>
                <w:color w:val="auto"/>
                <w:sz w:val="24"/>
                <w:szCs w:val="24"/>
                <w:highlight w:val="none"/>
                <w:u w:val="none"/>
              </w:rPr>
            </w:pPr>
          </w:p>
        </w:tc>
        <w:tc>
          <w:tcPr>
            <w:tcW w:w="607" w:type="dxa"/>
            <w:gridSpan w:val="2"/>
            <w:vMerge w:val="continue"/>
            <w:shd w:val="clear" w:color="auto" w:fill="auto"/>
            <w:tcMar>
              <w:top w:w="12" w:type="dxa"/>
              <w:left w:w="12" w:type="dxa"/>
              <w:right w:w="12" w:type="dxa"/>
            </w:tcMar>
            <w:vAlign w:val="center"/>
          </w:tcPr>
          <w:p w14:paraId="0ADD9581">
            <w:pPr>
              <w:jc w:val="center"/>
              <w:rPr>
                <w:rFonts w:hint="eastAsia" w:ascii="宋体" w:hAnsi="宋体" w:eastAsia="宋体" w:cs="宋体"/>
                <w:i w:val="0"/>
                <w:color w:val="auto"/>
                <w:sz w:val="24"/>
                <w:szCs w:val="24"/>
                <w:highlight w:val="none"/>
                <w:u w:val="none"/>
              </w:rPr>
            </w:pPr>
          </w:p>
        </w:tc>
        <w:tc>
          <w:tcPr>
            <w:tcW w:w="946" w:type="dxa"/>
            <w:gridSpan w:val="2"/>
            <w:shd w:val="clear" w:color="auto" w:fill="auto"/>
            <w:tcMar>
              <w:top w:w="12" w:type="dxa"/>
              <w:left w:w="12" w:type="dxa"/>
              <w:right w:w="12" w:type="dxa"/>
            </w:tcMar>
            <w:vAlign w:val="center"/>
          </w:tcPr>
          <w:p w14:paraId="429093D7">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snapToGrid w:val="0"/>
                <w:color w:val="auto"/>
                <w:kern w:val="0"/>
                <w:sz w:val="24"/>
                <w:szCs w:val="24"/>
                <w:highlight w:val="none"/>
                <w:u w:val="none"/>
                <w:lang w:val="en-US" w:eastAsia="zh-CN" w:bidi="ar"/>
              </w:rPr>
              <w:t>证书</w:t>
            </w:r>
          </w:p>
        </w:tc>
        <w:tc>
          <w:tcPr>
            <w:tcW w:w="3093" w:type="dxa"/>
            <w:gridSpan w:val="2"/>
            <w:shd w:val="clear" w:color="auto" w:fill="auto"/>
            <w:tcMar>
              <w:top w:w="12" w:type="dxa"/>
              <w:left w:w="12" w:type="dxa"/>
              <w:right w:w="12" w:type="dxa"/>
            </w:tcMar>
            <w:vAlign w:val="center"/>
          </w:tcPr>
          <w:p w14:paraId="2D1A5FCB">
            <w:pPr>
              <w:keepNext w:val="0"/>
              <w:keepLines w:val="0"/>
              <w:widowControl/>
              <w:suppressLineNumbers w:val="0"/>
              <w:jc w:val="left"/>
              <w:textAlignment w:val="center"/>
              <w:rPr>
                <w:rFonts w:hint="eastAsia" w:ascii="宋体" w:hAnsi="宋体" w:eastAsia="宋体" w:cs="宋体"/>
                <w:b w:val="0"/>
                <w:bCs w:val="0"/>
                <w:i w:val="0"/>
                <w:color w:val="auto"/>
                <w:sz w:val="24"/>
                <w:szCs w:val="24"/>
                <w:highlight w:val="none"/>
                <w:u w:val="none"/>
              </w:rPr>
            </w:pPr>
            <w:r>
              <w:rPr>
                <w:rStyle w:val="36"/>
                <w:b w:val="0"/>
                <w:bCs w:val="0"/>
                <w:snapToGrid w:val="0"/>
                <w:color w:val="auto"/>
                <w:highlight w:val="none"/>
                <w:lang w:val="en-US" w:eastAsia="zh-CN" w:bidi="ar"/>
              </w:rPr>
              <w:t>提供相关IPv6服务平台、IPv6检测平台软件著作权证书</w:t>
            </w:r>
          </w:p>
        </w:tc>
        <w:tc>
          <w:tcPr>
            <w:tcW w:w="2695" w:type="dxa"/>
            <w:gridSpan w:val="2"/>
            <w:shd w:val="clear" w:color="auto" w:fill="auto"/>
            <w:tcMar>
              <w:top w:w="12" w:type="dxa"/>
              <w:left w:w="12" w:type="dxa"/>
              <w:right w:w="12" w:type="dxa"/>
            </w:tcMar>
            <w:vAlign w:val="center"/>
          </w:tcPr>
          <w:p w14:paraId="6818E8FD">
            <w:pPr>
              <w:rPr>
                <w:rFonts w:hint="eastAsia" w:ascii="宋体" w:hAnsi="宋体" w:eastAsia="宋体" w:cs="宋体"/>
                <w:b w:val="0"/>
                <w:bCs w:val="0"/>
                <w:i w:val="0"/>
                <w:color w:val="auto"/>
                <w:sz w:val="22"/>
                <w:szCs w:val="22"/>
                <w:highlight w:val="none"/>
                <w:u w:val="none"/>
              </w:rPr>
            </w:pPr>
          </w:p>
        </w:tc>
      </w:tr>
      <w:tr w14:paraId="00A3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9023" w:type="dxa"/>
            <w:gridSpan w:val="11"/>
            <w:shd w:val="clear" w:color="auto" w:fill="FFFFFF"/>
            <w:tcMar>
              <w:top w:w="12" w:type="dxa"/>
              <w:left w:w="12" w:type="dxa"/>
              <w:right w:w="12" w:type="dxa"/>
            </w:tcMar>
            <w:vAlign w:val="center"/>
          </w:tcPr>
          <w:p w14:paraId="78FC05E7">
            <w:pPr>
              <w:widowControl w:val="0"/>
              <w:kinsoku/>
              <w:autoSpaceDE/>
              <w:autoSpaceDN/>
              <w:adjustRightInd/>
              <w:snapToGrid/>
              <w:textAlignment w:val="auto"/>
              <w:rPr>
                <w:rFonts w:asciiTheme="minorEastAsia" w:hAnsiTheme="minorEastAsia" w:eastAsiaTheme="minorEastAsia" w:cstheme="minorEastAsia"/>
                <w:b/>
                <w:snapToGrid/>
                <w:color w:val="auto"/>
                <w:kern w:val="2"/>
                <w:sz w:val="24"/>
                <w:szCs w:val="24"/>
                <w:highlight w:val="none"/>
                <w:lang w:eastAsia="zh-CN"/>
              </w:rPr>
            </w:pPr>
            <w:r>
              <w:rPr>
                <w:rFonts w:hint="eastAsia" w:asciiTheme="minorEastAsia" w:hAnsiTheme="minorEastAsia" w:eastAsiaTheme="minorEastAsia" w:cstheme="minorEastAsia"/>
                <w:b/>
                <w:snapToGrid/>
                <w:color w:val="auto"/>
                <w:sz w:val="24"/>
                <w:szCs w:val="24"/>
                <w:highlight w:val="none"/>
                <w:lang w:eastAsia="zh-CN" w:bidi="ar"/>
              </w:rPr>
              <w:t>四、域名及地址管理分配部分</w:t>
            </w:r>
          </w:p>
        </w:tc>
      </w:tr>
      <w:tr w14:paraId="3593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9" w:type="dxa"/>
          <w:trHeight w:val="2641" w:hRule="atLeast"/>
        </w:trPr>
        <w:tc>
          <w:tcPr>
            <w:tcW w:w="594" w:type="dxa"/>
            <w:gridSpan w:val="2"/>
            <w:vMerge w:val="restart"/>
            <w:shd w:val="clear" w:color="auto" w:fill="FFFFFF"/>
            <w:tcMar>
              <w:top w:w="12" w:type="dxa"/>
              <w:left w:w="12" w:type="dxa"/>
              <w:right w:w="12" w:type="dxa"/>
            </w:tcMar>
            <w:vAlign w:val="center"/>
          </w:tcPr>
          <w:p w14:paraId="7D66ACCA">
            <w:pPr>
              <w:kinsoku/>
              <w:autoSpaceDE/>
              <w:autoSpaceDN/>
              <w:adjustRightInd/>
              <w:snapToGrid/>
              <w:jc w:val="left"/>
              <w:textAlignment w:val="center"/>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1</w:t>
            </w:r>
          </w:p>
        </w:tc>
        <w:tc>
          <w:tcPr>
            <w:tcW w:w="1126" w:type="dxa"/>
            <w:gridSpan w:val="2"/>
            <w:vMerge w:val="restart"/>
            <w:shd w:val="clear" w:color="auto" w:fill="FFFFFF"/>
            <w:tcMar>
              <w:top w:w="12" w:type="dxa"/>
              <w:left w:w="12" w:type="dxa"/>
              <w:right w:w="12" w:type="dxa"/>
            </w:tcMar>
            <w:vAlign w:val="center"/>
          </w:tcPr>
          <w:p w14:paraId="63475C5E">
            <w:pPr>
              <w:kinsoku/>
              <w:autoSpaceDE/>
              <w:autoSpaceDN/>
              <w:adjustRightInd/>
              <w:snapToGrid/>
              <w:textAlignment w:val="center"/>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统一管理节点</w:t>
            </w:r>
          </w:p>
        </w:tc>
        <w:tc>
          <w:tcPr>
            <w:tcW w:w="1496" w:type="dxa"/>
            <w:gridSpan w:val="2"/>
            <w:shd w:val="clear" w:color="auto" w:fill="auto"/>
            <w:tcMar>
              <w:top w:w="12" w:type="dxa"/>
              <w:left w:w="12" w:type="dxa"/>
              <w:right w:w="12" w:type="dxa"/>
            </w:tcMar>
            <w:vAlign w:val="center"/>
          </w:tcPr>
          <w:p w14:paraId="5427A6FD">
            <w:pPr>
              <w:kinsoku/>
              <w:autoSpaceDE/>
              <w:autoSpaceDN/>
              <w:adjustRightInd/>
              <w:snapToGrid/>
              <w:jc w:val="left"/>
              <w:textAlignment w:val="center"/>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管理功能</w:t>
            </w:r>
          </w:p>
        </w:tc>
        <w:tc>
          <w:tcPr>
            <w:tcW w:w="3093" w:type="dxa"/>
            <w:gridSpan w:val="2"/>
            <w:shd w:val="clear" w:color="auto" w:fill="auto"/>
            <w:tcMar>
              <w:top w:w="12" w:type="dxa"/>
              <w:left w:w="12" w:type="dxa"/>
              <w:right w:w="12" w:type="dxa"/>
            </w:tcMar>
            <w:vAlign w:val="center"/>
          </w:tcPr>
          <w:p w14:paraId="1A068C2C">
            <w:pPr>
              <w:kinsoku/>
              <w:autoSpaceDE/>
              <w:autoSpaceDN/>
              <w:adjustRightInd/>
              <w:snapToGrid/>
              <w:jc w:val="left"/>
              <w:textAlignment w:val="center"/>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bidi="ar"/>
              </w:rPr>
              <w:t>1.</w:t>
            </w:r>
            <w:r>
              <w:rPr>
                <w:rFonts w:hint="eastAsia" w:asciiTheme="minorEastAsia" w:hAnsiTheme="minorEastAsia" w:eastAsiaTheme="minorEastAsia" w:cstheme="minorEastAsia"/>
                <w:snapToGrid/>
                <w:color w:val="auto"/>
                <w:kern w:val="2"/>
                <w:sz w:val="24"/>
                <w:szCs w:val="24"/>
                <w:highlight w:val="none"/>
                <w:lang w:eastAsia="zh-CN" w:bidi="ar"/>
              </w:rPr>
              <w:t>支持通过web前台查看集群内所有节点的授权类型、有效时间、授权功能范围、授权凭证等；支持通过console口连接设备修改前台超级用户密码；支持不同license类型的节点统一纳管。</w:t>
            </w:r>
          </w:p>
        </w:tc>
        <w:tc>
          <w:tcPr>
            <w:tcW w:w="2695" w:type="dxa"/>
            <w:gridSpan w:val="2"/>
            <w:shd w:val="clear" w:color="auto" w:fill="FFFFFF"/>
            <w:tcMar>
              <w:top w:w="12" w:type="dxa"/>
              <w:left w:w="12" w:type="dxa"/>
              <w:right w:w="12" w:type="dxa"/>
            </w:tcMar>
            <w:vAlign w:val="center"/>
          </w:tcPr>
          <w:p w14:paraId="559EA4A3">
            <w:pPr>
              <w:widowControl w:val="0"/>
              <w:kinsoku/>
              <w:autoSpaceDE/>
              <w:autoSpaceDN/>
              <w:adjustRightInd/>
              <w:snapToGrid/>
              <w:jc w:val="left"/>
              <w:textAlignment w:val="auto"/>
              <w:rPr>
                <w:rFonts w:asciiTheme="minorEastAsia" w:hAnsiTheme="minorEastAsia" w:eastAsiaTheme="minorEastAsia" w:cstheme="minorEastAsia"/>
                <w:b w:val="0"/>
                <w:bCs w:val="0"/>
                <w:snapToGrid/>
                <w:color w:val="auto"/>
                <w:kern w:val="2"/>
                <w:sz w:val="24"/>
                <w:szCs w:val="24"/>
                <w:highlight w:val="none"/>
                <w:lang w:eastAsia="zh-CN"/>
              </w:rPr>
            </w:pPr>
          </w:p>
        </w:tc>
      </w:tr>
      <w:tr w14:paraId="20CBE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9" w:type="dxa"/>
          <w:trHeight w:val="576" w:hRule="atLeast"/>
        </w:trPr>
        <w:tc>
          <w:tcPr>
            <w:tcW w:w="594" w:type="dxa"/>
            <w:gridSpan w:val="2"/>
            <w:vMerge w:val="continue"/>
            <w:shd w:val="clear" w:color="auto" w:fill="FFFFFF"/>
            <w:tcMar>
              <w:top w:w="12" w:type="dxa"/>
              <w:left w:w="12" w:type="dxa"/>
              <w:right w:w="12" w:type="dxa"/>
            </w:tcMar>
            <w:vAlign w:val="center"/>
          </w:tcPr>
          <w:p w14:paraId="076C37A9">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1C6921ED">
            <w:pPr>
              <w:widowControl w:val="0"/>
              <w:kinsoku/>
              <w:autoSpaceDE/>
              <w:autoSpaceDN/>
              <w:adjustRightInd/>
              <w:snapToGrid/>
              <w:textAlignment w:val="auto"/>
              <w:rPr>
                <w:rFonts w:asciiTheme="minorEastAsia" w:hAnsiTheme="minorEastAsia" w:eastAsiaTheme="minorEastAsia" w:cstheme="minorEastAsia"/>
                <w:snapToGrid/>
                <w:color w:val="auto"/>
                <w:kern w:val="2"/>
                <w:sz w:val="24"/>
                <w:szCs w:val="24"/>
                <w:highlight w:val="none"/>
                <w:lang w:eastAsia="zh-CN"/>
              </w:rPr>
            </w:pPr>
          </w:p>
        </w:tc>
        <w:tc>
          <w:tcPr>
            <w:tcW w:w="1496" w:type="dxa"/>
            <w:gridSpan w:val="2"/>
            <w:shd w:val="clear" w:color="auto" w:fill="auto"/>
            <w:tcMar>
              <w:top w:w="12" w:type="dxa"/>
              <w:left w:w="12" w:type="dxa"/>
              <w:right w:w="12" w:type="dxa"/>
            </w:tcMar>
            <w:vAlign w:val="center"/>
          </w:tcPr>
          <w:p w14:paraId="32CA32CF">
            <w:pPr>
              <w:kinsoku/>
              <w:autoSpaceDE/>
              <w:autoSpaceDN/>
              <w:adjustRightInd/>
              <w:snapToGrid/>
              <w:jc w:val="left"/>
              <w:textAlignment w:val="center"/>
              <w:rPr>
                <w:rFonts w:hint="eastAsia" w:asciiTheme="minorEastAsia" w:hAnsiTheme="minorEastAsia" w:eastAsiaTheme="minorEastAsia" w:cstheme="minorEastAsia"/>
                <w:snapToGrid/>
                <w:color w:val="auto"/>
                <w:sz w:val="24"/>
                <w:szCs w:val="24"/>
                <w:highlight w:val="none"/>
                <w:lang w:eastAsia="zh-CN" w:bidi="ar"/>
              </w:rPr>
            </w:pPr>
            <w:r>
              <w:rPr>
                <w:rFonts w:hint="eastAsia" w:asciiTheme="minorEastAsia" w:hAnsiTheme="minorEastAsia" w:eastAsiaTheme="minorEastAsia" w:cstheme="minorEastAsia"/>
                <w:snapToGrid/>
                <w:color w:val="auto"/>
                <w:sz w:val="24"/>
                <w:szCs w:val="24"/>
                <w:highlight w:val="none"/>
                <w:lang w:eastAsia="zh-CN" w:bidi="ar"/>
              </w:rPr>
              <w:t>管理功能</w:t>
            </w:r>
          </w:p>
        </w:tc>
        <w:tc>
          <w:tcPr>
            <w:tcW w:w="3093" w:type="dxa"/>
            <w:gridSpan w:val="2"/>
            <w:shd w:val="clear" w:color="auto" w:fill="auto"/>
            <w:tcMar>
              <w:top w:w="12" w:type="dxa"/>
              <w:left w:w="12" w:type="dxa"/>
              <w:right w:w="12" w:type="dxa"/>
            </w:tcMar>
            <w:vAlign w:val="center"/>
          </w:tcPr>
          <w:p w14:paraId="5CA4A75C">
            <w:pPr>
              <w:kinsoku/>
              <w:autoSpaceDE/>
              <w:autoSpaceDN/>
              <w:adjustRightInd/>
              <w:snapToGrid/>
              <w:jc w:val="left"/>
              <w:textAlignment w:val="center"/>
              <w:rPr>
                <w:rFonts w:hint="eastAsia" w:asciiTheme="minorEastAsia" w:hAnsiTheme="minorEastAsia" w:eastAsiaTheme="minorEastAsia" w:cstheme="minorEastAsia"/>
                <w:snapToGrid/>
                <w:color w:val="auto"/>
                <w:kern w:val="2"/>
                <w:sz w:val="24"/>
                <w:szCs w:val="24"/>
                <w:highlight w:val="none"/>
                <w:lang w:eastAsia="zh-CN" w:bidi="ar"/>
              </w:rPr>
            </w:pPr>
            <w:r>
              <w:rPr>
                <w:rFonts w:hint="eastAsia" w:asciiTheme="minorEastAsia" w:hAnsiTheme="minorEastAsia" w:eastAsiaTheme="minorEastAsia" w:cstheme="minorEastAsia"/>
                <w:snapToGrid/>
                <w:color w:val="auto"/>
                <w:sz w:val="24"/>
                <w:szCs w:val="24"/>
                <w:highlight w:val="none"/>
                <w:lang w:eastAsia="zh-CN" w:bidi="ar"/>
              </w:rPr>
              <w:t>▲</w:t>
            </w:r>
            <w:r>
              <w:rPr>
                <w:rFonts w:hint="eastAsia" w:asciiTheme="minorEastAsia" w:hAnsiTheme="minorEastAsia" w:eastAsiaTheme="minorEastAsia" w:cstheme="minorEastAsia"/>
                <w:snapToGrid/>
                <w:color w:val="auto"/>
                <w:sz w:val="24"/>
                <w:szCs w:val="24"/>
                <w:highlight w:val="none"/>
                <w:lang w:val="en-US" w:eastAsia="zh-CN" w:bidi="ar"/>
              </w:rPr>
              <w:t>2.</w:t>
            </w:r>
            <w:r>
              <w:rPr>
                <w:rFonts w:hint="eastAsia" w:asciiTheme="minorEastAsia" w:hAnsiTheme="minorEastAsia" w:eastAsiaTheme="minorEastAsia" w:cstheme="minorEastAsia"/>
                <w:snapToGrid/>
                <w:color w:val="auto"/>
                <w:sz w:val="24"/>
                <w:szCs w:val="24"/>
                <w:highlight w:val="none"/>
                <w:lang w:eastAsia="zh-CN" w:bidi="ar"/>
              </w:rPr>
              <w:t>支持域名分级分层配置下发，支持对三级及以上域名进行WEB网管，且下级单位DNS节点可以作为本级域名管理节点的同时承接上级管理平台下发配置项（配置项包括上级域名授权、本级DNS域名、DNS视图、本节点账号管理权限）。</w:t>
            </w:r>
          </w:p>
        </w:tc>
        <w:tc>
          <w:tcPr>
            <w:tcW w:w="2695" w:type="dxa"/>
            <w:gridSpan w:val="2"/>
            <w:shd w:val="clear" w:color="auto" w:fill="FFFFFF"/>
            <w:tcMar>
              <w:top w:w="12" w:type="dxa"/>
              <w:left w:w="12" w:type="dxa"/>
              <w:right w:w="12" w:type="dxa"/>
            </w:tcMar>
            <w:vAlign w:val="center"/>
          </w:tcPr>
          <w:p w14:paraId="5689EFCC">
            <w:pPr>
              <w:widowControl w:val="0"/>
              <w:kinsoku/>
              <w:autoSpaceDE/>
              <w:autoSpaceDN/>
              <w:adjustRightInd/>
              <w:snapToGrid/>
              <w:jc w:val="left"/>
              <w:textAlignment w:val="auto"/>
              <w:rPr>
                <w:rFonts w:hint="eastAsia" w:asciiTheme="minorEastAsia" w:hAnsiTheme="minorEastAsia" w:eastAsiaTheme="minorEastAsia" w:cstheme="minorEastAsia"/>
                <w:b w:val="0"/>
                <w:bCs w:val="0"/>
                <w:snapToGrid/>
                <w:color w:val="auto"/>
                <w:kern w:val="2"/>
                <w:sz w:val="24"/>
                <w:szCs w:val="24"/>
                <w:highlight w:val="none"/>
                <w:lang w:eastAsia="zh-CN" w:bidi="ar"/>
              </w:rPr>
            </w:pPr>
            <w:r>
              <w:rPr>
                <w:rFonts w:hint="eastAsia" w:asciiTheme="minorEastAsia" w:hAnsiTheme="minorEastAsia" w:eastAsiaTheme="minorEastAsia" w:cstheme="minorEastAsia"/>
                <w:b w:val="0"/>
                <w:bCs w:val="0"/>
                <w:snapToGrid/>
                <w:color w:val="auto"/>
                <w:sz w:val="24"/>
                <w:szCs w:val="24"/>
                <w:highlight w:val="none"/>
                <w:lang w:eastAsia="zh-CN" w:bidi="ar"/>
              </w:rPr>
              <w:t>提供第三方检测机构出具的CNAS或CMA测试报告证明。</w:t>
            </w:r>
          </w:p>
        </w:tc>
      </w:tr>
      <w:tr w14:paraId="124FF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9" w:type="dxa"/>
          <w:trHeight w:val="864" w:hRule="atLeast"/>
        </w:trPr>
        <w:tc>
          <w:tcPr>
            <w:tcW w:w="594" w:type="dxa"/>
            <w:gridSpan w:val="2"/>
            <w:vMerge w:val="continue"/>
            <w:shd w:val="clear" w:color="auto" w:fill="FFFFFF"/>
            <w:tcMar>
              <w:top w:w="12" w:type="dxa"/>
              <w:left w:w="12" w:type="dxa"/>
              <w:right w:w="12" w:type="dxa"/>
            </w:tcMar>
            <w:vAlign w:val="center"/>
          </w:tcPr>
          <w:p w14:paraId="47B0F111">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61A27651">
            <w:pPr>
              <w:widowControl w:val="0"/>
              <w:kinsoku/>
              <w:autoSpaceDE/>
              <w:autoSpaceDN/>
              <w:adjustRightInd/>
              <w:snapToGrid/>
              <w:textAlignment w:val="auto"/>
              <w:rPr>
                <w:rFonts w:asciiTheme="minorEastAsia" w:hAnsiTheme="minorEastAsia" w:eastAsiaTheme="minorEastAsia" w:cstheme="minorEastAsia"/>
                <w:snapToGrid/>
                <w:color w:val="auto"/>
                <w:kern w:val="2"/>
                <w:sz w:val="24"/>
                <w:szCs w:val="24"/>
                <w:highlight w:val="none"/>
                <w:lang w:eastAsia="zh-CN"/>
              </w:rPr>
            </w:pPr>
          </w:p>
        </w:tc>
        <w:tc>
          <w:tcPr>
            <w:tcW w:w="1496" w:type="dxa"/>
            <w:gridSpan w:val="2"/>
            <w:shd w:val="clear" w:color="auto" w:fill="auto"/>
            <w:tcMar>
              <w:top w:w="12" w:type="dxa"/>
              <w:left w:w="12" w:type="dxa"/>
              <w:right w:w="12" w:type="dxa"/>
            </w:tcMar>
            <w:vAlign w:val="center"/>
          </w:tcPr>
          <w:p w14:paraId="43418F21">
            <w:pPr>
              <w:kinsoku/>
              <w:autoSpaceDE/>
              <w:autoSpaceDN/>
              <w:adjustRightInd/>
              <w:snapToGrid/>
              <w:jc w:val="left"/>
              <w:textAlignment w:val="center"/>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管理功能</w:t>
            </w:r>
          </w:p>
        </w:tc>
        <w:tc>
          <w:tcPr>
            <w:tcW w:w="3093" w:type="dxa"/>
            <w:gridSpan w:val="2"/>
            <w:shd w:val="clear" w:color="auto" w:fill="auto"/>
            <w:tcMar>
              <w:top w:w="12" w:type="dxa"/>
              <w:left w:w="12" w:type="dxa"/>
              <w:right w:w="12" w:type="dxa"/>
            </w:tcMar>
            <w:vAlign w:val="center"/>
          </w:tcPr>
          <w:p w14:paraId="16648595">
            <w:pPr>
              <w:kinsoku/>
              <w:autoSpaceDE/>
              <w:autoSpaceDN/>
              <w:adjustRightInd/>
              <w:snapToGrid/>
              <w:jc w:val="left"/>
              <w:textAlignment w:val="center"/>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val="en-US" w:eastAsia="zh-CN" w:bidi="ar"/>
              </w:rPr>
              <w:t>3.</w:t>
            </w:r>
            <w:r>
              <w:rPr>
                <w:rFonts w:hint="eastAsia" w:asciiTheme="minorEastAsia" w:hAnsiTheme="minorEastAsia" w:eastAsiaTheme="minorEastAsia" w:cstheme="minorEastAsia"/>
                <w:snapToGrid/>
                <w:color w:val="auto"/>
                <w:sz w:val="24"/>
                <w:szCs w:val="24"/>
                <w:highlight w:val="none"/>
                <w:lang w:eastAsia="zh-CN" w:bidi="ar"/>
              </w:rPr>
              <w:t>支持节点集中管理，支持运行信息同步展示，下级节点的运行信息可以实时同步到上级管理平台展示（展示信息包括：CPU使用率、CPU温度、内存使用率）；</w:t>
            </w:r>
          </w:p>
        </w:tc>
        <w:tc>
          <w:tcPr>
            <w:tcW w:w="2695" w:type="dxa"/>
            <w:gridSpan w:val="2"/>
            <w:shd w:val="clear" w:color="auto" w:fill="FFFFFF"/>
            <w:tcMar>
              <w:top w:w="12" w:type="dxa"/>
              <w:left w:w="12" w:type="dxa"/>
              <w:right w:w="12" w:type="dxa"/>
            </w:tcMar>
            <w:vAlign w:val="center"/>
          </w:tcPr>
          <w:p w14:paraId="5996A257">
            <w:pPr>
              <w:widowControl w:val="0"/>
              <w:kinsoku/>
              <w:autoSpaceDE/>
              <w:autoSpaceDN/>
              <w:adjustRightInd/>
              <w:snapToGrid/>
              <w:jc w:val="left"/>
              <w:textAlignment w:val="auto"/>
              <w:rPr>
                <w:rFonts w:asciiTheme="minorEastAsia" w:hAnsiTheme="minorEastAsia" w:eastAsiaTheme="minorEastAsia" w:cstheme="minorEastAsia"/>
                <w:b w:val="0"/>
                <w:bCs w:val="0"/>
                <w:snapToGrid/>
                <w:color w:val="auto"/>
                <w:kern w:val="2"/>
                <w:sz w:val="24"/>
                <w:szCs w:val="24"/>
                <w:highlight w:val="none"/>
                <w:lang w:eastAsia="zh-CN"/>
              </w:rPr>
            </w:pPr>
          </w:p>
        </w:tc>
      </w:tr>
      <w:tr w14:paraId="4490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9" w:type="dxa"/>
          <w:trHeight w:val="864" w:hRule="atLeast"/>
        </w:trPr>
        <w:tc>
          <w:tcPr>
            <w:tcW w:w="594" w:type="dxa"/>
            <w:gridSpan w:val="2"/>
            <w:vMerge w:val="continue"/>
            <w:shd w:val="clear" w:color="auto" w:fill="FFFFFF"/>
            <w:tcMar>
              <w:top w:w="12" w:type="dxa"/>
              <w:left w:w="12" w:type="dxa"/>
              <w:right w:w="12" w:type="dxa"/>
            </w:tcMar>
            <w:vAlign w:val="center"/>
          </w:tcPr>
          <w:p w14:paraId="1739E963">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0F1467FA">
            <w:pPr>
              <w:widowControl w:val="0"/>
              <w:kinsoku/>
              <w:autoSpaceDE/>
              <w:autoSpaceDN/>
              <w:adjustRightInd/>
              <w:snapToGrid/>
              <w:textAlignment w:val="auto"/>
              <w:rPr>
                <w:rFonts w:asciiTheme="minorEastAsia" w:hAnsiTheme="minorEastAsia" w:eastAsiaTheme="minorEastAsia" w:cstheme="minorEastAsia"/>
                <w:snapToGrid/>
                <w:color w:val="auto"/>
                <w:kern w:val="2"/>
                <w:sz w:val="24"/>
                <w:szCs w:val="24"/>
                <w:highlight w:val="none"/>
                <w:lang w:eastAsia="zh-CN"/>
              </w:rPr>
            </w:pPr>
          </w:p>
        </w:tc>
        <w:tc>
          <w:tcPr>
            <w:tcW w:w="1496" w:type="dxa"/>
            <w:gridSpan w:val="2"/>
            <w:shd w:val="clear" w:color="auto" w:fill="auto"/>
            <w:tcMar>
              <w:top w:w="12" w:type="dxa"/>
              <w:left w:w="12" w:type="dxa"/>
              <w:right w:w="12" w:type="dxa"/>
            </w:tcMar>
            <w:vAlign w:val="center"/>
          </w:tcPr>
          <w:p w14:paraId="4331C75D">
            <w:pPr>
              <w:kinsoku/>
              <w:autoSpaceDE/>
              <w:autoSpaceDN/>
              <w:adjustRightInd/>
              <w:snapToGrid/>
              <w:jc w:val="left"/>
              <w:textAlignment w:val="center"/>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解析拨测</w:t>
            </w:r>
          </w:p>
        </w:tc>
        <w:tc>
          <w:tcPr>
            <w:tcW w:w="3093" w:type="dxa"/>
            <w:gridSpan w:val="2"/>
            <w:shd w:val="clear" w:color="auto" w:fill="auto"/>
            <w:tcMar>
              <w:top w:w="12" w:type="dxa"/>
              <w:left w:w="12" w:type="dxa"/>
              <w:right w:w="12" w:type="dxa"/>
            </w:tcMar>
            <w:vAlign w:val="center"/>
          </w:tcPr>
          <w:p w14:paraId="0EEADE8E">
            <w:pPr>
              <w:kinsoku/>
              <w:autoSpaceDE/>
              <w:autoSpaceDN/>
              <w:adjustRightInd/>
              <w:snapToGrid/>
              <w:jc w:val="left"/>
              <w:textAlignment w:val="center"/>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bidi="ar"/>
              </w:rPr>
              <w:t>▲</w:t>
            </w:r>
            <w:r>
              <w:rPr>
                <w:rFonts w:hint="eastAsia" w:asciiTheme="minorEastAsia" w:hAnsiTheme="minorEastAsia" w:eastAsiaTheme="minorEastAsia" w:cstheme="minorEastAsia"/>
                <w:snapToGrid/>
                <w:color w:val="auto"/>
                <w:kern w:val="2"/>
                <w:sz w:val="24"/>
                <w:szCs w:val="24"/>
                <w:highlight w:val="none"/>
                <w:lang w:val="en-US" w:eastAsia="zh-CN" w:bidi="ar"/>
              </w:rPr>
              <w:t>4.</w:t>
            </w:r>
            <w:r>
              <w:rPr>
                <w:rFonts w:hint="eastAsia" w:asciiTheme="minorEastAsia" w:hAnsiTheme="minorEastAsia" w:eastAsiaTheme="minorEastAsia" w:cstheme="minorEastAsia"/>
                <w:snapToGrid/>
                <w:color w:val="auto"/>
                <w:kern w:val="2"/>
                <w:sz w:val="24"/>
                <w:szCs w:val="24"/>
                <w:highlight w:val="none"/>
                <w:lang w:eastAsia="zh-CN" w:bidi="ar"/>
              </w:rPr>
              <w:t>支持解析拨测，可进行批量域名的拨测和多DNS间解析一致性对比；支持解析状态监控，可对内网域名解析情况监控，解析延迟、解析结果准确度、解析异常等指标进行实时拨测；支持事件诊断功能，可基于拨测监控诊断数据，定位内网解析故障位置。</w:t>
            </w:r>
          </w:p>
        </w:tc>
        <w:tc>
          <w:tcPr>
            <w:tcW w:w="2695" w:type="dxa"/>
            <w:gridSpan w:val="2"/>
            <w:shd w:val="clear" w:color="auto" w:fill="FFFFFF"/>
            <w:tcMar>
              <w:top w:w="12" w:type="dxa"/>
              <w:left w:w="12" w:type="dxa"/>
              <w:right w:w="12" w:type="dxa"/>
            </w:tcMar>
            <w:vAlign w:val="center"/>
          </w:tcPr>
          <w:p w14:paraId="7A072C74">
            <w:pPr>
              <w:widowControl w:val="0"/>
              <w:kinsoku/>
              <w:autoSpaceDE/>
              <w:autoSpaceDN/>
              <w:adjustRightInd/>
              <w:snapToGrid/>
              <w:jc w:val="left"/>
              <w:textAlignment w:val="auto"/>
              <w:rPr>
                <w:rFonts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提供满足功能场景需求、配置逻辑清晰的产品界面截图并加盖制造商公章。</w:t>
            </w:r>
          </w:p>
        </w:tc>
      </w:tr>
      <w:tr w14:paraId="165C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9" w:type="dxa"/>
          <w:trHeight w:val="864" w:hRule="atLeast"/>
        </w:trPr>
        <w:tc>
          <w:tcPr>
            <w:tcW w:w="594" w:type="dxa"/>
            <w:gridSpan w:val="2"/>
            <w:vMerge w:val="continue"/>
            <w:shd w:val="clear" w:color="auto" w:fill="FFFFFF"/>
            <w:tcMar>
              <w:top w:w="12" w:type="dxa"/>
              <w:left w:w="12" w:type="dxa"/>
              <w:right w:w="12" w:type="dxa"/>
            </w:tcMar>
            <w:vAlign w:val="center"/>
          </w:tcPr>
          <w:p w14:paraId="5BC88058">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79E0ECE3">
            <w:pPr>
              <w:widowControl w:val="0"/>
              <w:kinsoku/>
              <w:autoSpaceDE/>
              <w:autoSpaceDN/>
              <w:adjustRightInd/>
              <w:snapToGrid/>
              <w:textAlignment w:val="auto"/>
              <w:rPr>
                <w:rFonts w:asciiTheme="minorEastAsia" w:hAnsiTheme="minorEastAsia" w:eastAsiaTheme="minorEastAsia" w:cstheme="minorEastAsia"/>
                <w:snapToGrid/>
                <w:color w:val="auto"/>
                <w:kern w:val="2"/>
                <w:sz w:val="24"/>
                <w:szCs w:val="24"/>
                <w:highlight w:val="none"/>
                <w:lang w:eastAsia="zh-CN"/>
              </w:rPr>
            </w:pPr>
          </w:p>
        </w:tc>
        <w:tc>
          <w:tcPr>
            <w:tcW w:w="1496" w:type="dxa"/>
            <w:gridSpan w:val="2"/>
            <w:shd w:val="clear" w:color="auto" w:fill="auto"/>
            <w:tcMar>
              <w:top w:w="12" w:type="dxa"/>
              <w:left w:w="12" w:type="dxa"/>
              <w:right w:w="12" w:type="dxa"/>
            </w:tcMar>
            <w:vAlign w:val="center"/>
          </w:tcPr>
          <w:p w14:paraId="166A115D">
            <w:pPr>
              <w:kinsoku/>
              <w:autoSpaceDE/>
              <w:autoSpaceDN/>
              <w:adjustRightInd/>
              <w:snapToGrid/>
              <w:jc w:val="left"/>
              <w:textAlignment w:val="center"/>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配置导出</w:t>
            </w:r>
          </w:p>
        </w:tc>
        <w:tc>
          <w:tcPr>
            <w:tcW w:w="3093" w:type="dxa"/>
            <w:gridSpan w:val="2"/>
            <w:shd w:val="clear" w:color="auto" w:fill="auto"/>
            <w:tcMar>
              <w:top w:w="12" w:type="dxa"/>
              <w:left w:w="12" w:type="dxa"/>
              <w:right w:w="12" w:type="dxa"/>
            </w:tcMar>
            <w:vAlign w:val="center"/>
          </w:tcPr>
          <w:p w14:paraId="13AE158F">
            <w:pPr>
              <w:kinsoku/>
              <w:autoSpaceDE/>
              <w:autoSpaceDN/>
              <w:adjustRightInd/>
              <w:snapToGrid/>
              <w:jc w:val="left"/>
              <w:textAlignment w:val="center"/>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bidi="ar"/>
              </w:rPr>
              <w:t>5.</w:t>
            </w:r>
            <w:r>
              <w:rPr>
                <w:rFonts w:hint="eastAsia" w:asciiTheme="minorEastAsia" w:hAnsiTheme="minorEastAsia" w:eastAsiaTheme="minorEastAsia" w:cstheme="minorEastAsia"/>
                <w:snapToGrid/>
                <w:color w:val="auto"/>
                <w:kern w:val="2"/>
                <w:sz w:val="24"/>
                <w:szCs w:val="24"/>
                <w:highlight w:val="none"/>
                <w:lang w:eastAsia="zh-CN" w:bidi="ar"/>
              </w:rPr>
              <w:t>支持前台一键导出DNS配置项进行快速备份（导出的数据包含：视图配置、区配置、域名记录配置、转发配置、域名调度对象、本地安全策略等）</w:t>
            </w:r>
          </w:p>
        </w:tc>
        <w:tc>
          <w:tcPr>
            <w:tcW w:w="2695" w:type="dxa"/>
            <w:gridSpan w:val="2"/>
            <w:shd w:val="clear" w:color="auto" w:fill="FFFFFF"/>
            <w:tcMar>
              <w:top w:w="12" w:type="dxa"/>
              <w:left w:w="12" w:type="dxa"/>
              <w:right w:w="12" w:type="dxa"/>
            </w:tcMar>
            <w:vAlign w:val="center"/>
          </w:tcPr>
          <w:p w14:paraId="300A8F0A">
            <w:pPr>
              <w:widowControl w:val="0"/>
              <w:kinsoku/>
              <w:autoSpaceDE/>
              <w:autoSpaceDN/>
              <w:adjustRightInd/>
              <w:snapToGrid/>
              <w:jc w:val="left"/>
              <w:textAlignment w:val="auto"/>
              <w:rPr>
                <w:rFonts w:asciiTheme="minorEastAsia" w:hAnsiTheme="minorEastAsia" w:eastAsiaTheme="minorEastAsia" w:cstheme="minorEastAsia"/>
                <w:b w:val="0"/>
                <w:bCs w:val="0"/>
                <w:snapToGrid/>
                <w:color w:val="auto"/>
                <w:kern w:val="2"/>
                <w:sz w:val="24"/>
                <w:szCs w:val="24"/>
                <w:highlight w:val="none"/>
                <w:lang w:eastAsia="zh-CN"/>
              </w:rPr>
            </w:pPr>
          </w:p>
        </w:tc>
      </w:tr>
      <w:tr w14:paraId="52ACB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gridAfter w:val="1"/>
          <w:wAfter w:w="19" w:type="dxa"/>
          <w:trHeight w:val="576" w:hRule="atLeast"/>
        </w:trPr>
        <w:tc>
          <w:tcPr>
            <w:tcW w:w="594" w:type="dxa"/>
            <w:gridSpan w:val="2"/>
            <w:vMerge w:val="continue"/>
            <w:shd w:val="clear" w:color="auto" w:fill="FFFFFF"/>
            <w:tcMar>
              <w:top w:w="12" w:type="dxa"/>
              <w:left w:w="12" w:type="dxa"/>
              <w:right w:w="12" w:type="dxa"/>
            </w:tcMar>
            <w:vAlign w:val="center"/>
          </w:tcPr>
          <w:p w14:paraId="19C617D3">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61703612">
            <w:pPr>
              <w:widowControl w:val="0"/>
              <w:kinsoku/>
              <w:autoSpaceDE/>
              <w:autoSpaceDN/>
              <w:adjustRightInd/>
              <w:snapToGrid/>
              <w:textAlignment w:val="auto"/>
              <w:rPr>
                <w:rFonts w:asciiTheme="minorEastAsia" w:hAnsiTheme="minorEastAsia" w:eastAsiaTheme="minorEastAsia" w:cstheme="minorEastAsia"/>
                <w:snapToGrid/>
                <w:color w:val="auto"/>
                <w:kern w:val="2"/>
                <w:sz w:val="24"/>
                <w:szCs w:val="24"/>
                <w:highlight w:val="none"/>
                <w:lang w:eastAsia="zh-CN"/>
              </w:rPr>
            </w:pPr>
          </w:p>
        </w:tc>
        <w:tc>
          <w:tcPr>
            <w:tcW w:w="1496" w:type="dxa"/>
            <w:gridSpan w:val="2"/>
            <w:shd w:val="clear" w:color="auto" w:fill="auto"/>
            <w:tcMar>
              <w:top w:w="12" w:type="dxa"/>
              <w:left w:w="12" w:type="dxa"/>
              <w:right w:w="12" w:type="dxa"/>
            </w:tcMar>
            <w:vAlign w:val="center"/>
          </w:tcPr>
          <w:p w14:paraId="38F67A4A">
            <w:pPr>
              <w:kinsoku/>
              <w:autoSpaceDE/>
              <w:autoSpaceDN/>
              <w:adjustRightInd/>
              <w:snapToGrid/>
              <w:jc w:val="left"/>
              <w:textAlignment w:val="center"/>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告警功能</w:t>
            </w:r>
          </w:p>
        </w:tc>
        <w:tc>
          <w:tcPr>
            <w:tcW w:w="3093" w:type="dxa"/>
            <w:gridSpan w:val="2"/>
            <w:shd w:val="clear" w:color="auto" w:fill="auto"/>
            <w:tcMar>
              <w:top w:w="12" w:type="dxa"/>
              <w:left w:w="12" w:type="dxa"/>
              <w:right w:w="12" w:type="dxa"/>
            </w:tcMar>
            <w:vAlign w:val="center"/>
          </w:tcPr>
          <w:p w14:paraId="45E1205F">
            <w:pPr>
              <w:kinsoku/>
              <w:autoSpaceDE/>
              <w:autoSpaceDN/>
              <w:adjustRightInd/>
              <w:snapToGrid/>
              <w:jc w:val="left"/>
              <w:textAlignment w:val="center"/>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bidi="ar"/>
              </w:rPr>
              <w:t>6.</w:t>
            </w:r>
            <w:r>
              <w:rPr>
                <w:rFonts w:hint="eastAsia" w:asciiTheme="minorEastAsia" w:hAnsiTheme="minorEastAsia" w:eastAsiaTheme="minorEastAsia" w:cstheme="minorEastAsia"/>
                <w:snapToGrid/>
                <w:color w:val="auto"/>
                <w:kern w:val="2"/>
                <w:sz w:val="24"/>
                <w:szCs w:val="24"/>
                <w:highlight w:val="none"/>
                <w:lang w:eastAsia="zh-CN" w:bidi="ar"/>
              </w:rPr>
              <w:t>支持告警阈值设置，支持邮件、回调、SNMP、Syslog、短信、声音等告警方式，所有告警信息均支持设置不同的告警级别，包括但不限于Debug、Info、Notice、Warning、Err、Crit、Alert等。</w:t>
            </w:r>
          </w:p>
        </w:tc>
        <w:tc>
          <w:tcPr>
            <w:tcW w:w="2695" w:type="dxa"/>
            <w:gridSpan w:val="2"/>
            <w:shd w:val="clear" w:color="auto" w:fill="FFFFFF"/>
            <w:tcMar>
              <w:top w:w="12" w:type="dxa"/>
              <w:left w:w="12" w:type="dxa"/>
              <w:right w:w="12" w:type="dxa"/>
            </w:tcMar>
            <w:vAlign w:val="center"/>
          </w:tcPr>
          <w:p w14:paraId="3CE4E7ED">
            <w:pPr>
              <w:widowControl w:val="0"/>
              <w:kinsoku/>
              <w:autoSpaceDE/>
              <w:autoSpaceDN/>
              <w:adjustRightInd/>
              <w:snapToGrid/>
              <w:jc w:val="left"/>
              <w:textAlignment w:val="auto"/>
              <w:rPr>
                <w:rFonts w:asciiTheme="minorEastAsia" w:hAnsiTheme="minorEastAsia" w:eastAsiaTheme="minorEastAsia" w:cstheme="minorEastAsia"/>
                <w:b w:val="0"/>
                <w:bCs w:val="0"/>
                <w:snapToGrid/>
                <w:color w:val="auto"/>
                <w:kern w:val="2"/>
                <w:sz w:val="24"/>
                <w:szCs w:val="24"/>
                <w:highlight w:val="none"/>
                <w:lang w:eastAsia="zh-CN"/>
              </w:rPr>
            </w:pPr>
          </w:p>
        </w:tc>
      </w:tr>
      <w:tr w14:paraId="1349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9" w:type="dxa"/>
          <w:trHeight w:val="576" w:hRule="atLeast"/>
        </w:trPr>
        <w:tc>
          <w:tcPr>
            <w:tcW w:w="594" w:type="dxa"/>
            <w:gridSpan w:val="2"/>
            <w:vMerge w:val="continue"/>
            <w:shd w:val="clear" w:color="auto" w:fill="FFFFFF"/>
            <w:tcMar>
              <w:top w:w="12" w:type="dxa"/>
              <w:left w:w="12" w:type="dxa"/>
              <w:right w:w="12" w:type="dxa"/>
            </w:tcMar>
            <w:vAlign w:val="center"/>
          </w:tcPr>
          <w:p w14:paraId="0DCC9F3A">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306698B2">
            <w:pPr>
              <w:widowControl w:val="0"/>
              <w:kinsoku/>
              <w:autoSpaceDE/>
              <w:autoSpaceDN/>
              <w:adjustRightInd/>
              <w:snapToGrid/>
              <w:textAlignment w:val="auto"/>
              <w:rPr>
                <w:rFonts w:asciiTheme="minorEastAsia" w:hAnsiTheme="minorEastAsia" w:eastAsiaTheme="minorEastAsia" w:cstheme="minorEastAsia"/>
                <w:snapToGrid/>
                <w:color w:val="auto"/>
                <w:kern w:val="2"/>
                <w:sz w:val="24"/>
                <w:szCs w:val="24"/>
                <w:highlight w:val="none"/>
                <w:lang w:eastAsia="zh-CN"/>
              </w:rPr>
            </w:pPr>
          </w:p>
        </w:tc>
        <w:tc>
          <w:tcPr>
            <w:tcW w:w="1496" w:type="dxa"/>
            <w:gridSpan w:val="2"/>
            <w:shd w:val="clear" w:color="auto" w:fill="auto"/>
            <w:tcMar>
              <w:top w:w="12" w:type="dxa"/>
              <w:left w:w="12" w:type="dxa"/>
              <w:right w:w="12" w:type="dxa"/>
            </w:tcMar>
            <w:vAlign w:val="center"/>
          </w:tcPr>
          <w:p w14:paraId="1C74428D">
            <w:pPr>
              <w:kinsoku/>
              <w:autoSpaceDE/>
              <w:autoSpaceDN/>
              <w:adjustRightInd/>
              <w:snapToGrid/>
              <w:jc w:val="left"/>
              <w:textAlignment w:val="center"/>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资质要求</w:t>
            </w:r>
          </w:p>
        </w:tc>
        <w:tc>
          <w:tcPr>
            <w:tcW w:w="3093" w:type="dxa"/>
            <w:gridSpan w:val="2"/>
            <w:shd w:val="clear" w:color="auto" w:fill="auto"/>
            <w:tcMar>
              <w:top w:w="12" w:type="dxa"/>
              <w:left w:w="12" w:type="dxa"/>
              <w:right w:w="12" w:type="dxa"/>
            </w:tcMar>
            <w:vAlign w:val="center"/>
          </w:tcPr>
          <w:p w14:paraId="1EDF8557">
            <w:pPr>
              <w:kinsoku/>
              <w:autoSpaceDE/>
              <w:autoSpaceDN/>
              <w:adjustRightInd/>
              <w:snapToGrid/>
              <w:jc w:val="left"/>
              <w:textAlignment w:val="center"/>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bidi="ar"/>
              </w:rPr>
              <w:t>7.</w:t>
            </w:r>
            <w:r>
              <w:rPr>
                <w:rFonts w:hint="eastAsia" w:asciiTheme="minorEastAsia" w:hAnsiTheme="minorEastAsia" w:eastAsiaTheme="minorEastAsia" w:cstheme="minorEastAsia"/>
                <w:snapToGrid/>
                <w:color w:val="auto"/>
                <w:sz w:val="24"/>
                <w:szCs w:val="24"/>
                <w:highlight w:val="none"/>
                <w:lang w:eastAsia="zh-CN" w:bidi="ar"/>
              </w:rPr>
              <w:t>所投产品须具备由国家保密科技测评中心颁发的涉密信息系统产品检测证书。</w:t>
            </w:r>
          </w:p>
        </w:tc>
        <w:tc>
          <w:tcPr>
            <w:tcW w:w="2695" w:type="dxa"/>
            <w:gridSpan w:val="2"/>
            <w:shd w:val="clear" w:color="auto" w:fill="FFFFFF"/>
            <w:tcMar>
              <w:top w:w="12" w:type="dxa"/>
              <w:left w:w="12" w:type="dxa"/>
              <w:right w:w="12" w:type="dxa"/>
            </w:tcMar>
            <w:vAlign w:val="center"/>
          </w:tcPr>
          <w:p w14:paraId="69882404">
            <w:pPr>
              <w:widowControl w:val="0"/>
              <w:kinsoku/>
              <w:autoSpaceDE/>
              <w:autoSpaceDN/>
              <w:adjustRightInd/>
              <w:snapToGrid/>
              <w:jc w:val="left"/>
              <w:textAlignment w:val="auto"/>
              <w:rPr>
                <w:rFonts w:asciiTheme="minorEastAsia" w:hAnsiTheme="minorEastAsia" w:eastAsiaTheme="minorEastAsia" w:cstheme="minorEastAsia"/>
                <w:b w:val="0"/>
                <w:bCs w:val="0"/>
                <w:snapToGrid/>
                <w:color w:val="auto"/>
                <w:kern w:val="2"/>
                <w:sz w:val="24"/>
                <w:szCs w:val="24"/>
                <w:highlight w:val="none"/>
                <w:lang w:eastAsia="zh-CN"/>
              </w:rPr>
            </w:pPr>
          </w:p>
        </w:tc>
      </w:tr>
      <w:tr w14:paraId="4915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9" w:type="dxa"/>
          <w:trHeight w:val="576" w:hRule="atLeast"/>
        </w:trPr>
        <w:tc>
          <w:tcPr>
            <w:tcW w:w="594" w:type="dxa"/>
            <w:gridSpan w:val="2"/>
            <w:vMerge w:val="continue"/>
            <w:shd w:val="clear" w:color="auto" w:fill="FFFFFF"/>
            <w:tcMar>
              <w:top w:w="12" w:type="dxa"/>
              <w:left w:w="12" w:type="dxa"/>
              <w:right w:w="12" w:type="dxa"/>
            </w:tcMar>
            <w:vAlign w:val="center"/>
          </w:tcPr>
          <w:p w14:paraId="6F2B51AE">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66AD1C14">
            <w:pPr>
              <w:widowControl w:val="0"/>
              <w:kinsoku/>
              <w:autoSpaceDE/>
              <w:autoSpaceDN/>
              <w:adjustRightInd/>
              <w:snapToGrid/>
              <w:textAlignment w:val="auto"/>
              <w:rPr>
                <w:rFonts w:asciiTheme="minorEastAsia" w:hAnsiTheme="minorEastAsia" w:eastAsiaTheme="minorEastAsia" w:cstheme="minorEastAsia"/>
                <w:snapToGrid/>
                <w:color w:val="auto"/>
                <w:kern w:val="2"/>
                <w:sz w:val="24"/>
                <w:szCs w:val="24"/>
                <w:highlight w:val="none"/>
                <w:lang w:eastAsia="zh-CN"/>
              </w:rPr>
            </w:pPr>
          </w:p>
        </w:tc>
        <w:tc>
          <w:tcPr>
            <w:tcW w:w="1496" w:type="dxa"/>
            <w:gridSpan w:val="2"/>
            <w:shd w:val="clear" w:color="auto" w:fill="auto"/>
            <w:tcMar>
              <w:top w:w="12" w:type="dxa"/>
              <w:left w:w="12" w:type="dxa"/>
              <w:right w:w="12" w:type="dxa"/>
            </w:tcMar>
            <w:vAlign w:val="center"/>
          </w:tcPr>
          <w:p w14:paraId="13748508">
            <w:pPr>
              <w:kinsoku/>
              <w:autoSpaceDE/>
              <w:autoSpaceDN/>
              <w:adjustRightInd/>
              <w:snapToGrid/>
              <w:jc w:val="left"/>
              <w:textAlignment w:val="center"/>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资质要求</w:t>
            </w:r>
          </w:p>
        </w:tc>
        <w:tc>
          <w:tcPr>
            <w:tcW w:w="3093" w:type="dxa"/>
            <w:gridSpan w:val="2"/>
            <w:shd w:val="clear" w:color="auto" w:fill="auto"/>
            <w:tcMar>
              <w:top w:w="12" w:type="dxa"/>
              <w:left w:w="12" w:type="dxa"/>
              <w:right w:w="12" w:type="dxa"/>
            </w:tcMar>
            <w:vAlign w:val="center"/>
          </w:tcPr>
          <w:p w14:paraId="1C8DE8AB">
            <w:pPr>
              <w:kinsoku/>
              <w:autoSpaceDE/>
              <w:autoSpaceDN/>
              <w:adjustRightInd/>
              <w:snapToGrid/>
              <w:jc w:val="left"/>
              <w:textAlignment w:val="center"/>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b w:val="0"/>
                <w:bCs w:val="0"/>
                <w:color w:val="auto"/>
                <w:spacing w:val="0"/>
                <w:w w:val="100"/>
                <w:position w:val="0"/>
                <w:sz w:val="21"/>
                <w:szCs w:val="21"/>
                <w:highlight w:val="none"/>
              </w:rPr>
              <w:t>★</w:t>
            </w:r>
            <w:r>
              <w:rPr>
                <w:rFonts w:hint="eastAsia" w:asciiTheme="minorEastAsia" w:hAnsiTheme="minorEastAsia" w:eastAsiaTheme="minorEastAsia" w:cstheme="minorEastAsia"/>
                <w:b w:val="0"/>
                <w:bCs w:val="0"/>
                <w:color w:val="auto"/>
                <w:spacing w:val="0"/>
                <w:w w:val="100"/>
                <w:position w:val="0"/>
                <w:sz w:val="21"/>
                <w:szCs w:val="21"/>
                <w:highlight w:val="none"/>
                <w:lang w:val="en-US" w:eastAsia="zh-CN"/>
              </w:rPr>
              <w:t>8.</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产品需具备网络关键设备和网络安全专用产品安全认证证书</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或</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网络安全专用产品安全检测证书。</w:t>
            </w:r>
          </w:p>
        </w:tc>
        <w:tc>
          <w:tcPr>
            <w:tcW w:w="2695" w:type="dxa"/>
            <w:gridSpan w:val="2"/>
            <w:shd w:val="clear" w:color="auto" w:fill="FFFFFF"/>
            <w:tcMar>
              <w:top w:w="12" w:type="dxa"/>
              <w:left w:w="12" w:type="dxa"/>
              <w:right w:w="12" w:type="dxa"/>
            </w:tcMar>
            <w:vAlign w:val="center"/>
          </w:tcPr>
          <w:p w14:paraId="7EDCAACA">
            <w:pPr>
              <w:widowControl w:val="0"/>
              <w:kinsoku/>
              <w:autoSpaceDE/>
              <w:autoSpaceDN/>
              <w:adjustRightInd/>
              <w:snapToGrid/>
              <w:jc w:val="left"/>
              <w:textAlignment w:val="auto"/>
              <w:rPr>
                <w:rFonts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kern w:val="2"/>
                <w:sz w:val="24"/>
                <w:szCs w:val="24"/>
                <w:highlight w:val="none"/>
                <w:lang w:eastAsia="zh-CN"/>
              </w:rPr>
              <w:t>列入《网络关键设备和网络安全专用产品目录》的网络安全专用产品，应当按照《信息安全技术网络安全专用产品安全技术要求》等相关国家标准的强制性要求，由具备资格的机构安全认证合格或者安全检测符合要求。</w:t>
            </w:r>
          </w:p>
        </w:tc>
      </w:tr>
      <w:tr w14:paraId="3B01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gridAfter w:val="1"/>
          <w:wAfter w:w="19" w:type="dxa"/>
          <w:trHeight w:val="925" w:hRule="atLeast"/>
        </w:trPr>
        <w:tc>
          <w:tcPr>
            <w:tcW w:w="594" w:type="dxa"/>
            <w:gridSpan w:val="2"/>
            <w:vMerge w:val="restart"/>
            <w:shd w:val="clear" w:color="auto" w:fill="FFFFFF"/>
            <w:tcMar>
              <w:top w:w="12" w:type="dxa"/>
              <w:left w:w="12" w:type="dxa"/>
              <w:right w:w="12" w:type="dxa"/>
            </w:tcMar>
            <w:vAlign w:val="center"/>
          </w:tcPr>
          <w:p w14:paraId="76600464">
            <w:pPr>
              <w:kinsoku/>
              <w:autoSpaceDE/>
              <w:autoSpaceDN/>
              <w:adjustRightInd/>
              <w:snapToGrid/>
              <w:jc w:val="left"/>
              <w:textAlignment w:val="center"/>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2</w:t>
            </w:r>
          </w:p>
        </w:tc>
        <w:tc>
          <w:tcPr>
            <w:tcW w:w="1126" w:type="dxa"/>
            <w:gridSpan w:val="2"/>
            <w:vMerge w:val="restart"/>
            <w:shd w:val="clear" w:color="auto" w:fill="FFFFFF"/>
            <w:tcMar>
              <w:top w:w="12" w:type="dxa"/>
              <w:left w:w="12" w:type="dxa"/>
              <w:right w:w="12" w:type="dxa"/>
            </w:tcMar>
            <w:vAlign w:val="center"/>
          </w:tcPr>
          <w:p w14:paraId="6255A462">
            <w:pPr>
              <w:kinsoku/>
              <w:autoSpaceDE/>
              <w:autoSpaceDN/>
              <w:adjustRightInd/>
              <w:snapToGrid/>
              <w:jc w:val="left"/>
              <w:textAlignment w:val="center"/>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DNS服务节点</w:t>
            </w:r>
          </w:p>
        </w:tc>
        <w:tc>
          <w:tcPr>
            <w:tcW w:w="1496" w:type="dxa"/>
            <w:gridSpan w:val="2"/>
            <w:vMerge w:val="restart"/>
            <w:shd w:val="clear" w:color="auto" w:fill="FFFFFF"/>
            <w:tcMar>
              <w:top w:w="12" w:type="dxa"/>
              <w:left w:w="12" w:type="dxa"/>
              <w:right w:w="12" w:type="dxa"/>
            </w:tcMar>
            <w:vAlign w:val="center"/>
          </w:tcPr>
          <w:p w14:paraId="1054A989">
            <w:pPr>
              <w:kinsoku/>
              <w:autoSpaceDE/>
              <w:autoSpaceDN/>
              <w:adjustRightInd/>
              <w:snapToGrid/>
              <w:jc w:val="left"/>
              <w:textAlignment w:val="center"/>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技术要求</w:t>
            </w:r>
          </w:p>
        </w:tc>
        <w:tc>
          <w:tcPr>
            <w:tcW w:w="3093" w:type="dxa"/>
            <w:gridSpan w:val="2"/>
            <w:shd w:val="clear" w:color="auto" w:fill="auto"/>
            <w:tcMar>
              <w:top w:w="12" w:type="dxa"/>
              <w:left w:w="12" w:type="dxa"/>
              <w:right w:w="12" w:type="dxa"/>
            </w:tcMar>
            <w:vAlign w:val="center"/>
          </w:tcPr>
          <w:p w14:paraId="34AF64AA">
            <w:pPr>
              <w:kinsoku/>
              <w:autoSpaceDE/>
              <w:autoSpaceDN/>
              <w:adjustRightInd/>
              <w:snapToGrid/>
              <w:jc w:val="left"/>
              <w:textAlignment w:val="top"/>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w:t>
            </w:r>
            <w:r>
              <w:rPr>
                <w:rFonts w:hint="eastAsia" w:asciiTheme="minorEastAsia" w:hAnsiTheme="minorEastAsia" w:eastAsiaTheme="minorEastAsia" w:cstheme="minorEastAsia"/>
                <w:snapToGrid/>
                <w:color w:val="auto"/>
                <w:sz w:val="24"/>
                <w:szCs w:val="24"/>
                <w:highlight w:val="none"/>
                <w:lang w:val="en-US" w:eastAsia="zh-CN" w:bidi="ar"/>
              </w:rPr>
              <w:t>1.</w:t>
            </w:r>
            <w:r>
              <w:rPr>
                <w:rFonts w:hint="eastAsia" w:asciiTheme="minorEastAsia" w:hAnsiTheme="minorEastAsia" w:eastAsiaTheme="minorEastAsia" w:cstheme="minorEastAsia"/>
                <w:snapToGrid/>
                <w:color w:val="auto"/>
                <w:sz w:val="24"/>
                <w:szCs w:val="24"/>
                <w:highlight w:val="none"/>
                <w:lang w:eastAsia="zh-CN" w:bidi="ar"/>
              </w:rPr>
              <w:t>所投设备支持辅区永不过期；权威区支持12种记录（A、AAAA、NS、MX、CNAME、NAPTR、SRV、PTR、TXT、DNAME、SPF、CAA）类型添加/修改；支持权威主区；支持IPv4、IPv6反向区域；支持主辅区一键切换；支持权威记录资源自定义标识管理；共享区创建/编辑/删除；支持记录的联动删除PTR。</w:t>
            </w:r>
          </w:p>
        </w:tc>
        <w:tc>
          <w:tcPr>
            <w:tcW w:w="2695" w:type="dxa"/>
            <w:gridSpan w:val="2"/>
            <w:shd w:val="clear" w:color="auto" w:fill="FFFFFF"/>
            <w:tcMar>
              <w:top w:w="12" w:type="dxa"/>
              <w:left w:w="12" w:type="dxa"/>
              <w:right w:w="12" w:type="dxa"/>
            </w:tcMar>
            <w:vAlign w:val="center"/>
          </w:tcPr>
          <w:p w14:paraId="70B7740D">
            <w:pPr>
              <w:widowControl w:val="0"/>
              <w:kinsoku/>
              <w:autoSpaceDE/>
              <w:autoSpaceDN/>
              <w:adjustRightInd/>
              <w:snapToGrid/>
              <w:jc w:val="left"/>
              <w:textAlignment w:val="auto"/>
              <w:rPr>
                <w:rFonts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提供包含相关指标项的证明材料，证明材料可以使用生产厂家官方网站截图或产品白皮书或第三方机构检验报告或其他相关证明材料，并加盖制造商公章。</w:t>
            </w:r>
          </w:p>
        </w:tc>
      </w:tr>
      <w:tr w14:paraId="6A679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9" w:type="dxa"/>
          <w:trHeight w:val="864" w:hRule="atLeast"/>
        </w:trPr>
        <w:tc>
          <w:tcPr>
            <w:tcW w:w="594" w:type="dxa"/>
            <w:gridSpan w:val="2"/>
            <w:vMerge w:val="continue"/>
            <w:shd w:val="clear" w:color="auto" w:fill="FFFFFF"/>
            <w:tcMar>
              <w:top w:w="12" w:type="dxa"/>
              <w:left w:w="12" w:type="dxa"/>
              <w:right w:w="12" w:type="dxa"/>
            </w:tcMar>
            <w:vAlign w:val="center"/>
          </w:tcPr>
          <w:p w14:paraId="3DE571CA">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5ED77F61">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42DFC1B7">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3093" w:type="dxa"/>
            <w:gridSpan w:val="2"/>
            <w:shd w:val="clear" w:color="auto" w:fill="auto"/>
            <w:tcMar>
              <w:top w:w="12" w:type="dxa"/>
              <w:left w:w="12" w:type="dxa"/>
              <w:right w:w="12" w:type="dxa"/>
            </w:tcMar>
            <w:vAlign w:val="center"/>
          </w:tcPr>
          <w:p w14:paraId="454C2684">
            <w:pPr>
              <w:kinsoku/>
              <w:autoSpaceDE/>
              <w:autoSpaceDN/>
              <w:adjustRightInd/>
              <w:snapToGrid/>
              <w:jc w:val="left"/>
              <w:textAlignment w:val="top"/>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w:t>
            </w:r>
            <w:r>
              <w:rPr>
                <w:rFonts w:hint="eastAsia" w:asciiTheme="minorEastAsia" w:hAnsiTheme="minorEastAsia" w:eastAsiaTheme="minorEastAsia" w:cstheme="minorEastAsia"/>
                <w:snapToGrid/>
                <w:color w:val="auto"/>
                <w:sz w:val="24"/>
                <w:szCs w:val="24"/>
                <w:highlight w:val="none"/>
                <w:lang w:val="en-US" w:eastAsia="zh-CN" w:bidi="ar"/>
              </w:rPr>
              <w:t>2.</w:t>
            </w:r>
            <w:r>
              <w:rPr>
                <w:rFonts w:hint="eastAsia" w:asciiTheme="minorEastAsia" w:hAnsiTheme="minorEastAsia" w:eastAsiaTheme="minorEastAsia" w:cstheme="minorEastAsia"/>
                <w:snapToGrid/>
                <w:color w:val="auto"/>
                <w:sz w:val="24"/>
                <w:szCs w:val="24"/>
                <w:highlight w:val="none"/>
                <w:lang w:eastAsia="zh-CN" w:bidi="ar"/>
              </w:rPr>
              <w:t>支持活跃地址功能，正常活跃地址解析，服务节点数量在限制区间中，解析结果可以正常返回；支持自定义设置探测组，设置内容包含探测策略、探测设备、且多设备之间探测结果相互同步，探测节点相互冗余。</w:t>
            </w:r>
          </w:p>
        </w:tc>
        <w:tc>
          <w:tcPr>
            <w:tcW w:w="2695" w:type="dxa"/>
            <w:gridSpan w:val="2"/>
            <w:shd w:val="clear" w:color="auto" w:fill="FFFFFF"/>
            <w:tcMar>
              <w:top w:w="12" w:type="dxa"/>
              <w:left w:w="12" w:type="dxa"/>
              <w:right w:w="12" w:type="dxa"/>
            </w:tcMar>
            <w:vAlign w:val="center"/>
          </w:tcPr>
          <w:p w14:paraId="19C8465E">
            <w:pPr>
              <w:widowControl w:val="0"/>
              <w:kinsoku/>
              <w:autoSpaceDE/>
              <w:autoSpaceDN/>
              <w:adjustRightInd/>
              <w:snapToGrid/>
              <w:jc w:val="left"/>
              <w:textAlignment w:val="auto"/>
              <w:rPr>
                <w:rFonts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提供第三方检测机构出具的CNAS或CMA测试报告证明。</w:t>
            </w:r>
          </w:p>
        </w:tc>
      </w:tr>
      <w:tr w14:paraId="54A33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9" w:type="dxa"/>
          <w:trHeight w:val="172" w:hRule="atLeast"/>
        </w:trPr>
        <w:tc>
          <w:tcPr>
            <w:tcW w:w="594" w:type="dxa"/>
            <w:gridSpan w:val="2"/>
            <w:vMerge w:val="continue"/>
            <w:shd w:val="clear" w:color="auto" w:fill="FFFFFF"/>
            <w:tcMar>
              <w:top w:w="12" w:type="dxa"/>
              <w:left w:w="12" w:type="dxa"/>
              <w:right w:w="12" w:type="dxa"/>
            </w:tcMar>
            <w:vAlign w:val="center"/>
          </w:tcPr>
          <w:p w14:paraId="22208D06">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152E6115">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76D7A5EE">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3093" w:type="dxa"/>
            <w:gridSpan w:val="2"/>
            <w:shd w:val="clear" w:color="auto" w:fill="auto"/>
            <w:tcMar>
              <w:top w:w="12" w:type="dxa"/>
              <w:left w:w="12" w:type="dxa"/>
              <w:right w:w="12" w:type="dxa"/>
            </w:tcMar>
            <w:vAlign w:val="center"/>
          </w:tcPr>
          <w:p w14:paraId="2A605E2F">
            <w:pPr>
              <w:kinsoku/>
              <w:autoSpaceDE/>
              <w:autoSpaceDN/>
              <w:adjustRightInd/>
              <w:snapToGrid/>
              <w:jc w:val="left"/>
              <w:textAlignment w:val="top"/>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val="en-US" w:eastAsia="zh-CN" w:bidi="ar"/>
              </w:rPr>
              <w:t>3.</w:t>
            </w:r>
            <w:r>
              <w:rPr>
                <w:rFonts w:hint="eastAsia" w:asciiTheme="minorEastAsia" w:hAnsiTheme="minorEastAsia" w:eastAsiaTheme="minorEastAsia" w:cstheme="minorEastAsia"/>
                <w:snapToGrid/>
                <w:color w:val="auto"/>
                <w:kern w:val="2"/>
                <w:sz w:val="24"/>
                <w:szCs w:val="24"/>
                <w:highlight w:val="none"/>
                <w:lang w:eastAsia="zh-CN" w:bidi="ar"/>
              </w:rPr>
              <w:t>应用状态探测变更、多个探测模板中任一探测状态变更、节点间信息同步时连接状态变更均支持告警；支持对单个服务器单独配置探测协议，也可以通过资源池对引用的服务器指定公共的探测协议；支持探测节点间有冗余机制，当主用探测节点异常时可以由其他探测节点或者备份探测节点自动接替服务；支持域名级设置动态兜底的失败应答策略，减少人工重复配置。</w:t>
            </w:r>
            <w:r>
              <w:rPr>
                <w:rFonts w:hint="eastAsia" w:asciiTheme="minorEastAsia" w:hAnsiTheme="minorEastAsia" w:eastAsiaTheme="minorEastAsia" w:cstheme="minorEastAsia"/>
                <w:snapToGrid/>
                <w:color w:val="auto"/>
                <w:sz w:val="24"/>
                <w:szCs w:val="24"/>
                <w:highlight w:val="none"/>
                <w:lang w:eastAsia="zh-CN" w:bidi="ar"/>
              </w:rPr>
              <w:t>支持NXDOMAIN转换功能，权威解析支持NXDOMAIN转换为NOERROR，递归同样支持NXDOMAIN转换为NOERROR。</w:t>
            </w:r>
          </w:p>
        </w:tc>
        <w:tc>
          <w:tcPr>
            <w:tcW w:w="2695" w:type="dxa"/>
            <w:gridSpan w:val="2"/>
            <w:shd w:val="clear" w:color="auto" w:fill="FFFFFF"/>
            <w:tcMar>
              <w:top w:w="12" w:type="dxa"/>
              <w:left w:w="12" w:type="dxa"/>
              <w:right w:w="12" w:type="dxa"/>
            </w:tcMar>
            <w:vAlign w:val="center"/>
          </w:tcPr>
          <w:p w14:paraId="27B9875B">
            <w:pPr>
              <w:widowControl w:val="0"/>
              <w:kinsoku/>
              <w:autoSpaceDE/>
              <w:autoSpaceDN/>
              <w:adjustRightInd/>
              <w:snapToGrid/>
              <w:jc w:val="left"/>
              <w:textAlignment w:val="auto"/>
              <w:rPr>
                <w:rFonts w:asciiTheme="minorEastAsia" w:hAnsiTheme="minorEastAsia" w:eastAsiaTheme="minorEastAsia" w:cstheme="minorEastAsia"/>
                <w:b w:val="0"/>
                <w:bCs w:val="0"/>
                <w:snapToGrid/>
                <w:color w:val="auto"/>
                <w:kern w:val="2"/>
                <w:sz w:val="24"/>
                <w:szCs w:val="24"/>
                <w:highlight w:val="none"/>
                <w:lang w:eastAsia="zh-CN"/>
              </w:rPr>
            </w:pPr>
          </w:p>
        </w:tc>
      </w:tr>
      <w:tr w14:paraId="20B2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9" w:type="dxa"/>
          <w:trHeight w:val="576" w:hRule="atLeast"/>
        </w:trPr>
        <w:tc>
          <w:tcPr>
            <w:tcW w:w="594" w:type="dxa"/>
            <w:gridSpan w:val="2"/>
            <w:vMerge w:val="continue"/>
            <w:shd w:val="clear" w:color="auto" w:fill="FFFFFF"/>
            <w:tcMar>
              <w:top w:w="12" w:type="dxa"/>
              <w:left w:w="12" w:type="dxa"/>
              <w:right w:w="12" w:type="dxa"/>
            </w:tcMar>
            <w:vAlign w:val="center"/>
          </w:tcPr>
          <w:p w14:paraId="5B9D703D">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7E04943E">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5D9EAC89">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3093" w:type="dxa"/>
            <w:gridSpan w:val="2"/>
            <w:shd w:val="clear" w:color="auto" w:fill="auto"/>
            <w:tcMar>
              <w:top w:w="12" w:type="dxa"/>
              <w:left w:w="12" w:type="dxa"/>
              <w:right w:w="12" w:type="dxa"/>
            </w:tcMar>
            <w:vAlign w:val="center"/>
          </w:tcPr>
          <w:p w14:paraId="00894376">
            <w:pPr>
              <w:kinsoku/>
              <w:autoSpaceDE/>
              <w:autoSpaceDN/>
              <w:adjustRightInd/>
              <w:snapToGrid/>
              <w:jc w:val="left"/>
              <w:textAlignment w:val="top"/>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val="en-US" w:eastAsia="zh-CN" w:bidi="ar"/>
              </w:rPr>
              <w:t>4.</w:t>
            </w:r>
            <w:r>
              <w:rPr>
                <w:rFonts w:hint="eastAsia" w:asciiTheme="minorEastAsia" w:hAnsiTheme="minorEastAsia" w:eastAsiaTheme="minorEastAsia" w:cstheme="minorEastAsia"/>
                <w:snapToGrid/>
                <w:color w:val="auto"/>
                <w:sz w:val="24"/>
                <w:szCs w:val="24"/>
                <w:highlight w:val="none"/>
                <w:lang w:eastAsia="zh-CN" w:bidi="ar"/>
              </w:rPr>
              <w:t>支持自定义探测设备关联自定义健康检查模板对服务成员进行拨测，多个探测设备可以跨数据中心组成探测组，当选择多个探测设备组成探测组时支持轮询和全局可用的探测策略。支持对探测失败容忍时间进行设置，即探测失败时间超过容忍时间时才会对解析产生影响，不因某一个探测任务的结果进行判定。</w:t>
            </w:r>
          </w:p>
        </w:tc>
        <w:tc>
          <w:tcPr>
            <w:tcW w:w="2695" w:type="dxa"/>
            <w:gridSpan w:val="2"/>
            <w:shd w:val="clear" w:color="auto" w:fill="FFFFFF"/>
            <w:tcMar>
              <w:top w:w="12" w:type="dxa"/>
              <w:left w:w="12" w:type="dxa"/>
              <w:right w:w="12" w:type="dxa"/>
            </w:tcMar>
            <w:vAlign w:val="center"/>
          </w:tcPr>
          <w:p w14:paraId="7A7857DD">
            <w:pPr>
              <w:widowControl w:val="0"/>
              <w:kinsoku/>
              <w:autoSpaceDE/>
              <w:autoSpaceDN/>
              <w:adjustRightInd/>
              <w:snapToGrid/>
              <w:jc w:val="left"/>
              <w:textAlignment w:val="auto"/>
              <w:rPr>
                <w:rFonts w:asciiTheme="minorEastAsia" w:hAnsiTheme="minorEastAsia" w:eastAsiaTheme="minorEastAsia" w:cstheme="minorEastAsia"/>
                <w:b w:val="0"/>
                <w:bCs w:val="0"/>
                <w:snapToGrid/>
                <w:color w:val="auto"/>
                <w:kern w:val="2"/>
                <w:sz w:val="24"/>
                <w:szCs w:val="24"/>
                <w:highlight w:val="none"/>
                <w:lang w:eastAsia="zh-CN"/>
              </w:rPr>
            </w:pPr>
          </w:p>
        </w:tc>
      </w:tr>
      <w:tr w14:paraId="7698B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gridAfter w:val="1"/>
          <w:wAfter w:w="19" w:type="dxa"/>
          <w:trHeight w:val="576" w:hRule="atLeast"/>
        </w:trPr>
        <w:tc>
          <w:tcPr>
            <w:tcW w:w="594" w:type="dxa"/>
            <w:gridSpan w:val="2"/>
            <w:vMerge w:val="continue"/>
            <w:shd w:val="clear" w:color="auto" w:fill="FFFFFF"/>
            <w:tcMar>
              <w:top w:w="12" w:type="dxa"/>
              <w:left w:w="12" w:type="dxa"/>
              <w:right w:w="12" w:type="dxa"/>
            </w:tcMar>
            <w:vAlign w:val="center"/>
          </w:tcPr>
          <w:p w14:paraId="0FAE43AC">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66307CC9">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7A7B72E0">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3093" w:type="dxa"/>
            <w:gridSpan w:val="2"/>
            <w:shd w:val="clear" w:color="auto" w:fill="auto"/>
            <w:tcMar>
              <w:top w:w="12" w:type="dxa"/>
              <w:left w:w="12" w:type="dxa"/>
              <w:right w:w="12" w:type="dxa"/>
            </w:tcMar>
            <w:vAlign w:val="center"/>
          </w:tcPr>
          <w:p w14:paraId="38EABD8C">
            <w:pPr>
              <w:kinsoku/>
              <w:autoSpaceDE/>
              <w:autoSpaceDN/>
              <w:adjustRightInd/>
              <w:snapToGrid/>
              <w:jc w:val="left"/>
              <w:textAlignment w:val="top"/>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val="en-US" w:eastAsia="zh-CN" w:bidi="ar"/>
              </w:rPr>
              <w:t>5.</w:t>
            </w:r>
            <w:r>
              <w:rPr>
                <w:rFonts w:hint="eastAsia" w:asciiTheme="minorEastAsia" w:hAnsiTheme="minorEastAsia" w:eastAsiaTheme="minorEastAsia" w:cstheme="minorEastAsia"/>
                <w:snapToGrid/>
                <w:color w:val="auto"/>
                <w:sz w:val="24"/>
                <w:szCs w:val="24"/>
                <w:highlight w:val="none"/>
                <w:lang w:eastAsia="zh-CN" w:bidi="ar"/>
              </w:rPr>
              <w:t>支持动态域名解析支持静态就近性策略。支持设置多个自定义静态就近性策略，策略的目的返回类型至少支持全局地址池、服务成员、用户区域、数据中心；支持通过自定义静态就近性策略，针对不同场景向不同应用提供不同的域名解析服务。支持对</w:t>
            </w:r>
            <w:r>
              <w:rPr>
                <w:rFonts w:asciiTheme="minorEastAsia" w:hAnsiTheme="minorEastAsia" w:eastAsiaTheme="minorEastAsia" w:cstheme="minorEastAsia"/>
                <w:snapToGrid/>
                <w:color w:val="auto"/>
                <w:sz w:val="24"/>
                <w:szCs w:val="24"/>
                <w:highlight w:val="none"/>
                <w:lang w:eastAsia="zh-CN" w:bidi="ar"/>
              </w:rPr>
              <w:t>A</w:t>
            </w:r>
            <w:r>
              <w:rPr>
                <w:rFonts w:hint="eastAsia" w:asciiTheme="minorEastAsia" w:hAnsiTheme="minorEastAsia" w:eastAsiaTheme="minorEastAsia" w:cstheme="minorEastAsia"/>
                <w:snapToGrid/>
                <w:color w:val="auto"/>
                <w:sz w:val="24"/>
                <w:szCs w:val="24"/>
                <w:highlight w:val="none"/>
                <w:lang w:eastAsia="zh-CN" w:bidi="ar"/>
              </w:rPr>
              <w:t>、</w:t>
            </w:r>
            <w:r>
              <w:rPr>
                <w:rFonts w:asciiTheme="minorEastAsia" w:hAnsiTheme="minorEastAsia" w:eastAsiaTheme="minorEastAsia" w:cstheme="minorEastAsia"/>
                <w:snapToGrid/>
                <w:color w:val="auto"/>
                <w:sz w:val="24"/>
                <w:szCs w:val="24"/>
                <w:highlight w:val="none"/>
                <w:lang w:eastAsia="zh-CN" w:bidi="ar"/>
              </w:rPr>
              <w:t>AAAA</w:t>
            </w:r>
            <w:r>
              <w:rPr>
                <w:rFonts w:hint="eastAsia" w:asciiTheme="minorEastAsia" w:hAnsiTheme="minorEastAsia" w:eastAsiaTheme="minorEastAsia" w:cstheme="minorEastAsia"/>
                <w:snapToGrid/>
                <w:color w:val="auto"/>
                <w:sz w:val="24"/>
                <w:szCs w:val="24"/>
                <w:highlight w:val="none"/>
                <w:lang w:eastAsia="zh-CN" w:bidi="ar"/>
              </w:rPr>
              <w:t>、</w:t>
            </w:r>
            <w:r>
              <w:rPr>
                <w:rFonts w:asciiTheme="minorEastAsia" w:hAnsiTheme="minorEastAsia" w:eastAsiaTheme="minorEastAsia" w:cstheme="minorEastAsia"/>
                <w:snapToGrid/>
                <w:color w:val="auto"/>
                <w:sz w:val="24"/>
                <w:szCs w:val="24"/>
                <w:highlight w:val="none"/>
                <w:lang w:eastAsia="zh-CN" w:bidi="ar"/>
              </w:rPr>
              <w:t>CNAME</w:t>
            </w:r>
            <w:r>
              <w:rPr>
                <w:rFonts w:hint="eastAsia" w:asciiTheme="minorEastAsia" w:hAnsiTheme="minorEastAsia" w:eastAsiaTheme="minorEastAsia" w:cstheme="minorEastAsia"/>
                <w:snapToGrid/>
                <w:color w:val="auto"/>
                <w:sz w:val="24"/>
                <w:szCs w:val="24"/>
                <w:highlight w:val="none"/>
                <w:lang w:eastAsia="zh-CN" w:bidi="ar"/>
              </w:rPr>
              <w:t>、</w:t>
            </w:r>
            <w:r>
              <w:rPr>
                <w:rFonts w:asciiTheme="minorEastAsia" w:hAnsiTheme="minorEastAsia" w:eastAsiaTheme="minorEastAsia" w:cstheme="minorEastAsia"/>
                <w:snapToGrid/>
                <w:color w:val="auto"/>
                <w:sz w:val="24"/>
                <w:szCs w:val="24"/>
                <w:highlight w:val="none"/>
                <w:lang w:eastAsia="zh-CN" w:bidi="ar"/>
              </w:rPr>
              <w:t>NAPTR</w:t>
            </w:r>
            <w:r>
              <w:rPr>
                <w:rFonts w:hint="eastAsia" w:asciiTheme="minorEastAsia" w:hAnsiTheme="minorEastAsia" w:eastAsiaTheme="minorEastAsia" w:cstheme="minorEastAsia"/>
                <w:snapToGrid/>
                <w:color w:val="auto"/>
                <w:sz w:val="24"/>
                <w:szCs w:val="24"/>
                <w:highlight w:val="none"/>
                <w:lang w:eastAsia="zh-CN" w:bidi="ar"/>
              </w:rPr>
              <w:t>、</w:t>
            </w:r>
            <w:r>
              <w:rPr>
                <w:rFonts w:asciiTheme="minorEastAsia" w:hAnsiTheme="minorEastAsia" w:eastAsiaTheme="minorEastAsia" w:cstheme="minorEastAsia"/>
                <w:snapToGrid/>
                <w:color w:val="auto"/>
                <w:sz w:val="24"/>
                <w:szCs w:val="24"/>
                <w:highlight w:val="none"/>
                <w:lang w:eastAsia="zh-CN" w:bidi="ar"/>
              </w:rPr>
              <w:t>SRV</w:t>
            </w:r>
            <w:r>
              <w:rPr>
                <w:rFonts w:hint="eastAsia" w:asciiTheme="minorEastAsia" w:hAnsiTheme="minorEastAsia" w:eastAsiaTheme="minorEastAsia" w:cstheme="minorEastAsia"/>
                <w:snapToGrid/>
                <w:color w:val="auto"/>
                <w:sz w:val="24"/>
                <w:szCs w:val="24"/>
                <w:highlight w:val="none"/>
                <w:lang w:eastAsia="zh-CN" w:bidi="ar"/>
              </w:rPr>
              <w:t>、</w:t>
            </w:r>
            <w:r>
              <w:rPr>
                <w:rFonts w:asciiTheme="minorEastAsia" w:hAnsiTheme="minorEastAsia" w:eastAsiaTheme="minorEastAsia" w:cstheme="minorEastAsia"/>
                <w:snapToGrid/>
                <w:color w:val="auto"/>
                <w:sz w:val="24"/>
                <w:szCs w:val="24"/>
                <w:highlight w:val="none"/>
                <w:lang w:eastAsia="zh-CN" w:bidi="ar"/>
              </w:rPr>
              <w:t>MX</w:t>
            </w:r>
            <w:r>
              <w:rPr>
                <w:rFonts w:hint="eastAsia" w:asciiTheme="minorEastAsia" w:hAnsiTheme="minorEastAsia" w:eastAsiaTheme="minorEastAsia" w:cstheme="minorEastAsia"/>
                <w:snapToGrid/>
                <w:color w:val="auto"/>
                <w:sz w:val="24"/>
                <w:szCs w:val="24"/>
                <w:highlight w:val="none"/>
                <w:lang w:eastAsia="zh-CN" w:bidi="ar"/>
              </w:rPr>
              <w:t>类型的域名配置首选和次选负载均衡算法，首先负载均衡算法至少包含静态就近性、轮询、加权轮询、全局可用性、</w:t>
            </w:r>
            <w:r>
              <w:rPr>
                <w:rFonts w:asciiTheme="minorEastAsia" w:hAnsiTheme="minorEastAsia" w:eastAsiaTheme="minorEastAsia" w:cstheme="minorEastAsia"/>
                <w:snapToGrid/>
                <w:color w:val="auto"/>
                <w:sz w:val="24"/>
                <w:szCs w:val="24"/>
                <w:highlight w:val="none"/>
                <w:lang w:eastAsia="zh-CN" w:bidi="ar"/>
              </w:rPr>
              <w:t>CPU/</w:t>
            </w:r>
            <w:r>
              <w:rPr>
                <w:rFonts w:hint="eastAsia" w:asciiTheme="minorEastAsia" w:hAnsiTheme="minorEastAsia" w:eastAsiaTheme="minorEastAsia" w:cstheme="minorEastAsia"/>
                <w:snapToGrid/>
                <w:color w:val="auto"/>
                <w:sz w:val="24"/>
                <w:szCs w:val="24"/>
                <w:highlight w:val="none"/>
                <w:lang w:eastAsia="zh-CN" w:bidi="ar"/>
              </w:rPr>
              <w:t>内存、动态就近性、多维度可用性、丢包率；次选负载均衡算法至少包含轮询、加权轮询、全局可用性、</w:t>
            </w:r>
            <w:r>
              <w:rPr>
                <w:rFonts w:asciiTheme="minorEastAsia" w:hAnsiTheme="minorEastAsia" w:eastAsiaTheme="minorEastAsia" w:cstheme="minorEastAsia"/>
                <w:snapToGrid/>
                <w:color w:val="auto"/>
                <w:sz w:val="24"/>
                <w:szCs w:val="24"/>
                <w:highlight w:val="none"/>
                <w:lang w:eastAsia="zh-CN" w:bidi="ar"/>
              </w:rPr>
              <w:t>CPU/</w:t>
            </w:r>
            <w:r>
              <w:rPr>
                <w:rFonts w:hint="eastAsia" w:asciiTheme="minorEastAsia" w:hAnsiTheme="minorEastAsia" w:eastAsiaTheme="minorEastAsia" w:cstheme="minorEastAsia"/>
                <w:snapToGrid/>
                <w:color w:val="auto"/>
                <w:sz w:val="24"/>
                <w:szCs w:val="24"/>
                <w:highlight w:val="none"/>
                <w:lang w:eastAsia="zh-CN" w:bidi="ar"/>
              </w:rPr>
              <w:t>内存、动态就近性、备选</w:t>
            </w:r>
            <w:r>
              <w:rPr>
                <w:rFonts w:asciiTheme="minorEastAsia" w:hAnsiTheme="minorEastAsia" w:eastAsiaTheme="minorEastAsia" w:cstheme="minorEastAsia"/>
                <w:snapToGrid/>
                <w:color w:val="auto"/>
                <w:sz w:val="24"/>
                <w:szCs w:val="24"/>
                <w:highlight w:val="none"/>
                <w:lang w:eastAsia="zh-CN" w:bidi="ar"/>
              </w:rPr>
              <w:t>IP</w:t>
            </w:r>
            <w:r>
              <w:rPr>
                <w:rFonts w:hint="eastAsia" w:asciiTheme="minorEastAsia" w:hAnsiTheme="minorEastAsia" w:eastAsiaTheme="minorEastAsia" w:cstheme="minorEastAsia"/>
                <w:snapToGrid/>
                <w:color w:val="auto"/>
                <w:sz w:val="24"/>
                <w:szCs w:val="24"/>
                <w:highlight w:val="none"/>
                <w:lang w:eastAsia="zh-CN" w:bidi="ar"/>
              </w:rPr>
              <w:t>、丢包率、静态保持。</w:t>
            </w:r>
          </w:p>
        </w:tc>
        <w:tc>
          <w:tcPr>
            <w:tcW w:w="2695" w:type="dxa"/>
            <w:gridSpan w:val="2"/>
            <w:shd w:val="clear" w:color="auto" w:fill="FFFFFF"/>
            <w:tcMar>
              <w:top w:w="12" w:type="dxa"/>
              <w:left w:w="12" w:type="dxa"/>
              <w:right w:w="12" w:type="dxa"/>
            </w:tcMar>
            <w:vAlign w:val="center"/>
          </w:tcPr>
          <w:p w14:paraId="795A8B38">
            <w:pPr>
              <w:widowControl w:val="0"/>
              <w:kinsoku/>
              <w:autoSpaceDE/>
              <w:autoSpaceDN/>
              <w:adjustRightInd/>
              <w:snapToGrid/>
              <w:jc w:val="left"/>
              <w:textAlignment w:val="auto"/>
              <w:rPr>
                <w:rFonts w:asciiTheme="minorEastAsia" w:hAnsiTheme="minorEastAsia" w:eastAsiaTheme="minorEastAsia" w:cstheme="minorEastAsia"/>
                <w:b w:val="0"/>
                <w:bCs w:val="0"/>
                <w:snapToGrid/>
                <w:color w:val="auto"/>
                <w:kern w:val="2"/>
                <w:sz w:val="24"/>
                <w:szCs w:val="24"/>
                <w:highlight w:val="none"/>
                <w:lang w:eastAsia="zh-CN"/>
              </w:rPr>
            </w:pPr>
          </w:p>
        </w:tc>
      </w:tr>
      <w:tr w14:paraId="69F0C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gridAfter w:val="1"/>
          <w:wAfter w:w="19" w:type="dxa"/>
          <w:trHeight w:val="3399" w:hRule="atLeast"/>
        </w:trPr>
        <w:tc>
          <w:tcPr>
            <w:tcW w:w="594" w:type="dxa"/>
            <w:gridSpan w:val="2"/>
            <w:vMerge w:val="restart"/>
            <w:shd w:val="clear" w:color="auto" w:fill="FFFFFF"/>
            <w:tcMar>
              <w:top w:w="12" w:type="dxa"/>
              <w:left w:w="12" w:type="dxa"/>
              <w:right w:w="12" w:type="dxa"/>
            </w:tcMar>
            <w:vAlign w:val="center"/>
          </w:tcPr>
          <w:p w14:paraId="53362905">
            <w:pPr>
              <w:kinsoku/>
              <w:autoSpaceDE/>
              <w:autoSpaceDN/>
              <w:adjustRightInd/>
              <w:snapToGrid/>
              <w:jc w:val="left"/>
              <w:textAlignment w:val="center"/>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3</w:t>
            </w:r>
          </w:p>
        </w:tc>
        <w:tc>
          <w:tcPr>
            <w:tcW w:w="1126" w:type="dxa"/>
            <w:gridSpan w:val="2"/>
            <w:vMerge w:val="restart"/>
            <w:shd w:val="clear" w:color="auto" w:fill="FFFFFF"/>
            <w:tcMar>
              <w:top w:w="12" w:type="dxa"/>
              <w:left w:w="12" w:type="dxa"/>
              <w:right w:w="12" w:type="dxa"/>
            </w:tcMar>
            <w:vAlign w:val="center"/>
          </w:tcPr>
          <w:p w14:paraId="7B675863">
            <w:pPr>
              <w:kinsoku/>
              <w:autoSpaceDE/>
              <w:autoSpaceDN/>
              <w:adjustRightInd/>
              <w:snapToGrid/>
              <w:jc w:val="left"/>
              <w:textAlignment w:val="center"/>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DHCP/IPAM服务节点</w:t>
            </w:r>
          </w:p>
        </w:tc>
        <w:tc>
          <w:tcPr>
            <w:tcW w:w="1496" w:type="dxa"/>
            <w:gridSpan w:val="2"/>
            <w:vMerge w:val="restart"/>
            <w:shd w:val="clear" w:color="auto" w:fill="FFFFFF"/>
            <w:tcMar>
              <w:top w:w="12" w:type="dxa"/>
              <w:left w:w="12" w:type="dxa"/>
              <w:right w:w="12" w:type="dxa"/>
            </w:tcMar>
            <w:vAlign w:val="center"/>
          </w:tcPr>
          <w:p w14:paraId="0AA2263F">
            <w:pPr>
              <w:kinsoku/>
              <w:autoSpaceDE/>
              <w:autoSpaceDN/>
              <w:adjustRightInd/>
              <w:snapToGrid/>
              <w:jc w:val="left"/>
              <w:textAlignment w:val="center"/>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技术要求</w:t>
            </w:r>
          </w:p>
        </w:tc>
        <w:tc>
          <w:tcPr>
            <w:tcW w:w="3093" w:type="dxa"/>
            <w:gridSpan w:val="2"/>
            <w:shd w:val="clear" w:color="auto" w:fill="auto"/>
            <w:tcMar>
              <w:top w:w="12" w:type="dxa"/>
              <w:left w:w="12" w:type="dxa"/>
              <w:right w:w="12" w:type="dxa"/>
            </w:tcMar>
            <w:vAlign w:val="center"/>
          </w:tcPr>
          <w:p w14:paraId="787E16C5">
            <w:pPr>
              <w:kinsoku/>
              <w:autoSpaceDE/>
              <w:autoSpaceDN/>
              <w:adjustRightInd/>
              <w:snapToGrid/>
              <w:jc w:val="left"/>
              <w:textAlignment w:val="center"/>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eastAsia="zh-CN" w:bidi="ar"/>
              </w:rPr>
              <w:t>▲</w:t>
            </w:r>
            <w:r>
              <w:rPr>
                <w:rFonts w:hint="eastAsia" w:asciiTheme="minorEastAsia" w:hAnsiTheme="minorEastAsia" w:eastAsiaTheme="minorEastAsia" w:cstheme="minorEastAsia"/>
                <w:snapToGrid/>
                <w:color w:val="auto"/>
                <w:sz w:val="24"/>
                <w:szCs w:val="24"/>
                <w:highlight w:val="none"/>
                <w:lang w:val="en-US" w:eastAsia="zh-CN" w:bidi="ar"/>
              </w:rPr>
              <w:t>1.</w:t>
            </w:r>
            <w:r>
              <w:rPr>
                <w:rFonts w:hint="eastAsia" w:asciiTheme="minorEastAsia" w:hAnsiTheme="minorEastAsia" w:eastAsiaTheme="minorEastAsia" w:cstheme="minorEastAsia"/>
                <w:snapToGrid/>
                <w:color w:val="auto"/>
                <w:sz w:val="24"/>
                <w:szCs w:val="24"/>
                <w:highlight w:val="none"/>
                <w:lang w:eastAsia="zh-CN" w:bidi="ar"/>
              </w:rPr>
              <w:t>支持对IPv6的DHCP报文类型solicit、advertise、request、confirm、renew、rebind、reply、release、decline、information报文实时统计，可查看近三个月的统计数据，统计结果支持导出为PDF或CSV格式文件。</w:t>
            </w:r>
          </w:p>
        </w:tc>
        <w:tc>
          <w:tcPr>
            <w:tcW w:w="2695" w:type="dxa"/>
            <w:gridSpan w:val="2"/>
            <w:shd w:val="clear" w:color="auto" w:fill="FFFFFF"/>
            <w:tcMar>
              <w:top w:w="12" w:type="dxa"/>
              <w:left w:w="12" w:type="dxa"/>
              <w:right w:w="12" w:type="dxa"/>
            </w:tcMar>
            <w:vAlign w:val="center"/>
          </w:tcPr>
          <w:p w14:paraId="10A9F0CA">
            <w:pPr>
              <w:widowControl w:val="0"/>
              <w:kinsoku/>
              <w:autoSpaceDE/>
              <w:autoSpaceDN/>
              <w:adjustRightInd/>
              <w:snapToGrid/>
              <w:jc w:val="left"/>
              <w:textAlignment w:val="auto"/>
              <w:rPr>
                <w:rFonts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sz w:val="24"/>
                <w:szCs w:val="24"/>
                <w:highlight w:val="none"/>
                <w:lang w:eastAsia="zh-CN" w:bidi="ar"/>
              </w:rPr>
              <w:t>提供包含相关指标项的证明材料，证明材料可以使用生产厂家官方网站截图或产品白皮书或第三方机构检验报告或其他相关证明材料，并加盖制造商公章。</w:t>
            </w:r>
          </w:p>
        </w:tc>
      </w:tr>
      <w:tr w14:paraId="6E786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9" w:type="dxa"/>
          <w:trHeight w:val="288" w:hRule="atLeast"/>
        </w:trPr>
        <w:tc>
          <w:tcPr>
            <w:tcW w:w="594" w:type="dxa"/>
            <w:gridSpan w:val="2"/>
            <w:vMerge w:val="continue"/>
            <w:shd w:val="clear" w:color="auto" w:fill="FFFFFF"/>
            <w:tcMar>
              <w:top w:w="12" w:type="dxa"/>
              <w:left w:w="12" w:type="dxa"/>
              <w:right w:w="12" w:type="dxa"/>
            </w:tcMar>
            <w:vAlign w:val="center"/>
          </w:tcPr>
          <w:p w14:paraId="115898CB">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5988A30A">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54EF021F">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3093" w:type="dxa"/>
            <w:gridSpan w:val="2"/>
            <w:shd w:val="clear" w:color="auto" w:fill="auto"/>
            <w:tcMar>
              <w:top w:w="12" w:type="dxa"/>
              <w:left w:w="12" w:type="dxa"/>
              <w:right w:w="12" w:type="dxa"/>
            </w:tcMar>
            <w:vAlign w:val="center"/>
          </w:tcPr>
          <w:p w14:paraId="22275697">
            <w:pPr>
              <w:kinsoku/>
              <w:autoSpaceDE/>
              <w:autoSpaceDN/>
              <w:adjustRightInd/>
              <w:snapToGrid/>
              <w:jc w:val="left"/>
              <w:textAlignment w:val="top"/>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bidi="ar"/>
              </w:rPr>
              <w:t>▲</w:t>
            </w:r>
            <w:r>
              <w:rPr>
                <w:rFonts w:hint="eastAsia" w:asciiTheme="minorEastAsia" w:hAnsiTheme="minorEastAsia" w:eastAsiaTheme="minorEastAsia" w:cstheme="minorEastAsia"/>
                <w:snapToGrid/>
                <w:color w:val="auto"/>
                <w:kern w:val="2"/>
                <w:sz w:val="24"/>
                <w:szCs w:val="24"/>
                <w:highlight w:val="none"/>
                <w:lang w:val="en-US" w:eastAsia="zh-CN" w:bidi="ar"/>
              </w:rPr>
              <w:t>2.</w:t>
            </w:r>
            <w:r>
              <w:rPr>
                <w:rFonts w:hint="eastAsia" w:asciiTheme="minorEastAsia" w:hAnsiTheme="minorEastAsia" w:eastAsiaTheme="minorEastAsia" w:cstheme="minorEastAsia"/>
                <w:snapToGrid/>
                <w:color w:val="auto"/>
                <w:kern w:val="2"/>
                <w:sz w:val="24"/>
                <w:szCs w:val="24"/>
                <w:highlight w:val="none"/>
                <w:lang w:eastAsia="zh-CN" w:bidi="ar"/>
              </w:rPr>
              <w:t>支持EUI-64算法，支持DHCPv6下的EUI-64地址下发，且后缀地址生成基于EUI-64算法进行。</w:t>
            </w:r>
          </w:p>
        </w:tc>
        <w:tc>
          <w:tcPr>
            <w:tcW w:w="2695" w:type="dxa"/>
            <w:gridSpan w:val="2"/>
            <w:shd w:val="clear" w:color="auto" w:fill="FFFFFF"/>
            <w:tcMar>
              <w:top w:w="12" w:type="dxa"/>
              <w:left w:w="12" w:type="dxa"/>
              <w:right w:w="12" w:type="dxa"/>
            </w:tcMar>
            <w:vAlign w:val="center"/>
          </w:tcPr>
          <w:p w14:paraId="5CD96B36">
            <w:pPr>
              <w:widowControl w:val="0"/>
              <w:kinsoku/>
              <w:autoSpaceDE/>
              <w:autoSpaceDN/>
              <w:adjustRightInd/>
              <w:snapToGrid/>
              <w:jc w:val="left"/>
              <w:textAlignment w:val="auto"/>
              <w:rPr>
                <w:rFonts w:asciiTheme="minorEastAsia" w:hAnsiTheme="minorEastAsia" w:eastAsiaTheme="minorEastAsia" w:cstheme="minorEastAsia"/>
                <w:b w:val="0"/>
                <w:bCs w:val="0"/>
                <w:snapToGrid/>
                <w:color w:val="auto"/>
                <w:kern w:val="2"/>
                <w:sz w:val="24"/>
                <w:szCs w:val="24"/>
                <w:highlight w:val="none"/>
                <w:lang w:eastAsia="zh-CN"/>
              </w:rPr>
            </w:pPr>
            <w:r>
              <w:rPr>
                <w:rFonts w:hint="eastAsia" w:asciiTheme="minorEastAsia" w:hAnsiTheme="minorEastAsia" w:eastAsiaTheme="minorEastAsia" w:cstheme="minorEastAsia"/>
                <w:b w:val="0"/>
                <w:bCs w:val="0"/>
                <w:snapToGrid/>
                <w:color w:val="auto"/>
                <w:kern w:val="2"/>
                <w:sz w:val="24"/>
                <w:szCs w:val="24"/>
                <w:highlight w:val="none"/>
                <w:lang w:eastAsia="zh-CN" w:bidi="ar"/>
              </w:rPr>
              <w:t>提供第三方检测机构出具的CNAS或CMA测试报告证明</w:t>
            </w:r>
            <w:r>
              <w:rPr>
                <w:rFonts w:hint="eastAsia" w:asciiTheme="minorEastAsia" w:hAnsiTheme="minorEastAsia" w:eastAsiaTheme="minorEastAsia" w:cstheme="minorEastAsia"/>
                <w:b w:val="0"/>
                <w:bCs w:val="0"/>
                <w:snapToGrid/>
                <w:color w:val="auto"/>
                <w:sz w:val="24"/>
                <w:szCs w:val="24"/>
                <w:highlight w:val="none"/>
                <w:lang w:eastAsia="zh-CN" w:bidi="ar"/>
              </w:rPr>
              <w:t>并加盖制造商公章。</w:t>
            </w:r>
          </w:p>
        </w:tc>
      </w:tr>
      <w:tr w14:paraId="0B0EA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gridAfter w:val="1"/>
          <w:wAfter w:w="19" w:type="dxa"/>
          <w:trHeight w:val="288" w:hRule="atLeast"/>
        </w:trPr>
        <w:tc>
          <w:tcPr>
            <w:tcW w:w="594" w:type="dxa"/>
            <w:gridSpan w:val="2"/>
            <w:vMerge w:val="continue"/>
            <w:shd w:val="clear" w:color="auto" w:fill="FFFFFF"/>
            <w:tcMar>
              <w:top w:w="12" w:type="dxa"/>
              <w:left w:w="12" w:type="dxa"/>
              <w:right w:w="12" w:type="dxa"/>
            </w:tcMar>
            <w:vAlign w:val="center"/>
          </w:tcPr>
          <w:p w14:paraId="0558ED6E">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2CFD884A">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0F782E31">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3093" w:type="dxa"/>
            <w:gridSpan w:val="2"/>
            <w:shd w:val="clear" w:color="auto" w:fill="auto"/>
            <w:tcMar>
              <w:top w:w="12" w:type="dxa"/>
              <w:left w:w="12" w:type="dxa"/>
              <w:right w:w="12" w:type="dxa"/>
            </w:tcMar>
            <w:vAlign w:val="center"/>
          </w:tcPr>
          <w:p w14:paraId="0D4F3B56">
            <w:pPr>
              <w:kinsoku/>
              <w:autoSpaceDE/>
              <w:autoSpaceDN/>
              <w:adjustRightInd/>
              <w:snapToGrid/>
              <w:jc w:val="left"/>
              <w:textAlignment w:val="top"/>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bidi="ar"/>
              </w:rPr>
              <w:t>3.</w:t>
            </w:r>
            <w:r>
              <w:rPr>
                <w:rFonts w:hint="eastAsia" w:asciiTheme="minorEastAsia" w:hAnsiTheme="minorEastAsia" w:eastAsiaTheme="minorEastAsia" w:cstheme="minorEastAsia"/>
                <w:snapToGrid/>
                <w:color w:val="auto"/>
                <w:kern w:val="2"/>
                <w:sz w:val="24"/>
                <w:szCs w:val="24"/>
                <w:highlight w:val="none"/>
                <w:lang w:eastAsia="zh-CN" w:bidi="ar"/>
              </w:rPr>
              <w:t>DHCPv6地址下发支持动态前缀，支持DHCPv6无状态地址下发（下发信息方式包括动态前缀和固定前缀两种方式）。</w:t>
            </w:r>
          </w:p>
        </w:tc>
        <w:tc>
          <w:tcPr>
            <w:tcW w:w="2695" w:type="dxa"/>
            <w:gridSpan w:val="2"/>
            <w:shd w:val="clear" w:color="auto" w:fill="FFFFFF"/>
            <w:tcMar>
              <w:top w:w="12" w:type="dxa"/>
              <w:left w:w="12" w:type="dxa"/>
              <w:right w:w="12" w:type="dxa"/>
            </w:tcMar>
            <w:vAlign w:val="center"/>
          </w:tcPr>
          <w:p w14:paraId="14F143EA">
            <w:pPr>
              <w:widowControl w:val="0"/>
              <w:kinsoku/>
              <w:autoSpaceDE/>
              <w:autoSpaceDN/>
              <w:adjustRightInd/>
              <w:snapToGrid/>
              <w:jc w:val="left"/>
              <w:textAlignment w:val="auto"/>
              <w:rPr>
                <w:rFonts w:asciiTheme="minorEastAsia" w:hAnsiTheme="minorEastAsia" w:eastAsiaTheme="minorEastAsia" w:cstheme="minorEastAsia"/>
                <w:b w:val="0"/>
                <w:bCs w:val="0"/>
                <w:snapToGrid/>
                <w:color w:val="auto"/>
                <w:kern w:val="2"/>
                <w:sz w:val="24"/>
                <w:szCs w:val="24"/>
                <w:highlight w:val="none"/>
                <w:lang w:eastAsia="zh-CN"/>
              </w:rPr>
            </w:pPr>
          </w:p>
        </w:tc>
      </w:tr>
      <w:tr w14:paraId="7521E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9" w:type="dxa"/>
          <w:trHeight w:val="576" w:hRule="atLeast"/>
        </w:trPr>
        <w:tc>
          <w:tcPr>
            <w:tcW w:w="594" w:type="dxa"/>
            <w:gridSpan w:val="2"/>
            <w:vMerge w:val="continue"/>
            <w:shd w:val="clear" w:color="auto" w:fill="FFFFFF"/>
            <w:tcMar>
              <w:top w:w="12" w:type="dxa"/>
              <w:left w:w="12" w:type="dxa"/>
              <w:right w:w="12" w:type="dxa"/>
            </w:tcMar>
            <w:vAlign w:val="center"/>
          </w:tcPr>
          <w:p w14:paraId="0A4B707E">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26289993">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578742F2">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3093" w:type="dxa"/>
            <w:gridSpan w:val="2"/>
            <w:shd w:val="clear" w:color="auto" w:fill="auto"/>
            <w:tcMar>
              <w:top w:w="12" w:type="dxa"/>
              <w:left w:w="12" w:type="dxa"/>
              <w:right w:w="12" w:type="dxa"/>
            </w:tcMar>
            <w:vAlign w:val="center"/>
          </w:tcPr>
          <w:p w14:paraId="78EE6CF3">
            <w:pPr>
              <w:kinsoku/>
              <w:autoSpaceDE/>
              <w:autoSpaceDN/>
              <w:adjustRightInd/>
              <w:snapToGrid/>
              <w:jc w:val="left"/>
              <w:textAlignment w:val="top"/>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val="en-US" w:eastAsia="zh-CN" w:bidi="ar"/>
              </w:rPr>
              <w:t>4.</w:t>
            </w:r>
            <w:r>
              <w:rPr>
                <w:rFonts w:hint="eastAsia" w:asciiTheme="minorEastAsia" w:hAnsiTheme="minorEastAsia" w:eastAsiaTheme="minorEastAsia" w:cstheme="minorEastAsia"/>
                <w:snapToGrid/>
                <w:color w:val="auto"/>
                <w:sz w:val="24"/>
                <w:szCs w:val="24"/>
                <w:highlight w:val="none"/>
                <w:lang w:eastAsia="zh-CN" w:bidi="ar"/>
              </w:rPr>
              <w:t>支持创建IPv6地址规划方案并设置固定前缀。支持在地址台账中应用IPv6规划方案，可以便捷添加IPv6网络。支持通过规划地图直观展示全网的IPv6地址规划情况。</w:t>
            </w:r>
          </w:p>
        </w:tc>
        <w:tc>
          <w:tcPr>
            <w:tcW w:w="2695" w:type="dxa"/>
            <w:gridSpan w:val="2"/>
            <w:shd w:val="clear" w:color="auto" w:fill="FFFFFF"/>
            <w:tcMar>
              <w:top w:w="12" w:type="dxa"/>
              <w:left w:w="12" w:type="dxa"/>
              <w:right w:w="12" w:type="dxa"/>
            </w:tcMar>
            <w:vAlign w:val="center"/>
          </w:tcPr>
          <w:p w14:paraId="5B89EEE1">
            <w:pPr>
              <w:widowControl w:val="0"/>
              <w:kinsoku/>
              <w:autoSpaceDE/>
              <w:autoSpaceDN/>
              <w:adjustRightInd/>
              <w:snapToGrid/>
              <w:jc w:val="left"/>
              <w:textAlignment w:val="auto"/>
              <w:rPr>
                <w:rFonts w:asciiTheme="minorEastAsia" w:hAnsiTheme="minorEastAsia" w:eastAsiaTheme="minorEastAsia" w:cstheme="minorEastAsia"/>
                <w:b w:val="0"/>
                <w:bCs w:val="0"/>
                <w:snapToGrid/>
                <w:color w:val="auto"/>
                <w:kern w:val="2"/>
                <w:sz w:val="24"/>
                <w:szCs w:val="24"/>
                <w:highlight w:val="none"/>
                <w:lang w:eastAsia="zh-CN"/>
              </w:rPr>
            </w:pPr>
          </w:p>
        </w:tc>
      </w:tr>
      <w:tr w14:paraId="5B9E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9" w:type="dxa"/>
          <w:trHeight w:val="2008" w:hRule="atLeast"/>
        </w:trPr>
        <w:tc>
          <w:tcPr>
            <w:tcW w:w="594" w:type="dxa"/>
            <w:gridSpan w:val="2"/>
            <w:vMerge w:val="continue"/>
            <w:shd w:val="clear" w:color="auto" w:fill="FFFFFF"/>
            <w:tcMar>
              <w:top w:w="12" w:type="dxa"/>
              <w:left w:w="12" w:type="dxa"/>
              <w:right w:w="12" w:type="dxa"/>
            </w:tcMar>
            <w:vAlign w:val="center"/>
          </w:tcPr>
          <w:p w14:paraId="35DB3DCE">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1126" w:type="dxa"/>
            <w:gridSpan w:val="2"/>
            <w:vMerge w:val="continue"/>
            <w:shd w:val="clear" w:color="auto" w:fill="FFFFFF"/>
            <w:tcMar>
              <w:top w:w="12" w:type="dxa"/>
              <w:left w:w="12" w:type="dxa"/>
              <w:right w:w="12" w:type="dxa"/>
            </w:tcMar>
            <w:vAlign w:val="center"/>
          </w:tcPr>
          <w:p w14:paraId="0EAC2F4D">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1496" w:type="dxa"/>
            <w:gridSpan w:val="2"/>
            <w:vMerge w:val="continue"/>
            <w:shd w:val="clear" w:color="auto" w:fill="FFFFFF"/>
            <w:tcMar>
              <w:top w:w="12" w:type="dxa"/>
              <w:left w:w="12" w:type="dxa"/>
              <w:right w:w="12" w:type="dxa"/>
            </w:tcMar>
            <w:vAlign w:val="center"/>
          </w:tcPr>
          <w:p w14:paraId="0FC94185">
            <w:pPr>
              <w:widowControl w:val="0"/>
              <w:kinsoku/>
              <w:autoSpaceDE/>
              <w:autoSpaceDN/>
              <w:adjustRightInd/>
              <w:snapToGrid/>
              <w:jc w:val="left"/>
              <w:textAlignment w:val="auto"/>
              <w:rPr>
                <w:rFonts w:asciiTheme="minorEastAsia" w:hAnsiTheme="minorEastAsia" w:eastAsiaTheme="minorEastAsia" w:cstheme="minorEastAsia"/>
                <w:snapToGrid/>
                <w:color w:val="auto"/>
                <w:kern w:val="2"/>
                <w:sz w:val="24"/>
                <w:szCs w:val="24"/>
                <w:highlight w:val="none"/>
                <w:lang w:eastAsia="zh-CN"/>
              </w:rPr>
            </w:pPr>
          </w:p>
        </w:tc>
        <w:tc>
          <w:tcPr>
            <w:tcW w:w="3093" w:type="dxa"/>
            <w:gridSpan w:val="2"/>
            <w:shd w:val="clear" w:color="auto" w:fill="auto"/>
            <w:tcMar>
              <w:top w:w="12" w:type="dxa"/>
              <w:left w:w="12" w:type="dxa"/>
              <w:right w:w="12" w:type="dxa"/>
            </w:tcMar>
            <w:vAlign w:val="center"/>
          </w:tcPr>
          <w:p w14:paraId="25EFFB0E">
            <w:pPr>
              <w:kinsoku/>
              <w:autoSpaceDE/>
              <w:autoSpaceDN/>
              <w:adjustRightInd/>
              <w:snapToGrid/>
              <w:jc w:val="left"/>
              <w:textAlignment w:val="top"/>
              <w:rPr>
                <w:rFonts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z w:val="24"/>
                <w:szCs w:val="24"/>
                <w:highlight w:val="none"/>
                <w:lang w:val="en-US" w:eastAsia="zh-CN" w:bidi="ar"/>
              </w:rPr>
              <w:t>5.</w:t>
            </w:r>
            <w:r>
              <w:rPr>
                <w:rFonts w:hint="eastAsia" w:asciiTheme="minorEastAsia" w:hAnsiTheme="minorEastAsia" w:eastAsiaTheme="minorEastAsia" w:cstheme="minorEastAsia"/>
                <w:snapToGrid/>
                <w:color w:val="auto"/>
                <w:sz w:val="24"/>
                <w:szCs w:val="24"/>
                <w:highlight w:val="none"/>
                <w:lang w:eastAsia="zh-CN" w:bidi="ar"/>
              </w:rPr>
              <w:t>支持按照图形化方式拖拽规划IPv6地址空间，且每个空间标记不同的业务类型。支持为各地址空间配置空间标识，同时关联与上级标识并形成可落地的IPv6编址方案。</w:t>
            </w:r>
          </w:p>
        </w:tc>
        <w:tc>
          <w:tcPr>
            <w:tcW w:w="2695" w:type="dxa"/>
            <w:gridSpan w:val="2"/>
            <w:shd w:val="clear" w:color="auto" w:fill="FFFFFF"/>
            <w:tcMar>
              <w:top w:w="12" w:type="dxa"/>
              <w:left w:w="12" w:type="dxa"/>
              <w:right w:w="12" w:type="dxa"/>
            </w:tcMar>
            <w:vAlign w:val="center"/>
          </w:tcPr>
          <w:p w14:paraId="37C1508A">
            <w:pPr>
              <w:widowControl w:val="0"/>
              <w:kinsoku/>
              <w:autoSpaceDE/>
              <w:autoSpaceDN/>
              <w:adjustRightInd/>
              <w:snapToGrid/>
              <w:jc w:val="left"/>
              <w:textAlignment w:val="auto"/>
              <w:rPr>
                <w:rFonts w:asciiTheme="minorEastAsia" w:hAnsiTheme="minorEastAsia" w:eastAsiaTheme="minorEastAsia" w:cstheme="minorEastAsia"/>
                <w:b w:val="0"/>
                <w:bCs w:val="0"/>
                <w:snapToGrid/>
                <w:color w:val="auto"/>
                <w:kern w:val="2"/>
                <w:sz w:val="24"/>
                <w:szCs w:val="24"/>
                <w:highlight w:val="none"/>
                <w:lang w:eastAsia="zh-CN"/>
              </w:rPr>
            </w:pPr>
          </w:p>
        </w:tc>
      </w:tr>
    </w:tbl>
    <w:p w14:paraId="38E1BD0F">
      <w:pPr>
        <w:pStyle w:val="2"/>
        <w:rPr>
          <w:rFonts w:hint="eastAsia"/>
          <w:highlight w:val="none"/>
          <w:lang w:val="en-US" w:eastAsia="zh-CN"/>
        </w:rPr>
      </w:pPr>
    </w:p>
    <w:p w14:paraId="6D14D5EB">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b/>
          <w:snapToGrid/>
          <w:color w:val="auto"/>
          <w:kern w:val="2"/>
          <w:sz w:val="24"/>
          <w:szCs w:val="24"/>
          <w:highlight w:val="none"/>
          <w:lang w:eastAsia="zh-CN"/>
        </w:rPr>
      </w:pPr>
      <w:r>
        <w:rPr>
          <w:rFonts w:hint="eastAsia" w:asciiTheme="minorEastAsia" w:hAnsiTheme="minorEastAsia" w:eastAsiaTheme="minorEastAsia" w:cstheme="minorEastAsia"/>
          <w:b/>
          <w:snapToGrid/>
          <w:color w:val="auto"/>
          <w:kern w:val="2"/>
          <w:sz w:val="24"/>
          <w:szCs w:val="24"/>
          <w:highlight w:val="none"/>
          <w:lang w:eastAsia="zh-CN"/>
        </w:rPr>
        <w:t>（</w:t>
      </w:r>
      <w:r>
        <w:rPr>
          <w:rFonts w:hint="eastAsia" w:asciiTheme="minorEastAsia" w:hAnsiTheme="minorEastAsia" w:eastAsiaTheme="minorEastAsia" w:cstheme="minorEastAsia"/>
          <w:b/>
          <w:snapToGrid/>
          <w:color w:val="auto"/>
          <w:kern w:val="2"/>
          <w:sz w:val="24"/>
          <w:szCs w:val="24"/>
          <w:highlight w:val="none"/>
          <w:lang w:val="en-US" w:eastAsia="zh-CN"/>
        </w:rPr>
        <w:t>五</w:t>
      </w:r>
      <w:r>
        <w:rPr>
          <w:rFonts w:hint="eastAsia" w:asciiTheme="minorEastAsia" w:hAnsiTheme="minorEastAsia" w:eastAsiaTheme="minorEastAsia" w:cstheme="minorEastAsia"/>
          <w:b/>
          <w:snapToGrid/>
          <w:color w:val="auto"/>
          <w:kern w:val="2"/>
          <w:sz w:val="24"/>
          <w:szCs w:val="24"/>
          <w:highlight w:val="none"/>
          <w:lang w:eastAsia="zh-CN"/>
        </w:rPr>
        <w:t>）采购标的需满足的服务标准、期限、效率等要求；</w:t>
      </w:r>
    </w:p>
    <w:p w14:paraId="4EF70824">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bookmarkStart w:id="3" w:name="_Toc27827544"/>
      <w:bookmarkStart w:id="4" w:name="_Toc266439873"/>
      <w:r>
        <w:rPr>
          <w:rFonts w:hint="eastAsia" w:asciiTheme="minorEastAsia" w:hAnsiTheme="minorEastAsia" w:eastAsiaTheme="minorEastAsia" w:cstheme="minorEastAsia"/>
          <w:snapToGrid/>
          <w:color w:val="auto"/>
          <w:kern w:val="2"/>
          <w:sz w:val="24"/>
          <w:szCs w:val="24"/>
          <w:highlight w:val="none"/>
          <w:lang w:eastAsia="zh-CN"/>
        </w:rPr>
        <w:t>1、技术方案要求</w:t>
      </w:r>
      <w:bookmarkEnd w:id="3"/>
      <w:bookmarkEnd w:id="4"/>
    </w:p>
    <w:p w14:paraId="435C5CE9">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（1）详细阐述本次改造的设计方案，包括</w:t>
      </w:r>
      <w:r>
        <w:rPr>
          <w:rFonts w:hint="eastAsia" w:asciiTheme="minorEastAsia" w:hAnsiTheme="minorEastAsia" w:eastAsiaTheme="minorEastAsia" w:cstheme="minorEastAsia"/>
          <w:snapToGrid/>
          <w:color w:val="auto"/>
          <w:kern w:val="2"/>
          <w:sz w:val="24"/>
          <w:szCs w:val="24"/>
          <w:highlight w:val="none"/>
          <w:lang w:val="en-US" w:eastAsia="zh-CN"/>
        </w:rPr>
        <w:t>需求分析、</w:t>
      </w:r>
      <w:r>
        <w:rPr>
          <w:rFonts w:hint="eastAsia" w:asciiTheme="minorEastAsia" w:hAnsiTheme="minorEastAsia" w:eastAsiaTheme="minorEastAsia" w:cstheme="minorEastAsia"/>
          <w:snapToGrid/>
          <w:color w:val="auto"/>
          <w:kern w:val="2"/>
          <w:sz w:val="24"/>
          <w:szCs w:val="24"/>
          <w:highlight w:val="none"/>
          <w:lang w:eastAsia="zh-CN"/>
        </w:rPr>
        <w:t>总体设计，</w:t>
      </w:r>
      <w:r>
        <w:rPr>
          <w:rFonts w:hint="eastAsia" w:asciiTheme="minorEastAsia" w:hAnsiTheme="minorEastAsia" w:eastAsiaTheme="minorEastAsia" w:cstheme="minorEastAsia"/>
          <w:snapToGrid/>
          <w:color w:val="auto"/>
          <w:kern w:val="2"/>
          <w:sz w:val="24"/>
          <w:szCs w:val="24"/>
          <w:highlight w:val="none"/>
          <w:lang w:val="en-US" w:eastAsia="zh-CN"/>
        </w:rPr>
        <w:t>详细设计、</w:t>
      </w:r>
      <w:r>
        <w:rPr>
          <w:rFonts w:hint="eastAsia" w:asciiTheme="minorEastAsia" w:hAnsiTheme="minorEastAsia" w:eastAsiaTheme="minorEastAsia" w:cstheme="minorEastAsia"/>
          <w:snapToGrid/>
          <w:color w:val="auto"/>
          <w:kern w:val="2"/>
          <w:sz w:val="24"/>
          <w:szCs w:val="24"/>
          <w:highlight w:val="none"/>
          <w:lang w:eastAsia="zh-CN"/>
        </w:rPr>
        <w:t>产品选型等；</w:t>
      </w:r>
    </w:p>
    <w:p w14:paraId="36A2FA69">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（2）</w:t>
      </w:r>
      <w:r>
        <w:rPr>
          <w:rFonts w:hint="eastAsia" w:asciiTheme="minorEastAsia" w:hAnsiTheme="minorEastAsia" w:eastAsiaTheme="minorEastAsia" w:cstheme="minorEastAsia"/>
          <w:snapToGrid/>
          <w:color w:val="auto"/>
          <w:kern w:val="2"/>
          <w:sz w:val="24"/>
          <w:szCs w:val="24"/>
          <w:highlight w:val="none"/>
          <w:lang w:val="en-US" w:eastAsia="zh-CN"/>
        </w:rPr>
        <w:t>详细阐述项目</w:t>
      </w:r>
      <w:r>
        <w:rPr>
          <w:rFonts w:hint="eastAsia" w:asciiTheme="minorEastAsia" w:hAnsiTheme="minorEastAsia" w:eastAsiaTheme="minorEastAsia" w:cstheme="minorEastAsia"/>
          <w:snapToGrid/>
          <w:color w:val="auto"/>
          <w:kern w:val="2"/>
          <w:sz w:val="24"/>
          <w:szCs w:val="24"/>
          <w:highlight w:val="none"/>
          <w:lang w:eastAsia="zh-CN"/>
        </w:rPr>
        <w:t>实施方案，需详述项目施工组织方案，实施步骤、施工进度表、</w:t>
      </w:r>
      <w:r>
        <w:rPr>
          <w:rFonts w:hint="eastAsia" w:asciiTheme="minorEastAsia" w:hAnsiTheme="minorEastAsia" w:eastAsiaTheme="minorEastAsia" w:cstheme="minorEastAsia"/>
          <w:snapToGrid/>
          <w:color w:val="auto"/>
          <w:kern w:val="2"/>
          <w:sz w:val="24"/>
          <w:szCs w:val="24"/>
          <w:highlight w:val="none"/>
          <w:lang w:val="en-US" w:eastAsia="zh-CN"/>
        </w:rPr>
        <w:t>集成服务细节</w:t>
      </w:r>
      <w:r>
        <w:rPr>
          <w:rFonts w:hint="eastAsia" w:asciiTheme="minorEastAsia" w:hAnsiTheme="minorEastAsia" w:eastAsiaTheme="minorEastAsia" w:cstheme="minorEastAsia"/>
          <w:snapToGrid/>
          <w:color w:val="auto"/>
          <w:kern w:val="2"/>
          <w:sz w:val="24"/>
          <w:szCs w:val="24"/>
          <w:highlight w:val="none"/>
          <w:lang w:eastAsia="zh-CN"/>
        </w:rPr>
        <w:t>，测试、验收等。</w:t>
      </w:r>
    </w:p>
    <w:p w14:paraId="5445D404">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（3）需对项目的重点、难点进行分析，并提出解决方案。</w:t>
      </w:r>
    </w:p>
    <w:p w14:paraId="7E50E5C7">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bookmarkStart w:id="5" w:name="_Toc27827545"/>
      <w:r>
        <w:rPr>
          <w:rFonts w:hint="eastAsia" w:asciiTheme="minorEastAsia" w:hAnsiTheme="minorEastAsia" w:eastAsiaTheme="minorEastAsia" w:cstheme="minorEastAsia"/>
          <w:snapToGrid/>
          <w:color w:val="auto"/>
          <w:kern w:val="2"/>
          <w:sz w:val="24"/>
          <w:szCs w:val="24"/>
          <w:highlight w:val="none"/>
          <w:lang w:eastAsia="zh-CN"/>
        </w:rPr>
        <w:t>2、项目实施要求</w:t>
      </w:r>
      <w:bookmarkEnd w:id="5"/>
    </w:p>
    <w:p w14:paraId="55BCE4EC">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bookmarkStart w:id="6" w:name="_Toc266439871"/>
      <w:bookmarkStart w:id="7" w:name="_Toc27827546"/>
      <w:r>
        <w:rPr>
          <w:rFonts w:hint="eastAsia" w:asciiTheme="minorEastAsia" w:hAnsiTheme="minorEastAsia" w:eastAsiaTheme="minorEastAsia" w:cstheme="minorEastAsia"/>
          <w:snapToGrid/>
          <w:color w:val="auto"/>
          <w:kern w:val="2"/>
          <w:sz w:val="24"/>
          <w:szCs w:val="24"/>
          <w:highlight w:val="none"/>
          <w:lang w:eastAsia="zh-CN"/>
        </w:rPr>
        <w:t>1）项目管理要求</w:t>
      </w:r>
      <w:bookmarkEnd w:id="6"/>
      <w:bookmarkEnd w:id="7"/>
    </w:p>
    <w:p w14:paraId="1416F591">
      <w:pPr>
        <w:keepNext w:val="0"/>
        <w:keepLines w:val="0"/>
        <w:pageBreakBefore w:val="0"/>
        <w:widowControl w:val="0"/>
        <w:numPr>
          <w:ilvl w:val="0"/>
          <w:numId w:val="5"/>
        </w:numPr>
        <w:kinsoku/>
        <w:wordWrap/>
        <w:overflowPunct/>
        <w:topLinePunct w:val="0"/>
        <w:autoSpaceDE/>
        <w:autoSpaceDN/>
        <w:bidi w:val="0"/>
        <w:adjustRightInd/>
        <w:snapToGrid/>
        <w:spacing w:before="120" w:line="240" w:lineRule="auto"/>
        <w:ind w:left="360" w:hanging="36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在合同生效以后，对采购人认为其能力与本项目所要求的能力不相称而提出更换的项目负责人或者技术员，中标方必须予以更换；中标方更换项目主要负责人或主要技术骨干必须书面报业主同意后方可进行。</w:t>
      </w:r>
    </w:p>
    <w:p w14:paraId="49B3404A">
      <w:pPr>
        <w:keepNext w:val="0"/>
        <w:keepLines w:val="0"/>
        <w:pageBreakBefore w:val="0"/>
        <w:widowControl w:val="0"/>
        <w:numPr>
          <w:ilvl w:val="0"/>
          <w:numId w:val="5"/>
        </w:numPr>
        <w:kinsoku/>
        <w:wordWrap/>
        <w:overflowPunct/>
        <w:topLinePunct w:val="0"/>
        <w:autoSpaceDE/>
        <w:autoSpaceDN/>
        <w:bidi w:val="0"/>
        <w:adjustRightInd/>
        <w:snapToGrid/>
        <w:spacing w:before="120" w:line="240" w:lineRule="auto"/>
        <w:ind w:left="360" w:hanging="36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项目实施过程中，如出现因实际情况需要修改技术或调整设备的，中标方要立即组成现场处理小组，小组负责人由采购方负责人和中标方项目负责人担任，中标方必须有≥一名以上技术骨干担任小组成员；中标方必须在最短时间内提交整改方案，如整改方案仍不能顺利解决问题，则采购人有权要求更换中标方技术骨干或项目负责人，中标方应全力配合。</w:t>
      </w:r>
    </w:p>
    <w:p w14:paraId="07A394E4">
      <w:pPr>
        <w:keepNext w:val="0"/>
        <w:keepLines w:val="0"/>
        <w:pageBreakBefore w:val="0"/>
        <w:widowControl w:val="0"/>
        <w:numPr>
          <w:ilvl w:val="0"/>
          <w:numId w:val="5"/>
        </w:numPr>
        <w:kinsoku/>
        <w:wordWrap/>
        <w:overflowPunct/>
        <w:topLinePunct w:val="0"/>
        <w:autoSpaceDE/>
        <w:autoSpaceDN/>
        <w:bidi w:val="0"/>
        <w:adjustRightInd/>
        <w:snapToGrid/>
        <w:spacing w:before="120" w:line="240" w:lineRule="auto"/>
        <w:ind w:left="360" w:hanging="36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项目实施完毕后，中标方要提供详实准确的竣工报告，报告内容要涉及项目中所有软硬件指标及技术实施细则，要求报告思路清晰、条理性强以及高可读性，采购人有权将不符合要求的竣工报告发回中标方重写；最终成文的竣工报告要求有纸质版本，并且要求有双方签字确认，留档保存。</w:t>
      </w:r>
    </w:p>
    <w:p w14:paraId="035C1D9A">
      <w:pPr>
        <w:keepNext w:val="0"/>
        <w:keepLines w:val="0"/>
        <w:pageBreakBefore w:val="0"/>
        <w:widowControl w:val="0"/>
        <w:numPr>
          <w:ilvl w:val="0"/>
          <w:numId w:val="5"/>
        </w:numPr>
        <w:kinsoku/>
        <w:wordWrap/>
        <w:overflowPunct/>
        <w:topLinePunct w:val="0"/>
        <w:autoSpaceDE/>
        <w:autoSpaceDN/>
        <w:bidi w:val="0"/>
        <w:adjustRightInd/>
        <w:snapToGrid/>
        <w:spacing w:before="120" w:line="240" w:lineRule="auto"/>
        <w:ind w:left="360" w:hanging="36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集成商要对招标人进行系统培训等工作，并提交相关培训技术文档。</w:t>
      </w:r>
    </w:p>
    <w:p w14:paraId="744EB860">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bookmarkStart w:id="8" w:name="_Toc266439872"/>
      <w:bookmarkStart w:id="9" w:name="_Toc27827547"/>
      <w:r>
        <w:rPr>
          <w:rFonts w:hint="eastAsia" w:asciiTheme="minorEastAsia" w:hAnsiTheme="minorEastAsia" w:eastAsiaTheme="minorEastAsia" w:cstheme="minorEastAsia"/>
          <w:snapToGrid/>
          <w:color w:val="auto"/>
          <w:kern w:val="2"/>
          <w:sz w:val="24"/>
          <w:szCs w:val="24"/>
          <w:highlight w:val="none"/>
          <w:lang w:eastAsia="zh-CN"/>
        </w:rPr>
        <w:t>2）项目周期要求</w:t>
      </w:r>
      <w:bookmarkEnd w:id="8"/>
      <w:bookmarkEnd w:id="9"/>
    </w:p>
    <w:p w14:paraId="0967091C">
      <w:pPr>
        <w:keepNext w:val="0"/>
        <w:keepLines w:val="0"/>
        <w:pageBreakBefore w:val="0"/>
        <w:widowControl w:val="0"/>
        <w:numPr>
          <w:ilvl w:val="0"/>
          <w:numId w:val="6"/>
        </w:numPr>
        <w:kinsoku/>
        <w:wordWrap/>
        <w:overflowPunct/>
        <w:topLinePunct w:val="0"/>
        <w:autoSpaceDE/>
        <w:autoSpaceDN/>
        <w:bidi w:val="0"/>
        <w:adjustRightInd/>
        <w:snapToGrid/>
        <w:spacing w:before="120" w:line="240" w:lineRule="auto"/>
        <w:ind w:left="360" w:hanging="36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中标方的项目实施时间计划必须满足以下要求：签订合同后</w:t>
      </w:r>
      <w:r>
        <w:rPr>
          <w:rFonts w:hint="eastAsia" w:asciiTheme="minorEastAsia" w:hAnsiTheme="minorEastAsia" w:eastAsiaTheme="minorEastAsia" w:cstheme="minorEastAsia"/>
          <w:snapToGrid/>
          <w:color w:val="auto"/>
          <w:kern w:val="2"/>
          <w:sz w:val="24"/>
          <w:szCs w:val="24"/>
          <w:highlight w:val="none"/>
          <w:lang w:val="en-US" w:eastAsia="zh-CN"/>
        </w:rPr>
        <w:t>90天</w:t>
      </w:r>
      <w:r>
        <w:rPr>
          <w:rFonts w:hint="eastAsia" w:asciiTheme="minorEastAsia" w:hAnsiTheme="minorEastAsia" w:eastAsiaTheme="minorEastAsia" w:cstheme="minorEastAsia"/>
          <w:snapToGrid/>
          <w:color w:val="auto"/>
          <w:kern w:val="2"/>
          <w:sz w:val="24"/>
          <w:szCs w:val="24"/>
          <w:highlight w:val="none"/>
          <w:lang w:eastAsia="zh-CN"/>
        </w:rPr>
        <w:t>内完成，期间要完善实施方案，包括绘制详细施工图纸，</w:t>
      </w:r>
      <w:r>
        <w:rPr>
          <w:rFonts w:hint="eastAsia" w:asciiTheme="minorEastAsia" w:hAnsiTheme="minorEastAsia" w:eastAsiaTheme="minorEastAsia" w:cstheme="minorEastAsia"/>
          <w:snapToGrid/>
          <w:color w:val="auto"/>
          <w:kern w:val="2"/>
          <w:sz w:val="24"/>
          <w:szCs w:val="24"/>
          <w:highlight w:val="none"/>
          <w:lang w:val="en-US" w:eastAsia="zh-CN"/>
        </w:rPr>
        <w:t>制定</w:t>
      </w:r>
      <w:r>
        <w:rPr>
          <w:rFonts w:hint="eastAsia" w:asciiTheme="minorEastAsia" w:hAnsiTheme="minorEastAsia" w:eastAsiaTheme="minorEastAsia" w:cstheme="minorEastAsia"/>
          <w:snapToGrid/>
          <w:color w:val="auto"/>
          <w:kern w:val="2"/>
          <w:sz w:val="24"/>
          <w:szCs w:val="24"/>
          <w:highlight w:val="none"/>
          <w:lang w:eastAsia="zh-CN"/>
        </w:rPr>
        <w:t>详细施工计划，安全措施等，并向招标人汇报，待实施方案经招标人确认后，才能够开始实施</w:t>
      </w:r>
    </w:p>
    <w:p w14:paraId="631CE921">
      <w:pPr>
        <w:keepNext w:val="0"/>
        <w:keepLines w:val="0"/>
        <w:pageBreakBefore w:val="0"/>
        <w:widowControl w:val="0"/>
        <w:numPr>
          <w:ilvl w:val="0"/>
          <w:numId w:val="6"/>
        </w:numPr>
        <w:kinsoku/>
        <w:wordWrap/>
        <w:overflowPunct/>
        <w:topLinePunct w:val="0"/>
        <w:autoSpaceDE/>
        <w:autoSpaceDN/>
        <w:bidi w:val="0"/>
        <w:adjustRightInd/>
        <w:snapToGrid/>
        <w:spacing w:before="120" w:line="240" w:lineRule="auto"/>
        <w:ind w:left="360" w:hanging="36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项目实施必须严格按照实施计划及时间表进行，不得出现拖拉现象，如果实施过程中出现因技术难点导致未能按照计划执行的情况，则酌情延长实施时间并调整时间表；整体实施完毕后,交付用户试运行，试运行周期为1个</w:t>
      </w:r>
      <w:r>
        <w:rPr>
          <w:rFonts w:hint="eastAsia" w:asciiTheme="minorEastAsia" w:hAnsiTheme="minorEastAsia" w:eastAsiaTheme="minorEastAsia" w:cstheme="minorEastAsia"/>
          <w:snapToGrid/>
          <w:color w:val="auto"/>
          <w:kern w:val="2"/>
          <w:sz w:val="24"/>
          <w:szCs w:val="24"/>
          <w:highlight w:val="none"/>
          <w:lang w:val="en-US" w:eastAsia="zh-CN"/>
        </w:rPr>
        <w:t>周</w:t>
      </w:r>
      <w:r>
        <w:rPr>
          <w:rFonts w:hint="eastAsia" w:asciiTheme="minorEastAsia" w:hAnsiTheme="minorEastAsia" w:eastAsiaTheme="minorEastAsia" w:cstheme="minorEastAsia"/>
          <w:snapToGrid/>
          <w:color w:val="auto"/>
          <w:kern w:val="2"/>
          <w:sz w:val="24"/>
          <w:szCs w:val="24"/>
          <w:highlight w:val="none"/>
          <w:lang w:eastAsia="zh-CN"/>
        </w:rPr>
        <w:t>。</w:t>
      </w:r>
    </w:p>
    <w:p w14:paraId="3FE45DF0">
      <w:pPr>
        <w:keepNext w:val="0"/>
        <w:keepLines w:val="0"/>
        <w:pageBreakBefore w:val="0"/>
        <w:widowControl w:val="0"/>
        <w:numPr>
          <w:ilvl w:val="0"/>
          <w:numId w:val="6"/>
        </w:numPr>
        <w:kinsoku/>
        <w:wordWrap/>
        <w:overflowPunct/>
        <w:topLinePunct w:val="0"/>
        <w:autoSpaceDE/>
        <w:autoSpaceDN/>
        <w:bidi w:val="0"/>
        <w:adjustRightInd/>
        <w:snapToGrid/>
        <w:spacing w:before="120" w:line="240" w:lineRule="auto"/>
        <w:ind w:left="360" w:hanging="36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试运行开始同时，中标方开始着手编写竣工报告，要求报告在1个星期之内完成首稿。</w:t>
      </w:r>
    </w:p>
    <w:p w14:paraId="3CD4211D">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b/>
          <w:snapToGrid/>
          <w:color w:val="auto"/>
          <w:kern w:val="2"/>
          <w:sz w:val="24"/>
          <w:szCs w:val="24"/>
          <w:highlight w:val="none"/>
          <w:lang w:eastAsia="zh-CN"/>
        </w:rPr>
      </w:pPr>
      <w:r>
        <w:rPr>
          <w:rFonts w:hint="eastAsia" w:asciiTheme="minorEastAsia" w:hAnsiTheme="minorEastAsia" w:eastAsiaTheme="minorEastAsia" w:cstheme="minorEastAsia"/>
          <w:b/>
          <w:snapToGrid/>
          <w:color w:val="auto"/>
          <w:kern w:val="2"/>
          <w:sz w:val="24"/>
          <w:szCs w:val="24"/>
          <w:highlight w:val="none"/>
          <w:lang w:eastAsia="zh-CN"/>
        </w:rPr>
        <w:t>（</w:t>
      </w:r>
      <w:r>
        <w:rPr>
          <w:rFonts w:hint="eastAsia" w:asciiTheme="minorEastAsia" w:hAnsiTheme="minorEastAsia" w:eastAsiaTheme="minorEastAsia" w:cstheme="minorEastAsia"/>
          <w:b/>
          <w:snapToGrid/>
          <w:color w:val="auto"/>
          <w:kern w:val="2"/>
          <w:sz w:val="24"/>
          <w:szCs w:val="24"/>
          <w:highlight w:val="none"/>
          <w:lang w:val="en-US" w:eastAsia="zh-CN"/>
        </w:rPr>
        <w:t>六</w:t>
      </w:r>
      <w:r>
        <w:rPr>
          <w:rFonts w:hint="eastAsia" w:asciiTheme="minorEastAsia" w:hAnsiTheme="minorEastAsia" w:eastAsiaTheme="minorEastAsia" w:cstheme="minorEastAsia"/>
          <w:b/>
          <w:snapToGrid/>
          <w:color w:val="auto"/>
          <w:kern w:val="2"/>
          <w:sz w:val="24"/>
          <w:szCs w:val="24"/>
          <w:highlight w:val="none"/>
          <w:lang w:eastAsia="zh-CN"/>
        </w:rPr>
        <w:t>）采购标的的验收标准；</w:t>
      </w:r>
    </w:p>
    <w:p w14:paraId="5844827C">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由甲乙双方共同组织验收，具体内容包括：</w:t>
      </w:r>
    </w:p>
    <w:p w14:paraId="31391313">
      <w:pPr>
        <w:keepNext w:val="0"/>
        <w:keepLines w:val="0"/>
        <w:pageBreakBefore w:val="0"/>
        <w:widowControl w:val="0"/>
        <w:numPr>
          <w:ilvl w:val="0"/>
          <w:numId w:val="7"/>
        </w:numPr>
        <w:kinsoku/>
        <w:wordWrap/>
        <w:overflowPunct/>
        <w:topLinePunct w:val="0"/>
        <w:autoSpaceDE/>
        <w:autoSpaceDN/>
        <w:bidi w:val="0"/>
        <w:adjustRightInd/>
        <w:snapToGrid/>
        <w:spacing w:before="120" w:line="240" w:lineRule="auto"/>
        <w:ind w:left="360" w:hanging="36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供货清单</w:t>
      </w:r>
    </w:p>
    <w:p w14:paraId="6A41D698">
      <w:pPr>
        <w:keepNext w:val="0"/>
        <w:keepLines w:val="0"/>
        <w:pageBreakBefore w:val="0"/>
        <w:widowControl w:val="0"/>
        <w:numPr>
          <w:ilvl w:val="0"/>
          <w:numId w:val="7"/>
        </w:numPr>
        <w:kinsoku/>
        <w:wordWrap/>
        <w:overflowPunct/>
        <w:topLinePunct w:val="0"/>
        <w:autoSpaceDE/>
        <w:autoSpaceDN/>
        <w:bidi w:val="0"/>
        <w:adjustRightInd/>
        <w:snapToGrid/>
        <w:spacing w:before="120" w:line="240" w:lineRule="auto"/>
        <w:ind w:left="360" w:hanging="36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竣工资料</w:t>
      </w:r>
    </w:p>
    <w:p w14:paraId="35F4F74D">
      <w:pPr>
        <w:keepNext w:val="0"/>
        <w:keepLines w:val="0"/>
        <w:pageBreakBefore w:val="0"/>
        <w:widowControl w:val="0"/>
        <w:numPr>
          <w:ilvl w:val="1"/>
          <w:numId w:val="8"/>
        </w:numPr>
        <w:kinsoku/>
        <w:wordWrap/>
        <w:overflowPunct/>
        <w:topLinePunct w:val="0"/>
        <w:autoSpaceDE/>
        <w:autoSpaceDN/>
        <w:bidi w:val="0"/>
        <w:adjustRightInd/>
        <w:snapToGrid/>
        <w:spacing w:before="120" w:line="240" w:lineRule="auto"/>
        <w:ind w:left="1549" w:hanging="108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rPr>
        <w:t>IP地规划表</w:t>
      </w:r>
    </w:p>
    <w:p w14:paraId="0A64C562">
      <w:pPr>
        <w:keepNext w:val="0"/>
        <w:keepLines w:val="0"/>
        <w:pageBreakBefore w:val="0"/>
        <w:widowControl w:val="0"/>
        <w:numPr>
          <w:ilvl w:val="1"/>
          <w:numId w:val="8"/>
        </w:numPr>
        <w:kinsoku/>
        <w:wordWrap/>
        <w:overflowPunct/>
        <w:topLinePunct w:val="0"/>
        <w:autoSpaceDE/>
        <w:autoSpaceDN/>
        <w:bidi w:val="0"/>
        <w:adjustRightInd/>
        <w:snapToGrid/>
        <w:spacing w:before="120" w:line="240" w:lineRule="auto"/>
        <w:ind w:left="1549" w:hanging="108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网络拓扑图</w:t>
      </w:r>
    </w:p>
    <w:p w14:paraId="4F79816C">
      <w:pPr>
        <w:keepNext w:val="0"/>
        <w:keepLines w:val="0"/>
        <w:pageBreakBefore w:val="0"/>
        <w:widowControl w:val="0"/>
        <w:numPr>
          <w:ilvl w:val="1"/>
          <w:numId w:val="8"/>
        </w:numPr>
        <w:kinsoku/>
        <w:wordWrap/>
        <w:overflowPunct/>
        <w:topLinePunct w:val="0"/>
        <w:autoSpaceDE/>
        <w:autoSpaceDN/>
        <w:bidi w:val="0"/>
        <w:adjustRightInd/>
        <w:snapToGrid/>
        <w:spacing w:before="120" w:line="240" w:lineRule="auto"/>
        <w:ind w:left="1549" w:hanging="108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交换机配置表，包括管理地址、路由地址、Vlan划分、config文件等，每</w:t>
      </w:r>
      <w:r>
        <w:rPr>
          <w:rFonts w:hint="eastAsia" w:asciiTheme="minorEastAsia" w:hAnsiTheme="minorEastAsia" w:eastAsiaTheme="minorEastAsia" w:cstheme="minorEastAsia"/>
          <w:snapToGrid/>
          <w:color w:val="auto"/>
          <w:kern w:val="2"/>
          <w:sz w:val="24"/>
          <w:szCs w:val="24"/>
          <w:highlight w:val="none"/>
          <w:lang w:val="en-US" w:eastAsia="zh-CN"/>
        </w:rPr>
        <w:t>台设备</w:t>
      </w:r>
      <w:r>
        <w:rPr>
          <w:rFonts w:hint="eastAsia" w:asciiTheme="minorEastAsia" w:hAnsiTheme="minorEastAsia" w:eastAsiaTheme="minorEastAsia" w:cstheme="minorEastAsia"/>
          <w:snapToGrid/>
          <w:color w:val="auto"/>
          <w:kern w:val="2"/>
          <w:sz w:val="24"/>
          <w:szCs w:val="24"/>
          <w:highlight w:val="none"/>
          <w:lang w:eastAsia="zh-CN"/>
        </w:rPr>
        <w:t>一份。</w:t>
      </w:r>
    </w:p>
    <w:p w14:paraId="480C7C07">
      <w:pPr>
        <w:keepNext w:val="0"/>
        <w:keepLines w:val="0"/>
        <w:pageBreakBefore w:val="0"/>
        <w:widowControl w:val="0"/>
        <w:numPr>
          <w:ilvl w:val="1"/>
          <w:numId w:val="8"/>
        </w:numPr>
        <w:kinsoku/>
        <w:wordWrap/>
        <w:overflowPunct/>
        <w:topLinePunct w:val="0"/>
        <w:autoSpaceDE/>
        <w:autoSpaceDN/>
        <w:bidi w:val="0"/>
        <w:adjustRightInd/>
        <w:snapToGrid/>
        <w:spacing w:before="120" w:line="240" w:lineRule="auto"/>
        <w:ind w:left="1549" w:hanging="108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rPr>
        <w:t>网络安全设备</w:t>
      </w:r>
      <w:r>
        <w:rPr>
          <w:rFonts w:hint="eastAsia" w:asciiTheme="minorEastAsia" w:hAnsiTheme="minorEastAsia" w:eastAsiaTheme="minorEastAsia" w:cstheme="minorEastAsia"/>
          <w:snapToGrid/>
          <w:color w:val="auto"/>
          <w:kern w:val="2"/>
          <w:sz w:val="24"/>
          <w:szCs w:val="24"/>
          <w:highlight w:val="none"/>
          <w:lang w:eastAsia="zh-CN"/>
        </w:rPr>
        <w:t>配置表</w:t>
      </w:r>
    </w:p>
    <w:p w14:paraId="55439BA3">
      <w:pPr>
        <w:keepNext w:val="0"/>
        <w:keepLines w:val="0"/>
        <w:pageBreakBefore w:val="0"/>
        <w:widowControl w:val="0"/>
        <w:numPr>
          <w:ilvl w:val="1"/>
          <w:numId w:val="8"/>
        </w:numPr>
        <w:kinsoku/>
        <w:wordWrap/>
        <w:overflowPunct/>
        <w:topLinePunct w:val="0"/>
        <w:autoSpaceDE/>
        <w:autoSpaceDN/>
        <w:bidi w:val="0"/>
        <w:adjustRightInd/>
        <w:snapToGrid/>
        <w:spacing w:before="120" w:line="240" w:lineRule="auto"/>
        <w:ind w:left="1549" w:hanging="108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rPr>
        <w:t>项目设计及实施方案等</w:t>
      </w:r>
    </w:p>
    <w:p w14:paraId="3E8A01EB">
      <w:pPr>
        <w:keepNext w:val="0"/>
        <w:keepLines w:val="0"/>
        <w:pageBreakBefore w:val="0"/>
        <w:widowControl w:val="0"/>
        <w:numPr>
          <w:ilvl w:val="0"/>
          <w:numId w:val="7"/>
        </w:numPr>
        <w:kinsoku/>
        <w:wordWrap/>
        <w:overflowPunct/>
        <w:topLinePunct w:val="0"/>
        <w:autoSpaceDE/>
        <w:autoSpaceDN/>
        <w:bidi w:val="0"/>
        <w:adjustRightInd/>
        <w:snapToGrid/>
        <w:spacing w:before="120" w:line="240" w:lineRule="auto"/>
        <w:ind w:left="360" w:hanging="36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测试报告</w:t>
      </w:r>
    </w:p>
    <w:p w14:paraId="420F7AE8">
      <w:pPr>
        <w:keepNext w:val="0"/>
        <w:keepLines w:val="0"/>
        <w:pageBreakBefore w:val="0"/>
        <w:widowControl w:val="0"/>
        <w:numPr>
          <w:ilvl w:val="0"/>
          <w:numId w:val="9"/>
        </w:numPr>
        <w:kinsoku/>
        <w:wordWrap/>
        <w:overflowPunct/>
        <w:topLinePunct w:val="0"/>
        <w:autoSpaceDE/>
        <w:autoSpaceDN/>
        <w:bidi w:val="0"/>
        <w:adjustRightInd/>
        <w:snapToGrid/>
        <w:spacing w:before="120" w:line="240" w:lineRule="auto"/>
        <w:ind w:left="720" w:hanging="72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rPr>
        <w:t>双栈功能测试，包括核心层到各个出口链路，核心层到汇聚层、汇聚层到接入层，终端到接入层。</w:t>
      </w:r>
    </w:p>
    <w:p w14:paraId="2428686F">
      <w:pPr>
        <w:keepNext w:val="0"/>
        <w:keepLines w:val="0"/>
        <w:pageBreakBefore w:val="0"/>
        <w:widowControl w:val="0"/>
        <w:numPr>
          <w:ilvl w:val="0"/>
          <w:numId w:val="9"/>
        </w:numPr>
        <w:kinsoku/>
        <w:wordWrap/>
        <w:overflowPunct/>
        <w:topLinePunct w:val="0"/>
        <w:autoSpaceDE/>
        <w:autoSpaceDN/>
        <w:bidi w:val="0"/>
        <w:adjustRightInd/>
        <w:snapToGrid/>
        <w:spacing w:before="120" w:line="240" w:lineRule="auto"/>
        <w:ind w:left="720" w:hanging="72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rPr>
        <w:t>所有安全设备功能测试</w:t>
      </w:r>
    </w:p>
    <w:p w14:paraId="03BE84A9">
      <w:pPr>
        <w:keepNext w:val="0"/>
        <w:keepLines w:val="0"/>
        <w:pageBreakBefore w:val="0"/>
        <w:widowControl w:val="0"/>
        <w:numPr>
          <w:ilvl w:val="0"/>
          <w:numId w:val="9"/>
        </w:numPr>
        <w:kinsoku/>
        <w:wordWrap/>
        <w:overflowPunct/>
        <w:topLinePunct w:val="0"/>
        <w:autoSpaceDE/>
        <w:autoSpaceDN/>
        <w:bidi w:val="0"/>
        <w:adjustRightInd/>
        <w:snapToGrid/>
        <w:spacing w:before="120" w:line="240" w:lineRule="auto"/>
        <w:ind w:left="720" w:hanging="72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rPr>
        <w:t>域名解析及地址管理与分配系统功能测试</w:t>
      </w:r>
    </w:p>
    <w:p w14:paraId="44568E32">
      <w:pPr>
        <w:keepNext w:val="0"/>
        <w:keepLines w:val="0"/>
        <w:pageBreakBefore w:val="0"/>
        <w:widowControl w:val="0"/>
        <w:numPr>
          <w:ilvl w:val="0"/>
          <w:numId w:val="9"/>
        </w:numPr>
        <w:kinsoku/>
        <w:wordWrap/>
        <w:overflowPunct/>
        <w:topLinePunct w:val="0"/>
        <w:autoSpaceDE/>
        <w:autoSpaceDN/>
        <w:bidi w:val="0"/>
        <w:adjustRightInd/>
        <w:snapToGrid/>
        <w:spacing w:before="120" w:line="240" w:lineRule="auto"/>
        <w:ind w:left="720" w:hanging="72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rPr>
        <w:t>业务连续性功能测试</w:t>
      </w:r>
    </w:p>
    <w:p w14:paraId="30434C0F">
      <w:pPr>
        <w:keepNext w:val="0"/>
        <w:keepLines w:val="0"/>
        <w:pageBreakBefore w:val="0"/>
        <w:widowControl w:val="0"/>
        <w:numPr>
          <w:ilvl w:val="0"/>
          <w:numId w:val="9"/>
        </w:numPr>
        <w:kinsoku/>
        <w:wordWrap/>
        <w:overflowPunct/>
        <w:topLinePunct w:val="0"/>
        <w:autoSpaceDE/>
        <w:autoSpaceDN/>
        <w:bidi w:val="0"/>
        <w:adjustRightInd/>
        <w:snapToGrid/>
        <w:spacing w:before="120" w:line="240" w:lineRule="auto"/>
        <w:ind w:left="720" w:hanging="72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rPr>
        <w:t>全网路由测试</w:t>
      </w:r>
    </w:p>
    <w:p w14:paraId="03D9FF94">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b/>
          <w:snapToGrid/>
          <w:color w:val="auto"/>
          <w:kern w:val="2"/>
          <w:sz w:val="24"/>
          <w:szCs w:val="24"/>
          <w:highlight w:val="none"/>
          <w:lang w:eastAsia="zh-CN"/>
        </w:rPr>
      </w:pPr>
      <w:r>
        <w:rPr>
          <w:rFonts w:hint="eastAsia" w:asciiTheme="minorEastAsia" w:hAnsiTheme="minorEastAsia" w:eastAsiaTheme="minorEastAsia" w:cstheme="minorEastAsia"/>
          <w:b/>
          <w:snapToGrid/>
          <w:color w:val="auto"/>
          <w:kern w:val="2"/>
          <w:sz w:val="24"/>
          <w:szCs w:val="24"/>
          <w:highlight w:val="none"/>
          <w:lang w:eastAsia="zh-CN"/>
        </w:rPr>
        <w:t>（</w:t>
      </w:r>
      <w:r>
        <w:rPr>
          <w:rFonts w:hint="eastAsia" w:asciiTheme="minorEastAsia" w:hAnsiTheme="minorEastAsia" w:eastAsiaTheme="minorEastAsia" w:cstheme="minorEastAsia"/>
          <w:b/>
          <w:snapToGrid/>
          <w:color w:val="auto"/>
          <w:kern w:val="2"/>
          <w:sz w:val="24"/>
          <w:szCs w:val="24"/>
          <w:highlight w:val="none"/>
          <w:lang w:val="en-US" w:eastAsia="zh-CN"/>
        </w:rPr>
        <w:t>七</w:t>
      </w:r>
      <w:r>
        <w:rPr>
          <w:rFonts w:hint="eastAsia" w:asciiTheme="minorEastAsia" w:hAnsiTheme="minorEastAsia" w:eastAsiaTheme="minorEastAsia" w:cstheme="minorEastAsia"/>
          <w:b/>
          <w:snapToGrid/>
          <w:color w:val="auto"/>
          <w:kern w:val="2"/>
          <w:sz w:val="24"/>
          <w:szCs w:val="24"/>
          <w:highlight w:val="none"/>
          <w:lang w:eastAsia="zh-CN"/>
        </w:rPr>
        <w:t>）采购标的的其他技术、服务等要求。</w:t>
      </w:r>
    </w:p>
    <w:p w14:paraId="0AFBCCC1">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bookmarkStart w:id="10" w:name="_Toc27827548"/>
      <w:r>
        <w:rPr>
          <w:rFonts w:hint="eastAsia" w:asciiTheme="minorEastAsia" w:hAnsiTheme="minorEastAsia" w:eastAsiaTheme="minorEastAsia" w:cstheme="minorEastAsia"/>
          <w:snapToGrid/>
          <w:color w:val="auto"/>
          <w:kern w:val="2"/>
          <w:sz w:val="24"/>
          <w:szCs w:val="24"/>
          <w:highlight w:val="none"/>
          <w:lang w:eastAsia="zh-CN"/>
        </w:rPr>
        <w:t>1、培训要求</w:t>
      </w:r>
      <w:bookmarkEnd w:id="10"/>
    </w:p>
    <w:p w14:paraId="2A86C20C">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（1）使甲方受训的技术人员能够了解和熟悉整个项目</w:t>
      </w:r>
      <w:r>
        <w:rPr>
          <w:rFonts w:hint="eastAsia" w:asciiTheme="minorEastAsia" w:hAnsiTheme="minorEastAsia" w:eastAsiaTheme="minorEastAsia" w:cstheme="minorEastAsia"/>
          <w:snapToGrid/>
          <w:color w:val="auto"/>
          <w:kern w:val="2"/>
          <w:sz w:val="24"/>
          <w:szCs w:val="24"/>
          <w:highlight w:val="none"/>
          <w:lang w:val="en-US" w:eastAsia="zh-CN"/>
        </w:rPr>
        <w:t>设计思路</w:t>
      </w:r>
      <w:r>
        <w:rPr>
          <w:rFonts w:hint="eastAsia" w:asciiTheme="minorEastAsia" w:hAnsiTheme="minorEastAsia" w:eastAsiaTheme="minorEastAsia" w:cstheme="minorEastAsia"/>
          <w:snapToGrid/>
          <w:color w:val="auto"/>
          <w:kern w:val="2"/>
          <w:sz w:val="24"/>
          <w:szCs w:val="24"/>
          <w:highlight w:val="none"/>
          <w:lang w:eastAsia="zh-CN"/>
        </w:rPr>
        <w:t>。</w:t>
      </w:r>
    </w:p>
    <w:p w14:paraId="56BE3390">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（2）使甲方受训的技术人员能够了解和熟悉整个项目中所有新增的软硬件产品的原理及性能，掌握</w:t>
      </w:r>
      <w:r>
        <w:rPr>
          <w:rFonts w:hint="eastAsia" w:asciiTheme="minorEastAsia" w:hAnsiTheme="minorEastAsia" w:eastAsiaTheme="minorEastAsia" w:cstheme="minorEastAsia"/>
          <w:snapToGrid/>
          <w:color w:val="auto"/>
          <w:kern w:val="2"/>
          <w:sz w:val="24"/>
          <w:szCs w:val="24"/>
          <w:highlight w:val="none"/>
          <w:lang w:val="en-US" w:eastAsia="zh-CN"/>
        </w:rPr>
        <w:t>配置</w:t>
      </w:r>
      <w:r>
        <w:rPr>
          <w:rFonts w:hint="eastAsia" w:asciiTheme="minorEastAsia" w:hAnsiTheme="minorEastAsia" w:eastAsiaTheme="minorEastAsia" w:cstheme="minorEastAsia"/>
          <w:snapToGrid/>
          <w:color w:val="auto"/>
          <w:kern w:val="2"/>
          <w:sz w:val="24"/>
          <w:szCs w:val="24"/>
          <w:highlight w:val="none"/>
          <w:lang w:eastAsia="zh-CN"/>
        </w:rPr>
        <w:t>、调试、维护和排除故障的基技能，使技术人员能够熟练地操作和管理软硬件，可根据业务需要灵活配置系统用户、分配数据权限及重要数据的备份还原工作。</w:t>
      </w:r>
    </w:p>
    <w:p w14:paraId="76F67802">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（3）投标人须详细阐述培训的内容、方法、时间、教材、费用等事项。</w:t>
      </w:r>
    </w:p>
    <w:p w14:paraId="7EDF2F48">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bookmarkStart w:id="11" w:name="_Toc27827549"/>
      <w:r>
        <w:rPr>
          <w:rFonts w:hint="eastAsia" w:asciiTheme="minorEastAsia" w:hAnsiTheme="minorEastAsia" w:eastAsiaTheme="minorEastAsia" w:cstheme="minorEastAsia"/>
          <w:snapToGrid/>
          <w:color w:val="auto"/>
          <w:kern w:val="2"/>
          <w:sz w:val="24"/>
          <w:szCs w:val="24"/>
          <w:highlight w:val="none"/>
          <w:lang w:eastAsia="zh-CN"/>
        </w:rPr>
        <w:t>2、售后服务</w:t>
      </w:r>
      <w:bookmarkEnd w:id="11"/>
      <w:r>
        <w:rPr>
          <w:rFonts w:hint="eastAsia" w:asciiTheme="minorEastAsia" w:hAnsiTheme="minorEastAsia" w:eastAsiaTheme="minorEastAsia" w:cstheme="minorEastAsia"/>
          <w:snapToGrid/>
          <w:color w:val="auto"/>
          <w:kern w:val="2"/>
          <w:sz w:val="24"/>
          <w:szCs w:val="24"/>
          <w:highlight w:val="none"/>
          <w:lang w:eastAsia="zh-CN"/>
        </w:rPr>
        <w:t>要求</w:t>
      </w:r>
    </w:p>
    <w:p w14:paraId="062CAFCA">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bookmarkStart w:id="12" w:name="_Toc27827550"/>
      <w:bookmarkStart w:id="13" w:name="_Toc266439876"/>
      <w:bookmarkStart w:id="14" w:name="_Toc264909668"/>
      <w:r>
        <w:rPr>
          <w:rFonts w:hint="eastAsia" w:asciiTheme="minorEastAsia" w:hAnsiTheme="minorEastAsia" w:eastAsiaTheme="minorEastAsia" w:cstheme="minorEastAsia"/>
          <w:snapToGrid/>
          <w:color w:val="auto"/>
          <w:kern w:val="2"/>
          <w:sz w:val="24"/>
          <w:szCs w:val="24"/>
          <w:highlight w:val="none"/>
          <w:lang w:eastAsia="zh-CN"/>
        </w:rPr>
        <w:t>1)服务内容</w:t>
      </w:r>
      <w:bookmarkEnd w:id="12"/>
      <w:bookmarkEnd w:id="13"/>
      <w:bookmarkEnd w:id="14"/>
    </w:p>
    <w:p w14:paraId="25C3AC8C">
      <w:pPr>
        <w:keepNext w:val="0"/>
        <w:keepLines w:val="0"/>
        <w:pageBreakBefore w:val="0"/>
        <w:widowControl w:val="0"/>
        <w:numPr>
          <w:ilvl w:val="1"/>
          <w:numId w:val="10"/>
        </w:numPr>
        <w:kinsoku/>
        <w:wordWrap/>
        <w:overflowPunct/>
        <w:topLinePunct w:val="0"/>
        <w:autoSpaceDE/>
        <w:autoSpaceDN/>
        <w:bidi w:val="0"/>
        <w:adjustRightInd/>
        <w:snapToGrid/>
        <w:spacing w:before="120" w:line="240" w:lineRule="auto"/>
        <w:ind w:left="840" w:hanging="42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bookmarkStart w:id="15" w:name="_Toc68357373"/>
      <w:bookmarkStart w:id="16" w:name="_Toc68357748"/>
      <w:bookmarkStart w:id="17" w:name="_Toc68357879"/>
      <w:r>
        <w:rPr>
          <w:rFonts w:hint="eastAsia" w:asciiTheme="minorEastAsia" w:hAnsiTheme="minorEastAsia" w:eastAsiaTheme="minorEastAsia" w:cstheme="minorEastAsia"/>
          <w:snapToGrid/>
          <w:color w:val="auto"/>
          <w:kern w:val="2"/>
          <w:sz w:val="24"/>
          <w:szCs w:val="24"/>
          <w:highlight w:val="none"/>
          <w:lang w:eastAsia="zh-CN"/>
        </w:rPr>
        <w:t>工程竣工并通过最终验收后起，供应商对投标范围内的所有系统提供1年免费维护服务。</w:t>
      </w:r>
    </w:p>
    <w:p w14:paraId="73C7344A">
      <w:pPr>
        <w:keepNext w:val="0"/>
        <w:keepLines w:val="0"/>
        <w:pageBreakBefore w:val="0"/>
        <w:widowControl w:val="0"/>
        <w:numPr>
          <w:ilvl w:val="1"/>
          <w:numId w:val="10"/>
        </w:numPr>
        <w:kinsoku/>
        <w:wordWrap/>
        <w:overflowPunct/>
        <w:topLinePunct w:val="0"/>
        <w:autoSpaceDE/>
        <w:autoSpaceDN/>
        <w:bidi w:val="0"/>
        <w:adjustRightInd/>
        <w:snapToGrid/>
        <w:spacing w:before="120" w:line="240" w:lineRule="auto"/>
        <w:ind w:left="840" w:hanging="42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设备售后保修服务期：本次招标采购的设备,设备原厂商提供的质保期不足3年的，质保期限为3年；设备原厂商提供的质保期超过3年的，按设备原厂商提供的质保期执行。</w:t>
      </w:r>
    </w:p>
    <w:p w14:paraId="4C68B131">
      <w:pPr>
        <w:keepNext w:val="0"/>
        <w:keepLines w:val="0"/>
        <w:pageBreakBefore w:val="0"/>
        <w:widowControl w:val="0"/>
        <w:numPr>
          <w:ilvl w:val="1"/>
          <w:numId w:val="10"/>
        </w:numPr>
        <w:kinsoku/>
        <w:wordWrap/>
        <w:overflowPunct/>
        <w:topLinePunct w:val="0"/>
        <w:autoSpaceDE/>
        <w:autoSpaceDN/>
        <w:bidi w:val="0"/>
        <w:adjustRightInd/>
        <w:snapToGrid/>
        <w:spacing w:before="120" w:line="240" w:lineRule="auto"/>
        <w:ind w:left="840" w:hanging="42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属于保修范围、内容的项目，供应商要提供7天×24小时服务，在该期间接到使用方发出的故障通知后，应在2小时内做出故障响应，并在4小时内到达现场，8小时内排除故障。</w:t>
      </w:r>
    </w:p>
    <w:p w14:paraId="69A2F351">
      <w:pPr>
        <w:keepNext w:val="0"/>
        <w:keepLines w:val="0"/>
        <w:pageBreakBefore w:val="0"/>
        <w:widowControl w:val="0"/>
        <w:numPr>
          <w:ilvl w:val="1"/>
          <w:numId w:val="10"/>
        </w:numPr>
        <w:kinsoku/>
        <w:wordWrap/>
        <w:overflowPunct/>
        <w:topLinePunct w:val="0"/>
        <w:autoSpaceDE/>
        <w:autoSpaceDN/>
        <w:bidi w:val="0"/>
        <w:adjustRightInd/>
        <w:snapToGrid/>
        <w:spacing w:before="120" w:line="240" w:lineRule="auto"/>
        <w:ind w:left="840" w:hanging="42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在1年服务期内，供应商应免费提供备品备件以供系统正常使用。</w:t>
      </w:r>
    </w:p>
    <w:p w14:paraId="5FD2F0B1">
      <w:pPr>
        <w:keepNext w:val="0"/>
        <w:keepLines w:val="0"/>
        <w:pageBreakBefore w:val="0"/>
        <w:widowControl w:val="0"/>
        <w:numPr>
          <w:ilvl w:val="1"/>
          <w:numId w:val="10"/>
        </w:numPr>
        <w:kinsoku/>
        <w:wordWrap/>
        <w:overflowPunct/>
        <w:topLinePunct w:val="0"/>
        <w:autoSpaceDE/>
        <w:autoSpaceDN/>
        <w:bidi w:val="0"/>
        <w:adjustRightInd/>
        <w:snapToGrid/>
        <w:spacing w:before="120" w:line="240" w:lineRule="auto"/>
        <w:ind w:left="840" w:hanging="42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在售后保修服务期内，供应商无偿提供人员和技术支持，配合使用方进行技术改进和升级。</w:t>
      </w:r>
    </w:p>
    <w:bookmarkEnd w:id="15"/>
    <w:bookmarkEnd w:id="16"/>
    <w:bookmarkEnd w:id="17"/>
    <w:p w14:paraId="2824FC38">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bookmarkStart w:id="18" w:name="_Toc266439877"/>
      <w:bookmarkStart w:id="19" w:name="_Toc27827551"/>
      <w:bookmarkStart w:id="20" w:name="_Toc264909669"/>
      <w:bookmarkStart w:id="21" w:name="_Toc81235977"/>
      <w:r>
        <w:rPr>
          <w:rFonts w:hint="eastAsia" w:asciiTheme="minorEastAsia" w:hAnsiTheme="minorEastAsia" w:eastAsiaTheme="minorEastAsia" w:cstheme="minorEastAsia"/>
          <w:snapToGrid/>
          <w:color w:val="auto"/>
          <w:kern w:val="2"/>
          <w:sz w:val="24"/>
          <w:szCs w:val="24"/>
          <w:highlight w:val="none"/>
          <w:lang w:eastAsia="zh-CN"/>
        </w:rPr>
        <w:t>2)服务方式</w:t>
      </w:r>
      <w:bookmarkEnd w:id="18"/>
      <w:bookmarkEnd w:id="19"/>
      <w:bookmarkEnd w:id="20"/>
    </w:p>
    <w:p w14:paraId="68E62987">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要求提供多种服务方式，包括：</w:t>
      </w:r>
    </w:p>
    <w:p w14:paraId="4551364F">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（1）热线电话：提供7×24小时热线电话支持，随时解答设备及系统平台使用过程中出现的问题；</w:t>
      </w:r>
    </w:p>
    <w:p w14:paraId="2452CFDD">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（2）WEB方式：提供7×24小时电子邮件、讨论组、文档下载等方式的远程技术支持；</w:t>
      </w:r>
    </w:p>
    <w:p w14:paraId="7247A4A7">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（3）现场服务：提供7×24小时现场服务</w:t>
      </w:r>
      <w:bookmarkEnd w:id="21"/>
      <w:r>
        <w:rPr>
          <w:rFonts w:hint="eastAsia" w:asciiTheme="minorEastAsia" w:hAnsiTheme="minorEastAsia" w:eastAsiaTheme="minorEastAsia" w:cstheme="minorEastAsia"/>
          <w:snapToGrid/>
          <w:color w:val="auto"/>
          <w:kern w:val="2"/>
          <w:sz w:val="24"/>
          <w:szCs w:val="24"/>
          <w:highlight w:val="none"/>
          <w:lang w:eastAsia="zh-CN"/>
        </w:rPr>
        <w:t>。</w:t>
      </w:r>
    </w:p>
    <w:p w14:paraId="75EC4A4C">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val="en-US" w:eastAsia="zh-CN"/>
        </w:rPr>
      </w:pPr>
      <w:bookmarkStart w:id="22" w:name="_Toc27827552"/>
      <w:bookmarkStart w:id="23" w:name="_Toc264909670"/>
      <w:bookmarkStart w:id="24" w:name="_Toc266439878"/>
      <w:r>
        <w:rPr>
          <w:rFonts w:hint="eastAsia" w:asciiTheme="minorEastAsia" w:hAnsiTheme="minorEastAsia" w:eastAsiaTheme="minorEastAsia" w:cstheme="minorEastAsia"/>
          <w:snapToGrid/>
          <w:color w:val="auto"/>
          <w:kern w:val="2"/>
          <w:sz w:val="24"/>
          <w:szCs w:val="24"/>
          <w:highlight w:val="none"/>
          <w:lang w:eastAsia="zh-CN"/>
        </w:rPr>
        <w:t>3)技术资料提供</w:t>
      </w:r>
      <w:bookmarkEnd w:id="22"/>
      <w:bookmarkEnd w:id="23"/>
      <w:bookmarkEnd w:id="24"/>
      <w:r>
        <w:rPr>
          <w:rFonts w:hint="eastAsia" w:asciiTheme="minorEastAsia" w:hAnsiTheme="minorEastAsia" w:eastAsiaTheme="minorEastAsia" w:cstheme="minorEastAsia"/>
          <w:b/>
          <w:bCs/>
          <w:snapToGrid/>
          <w:color w:val="auto"/>
          <w:kern w:val="2"/>
          <w:sz w:val="24"/>
          <w:szCs w:val="24"/>
          <w:highlight w:val="none"/>
          <w:lang w:eastAsia="zh-CN"/>
        </w:rPr>
        <w:t>（</w:t>
      </w:r>
      <w:r>
        <w:rPr>
          <w:rFonts w:hint="eastAsia" w:asciiTheme="minorEastAsia" w:hAnsiTheme="minorEastAsia" w:eastAsiaTheme="minorEastAsia" w:cstheme="minorEastAsia"/>
          <w:b/>
          <w:bCs/>
          <w:snapToGrid/>
          <w:color w:val="auto"/>
          <w:kern w:val="2"/>
          <w:sz w:val="24"/>
          <w:szCs w:val="24"/>
          <w:highlight w:val="none"/>
          <w:lang w:val="en-US" w:eastAsia="zh-CN"/>
        </w:rPr>
        <w:t>投标人自行承诺，格式自拟</w:t>
      </w:r>
      <w:r>
        <w:rPr>
          <w:rFonts w:hint="eastAsia" w:asciiTheme="minorEastAsia" w:hAnsiTheme="minorEastAsia" w:eastAsiaTheme="minorEastAsia" w:cstheme="minorEastAsia"/>
          <w:b/>
          <w:bCs/>
          <w:snapToGrid/>
          <w:color w:val="auto"/>
          <w:kern w:val="2"/>
          <w:sz w:val="24"/>
          <w:szCs w:val="24"/>
          <w:highlight w:val="none"/>
          <w:lang w:eastAsia="zh-CN"/>
        </w:rPr>
        <w:t>）</w:t>
      </w:r>
    </w:p>
    <w:p w14:paraId="1C1FCAC7">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原则要求（纸质和电子）</w:t>
      </w:r>
    </w:p>
    <w:p w14:paraId="00269B06">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投标人提供的全部技术资料必须用中文编写，资料必须准确、清楚、完整，必须满足安装、调试、运行、维护的需要，并与移交时的系统环境一致。</w:t>
      </w:r>
    </w:p>
    <w:p w14:paraId="3EF524E8">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资料清单：</w:t>
      </w:r>
    </w:p>
    <w:p w14:paraId="76ACAB39">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设计及实施方案；（纸质和电子）</w:t>
      </w:r>
    </w:p>
    <w:p w14:paraId="1806D11E">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竣工资料；（纸质和电子）</w:t>
      </w:r>
    </w:p>
    <w:p w14:paraId="4F1C3119">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系统培训文档；（电子）</w:t>
      </w:r>
    </w:p>
    <w:p w14:paraId="4617AD8A">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硬件产品包装内的全部资料。</w:t>
      </w:r>
    </w:p>
    <w:p w14:paraId="664378C9">
      <w:pPr>
        <w:overflowPunct/>
        <w:bidi w:val="0"/>
        <w:spacing w:line="240" w:lineRule="auto"/>
        <w:rPr>
          <w:rFonts w:hint="eastAsia" w:asciiTheme="minorEastAsia" w:hAnsiTheme="minorEastAsia" w:eastAsiaTheme="minorEastAsia" w:cstheme="minorEastAsia"/>
          <w:b w:val="0"/>
          <w:bCs w:val="0"/>
          <w:color w:val="auto"/>
          <w:spacing w:val="0"/>
          <w:w w:val="100"/>
          <w:position w:val="0"/>
          <w:sz w:val="24"/>
          <w:szCs w:val="24"/>
          <w:highlight w:val="none"/>
          <w:lang w:val="en-US" w:eastAsia="zh-CN"/>
        </w:rPr>
      </w:pPr>
    </w:p>
    <w:p w14:paraId="55251BF2">
      <w:pPr>
        <w:numPr>
          <w:ilvl w:val="0"/>
          <w:numId w:val="0"/>
        </w:numPr>
        <w:overflowPunct/>
        <w:bidi w:val="0"/>
        <w:spacing w:line="240" w:lineRule="auto"/>
        <w:rPr>
          <w:rFonts w:hint="eastAsia" w:asciiTheme="minorEastAsia" w:hAnsiTheme="minorEastAsia" w:eastAsiaTheme="minorEastAsia" w:cstheme="minorEastAsia"/>
          <w:b/>
          <w:bCs/>
          <w:color w:val="auto"/>
          <w:spacing w:val="0"/>
          <w:w w:val="100"/>
          <w:position w:val="0"/>
          <w:sz w:val="22"/>
          <w:szCs w:val="22"/>
          <w:highlight w:val="none"/>
          <w:lang w:val="en-US" w:eastAsia="zh-CN"/>
        </w:rPr>
      </w:pPr>
    </w:p>
    <w:p w14:paraId="3F560D9F">
      <w:pPr>
        <w:numPr>
          <w:ilvl w:val="0"/>
          <w:numId w:val="0"/>
        </w:numPr>
        <w:overflowPunct/>
        <w:bidi w:val="0"/>
        <w:spacing w:line="240" w:lineRule="auto"/>
        <w:rPr>
          <w:rFonts w:hint="eastAsia" w:asciiTheme="minorEastAsia" w:hAnsiTheme="minorEastAsia" w:eastAsiaTheme="minorEastAsia" w:cstheme="minorEastAsia"/>
          <w:b/>
          <w:bCs/>
          <w:color w:val="auto"/>
          <w:spacing w:val="0"/>
          <w:w w:val="100"/>
          <w:position w:val="0"/>
          <w:sz w:val="22"/>
          <w:szCs w:val="22"/>
          <w:highlight w:val="none"/>
          <w:lang w:val="en-US" w:eastAsia="zh-CN"/>
        </w:rPr>
      </w:pPr>
    </w:p>
    <w:p w14:paraId="57BC6D4F">
      <w:pPr>
        <w:overflowPunct/>
        <w:bidi w:val="0"/>
        <w:spacing w:line="240" w:lineRule="auto"/>
        <w:rPr>
          <w:rFonts w:hint="eastAsia" w:asciiTheme="minorEastAsia" w:hAnsiTheme="minorEastAsia" w:eastAsiaTheme="minorEastAsia" w:cstheme="minorEastAsia"/>
          <w:color w:val="auto"/>
          <w:highlight w:val="none"/>
          <w:lang w:val="en-US" w:eastAsia="zh-CN"/>
        </w:rPr>
      </w:pPr>
      <w:bookmarkStart w:id="25" w:name="_GoBack"/>
      <w:bookmarkEnd w:id="25"/>
    </w:p>
    <w:sectPr>
      <w:headerReference r:id="rId5" w:type="default"/>
      <w:footerReference r:id="rId6" w:type="default"/>
      <w:pgSz w:w="11907" w:h="16840"/>
      <w:pgMar w:top="1149" w:right="1021" w:bottom="1060" w:left="1588" w:header="875" w:footer="886"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3E4F1">
    <w:pPr>
      <w:spacing w:line="189" w:lineRule="auto"/>
      <w:ind w:left="4548"/>
      <w:rPr>
        <w:rFonts w:ascii="Arial" w:hAnsi="Arial" w:eastAsia="Arial" w:cs="Arial"/>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2DD634">
                          <w:pPr>
                            <w:pStyle w:val="12"/>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752DD634">
                    <w:pPr>
                      <w:pStyle w:val="12"/>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12E25">
    <w:pPr>
      <w:pStyle w:val="5"/>
      <w:spacing w:before="3" w:line="200" w:lineRule="auto"/>
      <w:ind w:left="5768"/>
      <w:jc w:val="right"/>
      <w:rPr>
        <w:sz w:val="18"/>
        <w:szCs w:val="18"/>
      </w:rPr>
    </w:pPr>
    <w:r>
      <w:pict>
        <v:shape id="_x0000_s2091" o:spid="_x0000_s2091" style="position:absolute;left:0pt;margin-left:85.05pt;margin-top:56.55pt;height:0.75pt;width:453.65pt;mso-position-horizontal-relative:page;mso-position-vertical-relative:page;z-index:251659264;mso-width-relative:page;mso-height-relative:page;" fillcolor="#000000" filled="t" stroked="f" coordsize="9072,15" o:allowincell="f" path="m0,0l9072,0,9072,14,0,14,0,0xe">
          <v:path/>
          <v:fill on="t" focussize="0,0"/>
          <v:stroke on="f"/>
          <v:imagedata o:title=""/>
          <o:lock v:ext="edit"/>
        </v:shape>
      </w:pict>
    </w:r>
    <w:r>
      <w:rPr>
        <w:spacing w:val="-1"/>
        <w:sz w:val="18"/>
        <w:szCs w:val="18"/>
      </w:rPr>
      <w:t>北京市政府采购项目公开招标文件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AF4F57"/>
    <w:multiLevelType w:val="singleLevel"/>
    <w:tmpl w:val="DFAF4F57"/>
    <w:lvl w:ilvl="0" w:tentative="0">
      <w:start w:val="1"/>
      <w:numFmt w:val="decimal"/>
      <w:suff w:val="nothing"/>
      <w:lvlText w:val="%1、"/>
      <w:lvlJc w:val="left"/>
    </w:lvl>
  </w:abstractNum>
  <w:abstractNum w:abstractNumId="1">
    <w:nsid w:val="EDF88A35"/>
    <w:multiLevelType w:val="singleLevel"/>
    <w:tmpl w:val="EDF88A35"/>
    <w:lvl w:ilvl="0" w:tentative="0">
      <w:start w:val="3"/>
      <w:numFmt w:val="chineseCounting"/>
      <w:suff w:val="nothing"/>
      <w:lvlText w:val="（%1）"/>
      <w:lvlJc w:val="left"/>
      <w:rPr>
        <w:rFonts w:hint="eastAsia"/>
      </w:rPr>
    </w:lvl>
  </w:abstractNum>
  <w:abstractNum w:abstractNumId="2">
    <w:nsid w:val="05E43BE4"/>
    <w:multiLevelType w:val="multilevel"/>
    <w:tmpl w:val="05E43BE4"/>
    <w:lvl w:ilvl="0" w:tentative="0">
      <w:start w:val="1"/>
      <w:numFmt w:val="bullet"/>
      <w:lvlText w:val=""/>
      <w:lvlJc w:val="left"/>
      <w:pPr>
        <w:ind w:left="360" w:hanging="36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7D37F98"/>
    <w:multiLevelType w:val="multilevel"/>
    <w:tmpl w:val="27D37F98"/>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91052C6"/>
    <w:multiLevelType w:val="multilevel"/>
    <w:tmpl w:val="391052C6"/>
    <w:lvl w:ilvl="0" w:tentative="0">
      <w:start w:val="1"/>
      <w:numFmt w:val="decimal"/>
      <w:lvlText w:val="%1、"/>
      <w:lvlJc w:val="left"/>
      <w:pPr>
        <w:ind w:left="979" w:hanging="930"/>
      </w:pPr>
      <w:rPr>
        <w:rFonts w:ascii="宋体" w:hAnsi="宋体" w:eastAsia="宋体" w:cs="Times New Roman"/>
      </w:rPr>
    </w:lvl>
    <w:lvl w:ilvl="1" w:tentative="0">
      <w:start w:val="1"/>
      <w:numFmt w:val="decimal"/>
      <w:lvlText w:val="（%2）"/>
      <w:lvlJc w:val="left"/>
      <w:pPr>
        <w:ind w:left="1549" w:hanging="1080"/>
      </w:pPr>
      <w:rPr>
        <w:rFonts w:hint="default"/>
      </w:rPr>
    </w:lvl>
    <w:lvl w:ilvl="2" w:tentative="0">
      <w:start w:val="1"/>
      <w:numFmt w:val="lowerRoman"/>
      <w:lvlText w:val="%3."/>
      <w:lvlJc w:val="right"/>
      <w:pPr>
        <w:ind w:left="1309" w:hanging="420"/>
      </w:pPr>
    </w:lvl>
    <w:lvl w:ilvl="3" w:tentative="0">
      <w:start w:val="1"/>
      <w:numFmt w:val="decimal"/>
      <w:lvlText w:val="%4."/>
      <w:lvlJc w:val="left"/>
      <w:pPr>
        <w:ind w:left="1729" w:hanging="420"/>
      </w:pPr>
    </w:lvl>
    <w:lvl w:ilvl="4" w:tentative="0">
      <w:start w:val="1"/>
      <w:numFmt w:val="lowerLetter"/>
      <w:lvlText w:val="%5)"/>
      <w:lvlJc w:val="left"/>
      <w:pPr>
        <w:ind w:left="2149" w:hanging="420"/>
      </w:pPr>
    </w:lvl>
    <w:lvl w:ilvl="5" w:tentative="0">
      <w:start w:val="1"/>
      <w:numFmt w:val="lowerRoman"/>
      <w:lvlText w:val="%6."/>
      <w:lvlJc w:val="right"/>
      <w:pPr>
        <w:ind w:left="2569" w:hanging="420"/>
      </w:pPr>
    </w:lvl>
    <w:lvl w:ilvl="6" w:tentative="0">
      <w:start w:val="1"/>
      <w:numFmt w:val="decimal"/>
      <w:lvlText w:val="%7."/>
      <w:lvlJc w:val="left"/>
      <w:pPr>
        <w:ind w:left="2989" w:hanging="420"/>
      </w:pPr>
    </w:lvl>
    <w:lvl w:ilvl="7" w:tentative="0">
      <w:start w:val="1"/>
      <w:numFmt w:val="lowerLetter"/>
      <w:lvlText w:val="%8)"/>
      <w:lvlJc w:val="left"/>
      <w:pPr>
        <w:ind w:left="3409" w:hanging="420"/>
      </w:pPr>
    </w:lvl>
    <w:lvl w:ilvl="8" w:tentative="0">
      <w:start w:val="1"/>
      <w:numFmt w:val="lowerRoman"/>
      <w:lvlText w:val="%9."/>
      <w:lvlJc w:val="right"/>
      <w:pPr>
        <w:ind w:left="3829" w:hanging="420"/>
      </w:pPr>
    </w:lvl>
  </w:abstractNum>
  <w:abstractNum w:abstractNumId="5">
    <w:nsid w:val="3FED1D33"/>
    <w:multiLevelType w:val="multilevel"/>
    <w:tmpl w:val="3FED1D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6E55A97"/>
    <w:multiLevelType w:val="multilevel"/>
    <w:tmpl w:val="56E55A97"/>
    <w:lvl w:ilvl="0" w:tentative="0">
      <w:start w:val="1"/>
      <w:numFmt w:val="bullet"/>
      <w:lvlText w:val=""/>
      <w:lvlJc w:val="left"/>
      <w:pPr>
        <w:ind w:left="360" w:hanging="36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4540442"/>
    <w:multiLevelType w:val="multilevel"/>
    <w:tmpl w:val="74540442"/>
    <w:lvl w:ilvl="0" w:tentative="0">
      <w:start w:val="1"/>
      <w:numFmt w:val="decimal"/>
      <w:pStyle w:val="6"/>
      <w:lvlText w:val="第%1章"/>
      <w:lvlJc w:val="left"/>
      <w:pPr>
        <w:ind w:left="905" w:hanging="425"/>
      </w:pPr>
      <w:rPr>
        <w:rFonts w:hint="default" w:eastAsia="宋体"/>
        <w:b/>
        <w:i w:val="0"/>
        <w:sz w:val="24"/>
        <w:szCs w:val="24"/>
      </w:rPr>
    </w:lvl>
    <w:lvl w:ilvl="1" w:tentative="0">
      <w:start w:val="1"/>
      <w:numFmt w:val="decimal"/>
      <w:pStyle w:val="7"/>
      <w:lvlText w:val="%1.%2"/>
      <w:lvlJc w:val="left"/>
      <w:pPr>
        <w:ind w:left="1472" w:hanging="567"/>
      </w:pPr>
      <w:rPr>
        <w:rFonts w:hint="default" w:ascii="宋体" w:hAnsi="宋体" w:eastAsia="宋体"/>
        <w:b/>
        <w:i w:val="0"/>
        <w:sz w:val="24"/>
        <w:szCs w:val="24"/>
      </w:rPr>
    </w:lvl>
    <w:lvl w:ilvl="2" w:tentative="0">
      <w:start w:val="1"/>
      <w:numFmt w:val="decimal"/>
      <w:lvlText w:val="%1.%2.%3"/>
      <w:lvlJc w:val="left"/>
      <w:pPr>
        <w:ind w:left="1898" w:hanging="567"/>
      </w:pPr>
      <w:rPr>
        <w:rFonts w:hint="default" w:ascii="宋体" w:hAnsi="宋体" w:eastAsia="宋体"/>
        <w:b/>
        <w:i w:val="0"/>
        <w:sz w:val="24"/>
        <w:szCs w:val="24"/>
      </w:rPr>
    </w:lvl>
    <w:lvl w:ilvl="3" w:tentative="0">
      <w:start w:val="1"/>
      <w:numFmt w:val="decimal"/>
      <w:lvlText w:val="%1.%2.%3.%4"/>
      <w:lvlJc w:val="left"/>
      <w:pPr>
        <w:ind w:left="2181" w:hanging="708"/>
      </w:pPr>
      <w:rPr>
        <w:b w:val="0"/>
        <w:bCs w:val="0"/>
        <w:i w:val="0"/>
        <w:iCs w:val="0"/>
        <w:caps w:val="0"/>
        <w:smallCaps w:val="0"/>
        <w:strike w:val="0"/>
        <w:dstrike w:val="0"/>
        <w:vanish w:val="0"/>
        <w:spacing w:val="0"/>
        <w:position w:val="0"/>
        <w:u w:val="none"/>
        <w:vertAlign w:val="baseline"/>
      </w:rPr>
    </w:lvl>
    <w:lvl w:ilvl="4" w:tentative="0">
      <w:start w:val="1"/>
      <w:numFmt w:val="decimal"/>
      <w:lvlText w:val="%1.%2.%3.%4.%5"/>
      <w:lvlJc w:val="left"/>
      <w:pPr>
        <w:ind w:left="3031" w:hanging="850"/>
      </w:pPr>
      <w:rPr>
        <w:rFonts w:hint="eastAsia" w:ascii="宋体" w:hAnsi="宋体" w:eastAsia="宋体"/>
        <w:b/>
        <w:i w:val="0"/>
        <w:sz w:val="28"/>
      </w:rPr>
    </w:lvl>
    <w:lvl w:ilvl="5" w:tentative="0">
      <w:start w:val="1"/>
      <w:numFmt w:val="decimal"/>
      <w:lvlText w:val="%1.%2.%3.%4.%5.%6"/>
      <w:lvlJc w:val="left"/>
      <w:pPr>
        <w:ind w:left="3740" w:hanging="1134"/>
      </w:pPr>
      <w:rPr>
        <w:rFonts w:hint="eastAsia" w:ascii="宋体" w:hAnsi="宋体" w:eastAsia="宋体"/>
        <w:b/>
        <w:i w:val="0"/>
        <w:sz w:val="24"/>
      </w:rPr>
    </w:lvl>
    <w:lvl w:ilvl="6" w:tentative="0">
      <w:start w:val="1"/>
      <w:numFmt w:val="decimal"/>
      <w:lvlText w:val="%1.%2.%3.%4.%5.%6.%7"/>
      <w:lvlJc w:val="left"/>
      <w:pPr>
        <w:ind w:left="4307" w:hanging="1276"/>
      </w:pPr>
      <w:rPr>
        <w:rFonts w:hint="eastAsia" w:ascii="宋体" w:hAnsi="宋体" w:eastAsia="宋体"/>
        <w:b/>
        <w:i w:val="0"/>
        <w:sz w:val="24"/>
      </w:rPr>
    </w:lvl>
    <w:lvl w:ilvl="7" w:tentative="0">
      <w:start w:val="1"/>
      <w:numFmt w:val="decimal"/>
      <w:lvlText w:val="%1.%2.%3.%4.%5.%6.%7.%8"/>
      <w:lvlJc w:val="left"/>
      <w:pPr>
        <w:ind w:left="4874" w:hanging="1418"/>
      </w:pPr>
      <w:rPr>
        <w:rFonts w:hint="eastAsia" w:eastAsia="宋体"/>
        <w:b/>
        <w:i w:val="0"/>
        <w:sz w:val="24"/>
      </w:rPr>
    </w:lvl>
    <w:lvl w:ilvl="8" w:tentative="0">
      <w:start w:val="1"/>
      <w:numFmt w:val="decimal"/>
      <w:lvlText w:val="%1.%2.%3.%4.%5.%6.%7.%8.%9"/>
      <w:lvlJc w:val="left"/>
      <w:pPr>
        <w:ind w:left="5582" w:hanging="1700"/>
      </w:pPr>
      <w:rPr>
        <w:rFonts w:hint="eastAsia" w:eastAsia="宋体"/>
        <w:b/>
        <w:i w:val="0"/>
        <w:sz w:val="24"/>
      </w:rPr>
    </w:lvl>
  </w:abstractNum>
  <w:abstractNum w:abstractNumId="8">
    <w:nsid w:val="795EF12F"/>
    <w:multiLevelType w:val="singleLevel"/>
    <w:tmpl w:val="795EF12F"/>
    <w:lvl w:ilvl="0" w:tentative="0">
      <w:start w:val="1"/>
      <w:numFmt w:val="decimal"/>
      <w:lvlText w:val="(%1)"/>
      <w:lvlJc w:val="left"/>
      <w:pPr>
        <w:ind w:left="425" w:hanging="425"/>
      </w:pPr>
      <w:rPr>
        <w:rFonts w:hint="default"/>
      </w:rPr>
    </w:lvl>
  </w:abstractNum>
  <w:abstractNum w:abstractNumId="9">
    <w:nsid w:val="7A8636F4"/>
    <w:multiLevelType w:val="multilevel"/>
    <w:tmpl w:val="7A8636F4"/>
    <w:lvl w:ilvl="0" w:tentative="0">
      <w:start w:val="1"/>
      <w:numFmt w:val="bullet"/>
      <w:lvlText w:val=""/>
      <w:lvlJc w:val="left"/>
      <w:pPr>
        <w:ind w:left="360" w:hanging="36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0"/>
  </w:num>
  <w:num w:numId="3">
    <w:abstractNumId w:val="8"/>
  </w:num>
  <w:num w:numId="4">
    <w:abstractNumId w:val="1"/>
  </w:num>
  <w:num w:numId="5">
    <w:abstractNumId w:val="2"/>
  </w:num>
  <w:num w:numId="6">
    <w:abstractNumId w:val="9"/>
  </w:num>
  <w:num w:numId="7">
    <w:abstractNumId w:val="5"/>
  </w:num>
  <w:num w:numId="8">
    <w:abstractNumId w:val="4"/>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useAltKinsokuLineBreakRules/>
    <w:compatSetting w:name="compatibilityMode" w:uri="http://schemas.microsoft.com/office/word" w:val="14"/>
  </w:compat>
  <w:rsids>
    <w:rsidRoot w:val="00172A27"/>
    <w:rsid w:val="00726300"/>
    <w:rsid w:val="00771B68"/>
    <w:rsid w:val="008506DE"/>
    <w:rsid w:val="008D313A"/>
    <w:rsid w:val="008F6EB2"/>
    <w:rsid w:val="00991ADF"/>
    <w:rsid w:val="00DB6DD2"/>
    <w:rsid w:val="00FF56BA"/>
    <w:rsid w:val="011E4E03"/>
    <w:rsid w:val="016C0FA1"/>
    <w:rsid w:val="01775349"/>
    <w:rsid w:val="01883901"/>
    <w:rsid w:val="0196601E"/>
    <w:rsid w:val="01C54B55"/>
    <w:rsid w:val="01E730A7"/>
    <w:rsid w:val="01F80A87"/>
    <w:rsid w:val="02296E92"/>
    <w:rsid w:val="023870D5"/>
    <w:rsid w:val="024832E2"/>
    <w:rsid w:val="0261662C"/>
    <w:rsid w:val="026E0D49"/>
    <w:rsid w:val="0273010D"/>
    <w:rsid w:val="027C16B8"/>
    <w:rsid w:val="02810089"/>
    <w:rsid w:val="02867E41"/>
    <w:rsid w:val="02A227A1"/>
    <w:rsid w:val="02B01361"/>
    <w:rsid w:val="02DE3D3D"/>
    <w:rsid w:val="03035935"/>
    <w:rsid w:val="03101E00"/>
    <w:rsid w:val="031713E0"/>
    <w:rsid w:val="0331745B"/>
    <w:rsid w:val="03345AEF"/>
    <w:rsid w:val="034A70C0"/>
    <w:rsid w:val="03551551"/>
    <w:rsid w:val="0361440A"/>
    <w:rsid w:val="038806F4"/>
    <w:rsid w:val="039D6C50"/>
    <w:rsid w:val="03A80933"/>
    <w:rsid w:val="03C2759E"/>
    <w:rsid w:val="03E528B6"/>
    <w:rsid w:val="040000C7"/>
    <w:rsid w:val="04004297"/>
    <w:rsid w:val="040B175C"/>
    <w:rsid w:val="041A5326"/>
    <w:rsid w:val="0439760D"/>
    <w:rsid w:val="049B56C5"/>
    <w:rsid w:val="04AE7B23"/>
    <w:rsid w:val="04B85F11"/>
    <w:rsid w:val="04C258ED"/>
    <w:rsid w:val="04E92909"/>
    <w:rsid w:val="05157BA2"/>
    <w:rsid w:val="051756C8"/>
    <w:rsid w:val="05243941"/>
    <w:rsid w:val="05353DA0"/>
    <w:rsid w:val="05356771"/>
    <w:rsid w:val="05437DEB"/>
    <w:rsid w:val="059A6853"/>
    <w:rsid w:val="05A31106"/>
    <w:rsid w:val="05B13426"/>
    <w:rsid w:val="060C361A"/>
    <w:rsid w:val="06382FA5"/>
    <w:rsid w:val="064029FC"/>
    <w:rsid w:val="065169B7"/>
    <w:rsid w:val="06563FCE"/>
    <w:rsid w:val="069074E0"/>
    <w:rsid w:val="069B1336"/>
    <w:rsid w:val="069C0FFA"/>
    <w:rsid w:val="06B75E22"/>
    <w:rsid w:val="06D849E3"/>
    <w:rsid w:val="070D6D82"/>
    <w:rsid w:val="07465DF0"/>
    <w:rsid w:val="075C1468"/>
    <w:rsid w:val="07603356"/>
    <w:rsid w:val="07C1639C"/>
    <w:rsid w:val="07CA4C73"/>
    <w:rsid w:val="07D9342B"/>
    <w:rsid w:val="07DE24CD"/>
    <w:rsid w:val="07E21FBD"/>
    <w:rsid w:val="07FC2953"/>
    <w:rsid w:val="081D0BE6"/>
    <w:rsid w:val="0828199A"/>
    <w:rsid w:val="082B3C78"/>
    <w:rsid w:val="08353EC0"/>
    <w:rsid w:val="08420CAE"/>
    <w:rsid w:val="089048DF"/>
    <w:rsid w:val="08D5236D"/>
    <w:rsid w:val="08EE6740"/>
    <w:rsid w:val="08F82A58"/>
    <w:rsid w:val="091837BC"/>
    <w:rsid w:val="092407D7"/>
    <w:rsid w:val="09271C52"/>
    <w:rsid w:val="09554A11"/>
    <w:rsid w:val="098D41AA"/>
    <w:rsid w:val="09EA33AB"/>
    <w:rsid w:val="0A1641A0"/>
    <w:rsid w:val="0A337E10"/>
    <w:rsid w:val="0A4F320E"/>
    <w:rsid w:val="0A9B46A5"/>
    <w:rsid w:val="0A9F23E7"/>
    <w:rsid w:val="0AE53B72"/>
    <w:rsid w:val="0AE93662"/>
    <w:rsid w:val="0AEC3FFC"/>
    <w:rsid w:val="0AF838A6"/>
    <w:rsid w:val="0B016BFE"/>
    <w:rsid w:val="0B026EC9"/>
    <w:rsid w:val="0B056B95"/>
    <w:rsid w:val="0B2F6965"/>
    <w:rsid w:val="0B666A61"/>
    <w:rsid w:val="0BA56959"/>
    <w:rsid w:val="0BDF4AD6"/>
    <w:rsid w:val="0C152235"/>
    <w:rsid w:val="0C197F77"/>
    <w:rsid w:val="0C252478"/>
    <w:rsid w:val="0C346B5F"/>
    <w:rsid w:val="0C3628D7"/>
    <w:rsid w:val="0C476893"/>
    <w:rsid w:val="0C4C00C9"/>
    <w:rsid w:val="0C7451AE"/>
    <w:rsid w:val="0C874E01"/>
    <w:rsid w:val="0CFA1B57"/>
    <w:rsid w:val="0CFE2CC9"/>
    <w:rsid w:val="0D0429D6"/>
    <w:rsid w:val="0D246BD4"/>
    <w:rsid w:val="0D3B0FD3"/>
    <w:rsid w:val="0D4E1EA3"/>
    <w:rsid w:val="0D7002CE"/>
    <w:rsid w:val="0D7D0092"/>
    <w:rsid w:val="0D95362E"/>
    <w:rsid w:val="0DC3019B"/>
    <w:rsid w:val="0DC50F3E"/>
    <w:rsid w:val="0DE40111"/>
    <w:rsid w:val="0E083572"/>
    <w:rsid w:val="0E100F06"/>
    <w:rsid w:val="0E137B5A"/>
    <w:rsid w:val="0E590AFF"/>
    <w:rsid w:val="0EA55AF2"/>
    <w:rsid w:val="0EAF6971"/>
    <w:rsid w:val="0EB24605"/>
    <w:rsid w:val="0EC12A76"/>
    <w:rsid w:val="0F2D24A0"/>
    <w:rsid w:val="0F36499C"/>
    <w:rsid w:val="0F6838C7"/>
    <w:rsid w:val="0F73799F"/>
    <w:rsid w:val="0FB3423F"/>
    <w:rsid w:val="0FD83CA6"/>
    <w:rsid w:val="0FE8213B"/>
    <w:rsid w:val="0FF66139"/>
    <w:rsid w:val="100A5921"/>
    <w:rsid w:val="1013219E"/>
    <w:rsid w:val="10172A20"/>
    <w:rsid w:val="1032785A"/>
    <w:rsid w:val="10501A8E"/>
    <w:rsid w:val="10525806"/>
    <w:rsid w:val="106A0DA2"/>
    <w:rsid w:val="10B55FD7"/>
    <w:rsid w:val="10BE4C49"/>
    <w:rsid w:val="10E24DDC"/>
    <w:rsid w:val="10E55EE6"/>
    <w:rsid w:val="10FB08DB"/>
    <w:rsid w:val="10FE773C"/>
    <w:rsid w:val="112814E6"/>
    <w:rsid w:val="11305937"/>
    <w:rsid w:val="1131366D"/>
    <w:rsid w:val="11393235"/>
    <w:rsid w:val="114710E3"/>
    <w:rsid w:val="114C04A7"/>
    <w:rsid w:val="114C1996"/>
    <w:rsid w:val="116F23E8"/>
    <w:rsid w:val="11716160"/>
    <w:rsid w:val="119946F4"/>
    <w:rsid w:val="11AB1672"/>
    <w:rsid w:val="11B30526"/>
    <w:rsid w:val="11C444E1"/>
    <w:rsid w:val="11D64215"/>
    <w:rsid w:val="11D861DF"/>
    <w:rsid w:val="11E608FC"/>
    <w:rsid w:val="12241424"/>
    <w:rsid w:val="12356491"/>
    <w:rsid w:val="12726BBD"/>
    <w:rsid w:val="129A3460"/>
    <w:rsid w:val="12CB18A0"/>
    <w:rsid w:val="12E27315"/>
    <w:rsid w:val="12E666D9"/>
    <w:rsid w:val="12ED1816"/>
    <w:rsid w:val="13082AF4"/>
    <w:rsid w:val="134753CA"/>
    <w:rsid w:val="134A310C"/>
    <w:rsid w:val="135B2C24"/>
    <w:rsid w:val="13781A27"/>
    <w:rsid w:val="13B41B0C"/>
    <w:rsid w:val="13B71351"/>
    <w:rsid w:val="13B81E24"/>
    <w:rsid w:val="13DF3855"/>
    <w:rsid w:val="13F07810"/>
    <w:rsid w:val="1410297C"/>
    <w:rsid w:val="14613537"/>
    <w:rsid w:val="14B545B5"/>
    <w:rsid w:val="14BA7E1E"/>
    <w:rsid w:val="150177FB"/>
    <w:rsid w:val="153320AA"/>
    <w:rsid w:val="153C6CA9"/>
    <w:rsid w:val="15427BF2"/>
    <w:rsid w:val="157B75AD"/>
    <w:rsid w:val="15AC7766"/>
    <w:rsid w:val="15C732DB"/>
    <w:rsid w:val="1635627C"/>
    <w:rsid w:val="16421E79"/>
    <w:rsid w:val="16495B3E"/>
    <w:rsid w:val="164C2CF7"/>
    <w:rsid w:val="166167A3"/>
    <w:rsid w:val="169524DA"/>
    <w:rsid w:val="169F551D"/>
    <w:rsid w:val="16C86822"/>
    <w:rsid w:val="172A3039"/>
    <w:rsid w:val="17591B23"/>
    <w:rsid w:val="175E7186"/>
    <w:rsid w:val="1765253F"/>
    <w:rsid w:val="17966920"/>
    <w:rsid w:val="17BB6387"/>
    <w:rsid w:val="17C84600"/>
    <w:rsid w:val="17D31922"/>
    <w:rsid w:val="17D41B5D"/>
    <w:rsid w:val="17D80CE7"/>
    <w:rsid w:val="17EF7DDE"/>
    <w:rsid w:val="17F11002"/>
    <w:rsid w:val="17F40194"/>
    <w:rsid w:val="17FD24FB"/>
    <w:rsid w:val="181141F9"/>
    <w:rsid w:val="18115FA7"/>
    <w:rsid w:val="18420856"/>
    <w:rsid w:val="18441ED8"/>
    <w:rsid w:val="189F6908"/>
    <w:rsid w:val="18AF5EEB"/>
    <w:rsid w:val="18B708FC"/>
    <w:rsid w:val="18C64FE3"/>
    <w:rsid w:val="18CB1EE3"/>
    <w:rsid w:val="18DA283C"/>
    <w:rsid w:val="193957B5"/>
    <w:rsid w:val="194F68C1"/>
    <w:rsid w:val="198829FA"/>
    <w:rsid w:val="19C41C79"/>
    <w:rsid w:val="19EF056A"/>
    <w:rsid w:val="1A3119AA"/>
    <w:rsid w:val="1A6B4094"/>
    <w:rsid w:val="1A7A0A4C"/>
    <w:rsid w:val="1A9B335B"/>
    <w:rsid w:val="1AA44EB0"/>
    <w:rsid w:val="1AE16104"/>
    <w:rsid w:val="1AE654C9"/>
    <w:rsid w:val="1AF51BB0"/>
    <w:rsid w:val="1AFB52CB"/>
    <w:rsid w:val="1B0E5853"/>
    <w:rsid w:val="1B5A7C65"/>
    <w:rsid w:val="1B7D5AC9"/>
    <w:rsid w:val="1B8276EF"/>
    <w:rsid w:val="1BA07BC0"/>
    <w:rsid w:val="1BE539D2"/>
    <w:rsid w:val="1C1868A6"/>
    <w:rsid w:val="1C27223D"/>
    <w:rsid w:val="1C2D0D45"/>
    <w:rsid w:val="1C844F99"/>
    <w:rsid w:val="1C9A4858"/>
    <w:rsid w:val="1CCB2BC8"/>
    <w:rsid w:val="1CD51C99"/>
    <w:rsid w:val="1CE659B1"/>
    <w:rsid w:val="1D140E14"/>
    <w:rsid w:val="1D412E8A"/>
    <w:rsid w:val="1D5030CD"/>
    <w:rsid w:val="1D5C0893"/>
    <w:rsid w:val="1D5C74DA"/>
    <w:rsid w:val="1D721295"/>
    <w:rsid w:val="1D7F1C04"/>
    <w:rsid w:val="1D864D41"/>
    <w:rsid w:val="1DA17A47"/>
    <w:rsid w:val="1DA17DCD"/>
    <w:rsid w:val="1DB573D4"/>
    <w:rsid w:val="1DB7139E"/>
    <w:rsid w:val="1DC1221D"/>
    <w:rsid w:val="1DD97567"/>
    <w:rsid w:val="1DDC2BB3"/>
    <w:rsid w:val="1DF24184"/>
    <w:rsid w:val="1E1122D9"/>
    <w:rsid w:val="1E50753C"/>
    <w:rsid w:val="1E71779F"/>
    <w:rsid w:val="1E7948A6"/>
    <w:rsid w:val="1E8C45D9"/>
    <w:rsid w:val="1ED95E33"/>
    <w:rsid w:val="1EE43E97"/>
    <w:rsid w:val="1EFD7285"/>
    <w:rsid w:val="1F372797"/>
    <w:rsid w:val="1F417171"/>
    <w:rsid w:val="1F552C1D"/>
    <w:rsid w:val="1F615E56"/>
    <w:rsid w:val="1F7E1A5B"/>
    <w:rsid w:val="1F8D23B7"/>
    <w:rsid w:val="1FCB7383"/>
    <w:rsid w:val="1FE65F6B"/>
    <w:rsid w:val="20396D4B"/>
    <w:rsid w:val="2040774E"/>
    <w:rsid w:val="207D5C47"/>
    <w:rsid w:val="209A2298"/>
    <w:rsid w:val="20B84567"/>
    <w:rsid w:val="20D364EF"/>
    <w:rsid w:val="20D66AA1"/>
    <w:rsid w:val="21153053"/>
    <w:rsid w:val="216E446A"/>
    <w:rsid w:val="21752492"/>
    <w:rsid w:val="21A41C3A"/>
    <w:rsid w:val="21B3462E"/>
    <w:rsid w:val="21BA145D"/>
    <w:rsid w:val="21BA320B"/>
    <w:rsid w:val="21D4251F"/>
    <w:rsid w:val="221C1487"/>
    <w:rsid w:val="221C5C74"/>
    <w:rsid w:val="226B1A08"/>
    <w:rsid w:val="2287505A"/>
    <w:rsid w:val="22A00653"/>
    <w:rsid w:val="22A7378F"/>
    <w:rsid w:val="22A9658B"/>
    <w:rsid w:val="22C5455D"/>
    <w:rsid w:val="22CF27F3"/>
    <w:rsid w:val="22E22A19"/>
    <w:rsid w:val="2302130E"/>
    <w:rsid w:val="230C3F3A"/>
    <w:rsid w:val="23244DE0"/>
    <w:rsid w:val="238C397F"/>
    <w:rsid w:val="23A14683"/>
    <w:rsid w:val="23A52BAF"/>
    <w:rsid w:val="23AF1797"/>
    <w:rsid w:val="23B46A5F"/>
    <w:rsid w:val="23D305B4"/>
    <w:rsid w:val="23D925BB"/>
    <w:rsid w:val="23DA5DE6"/>
    <w:rsid w:val="23E10F23"/>
    <w:rsid w:val="243454F7"/>
    <w:rsid w:val="24381196"/>
    <w:rsid w:val="244A4D1A"/>
    <w:rsid w:val="24785006"/>
    <w:rsid w:val="2480698E"/>
    <w:rsid w:val="24855D52"/>
    <w:rsid w:val="24A0493A"/>
    <w:rsid w:val="24B46637"/>
    <w:rsid w:val="24C0322E"/>
    <w:rsid w:val="24C7237A"/>
    <w:rsid w:val="24CD14A7"/>
    <w:rsid w:val="24DB1E16"/>
    <w:rsid w:val="24F51414"/>
    <w:rsid w:val="24FE78B3"/>
    <w:rsid w:val="252B4B4C"/>
    <w:rsid w:val="25396B3D"/>
    <w:rsid w:val="25407ECB"/>
    <w:rsid w:val="25413731"/>
    <w:rsid w:val="25475A1E"/>
    <w:rsid w:val="254F1604"/>
    <w:rsid w:val="257007B0"/>
    <w:rsid w:val="25710085"/>
    <w:rsid w:val="25E940BF"/>
    <w:rsid w:val="25EB42DB"/>
    <w:rsid w:val="26064C71"/>
    <w:rsid w:val="26256CDC"/>
    <w:rsid w:val="263F0183"/>
    <w:rsid w:val="26597496"/>
    <w:rsid w:val="26670576"/>
    <w:rsid w:val="266C47AF"/>
    <w:rsid w:val="270F224B"/>
    <w:rsid w:val="271137B3"/>
    <w:rsid w:val="273E043A"/>
    <w:rsid w:val="27542A22"/>
    <w:rsid w:val="27561C28"/>
    <w:rsid w:val="276F17D0"/>
    <w:rsid w:val="27716A62"/>
    <w:rsid w:val="278422D2"/>
    <w:rsid w:val="27912C60"/>
    <w:rsid w:val="27BB051C"/>
    <w:rsid w:val="27D0158C"/>
    <w:rsid w:val="27E15995"/>
    <w:rsid w:val="283304FB"/>
    <w:rsid w:val="283755B5"/>
    <w:rsid w:val="284D75ED"/>
    <w:rsid w:val="286363AA"/>
    <w:rsid w:val="286607CE"/>
    <w:rsid w:val="28931158"/>
    <w:rsid w:val="28BA34F4"/>
    <w:rsid w:val="28F11C08"/>
    <w:rsid w:val="2916341D"/>
    <w:rsid w:val="29287466"/>
    <w:rsid w:val="292A511A"/>
    <w:rsid w:val="29422464"/>
    <w:rsid w:val="296144DC"/>
    <w:rsid w:val="296964A0"/>
    <w:rsid w:val="29C25353"/>
    <w:rsid w:val="29E15FE8"/>
    <w:rsid w:val="2A0B6CFA"/>
    <w:rsid w:val="2A571F3F"/>
    <w:rsid w:val="2A732C2A"/>
    <w:rsid w:val="2ADA66CC"/>
    <w:rsid w:val="2AE17A5A"/>
    <w:rsid w:val="2AF15811"/>
    <w:rsid w:val="2B165956"/>
    <w:rsid w:val="2B696BA9"/>
    <w:rsid w:val="2B7D3C27"/>
    <w:rsid w:val="2BEF61A7"/>
    <w:rsid w:val="2C027C88"/>
    <w:rsid w:val="2C04171F"/>
    <w:rsid w:val="2C3B13EC"/>
    <w:rsid w:val="2C5C383D"/>
    <w:rsid w:val="2C6C7E35"/>
    <w:rsid w:val="2C951F38"/>
    <w:rsid w:val="2CB10399"/>
    <w:rsid w:val="2CBF201D"/>
    <w:rsid w:val="2CE11F94"/>
    <w:rsid w:val="2CF75313"/>
    <w:rsid w:val="2D040526"/>
    <w:rsid w:val="2D085772"/>
    <w:rsid w:val="2D306A77"/>
    <w:rsid w:val="2D335201"/>
    <w:rsid w:val="2D3E1194"/>
    <w:rsid w:val="2D480265"/>
    <w:rsid w:val="2D8D3ECA"/>
    <w:rsid w:val="2DA84860"/>
    <w:rsid w:val="2DC72F38"/>
    <w:rsid w:val="2DCA2A28"/>
    <w:rsid w:val="2DD218DC"/>
    <w:rsid w:val="2DDA481C"/>
    <w:rsid w:val="2DE24215"/>
    <w:rsid w:val="2E282F52"/>
    <w:rsid w:val="2E2C5491"/>
    <w:rsid w:val="2E647C32"/>
    <w:rsid w:val="2E6764C9"/>
    <w:rsid w:val="2E80779F"/>
    <w:rsid w:val="2E9A5E4A"/>
    <w:rsid w:val="2EB53854"/>
    <w:rsid w:val="2EBC7D67"/>
    <w:rsid w:val="2EC73739"/>
    <w:rsid w:val="2ECB2EFB"/>
    <w:rsid w:val="2ED21F8D"/>
    <w:rsid w:val="2EE144CD"/>
    <w:rsid w:val="2EEA1466"/>
    <w:rsid w:val="2F0B32F8"/>
    <w:rsid w:val="2F723377"/>
    <w:rsid w:val="2FC811E9"/>
    <w:rsid w:val="2FD71A5D"/>
    <w:rsid w:val="2FE06533"/>
    <w:rsid w:val="2FEE6EA1"/>
    <w:rsid w:val="2FF916E6"/>
    <w:rsid w:val="300540D0"/>
    <w:rsid w:val="300F0BC6"/>
    <w:rsid w:val="301D0791"/>
    <w:rsid w:val="30403475"/>
    <w:rsid w:val="304F36B8"/>
    <w:rsid w:val="306B04F2"/>
    <w:rsid w:val="306B5282"/>
    <w:rsid w:val="307355F9"/>
    <w:rsid w:val="3086532C"/>
    <w:rsid w:val="30C47C02"/>
    <w:rsid w:val="30CD66B2"/>
    <w:rsid w:val="30F73B34"/>
    <w:rsid w:val="31010E56"/>
    <w:rsid w:val="3106021B"/>
    <w:rsid w:val="31126BC0"/>
    <w:rsid w:val="31166527"/>
    <w:rsid w:val="31237FB6"/>
    <w:rsid w:val="31267093"/>
    <w:rsid w:val="31350B00"/>
    <w:rsid w:val="3149226A"/>
    <w:rsid w:val="315E1E05"/>
    <w:rsid w:val="31653193"/>
    <w:rsid w:val="31815AF3"/>
    <w:rsid w:val="3183186B"/>
    <w:rsid w:val="31AD0696"/>
    <w:rsid w:val="31AE6247"/>
    <w:rsid w:val="31C0661C"/>
    <w:rsid w:val="31C83722"/>
    <w:rsid w:val="321E1594"/>
    <w:rsid w:val="326231B8"/>
    <w:rsid w:val="32647D13"/>
    <w:rsid w:val="32672F3B"/>
    <w:rsid w:val="32755658"/>
    <w:rsid w:val="32933D30"/>
    <w:rsid w:val="32990C1B"/>
    <w:rsid w:val="32C24615"/>
    <w:rsid w:val="32D63C1D"/>
    <w:rsid w:val="32ED1C6E"/>
    <w:rsid w:val="3317670F"/>
    <w:rsid w:val="33446DD8"/>
    <w:rsid w:val="335B0B57"/>
    <w:rsid w:val="33686F6B"/>
    <w:rsid w:val="338D4C23"/>
    <w:rsid w:val="33AB7117"/>
    <w:rsid w:val="33B2468A"/>
    <w:rsid w:val="34303B95"/>
    <w:rsid w:val="34376337"/>
    <w:rsid w:val="345C0152"/>
    <w:rsid w:val="346911EC"/>
    <w:rsid w:val="34825E0A"/>
    <w:rsid w:val="34936269"/>
    <w:rsid w:val="34C5219B"/>
    <w:rsid w:val="34C60D01"/>
    <w:rsid w:val="34E56399"/>
    <w:rsid w:val="34E72111"/>
    <w:rsid w:val="34F211E2"/>
    <w:rsid w:val="34FF745B"/>
    <w:rsid w:val="3522139B"/>
    <w:rsid w:val="35563ECB"/>
    <w:rsid w:val="35696FCA"/>
    <w:rsid w:val="3575596F"/>
    <w:rsid w:val="3578720D"/>
    <w:rsid w:val="35A15FBE"/>
    <w:rsid w:val="35E0728C"/>
    <w:rsid w:val="35FC1BEC"/>
    <w:rsid w:val="36341386"/>
    <w:rsid w:val="364A2958"/>
    <w:rsid w:val="3692781C"/>
    <w:rsid w:val="36932551"/>
    <w:rsid w:val="36F9612C"/>
    <w:rsid w:val="370F76FD"/>
    <w:rsid w:val="375A12C0"/>
    <w:rsid w:val="376932B2"/>
    <w:rsid w:val="37907A35"/>
    <w:rsid w:val="37977EC2"/>
    <w:rsid w:val="379B1248"/>
    <w:rsid w:val="379C71E3"/>
    <w:rsid w:val="379F6CD3"/>
    <w:rsid w:val="37B3065E"/>
    <w:rsid w:val="37CF1D30"/>
    <w:rsid w:val="37FC4126"/>
    <w:rsid w:val="3815756B"/>
    <w:rsid w:val="38207E14"/>
    <w:rsid w:val="382447F7"/>
    <w:rsid w:val="382471D8"/>
    <w:rsid w:val="383C2774"/>
    <w:rsid w:val="38421538"/>
    <w:rsid w:val="388365F5"/>
    <w:rsid w:val="389B749B"/>
    <w:rsid w:val="38B36EDA"/>
    <w:rsid w:val="38DE55D9"/>
    <w:rsid w:val="38E47094"/>
    <w:rsid w:val="38F55F20"/>
    <w:rsid w:val="39205BF2"/>
    <w:rsid w:val="393A4F06"/>
    <w:rsid w:val="39447B32"/>
    <w:rsid w:val="395C1320"/>
    <w:rsid w:val="395F2BBE"/>
    <w:rsid w:val="397A3554"/>
    <w:rsid w:val="398E2A1B"/>
    <w:rsid w:val="39A405D1"/>
    <w:rsid w:val="39E430C3"/>
    <w:rsid w:val="3A0574FA"/>
    <w:rsid w:val="3A557B1D"/>
    <w:rsid w:val="3A886068"/>
    <w:rsid w:val="3AA36ADA"/>
    <w:rsid w:val="3AC84793"/>
    <w:rsid w:val="3AE07D2F"/>
    <w:rsid w:val="3AE155AC"/>
    <w:rsid w:val="3AE8273F"/>
    <w:rsid w:val="3AEC222F"/>
    <w:rsid w:val="3B183024"/>
    <w:rsid w:val="3B564B5A"/>
    <w:rsid w:val="3B64270E"/>
    <w:rsid w:val="3B84690C"/>
    <w:rsid w:val="3B8A5EED"/>
    <w:rsid w:val="3B936B4F"/>
    <w:rsid w:val="3BA42B0A"/>
    <w:rsid w:val="3BB00D7F"/>
    <w:rsid w:val="3BBD597A"/>
    <w:rsid w:val="3BC27434"/>
    <w:rsid w:val="3BF0291F"/>
    <w:rsid w:val="3C1F6635"/>
    <w:rsid w:val="3CA32DC2"/>
    <w:rsid w:val="3CAC611A"/>
    <w:rsid w:val="3CAE221A"/>
    <w:rsid w:val="3D6A6352"/>
    <w:rsid w:val="3D6F7148"/>
    <w:rsid w:val="3D7D1865"/>
    <w:rsid w:val="3D7D7AB7"/>
    <w:rsid w:val="3DE47534"/>
    <w:rsid w:val="3DF633C5"/>
    <w:rsid w:val="3E0D5593"/>
    <w:rsid w:val="3E1201FF"/>
    <w:rsid w:val="3E693B97"/>
    <w:rsid w:val="3E753C70"/>
    <w:rsid w:val="3E7F7D9C"/>
    <w:rsid w:val="3EA655F9"/>
    <w:rsid w:val="3EC66663"/>
    <w:rsid w:val="3ED951C1"/>
    <w:rsid w:val="3F316DAB"/>
    <w:rsid w:val="3F5B7984"/>
    <w:rsid w:val="3F5C76FF"/>
    <w:rsid w:val="3F60143E"/>
    <w:rsid w:val="3F8E5FAB"/>
    <w:rsid w:val="3FA70E1B"/>
    <w:rsid w:val="3FB53538"/>
    <w:rsid w:val="3FC512A1"/>
    <w:rsid w:val="3FDB6D16"/>
    <w:rsid w:val="3FF658FE"/>
    <w:rsid w:val="40031D69"/>
    <w:rsid w:val="400E6F98"/>
    <w:rsid w:val="402E5098"/>
    <w:rsid w:val="404D19C2"/>
    <w:rsid w:val="405C1C05"/>
    <w:rsid w:val="405F7692"/>
    <w:rsid w:val="4061546E"/>
    <w:rsid w:val="40637EF3"/>
    <w:rsid w:val="406960D0"/>
    <w:rsid w:val="40814B99"/>
    <w:rsid w:val="4088173D"/>
    <w:rsid w:val="40C31C84"/>
    <w:rsid w:val="40C37486"/>
    <w:rsid w:val="40C43730"/>
    <w:rsid w:val="40DF22A7"/>
    <w:rsid w:val="40FC6F44"/>
    <w:rsid w:val="41225D5B"/>
    <w:rsid w:val="41263FC1"/>
    <w:rsid w:val="41384420"/>
    <w:rsid w:val="415D2EC6"/>
    <w:rsid w:val="41A82C28"/>
    <w:rsid w:val="41D61543"/>
    <w:rsid w:val="41EE2D31"/>
    <w:rsid w:val="42187DAE"/>
    <w:rsid w:val="422C3859"/>
    <w:rsid w:val="42361EDD"/>
    <w:rsid w:val="424961B9"/>
    <w:rsid w:val="4253528A"/>
    <w:rsid w:val="426B6130"/>
    <w:rsid w:val="426D00FA"/>
    <w:rsid w:val="427B00CF"/>
    <w:rsid w:val="42AC1DBF"/>
    <w:rsid w:val="42AD162D"/>
    <w:rsid w:val="42B66768"/>
    <w:rsid w:val="42CB1623"/>
    <w:rsid w:val="42CE7FA4"/>
    <w:rsid w:val="42E57E62"/>
    <w:rsid w:val="42F779C3"/>
    <w:rsid w:val="42FA74B4"/>
    <w:rsid w:val="43081BD1"/>
    <w:rsid w:val="43301127"/>
    <w:rsid w:val="43340C18"/>
    <w:rsid w:val="43374264"/>
    <w:rsid w:val="435E5C94"/>
    <w:rsid w:val="436B1CF4"/>
    <w:rsid w:val="43742532"/>
    <w:rsid w:val="43A45FF4"/>
    <w:rsid w:val="43A85162"/>
    <w:rsid w:val="43CC70A2"/>
    <w:rsid w:val="43F66C59"/>
    <w:rsid w:val="44150A49"/>
    <w:rsid w:val="44185E43"/>
    <w:rsid w:val="443402BB"/>
    <w:rsid w:val="443D37DF"/>
    <w:rsid w:val="443D4462"/>
    <w:rsid w:val="449701CB"/>
    <w:rsid w:val="44D02BC2"/>
    <w:rsid w:val="45120F2E"/>
    <w:rsid w:val="451A0537"/>
    <w:rsid w:val="452F78E8"/>
    <w:rsid w:val="45441906"/>
    <w:rsid w:val="454A2974"/>
    <w:rsid w:val="45765652"/>
    <w:rsid w:val="45AE28FA"/>
    <w:rsid w:val="45E51369"/>
    <w:rsid w:val="45F35012"/>
    <w:rsid w:val="462211FB"/>
    <w:rsid w:val="463902F3"/>
    <w:rsid w:val="4643324C"/>
    <w:rsid w:val="4653477B"/>
    <w:rsid w:val="4672175D"/>
    <w:rsid w:val="467A2DE5"/>
    <w:rsid w:val="46A47E62"/>
    <w:rsid w:val="46B362F7"/>
    <w:rsid w:val="46B74A1C"/>
    <w:rsid w:val="46C51FF4"/>
    <w:rsid w:val="46DC4FC8"/>
    <w:rsid w:val="46ED7A5B"/>
    <w:rsid w:val="46F1516D"/>
    <w:rsid w:val="471A45C8"/>
    <w:rsid w:val="471A6376"/>
    <w:rsid w:val="475C016D"/>
    <w:rsid w:val="479E0D55"/>
    <w:rsid w:val="47A13520"/>
    <w:rsid w:val="47D74267"/>
    <w:rsid w:val="47DF7FA7"/>
    <w:rsid w:val="482A6D9A"/>
    <w:rsid w:val="483B65A4"/>
    <w:rsid w:val="48781284"/>
    <w:rsid w:val="48A56114"/>
    <w:rsid w:val="48A979B2"/>
    <w:rsid w:val="48D45BFF"/>
    <w:rsid w:val="48EC083D"/>
    <w:rsid w:val="48F84495"/>
    <w:rsid w:val="48FD7CFE"/>
    <w:rsid w:val="490431EC"/>
    <w:rsid w:val="494972FE"/>
    <w:rsid w:val="496164DE"/>
    <w:rsid w:val="49BA174B"/>
    <w:rsid w:val="49C65F48"/>
    <w:rsid w:val="49D44748"/>
    <w:rsid w:val="4A08695A"/>
    <w:rsid w:val="4A325785"/>
    <w:rsid w:val="4A3E237C"/>
    <w:rsid w:val="4A407EA2"/>
    <w:rsid w:val="4A437992"/>
    <w:rsid w:val="4A4F0FC1"/>
    <w:rsid w:val="4A6F5702"/>
    <w:rsid w:val="4A722025"/>
    <w:rsid w:val="4A8A7108"/>
    <w:rsid w:val="4AB3441B"/>
    <w:rsid w:val="4ADF76BB"/>
    <w:rsid w:val="4AE41175"/>
    <w:rsid w:val="4AEE5A25"/>
    <w:rsid w:val="4AF67FA2"/>
    <w:rsid w:val="4AFD50E1"/>
    <w:rsid w:val="4B140ACE"/>
    <w:rsid w:val="4B1F21AD"/>
    <w:rsid w:val="4B4B2E90"/>
    <w:rsid w:val="4B6A5537"/>
    <w:rsid w:val="4BA12BC2"/>
    <w:rsid w:val="4BA73F5F"/>
    <w:rsid w:val="4BBF74EC"/>
    <w:rsid w:val="4C013661"/>
    <w:rsid w:val="4C082C41"/>
    <w:rsid w:val="4C235020"/>
    <w:rsid w:val="4C235CCD"/>
    <w:rsid w:val="4C2D26A8"/>
    <w:rsid w:val="4CBF59F6"/>
    <w:rsid w:val="4CD20886"/>
    <w:rsid w:val="4D0B3EF9"/>
    <w:rsid w:val="4D225F85"/>
    <w:rsid w:val="4D471926"/>
    <w:rsid w:val="4D510618"/>
    <w:rsid w:val="4D5A571F"/>
    <w:rsid w:val="4D6270CE"/>
    <w:rsid w:val="4DAD3AA0"/>
    <w:rsid w:val="4DBD2FD2"/>
    <w:rsid w:val="4DC32904"/>
    <w:rsid w:val="4DEE5E67"/>
    <w:rsid w:val="4E1F3AEE"/>
    <w:rsid w:val="4E3A28BC"/>
    <w:rsid w:val="4E6E0718"/>
    <w:rsid w:val="4ECD1F20"/>
    <w:rsid w:val="4EE51018"/>
    <w:rsid w:val="4EF15A27"/>
    <w:rsid w:val="4EF37BD9"/>
    <w:rsid w:val="4EF94AC3"/>
    <w:rsid w:val="4F0F5FDB"/>
    <w:rsid w:val="4F1A33B7"/>
    <w:rsid w:val="4F297C35"/>
    <w:rsid w:val="4F334CAB"/>
    <w:rsid w:val="4F583EE0"/>
    <w:rsid w:val="4F6208BA"/>
    <w:rsid w:val="4F7936D8"/>
    <w:rsid w:val="4F822D0B"/>
    <w:rsid w:val="4F893200"/>
    <w:rsid w:val="4FB05ACA"/>
    <w:rsid w:val="4FE87012"/>
    <w:rsid w:val="4FEB6B02"/>
    <w:rsid w:val="500100D3"/>
    <w:rsid w:val="500424AF"/>
    <w:rsid w:val="50153B7F"/>
    <w:rsid w:val="5023629C"/>
    <w:rsid w:val="50265D8C"/>
    <w:rsid w:val="504306EC"/>
    <w:rsid w:val="505117BA"/>
    <w:rsid w:val="50681F00"/>
    <w:rsid w:val="506C76F2"/>
    <w:rsid w:val="50707007"/>
    <w:rsid w:val="50746AF7"/>
    <w:rsid w:val="50861C6B"/>
    <w:rsid w:val="509B22D6"/>
    <w:rsid w:val="50B9275C"/>
    <w:rsid w:val="50EA561A"/>
    <w:rsid w:val="51091B6F"/>
    <w:rsid w:val="512C1180"/>
    <w:rsid w:val="512D64A3"/>
    <w:rsid w:val="516B614C"/>
    <w:rsid w:val="519A1675"/>
    <w:rsid w:val="51C36F2F"/>
    <w:rsid w:val="51ED6B61"/>
    <w:rsid w:val="51F003FF"/>
    <w:rsid w:val="51F6353C"/>
    <w:rsid w:val="520774F7"/>
    <w:rsid w:val="52224331"/>
    <w:rsid w:val="523013BE"/>
    <w:rsid w:val="5264494A"/>
    <w:rsid w:val="52A01E26"/>
    <w:rsid w:val="52AF2069"/>
    <w:rsid w:val="52B343F6"/>
    <w:rsid w:val="52B4142D"/>
    <w:rsid w:val="52CA0C50"/>
    <w:rsid w:val="534A7FE3"/>
    <w:rsid w:val="53591FD4"/>
    <w:rsid w:val="536E31FB"/>
    <w:rsid w:val="541155F6"/>
    <w:rsid w:val="54312994"/>
    <w:rsid w:val="546155E5"/>
    <w:rsid w:val="548E1678"/>
    <w:rsid w:val="54A159E1"/>
    <w:rsid w:val="54C53DC5"/>
    <w:rsid w:val="54DE6C35"/>
    <w:rsid w:val="550541C2"/>
    <w:rsid w:val="55207DCA"/>
    <w:rsid w:val="552D54C7"/>
    <w:rsid w:val="554051FA"/>
    <w:rsid w:val="556A04C9"/>
    <w:rsid w:val="55D65B5E"/>
    <w:rsid w:val="55FB7373"/>
    <w:rsid w:val="56052111"/>
    <w:rsid w:val="563250A4"/>
    <w:rsid w:val="56574EF1"/>
    <w:rsid w:val="566413BC"/>
    <w:rsid w:val="566A45C0"/>
    <w:rsid w:val="566A7324"/>
    <w:rsid w:val="56AD2D63"/>
    <w:rsid w:val="56BA38F4"/>
    <w:rsid w:val="56D3714A"/>
    <w:rsid w:val="56F551D9"/>
    <w:rsid w:val="5717186E"/>
    <w:rsid w:val="57191EE6"/>
    <w:rsid w:val="574B7E86"/>
    <w:rsid w:val="576E3ADD"/>
    <w:rsid w:val="577613A7"/>
    <w:rsid w:val="578223FB"/>
    <w:rsid w:val="57836CED"/>
    <w:rsid w:val="57C02622"/>
    <w:rsid w:val="57E00F16"/>
    <w:rsid w:val="57E02CC4"/>
    <w:rsid w:val="57EA769F"/>
    <w:rsid w:val="581A3374"/>
    <w:rsid w:val="581A61D6"/>
    <w:rsid w:val="582232DD"/>
    <w:rsid w:val="5862602D"/>
    <w:rsid w:val="58672FDD"/>
    <w:rsid w:val="58676F42"/>
    <w:rsid w:val="5868431D"/>
    <w:rsid w:val="587D6765"/>
    <w:rsid w:val="589A2E73"/>
    <w:rsid w:val="58A27F7A"/>
    <w:rsid w:val="58A75590"/>
    <w:rsid w:val="58FF794A"/>
    <w:rsid w:val="590A37FA"/>
    <w:rsid w:val="591C2874"/>
    <w:rsid w:val="59301A29"/>
    <w:rsid w:val="594828CF"/>
    <w:rsid w:val="59575208"/>
    <w:rsid w:val="595E0345"/>
    <w:rsid w:val="59694C93"/>
    <w:rsid w:val="59875AED"/>
    <w:rsid w:val="59C42C41"/>
    <w:rsid w:val="59C5128B"/>
    <w:rsid w:val="59DA161F"/>
    <w:rsid w:val="59E00D5A"/>
    <w:rsid w:val="59F667CF"/>
    <w:rsid w:val="5A193E36"/>
    <w:rsid w:val="5A1F5D26"/>
    <w:rsid w:val="5A435D5F"/>
    <w:rsid w:val="5A462394"/>
    <w:rsid w:val="5A7476F4"/>
    <w:rsid w:val="5A89020E"/>
    <w:rsid w:val="5A911454"/>
    <w:rsid w:val="5A981634"/>
    <w:rsid w:val="5AB729BD"/>
    <w:rsid w:val="5AB9766A"/>
    <w:rsid w:val="5AD308BE"/>
    <w:rsid w:val="5B6B4403"/>
    <w:rsid w:val="5B9067AF"/>
    <w:rsid w:val="5BA04C44"/>
    <w:rsid w:val="5BA54009"/>
    <w:rsid w:val="5BE85E7A"/>
    <w:rsid w:val="5BF50BA4"/>
    <w:rsid w:val="5C593045"/>
    <w:rsid w:val="5C64037F"/>
    <w:rsid w:val="5C7B120D"/>
    <w:rsid w:val="5C82259C"/>
    <w:rsid w:val="5C8400C2"/>
    <w:rsid w:val="5C855BE8"/>
    <w:rsid w:val="5CAF2C65"/>
    <w:rsid w:val="5CB169DD"/>
    <w:rsid w:val="5CB36705"/>
    <w:rsid w:val="5CFA65D6"/>
    <w:rsid w:val="5D064F7B"/>
    <w:rsid w:val="5D0E4B0D"/>
    <w:rsid w:val="5D0F59F8"/>
    <w:rsid w:val="5D1D2B47"/>
    <w:rsid w:val="5D38137F"/>
    <w:rsid w:val="5D4B7C1F"/>
    <w:rsid w:val="5D4C0A06"/>
    <w:rsid w:val="5D7E0FB5"/>
    <w:rsid w:val="5D867E6A"/>
    <w:rsid w:val="5DE54B90"/>
    <w:rsid w:val="5DF12ACB"/>
    <w:rsid w:val="5E262FEA"/>
    <w:rsid w:val="5E510478"/>
    <w:rsid w:val="5E59557E"/>
    <w:rsid w:val="5E6957C1"/>
    <w:rsid w:val="5E96232F"/>
    <w:rsid w:val="5E9D546B"/>
    <w:rsid w:val="5EA54320"/>
    <w:rsid w:val="5ED55E37"/>
    <w:rsid w:val="5EE50BC0"/>
    <w:rsid w:val="5EF57055"/>
    <w:rsid w:val="5EFF7ED4"/>
    <w:rsid w:val="5F2708EE"/>
    <w:rsid w:val="5F322057"/>
    <w:rsid w:val="5F34491B"/>
    <w:rsid w:val="5F514D5F"/>
    <w:rsid w:val="5F63605C"/>
    <w:rsid w:val="5F6F7A72"/>
    <w:rsid w:val="5FCA3731"/>
    <w:rsid w:val="5FD96977"/>
    <w:rsid w:val="5FED41D0"/>
    <w:rsid w:val="602D281F"/>
    <w:rsid w:val="60367925"/>
    <w:rsid w:val="6045400C"/>
    <w:rsid w:val="604D4C6F"/>
    <w:rsid w:val="60572CC0"/>
    <w:rsid w:val="605E0C2A"/>
    <w:rsid w:val="60BE2C44"/>
    <w:rsid w:val="60D8351B"/>
    <w:rsid w:val="613C71BD"/>
    <w:rsid w:val="61543240"/>
    <w:rsid w:val="618B5A4F"/>
    <w:rsid w:val="619052BD"/>
    <w:rsid w:val="61A86601"/>
    <w:rsid w:val="61AD1E69"/>
    <w:rsid w:val="61B90FBB"/>
    <w:rsid w:val="61C15914"/>
    <w:rsid w:val="61D90EB0"/>
    <w:rsid w:val="61F47A98"/>
    <w:rsid w:val="61F77588"/>
    <w:rsid w:val="620A1E51"/>
    <w:rsid w:val="621B3277"/>
    <w:rsid w:val="623C143F"/>
    <w:rsid w:val="625F37A5"/>
    <w:rsid w:val="626559E9"/>
    <w:rsid w:val="62CC631F"/>
    <w:rsid w:val="62D90A3C"/>
    <w:rsid w:val="6309447C"/>
    <w:rsid w:val="630C2BBF"/>
    <w:rsid w:val="630E6937"/>
    <w:rsid w:val="632C3261"/>
    <w:rsid w:val="63367F56"/>
    <w:rsid w:val="633A772C"/>
    <w:rsid w:val="63462575"/>
    <w:rsid w:val="63507A8B"/>
    <w:rsid w:val="638B442C"/>
    <w:rsid w:val="63A31776"/>
    <w:rsid w:val="64153CF6"/>
    <w:rsid w:val="64265681"/>
    <w:rsid w:val="64367104"/>
    <w:rsid w:val="645411FD"/>
    <w:rsid w:val="645C1924"/>
    <w:rsid w:val="646B1B68"/>
    <w:rsid w:val="646E4B22"/>
    <w:rsid w:val="6477129A"/>
    <w:rsid w:val="6491626E"/>
    <w:rsid w:val="64AC5DA7"/>
    <w:rsid w:val="64D14173"/>
    <w:rsid w:val="64D771FD"/>
    <w:rsid w:val="64DB6CED"/>
    <w:rsid w:val="65145C7D"/>
    <w:rsid w:val="65AD7BDB"/>
    <w:rsid w:val="65CE23AE"/>
    <w:rsid w:val="65E707B8"/>
    <w:rsid w:val="660E6C4E"/>
    <w:rsid w:val="6614311B"/>
    <w:rsid w:val="66263F98"/>
    <w:rsid w:val="662D3578"/>
    <w:rsid w:val="663F32AC"/>
    <w:rsid w:val="665D2FBD"/>
    <w:rsid w:val="667F18FA"/>
    <w:rsid w:val="66A31A8D"/>
    <w:rsid w:val="66AC607F"/>
    <w:rsid w:val="66D25ECE"/>
    <w:rsid w:val="671169F6"/>
    <w:rsid w:val="671D35ED"/>
    <w:rsid w:val="67220075"/>
    <w:rsid w:val="67263FC9"/>
    <w:rsid w:val="67360BC9"/>
    <w:rsid w:val="67401435"/>
    <w:rsid w:val="67456D7C"/>
    <w:rsid w:val="6747066A"/>
    <w:rsid w:val="675E79A2"/>
    <w:rsid w:val="6760172C"/>
    <w:rsid w:val="67674634"/>
    <w:rsid w:val="676F7BC1"/>
    <w:rsid w:val="67746F85"/>
    <w:rsid w:val="67A54BE1"/>
    <w:rsid w:val="67DE35E9"/>
    <w:rsid w:val="67E265E5"/>
    <w:rsid w:val="67F00D02"/>
    <w:rsid w:val="683F7593"/>
    <w:rsid w:val="685A261F"/>
    <w:rsid w:val="68C21059"/>
    <w:rsid w:val="68CD4B9F"/>
    <w:rsid w:val="68D4417F"/>
    <w:rsid w:val="68E17A41"/>
    <w:rsid w:val="68E27E02"/>
    <w:rsid w:val="68F16ADF"/>
    <w:rsid w:val="6919313E"/>
    <w:rsid w:val="69395F41"/>
    <w:rsid w:val="69584DB0"/>
    <w:rsid w:val="696C3EB6"/>
    <w:rsid w:val="698A2A90"/>
    <w:rsid w:val="698E07D2"/>
    <w:rsid w:val="69C77840"/>
    <w:rsid w:val="69DC778F"/>
    <w:rsid w:val="69E14DA6"/>
    <w:rsid w:val="6A0F7007"/>
    <w:rsid w:val="6A2D7FEB"/>
    <w:rsid w:val="6A3F7D1E"/>
    <w:rsid w:val="6A4610AD"/>
    <w:rsid w:val="6A633A0D"/>
    <w:rsid w:val="6A80552A"/>
    <w:rsid w:val="6A8614A9"/>
    <w:rsid w:val="6A93582E"/>
    <w:rsid w:val="6AD95A7D"/>
    <w:rsid w:val="6AF208ED"/>
    <w:rsid w:val="6AF359D6"/>
    <w:rsid w:val="6B264A3A"/>
    <w:rsid w:val="6B52582F"/>
    <w:rsid w:val="6B8C6F93"/>
    <w:rsid w:val="6B8E2D0B"/>
    <w:rsid w:val="6B921C6C"/>
    <w:rsid w:val="6B985938"/>
    <w:rsid w:val="6BB967A7"/>
    <w:rsid w:val="6BBA3B00"/>
    <w:rsid w:val="6BD66460"/>
    <w:rsid w:val="6BF6265F"/>
    <w:rsid w:val="6C2B2308"/>
    <w:rsid w:val="6C411B2C"/>
    <w:rsid w:val="6C84274C"/>
    <w:rsid w:val="6CA1081C"/>
    <w:rsid w:val="6CA65E33"/>
    <w:rsid w:val="6CA671C9"/>
    <w:rsid w:val="6CA9548B"/>
    <w:rsid w:val="6CB322FE"/>
    <w:rsid w:val="6CE1330F"/>
    <w:rsid w:val="6CEB7CE9"/>
    <w:rsid w:val="6CF546C4"/>
    <w:rsid w:val="6D0D7C60"/>
    <w:rsid w:val="6D0E5786"/>
    <w:rsid w:val="6D231231"/>
    <w:rsid w:val="6D2B6338"/>
    <w:rsid w:val="6D4F0278"/>
    <w:rsid w:val="6D6655C2"/>
    <w:rsid w:val="6D85472A"/>
    <w:rsid w:val="6D8C5028"/>
    <w:rsid w:val="6D991AD7"/>
    <w:rsid w:val="6D9B526C"/>
    <w:rsid w:val="6DAC48EA"/>
    <w:rsid w:val="6DB427D1"/>
    <w:rsid w:val="6DB831C7"/>
    <w:rsid w:val="6DF57072"/>
    <w:rsid w:val="6E184B0E"/>
    <w:rsid w:val="6E3264D1"/>
    <w:rsid w:val="6E6B2E90"/>
    <w:rsid w:val="6E87016B"/>
    <w:rsid w:val="6E871B3C"/>
    <w:rsid w:val="6E9F2B3A"/>
    <w:rsid w:val="6F3E05A4"/>
    <w:rsid w:val="6F61773A"/>
    <w:rsid w:val="6F701E0B"/>
    <w:rsid w:val="6F7723CE"/>
    <w:rsid w:val="6FCD1928"/>
    <w:rsid w:val="6FE7415F"/>
    <w:rsid w:val="6FFB0243"/>
    <w:rsid w:val="70253512"/>
    <w:rsid w:val="70366BE3"/>
    <w:rsid w:val="706B6620"/>
    <w:rsid w:val="70814BED"/>
    <w:rsid w:val="70820965"/>
    <w:rsid w:val="70840239"/>
    <w:rsid w:val="70BA01A5"/>
    <w:rsid w:val="70C571E4"/>
    <w:rsid w:val="70F058CE"/>
    <w:rsid w:val="70F33611"/>
    <w:rsid w:val="712D08D1"/>
    <w:rsid w:val="712E4649"/>
    <w:rsid w:val="715E6CDC"/>
    <w:rsid w:val="71763E08"/>
    <w:rsid w:val="71792783"/>
    <w:rsid w:val="717C53B4"/>
    <w:rsid w:val="7181021E"/>
    <w:rsid w:val="71847730"/>
    <w:rsid w:val="718C1A9B"/>
    <w:rsid w:val="718D75C1"/>
    <w:rsid w:val="718E0A27"/>
    <w:rsid w:val="71BC1C54"/>
    <w:rsid w:val="71FE04BF"/>
    <w:rsid w:val="720F6228"/>
    <w:rsid w:val="72273710"/>
    <w:rsid w:val="722A4E10"/>
    <w:rsid w:val="72355B17"/>
    <w:rsid w:val="727D3192"/>
    <w:rsid w:val="727D7636"/>
    <w:rsid w:val="729A1F96"/>
    <w:rsid w:val="72B172DF"/>
    <w:rsid w:val="72BA43E6"/>
    <w:rsid w:val="72C2755E"/>
    <w:rsid w:val="72D336FA"/>
    <w:rsid w:val="73125E5D"/>
    <w:rsid w:val="732E5D67"/>
    <w:rsid w:val="733A72D5"/>
    <w:rsid w:val="73722F12"/>
    <w:rsid w:val="737934E7"/>
    <w:rsid w:val="73AE3639"/>
    <w:rsid w:val="73D239B1"/>
    <w:rsid w:val="741D2E7E"/>
    <w:rsid w:val="74880200"/>
    <w:rsid w:val="749649DF"/>
    <w:rsid w:val="74B87FBF"/>
    <w:rsid w:val="74BA691F"/>
    <w:rsid w:val="74C2691B"/>
    <w:rsid w:val="74DE12C2"/>
    <w:rsid w:val="74F90479"/>
    <w:rsid w:val="75157FF9"/>
    <w:rsid w:val="751F42D8"/>
    <w:rsid w:val="75363ACC"/>
    <w:rsid w:val="754E5394"/>
    <w:rsid w:val="75530B22"/>
    <w:rsid w:val="75532C82"/>
    <w:rsid w:val="75880D75"/>
    <w:rsid w:val="75AD03C0"/>
    <w:rsid w:val="75FE6CDF"/>
    <w:rsid w:val="76151EAE"/>
    <w:rsid w:val="76233386"/>
    <w:rsid w:val="762878B8"/>
    <w:rsid w:val="764F753B"/>
    <w:rsid w:val="765D3C0E"/>
    <w:rsid w:val="766308F1"/>
    <w:rsid w:val="76760624"/>
    <w:rsid w:val="769204A1"/>
    <w:rsid w:val="769E6CBF"/>
    <w:rsid w:val="76BD6253"/>
    <w:rsid w:val="76DE441B"/>
    <w:rsid w:val="773D3837"/>
    <w:rsid w:val="7750356B"/>
    <w:rsid w:val="77814A03"/>
    <w:rsid w:val="77D57CAC"/>
    <w:rsid w:val="77EB5041"/>
    <w:rsid w:val="77FE2FC7"/>
    <w:rsid w:val="78084C28"/>
    <w:rsid w:val="78213185"/>
    <w:rsid w:val="784A1C60"/>
    <w:rsid w:val="786258AD"/>
    <w:rsid w:val="78775CD5"/>
    <w:rsid w:val="78A53442"/>
    <w:rsid w:val="78AA2807"/>
    <w:rsid w:val="78B673FD"/>
    <w:rsid w:val="78C23FF4"/>
    <w:rsid w:val="78C80EDF"/>
    <w:rsid w:val="79404633"/>
    <w:rsid w:val="79415ED0"/>
    <w:rsid w:val="795A2C8B"/>
    <w:rsid w:val="795D5ACB"/>
    <w:rsid w:val="79720F5A"/>
    <w:rsid w:val="79786DA9"/>
    <w:rsid w:val="79B0209F"/>
    <w:rsid w:val="79FC3536"/>
    <w:rsid w:val="7A08012D"/>
    <w:rsid w:val="7A0C57BD"/>
    <w:rsid w:val="7A2465E9"/>
    <w:rsid w:val="7A28432B"/>
    <w:rsid w:val="7A716F0E"/>
    <w:rsid w:val="7A811C8D"/>
    <w:rsid w:val="7A8A0B42"/>
    <w:rsid w:val="7A9279F6"/>
    <w:rsid w:val="7ACF22CE"/>
    <w:rsid w:val="7AD65B35"/>
    <w:rsid w:val="7AE662CC"/>
    <w:rsid w:val="7B0C77A9"/>
    <w:rsid w:val="7B362A78"/>
    <w:rsid w:val="7B707D38"/>
    <w:rsid w:val="7B735A7A"/>
    <w:rsid w:val="7B7B048A"/>
    <w:rsid w:val="7B807277"/>
    <w:rsid w:val="7B841A35"/>
    <w:rsid w:val="7B861DF7"/>
    <w:rsid w:val="7B9854E0"/>
    <w:rsid w:val="7BB73BB8"/>
    <w:rsid w:val="7BBD6CF5"/>
    <w:rsid w:val="7C3308E9"/>
    <w:rsid w:val="7C3945CD"/>
    <w:rsid w:val="7C4B2553"/>
    <w:rsid w:val="7C5F1155"/>
    <w:rsid w:val="7C75137E"/>
    <w:rsid w:val="7C9E6B26"/>
    <w:rsid w:val="7CC11033"/>
    <w:rsid w:val="7CD21E5B"/>
    <w:rsid w:val="7CF624BE"/>
    <w:rsid w:val="7D005CE8"/>
    <w:rsid w:val="7D072223"/>
    <w:rsid w:val="7D1B1F25"/>
    <w:rsid w:val="7D3923AB"/>
    <w:rsid w:val="7D4274B2"/>
    <w:rsid w:val="7D430453"/>
    <w:rsid w:val="7D4873DD"/>
    <w:rsid w:val="7D6A00DF"/>
    <w:rsid w:val="7D7B0C16"/>
    <w:rsid w:val="7D985324"/>
    <w:rsid w:val="7D994E54"/>
    <w:rsid w:val="7D9A72EE"/>
    <w:rsid w:val="7D9F267A"/>
    <w:rsid w:val="7DA513CC"/>
    <w:rsid w:val="7DAA32A9"/>
    <w:rsid w:val="7E0B01EB"/>
    <w:rsid w:val="7E673FF4"/>
    <w:rsid w:val="7E6B47E6"/>
    <w:rsid w:val="7EB97DE7"/>
    <w:rsid w:val="7EED018D"/>
    <w:rsid w:val="7EED78F1"/>
    <w:rsid w:val="7EF706D4"/>
    <w:rsid w:val="7EFD053C"/>
    <w:rsid w:val="7F363046"/>
    <w:rsid w:val="7F78365F"/>
    <w:rsid w:val="7FB557FB"/>
    <w:rsid w:val="7FCC39AA"/>
    <w:rsid w:val="7FE02FB2"/>
    <w:rsid w:val="7FED3F86"/>
    <w:rsid w:val="7FF16F6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iPriority="99"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6">
    <w:name w:val="heading 1"/>
    <w:basedOn w:val="1"/>
    <w:next w:val="1"/>
    <w:qFormat/>
    <w:uiPriority w:val="0"/>
    <w:pPr>
      <w:pageBreakBefore/>
      <w:widowControl w:val="0"/>
      <w:numPr>
        <w:ilvl w:val="0"/>
        <w:numId w:val="1"/>
      </w:numPr>
      <w:spacing w:before="340" w:after="330" w:line="360" w:lineRule="auto"/>
      <w:outlineLvl w:val="0"/>
    </w:pPr>
    <w:rPr>
      <w:b/>
      <w:bCs/>
      <w:kern w:val="44"/>
      <w:sz w:val="28"/>
      <w:szCs w:val="44"/>
    </w:rPr>
  </w:style>
  <w:style w:type="paragraph" w:styleId="7">
    <w:name w:val="heading 2"/>
    <w:basedOn w:val="1"/>
    <w:next w:val="1"/>
    <w:unhideWhenUsed/>
    <w:qFormat/>
    <w:uiPriority w:val="0"/>
    <w:pPr>
      <w:keepNext/>
      <w:keepLines/>
      <w:pageBreakBefore w:val="0"/>
      <w:numPr>
        <w:ilvl w:val="1"/>
        <w:numId w:val="1"/>
      </w:numPr>
      <w:spacing w:before="260" w:after="260" w:line="415" w:lineRule="auto"/>
      <w:outlineLvl w:val="1"/>
    </w:pPr>
    <w:rPr>
      <w:rFonts w:cstheme="majorBidi"/>
      <w:szCs w:val="32"/>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99"/>
    <w:pPr>
      <w:spacing w:line="480" w:lineRule="exact"/>
      <w:ind w:firstLine="420" w:firstLineChars="200"/>
    </w:pPr>
    <w:rPr>
      <w:sz w:val="24"/>
      <w:szCs w:val="20"/>
    </w:rPr>
  </w:style>
  <w:style w:type="paragraph" w:styleId="3">
    <w:name w:val="Body Text Indent"/>
    <w:basedOn w:val="1"/>
    <w:semiHidden/>
    <w:unhideWhenUsed/>
    <w:qFormat/>
    <w:uiPriority w:val="99"/>
    <w:pPr>
      <w:spacing w:after="120"/>
      <w:ind w:left="420" w:leftChars="200"/>
    </w:pPr>
  </w:style>
  <w:style w:type="paragraph" w:styleId="4">
    <w:name w:val="Body Text First Indent"/>
    <w:basedOn w:val="5"/>
    <w:next w:val="1"/>
    <w:qFormat/>
    <w:uiPriority w:val="0"/>
    <w:pPr>
      <w:tabs>
        <w:tab w:val="left" w:pos="567"/>
      </w:tabs>
      <w:ind w:firstLine="420" w:firstLineChars="100"/>
    </w:pPr>
  </w:style>
  <w:style w:type="paragraph" w:styleId="5">
    <w:name w:val="Body Text"/>
    <w:basedOn w:val="1"/>
    <w:next w:val="1"/>
    <w:semiHidden/>
    <w:qFormat/>
    <w:uiPriority w:val="0"/>
    <w:rPr>
      <w:rFonts w:ascii="微软雅黑" w:hAnsi="微软雅黑" w:eastAsia="微软雅黑" w:cs="微软雅黑"/>
      <w:sz w:val="31"/>
      <w:szCs w:val="31"/>
      <w:lang w:val="en-US" w:eastAsia="en-US" w:bidi="ar-SA"/>
    </w:rPr>
  </w:style>
  <w:style w:type="paragraph" w:styleId="8">
    <w:name w:val="Normal Indent"/>
    <w:basedOn w:val="1"/>
    <w:unhideWhenUsed/>
    <w:qFormat/>
    <w:uiPriority w:val="0"/>
    <w:pPr>
      <w:ind w:firstLine="420" w:firstLineChars="200"/>
    </w:pPr>
    <w:rPr>
      <w:rFonts w:ascii="Times New Roman" w:hAnsi="Times New Roman" w:cs="Times New Roman"/>
      <w:sz w:val="21"/>
      <w:szCs w:val="24"/>
    </w:rPr>
  </w:style>
  <w:style w:type="paragraph" w:styleId="9">
    <w:name w:val="annotation text"/>
    <w:basedOn w:val="1"/>
    <w:qFormat/>
    <w:uiPriority w:val="0"/>
    <w:pPr>
      <w:jc w:val="left"/>
    </w:pPr>
  </w:style>
  <w:style w:type="paragraph" w:styleId="10">
    <w:name w:val="List 2"/>
    <w:basedOn w:val="1"/>
    <w:qFormat/>
    <w:uiPriority w:val="0"/>
    <w:pPr>
      <w:ind w:left="100" w:leftChars="200" w:hanging="200" w:hangingChars="200"/>
    </w:pPr>
  </w:style>
  <w:style w:type="paragraph" w:styleId="11">
    <w:name w:val="toc 3"/>
    <w:basedOn w:val="1"/>
    <w:next w:val="1"/>
    <w:qFormat/>
    <w:uiPriority w:val="0"/>
    <w:pPr>
      <w:ind w:left="840" w:leftChars="4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List"/>
    <w:basedOn w:val="1"/>
    <w:unhideWhenUsed/>
    <w:qFormat/>
    <w:uiPriority w:val="99"/>
    <w:pPr>
      <w:ind w:left="200" w:hanging="200" w:hangingChars="200"/>
    </w:pPr>
  </w:style>
  <w:style w:type="paragraph" w:styleId="16">
    <w:name w:val="Body Text Indent 3"/>
    <w:basedOn w:val="1"/>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17">
    <w:name w:val="index 9"/>
    <w:basedOn w:val="1"/>
    <w:next w:val="1"/>
    <w:unhideWhenUsed/>
    <w:qFormat/>
    <w:uiPriority w:val="99"/>
    <w:pPr>
      <w:ind w:left="1600" w:leftChars="1600"/>
    </w:pPr>
  </w:style>
  <w:style w:type="paragraph" w:styleId="18">
    <w:name w:val="toc 2"/>
    <w:basedOn w:val="1"/>
    <w:next w:val="1"/>
    <w:qFormat/>
    <w:uiPriority w:val="0"/>
    <w:pPr>
      <w:ind w:left="420" w:leftChars="200"/>
    </w:pPr>
  </w:style>
  <w:style w:type="paragraph" w:styleId="19">
    <w:name w:val="Normal (Web)"/>
    <w:basedOn w:val="1"/>
    <w:unhideWhenUsed/>
    <w:qFormat/>
    <w:uiPriority w:val="99"/>
    <w:pPr>
      <w:widowControl/>
      <w:spacing w:before="100" w:beforeAutospacing="1" w:after="100" w:afterAutospacing="1"/>
      <w:jc w:val="left"/>
    </w:pPr>
    <w:rPr>
      <w:rFonts w:cs="宋体"/>
      <w:kern w:val="0"/>
      <w:szCs w:val="24"/>
    </w:rPr>
  </w:style>
  <w:style w:type="table" w:styleId="21">
    <w:name w:val="Table Grid"/>
    <w:basedOn w:val="2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3">
    <w:name w:val="annotation reference"/>
    <w:basedOn w:val="22"/>
    <w:qFormat/>
    <w:uiPriority w:val="0"/>
    <w:rPr>
      <w:sz w:val="21"/>
      <w:szCs w:val="21"/>
    </w:rPr>
  </w:style>
  <w:style w:type="paragraph" w:customStyle="1" w:styleId="24">
    <w:name w:val="正文一"/>
    <w:basedOn w:val="1"/>
    <w:qFormat/>
    <w:uiPriority w:val="0"/>
    <w:pPr>
      <w:spacing w:before="120" w:after="120" w:line="360" w:lineRule="auto"/>
    </w:pPr>
    <w:rPr>
      <w:rFonts w:cs="宋体"/>
      <w:sz w:val="21"/>
      <w:szCs w:val="21"/>
    </w:rPr>
  </w:style>
  <w:style w:type="table" w:customStyle="1" w:styleId="25">
    <w:name w:val="Table Normal"/>
    <w:semiHidden/>
    <w:unhideWhenUsed/>
    <w:qFormat/>
    <w:uiPriority w:val="0"/>
    <w:tblPr>
      <w:tblCellMar>
        <w:top w:w="0" w:type="dxa"/>
        <w:left w:w="0" w:type="dxa"/>
        <w:bottom w:w="0" w:type="dxa"/>
        <w:right w:w="0" w:type="dxa"/>
      </w:tblCellMar>
    </w:tblPr>
  </w:style>
  <w:style w:type="paragraph" w:customStyle="1" w:styleId="26">
    <w:name w:val="Table Text"/>
    <w:basedOn w:val="1"/>
    <w:semiHidden/>
    <w:qFormat/>
    <w:uiPriority w:val="0"/>
    <w:rPr>
      <w:rFonts w:ascii="Arial" w:hAnsi="Arial" w:eastAsia="Arial" w:cs="Arial"/>
      <w:sz w:val="21"/>
      <w:szCs w:val="21"/>
      <w:lang w:val="en-US" w:eastAsia="en-US" w:bidi="ar-SA"/>
    </w:rPr>
  </w:style>
  <w:style w:type="paragraph" w:customStyle="1" w:styleId="27">
    <w:name w:val="注"/>
    <w:basedOn w:val="1"/>
    <w:qFormat/>
    <w:uiPriority w:val="0"/>
    <w:pPr>
      <w:kinsoku w:val="0"/>
      <w:topLinePunct/>
      <w:spacing w:before="50" w:beforeLines="50"/>
      <w:ind w:left="0" w:hanging="420" w:hangingChars="200"/>
    </w:pPr>
    <w:rPr>
      <w:rFonts w:hint="eastAsia" w:ascii="宋体" w:hAnsi="宋体" w:eastAsia="宋体" w:cs="宋体"/>
      <w:lang w:eastAsia="zh-CN"/>
    </w:rPr>
  </w:style>
  <w:style w:type="paragraph" w:customStyle="1" w:styleId="28">
    <w:name w:val="WPSOffice手动目录 1"/>
    <w:qFormat/>
    <w:uiPriority w:val="0"/>
    <w:pPr>
      <w:ind w:leftChars="0"/>
    </w:pPr>
    <w:rPr>
      <w:rFonts w:ascii="Times New Roman" w:hAnsi="Times New Roman" w:eastAsia="宋体" w:cs="Times New Roman"/>
      <w:sz w:val="20"/>
      <w:szCs w:val="20"/>
    </w:rPr>
  </w:style>
  <w:style w:type="paragraph" w:customStyle="1" w:styleId="29">
    <w:name w:val="WPSOffice手动目录 2"/>
    <w:qFormat/>
    <w:uiPriority w:val="0"/>
    <w:pPr>
      <w:ind w:leftChars="200"/>
    </w:pPr>
    <w:rPr>
      <w:rFonts w:ascii="Times New Roman" w:hAnsi="Times New Roman" w:eastAsia="宋体" w:cs="Times New Roman"/>
      <w:sz w:val="20"/>
      <w:szCs w:val="20"/>
    </w:rPr>
  </w:style>
  <w:style w:type="paragraph" w:customStyle="1" w:styleId="30">
    <w:name w:val="WPSOffice手动目录 3"/>
    <w:qFormat/>
    <w:uiPriority w:val="0"/>
    <w:pPr>
      <w:ind w:leftChars="400"/>
    </w:pPr>
    <w:rPr>
      <w:rFonts w:ascii="Times New Roman" w:hAnsi="Times New Roman" w:eastAsia="宋体" w:cs="Times New Roman"/>
      <w:sz w:val="20"/>
      <w:szCs w:val="20"/>
    </w:rPr>
  </w:style>
  <w:style w:type="paragraph" w:customStyle="1" w:styleId="31">
    <w:name w:val="_Style 8"/>
    <w:qFormat/>
    <w:uiPriority w:val="1"/>
    <w:pPr>
      <w:widowControl w:val="0"/>
      <w:ind w:right="240" w:rightChars="100"/>
      <w:jc w:val="both"/>
    </w:pPr>
    <w:rPr>
      <w:rFonts w:ascii="Calibri" w:hAnsi="Calibri" w:eastAsia="宋体" w:cs="Times New Roman"/>
      <w:kern w:val="2"/>
      <w:sz w:val="24"/>
      <w:szCs w:val="24"/>
      <w:lang w:val="en-US" w:eastAsia="zh-CN" w:bidi="ar-SA"/>
    </w:rPr>
  </w:style>
  <w:style w:type="paragraph" w:customStyle="1" w:styleId="32">
    <w:name w:val="正文（缩进）"/>
    <w:basedOn w:val="1"/>
    <w:qFormat/>
    <w:uiPriority w:val="0"/>
    <w:pPr>
      <w:spacing w:beforeLines="50" w:afterLines="50"/>
      <w:ind w:firstLine="480" w:firstLineChars="200"/>
    </w:pPr>
  </w:style>
  <w:style w:type="paragraph" w:customStyle="1" w:styleId="33">
    <w:name w:val="_Style 19"/>
    <w:basedOn w:val="1"/>
    <w:qFormat/>
    <w:uiPriority w:val="34"/>
    <w:pPr>
      <w:ind w:firstLine="420" w:firstLineChars="200"/>
    </w:pPr>
    <w:rPr>
      <w:rFonts w:ascii="Calibri" w:hAnsi="Calibri"/>
      <w:szCs w:val="22"/>
    </w:rPr>
  </w:style>
  <w:style w:type="character" w:customStyle="1" w:styleId="34">
    <w:name w:val="font91"/>
    <w:basedOn w:val="22"/>
    <w:qFormat/>
    <w:uiPriority w:val="0"/>
    <w:rPr>
      <w:rFonts w:hint="eastAsia" w:ascii="宋体" w:hAnsi="宋体" w:eastAsia="宋体" w:cs="宋体"/>
      <w:b/>
      <w:color w:val="000000"/>
      <w:sz w:val="22"/>
      <w:szCs w:val="22"/>
      <w:u w:val="none"/>
    </w:rPr>
  </w:style>
  <w:style w:type="character" w:customStyle="1" w:styleId="35">
    <w:name w:val="font71"/>
    <w:basedOn w:val="22"/>
    <w:qFormat/>
    <w:uiPriority w:val="0"/>
    <w:rPr>
      <w:rFonts w:hint="eastAsia" w:ascii="宋体" w:hAnsi="宋体" w:eastAsia="宋体" w:cs="宋体"/>
      <w:color w:val="000000"/>
      <w:sz w:val="21"/>
      <w:szCs w:val="21"/>
      <w:u w:val="none"/>
    </w:rPr>
  </w:style>
  <w:style w:type="character" w:customStyle="1" w:styleId="36">
    <w:name w:val="font11"/>
    <w:basedOn w:val="22"/>
    <w:qFormat/>
    <w:uiPriority w:val="0"/>
    <w:rPr>
      <w:rFonts w:hint="eastAsia" w:ascii="宋体" w:hAnsi="宋体" w:eastAsia="宋体" w:cs="宋体"/>
      <w:b/>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91"/>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74</Pages>
  <Words>21125</Words>
  <Characters>22650</Characters>
  <TotalTime>7</TotalTime>
  <ScaleCrop>false</ScaleCrop>
  <LinksUpToDate>false</LinksUpToDate>
  <CharactersWithSpaces>22762</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2024-11-28T11:25:00Z</dcterms:created>
  <dc:creator>Yin Hao</dc:creator>
  <cp:lastModifiedBy>华城博远</cp:lastModifiedBy>
  <dcterms:modified xsi:type="dcterms:W3CDTF">2025-10-10T01:04:33Z</dcterms:modified>
  <dc:title>政府采购示范文本（2023）</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2024-12-12T08:39:54Z</vt:filetime>
  </property>
  <property fmtid="{D5CDD505-2E9C-101B-9397-08002B2CF9AE}" pid="4" name="KSOProductBuildVer">
    <vt:lpwstr>2052-12.1.0.22529</vt:lpwstr>
  </property>
  <property fmtid="{D5CDD505-2E9C-101B-9397-08002B2CF9AE}" pid="5" name="ICV">
    <vt:lpwstr>E7886030FCC24E1BB0F558C184BAF829</vt:lpwstr>
  </property>
  <property fmtid="{D5CDD505-2E9C-101B-9397-08002B2CF9AE}" pid="6" name="KSOTemplateDocerSaveRecord">
    <vt:lpwstr>eyJoZGlkIjoiMTMyOWRjNmY0Y2JhZWVjNzdiMDVjMTdlMjllZjUwMTMiLCJ1c2VySWQiOiI1NjEzNTQ2MDYifQ==</vt:lpwstr>
  </property>
</Properties>
</file>