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721F6">
      <w:pPr>
        <w:widowControl w:val="0"/>
        <w:tabs>
          <w:tab w:val="left" w:pos="1630"/>
        </w:tabs>
        <w:autoSpaceDE w:val="0"/>
        <w:autoSpaceDN w:val="0"/>
        <w:spacing w:before="25" w:after="0" w:line="240" w:lineRule="auto"/>
        <w:ind w:left="8"/>
        <w:jc w:val="center"/>
        <w:outlineLvl w:val="0"/>
        <w:rPr>
          <w:rFonts w:ascii="仿宋" w:hAnsi="仿宋" w:eastAsia="仿宋" w:cs="仿宋"/>
          <w:b/>
          <w:bCs/>
          <w:sz w:val="36"/>
          <w:szCs w:val="36"/>
          <w:lang w:val="en-US" w:eastAsia="zh-CN" w:bidi="ar-SA"/>
        </w:rPr>
      </w:pPr>
      <w:bookmarkStart w:id="0" w:name="_Toc5625"/>
      <w:bookmarkStart w:id="1" w:name="_Toc16524"/>
      <w:r>
        <w:rPr>
          <w:rFonts w:hint="eastAsia" w:ascii="仿宋" w:hAnsi="仿宋" w:eastAsia="仿宋" w:cs="仿宋"/>
          <w:b/>
          <w:bCs/>
          <w:sz w:val="36"/>
          <w:szCs w:val="36"/>
          <w:lang w:val="en-US" w:eastAsia="zh-CN" w:bidi="ar-SA"/>
        </w:rPr>
        <w:t>第五章 采购需求</w:t>
      </w:r>
      <w:bookmarkEnd w:id="0"/>
      <w:bookmarkEnd w:id="1"/>
    </w:p>
    <w:p w14:paraId="3F16E8EE">
      <w:pPr>
        <w:autoSpaceDE w:val="0"/>
        <w:autoSpaceDN w:val="0"/>
        <w:spacing w:before="1" w:after="160" w:line="360" w:lineRule="auto"/>
        <w:ind w:left="121"/>
        <w:jc w:val="left"/>
        <w:rPr>
          <w:rFonts w:ascii="仿宋" w:hAnsi="仿宋" w:eastAsia="仿宋" w:cs="仿宋"/>
          <w:b/>
          <w:bCs/>
          <w:kern w:val="0"/>
          <w:sz w:val="24"/>
          <w:szCs w:val="24"/>
          <w:lang w:eastAsia="en-US"/>
        </w:rPr>
      </w:pPr>
      <w:r>
        <w:rPr>
          <w:rFonts w:hint="eastAsia" w:ascii="仿宋" w:hAnsi="仿宋" w:eastAsia="仿宋" w:cs="仿宋"/>
          <w:b/>
          <w:bCs/>
          <w:kern w:val="0"/>
          <w:sz w:val="24"/>
          <w:szCs w:val="24"/>
          <w:lang w:eastAsia="en-US"/>
        </w:rPr>
        <w:t>一、采购标的</w:t>
      </w:r>
    </w:p>
    <w:p w14:paraId="138E5CFB">
      <w:pPr>
        <w:widowControl w:val="0"/>
        <w:tabs>
          <w:tab w:val="left" w:pos="470"/>
          <w:tab w:val="left" w:pos="7040"/>
        </w:tabs>
        <w:autoSpaceDE w:val="0"/>
        <w:autoSpaceDN w:val="0"/>
        <w:spacing w:before="154" w:after="160" w:line="360" w:lineRule="auto"/>
        <w:ind w:left="121" w:right="1830" w:firstLine="269" w:firstLineChars="100"/>
        <w:rPr>
          <w:rFonts w:ascii="仿宋" w:hAnsi="仿宋" w:eastAsia="仿宋" w:cs="仿宋"/>
          <w:sz w:val="24"/>
          <w:szCs w:val="22"/>
          <w:lang w:val="en-US" w:eastAsia="zh-CN" w:bidi="ar-SA"/>
        </w:rPr>
      </w:pPr>
      <w:r>
        <w:rPr>
          <w:rFonts w:hint="eastAsia" w:ascii="仿宋" w:hAnsi="仿宋" w:eastAsia="仿宋" w:cs="仿宋"/>
          <w:spacing w:val="-2"/>
          <w:w w:val="114"/>
          <w:sz w:val="24"/>
          <w:szCs w:val="24"/>
          <w:lang w:val="en-US" w:eastAsia="zh-CN" w:bidi="ar-SA"/>
        </w:rPr>
        <w:t>1.</w:t>
      </w:r>
      <w:r>
        <w:rPr>
          <w:rFonts w:hint="eastAsia" w:ascii="仿宋" w:hAnsi="仿宋" w:eastAsia="仿宋" w:cs="仿宋"/>
          <w:sz w:val="24"/>
          <w:szCs w:val="22"/>
          <w:lang w:val="en-US" w:eastAsia="zh-CN" w:bidi="ar-SA"/>
        </w:rPr>
        <w:t xml:space="preserve">采购标的（货物需求一览表或简要服务内容及数量） </w:t>
      </w:r>
    </w:p>
    <w:tbl>
      <w:tblPr>
        <w:tblStyle w:val="2"/>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830"/>
        <w:gridCol w:w="704"/>
        <w:gridCol w:w="2028"/>
        <w:gridCol w:w="4425"/>
      </w:tblGrid>
      <w:tr w14:paraId="28ECB5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312" w:type="pct"/>
            <w:tcBorders>
              <w:top w:val="single" w:color="auto" w:sz="4" w:space="0"/>
              <w:left w:val="single" w:color="auto" w:sz="4" w:space="0"/>
              <w:bottom w:val="single" w:color="auto" w:sz="4" w:space="0"/>
              <w:right w:val="single" w:color="auto" w:sz="4" w:space="0"/>
            </w:tcBorders>
            <w:vAlign w:val="center"/>
          </w:tcPr>
          <w:p w14:paraId="2B8DA05F">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auto"/>
              <w:rPr>
                <w:rFonts w:hint="default" w:ascii="仿宋" w:hAnsi="仿宋" w:eastAsia="仿宋" w:cs="仿宋"/>
                <w:b/>
                <w:bCs/>
                <w:kern w:val="0"/>
                <w:sz w:val="24"/>
                <w:szCs w:val="22"/>
                <w:lang w:eastAsia="en-US"/>
              </w:rPr>
            </w:pPr>
            <w:r>
              <w:rPr>
                <w:rFonts w:hint="eastAsia" w:ascii="仿宋" w:hAnsi="仿宋" w:eastAsia="仿宋" w:cs="仿宋"/>
                <w:b/>
                <w:bCs/>
                <w:kern w:val="0"/>
                <w:sz w:val="24"/>
                <w:szCs w:val="22"/>
                <w:lang w:eastAsia="en-US"/>
              </w:rPr>
              <w:t>包号</w:t>
            </w:r>
          </w:p>
        </w:tc>
        <w:tc>
          <w:tcPr>
            <w:tcW w:w="487" w:type="pct"/>
            <w:tcBorders>
              <w:top w:val="single" w:color="auto" w:sz="4" w:space="0"/>
              <w:left w:val="single" w:color="auto" w:sz="4" w:space="0"/>
              <w:bottom w:val="single" w:color="auto" w:sz="4" w:space="0"/>
              <w:right w:val="single" w:color="auto" w:sz="4" w:space="0"/>
            </w:tcBorders>
            <w:vAlign w:val="center"/>
          </w:tcPr>
          <w:p w14:paraId="4C7E4EB9">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auto"/>
              <w:rPr>
                <w:rFonts w:hint="default" w:ascii="仿宋" w:hAnsi="仿宋" w:eastAsia="仿宋" w:cs="仿宋"/>
                <w:b/>
                <w:bCs/>
                <w:kern w:val="0"/>
                <w:sz w:val="24"/>
                <w:szCs w:val="22"/>
                <w:lang w:val="en-US" w:eastAsia="zh-CN"/>
              </w:rPr>
            </w:pPr>
            <w:r>
              <w:rPr>
                <w:rFonts w:hint="eastAsia" w:ascii="仿宋" w:hAnsi="仿宋" w:eastAsia="仿宋" w:cs="仿宋"/>
                <w:b/>
                <w:bCs/>
                <w:kern w:val="0"/>
                <w:sz w:val="24"/>
                <w:szCs w:val="22"/>
                <w:lang w:val="en-US" w:eastAsia="zh-CN"/>
              </w:rPr>
              <w:t>包名称</w:t>
            </w:r>
          </w:p>
        </w:tc>
        <w:tc>
          <w:tcPr>
            <w:tcW w:w="413" w:type="pct"/>
            <w:tcBorders>
              <w:top w:val="single" w:color="auto" w:sz="4" w:space="0"/>
              <w:left w:val="single" w:color="auto" w:sz="4" w:space="0"/>
              <w:bottom w:val="single" w:color="auto" w:sz="4" w:space="0"/>
              <w:right w:val="single" w:color="auto" w:sz="4" w:space="0"/>
            </w:tcBorders>
            <w:vAlign w:val="center"/>
          </w:tcPr>
          <w:p w14:paraId="0F67FFC9">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仿宋" w:hAnsi="仿宋" w:eastAsia="仿宋" w:cs="仿宋"/>
                <w:b/>
                <w:bCs/>
                <w:kern w:val="0"/>
                <w:sz w:val="24"/>
                <w:szCs w:val="22"/>
                <w:lang w:val="en-US" w:eastAsia="zh-CN"/>
              </w:rPr>
            </w:pPr>
            <w:r>
              <w:rPr>
                <w:rFonts w:hint="eastAsia" w:ascii="仿宋" w:hAnsi="仿宋" w:eastAsia="仿宋" w:cs="仿宋"/>
                <w:b/>
                <w:bCs/>
                <w:kern w:val="0"/>
                <w:sz w:val="24"/>
                <w:szCs w:val="22"/>
                <w:lang w:val="en-US" w:eastAsia="zh-CN"/>
              </w:rPr>
              <w:t>序号</w:t>
            </w:r>
          </w:p>
        </w:tc>
        <w:tc>
          <w:tcPr>
            <w:tcW w:w="1190" w:type="pct"/>
            <w:tcBorders>
              <w:top w:val="single" w:color="auto" w:sz="4" w:space="0"/>
              <w:left w:val="single" w:color="auto" w:sz="4" w:space="0"/>
              <w:bottom w:val="single" w:color="auto" w:sz="4" w:space="0"/>
              <w:right w:val="single" w:color="auto" w:sz="4" w:space="0"/>
            </w:tcBorders>
            <w:vAlign w:val="center"/>
          </w:tcPr>
          <w:p w14:paraId="5100C7F9">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auto"/>
              <w:rPr>
                <w:rFonts w:hint="default" w:ascii="仿宋" w:hAnsi="仿宋" w:eastAsia="仿宋" w:cs="仿宋"/>
                <w:b/>
                <w:bCs/>
                <w:kern w:val="0"/>
                <w:sz w:val="24"/>
                <w:szCs w:val="22"/>
                <w:lang w:eastAsia="en-US"/>
              </w:rPr>
            </w:pPr>
            <w:r>
              <w:rPr>
                <w:rFonts w:hint="eastAsia" w:ascii="仿宋" w:hAnsi="仿宋" w:eastAsia="仿宋" w:cs="仿宋"/>
                <w:b/>
                <w:bCs/>
                <w:kern w:val="0"/>
                <w:sz w:val="24"/>
                <w:szCs w:val="22"/>
                <w:lang w:eastAsia="en-US"/>
              </w:rPr>
              <w:t>服务内容</w:t>
            </w:r>
          </w:p>
        </w:tc>
        <w:tc>
          <w:tcPr>
            <w:tcW w:w="2596" w:type="pct"/>
            <w:tcBorders>
              <w:top w:val="single" w:color="auto" w:sz="4" w:space="0"/>
              <w:left w:val="single" w:color="auto" w:sz="4" w:space="0"/>
              <w:bottom w:val="single" w:color="auto" w:sz="4" w:space="0"/>
              <w:right w:val="single" w:color="auto" w:sz="4" w:space="0"/>
            </w:tcBorders>
            <w:vAlign w:val="center"/>
          </w:tcPr>
          <w:p w14:paraId="43E490E9">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auto"/>
              <w:rPr>
                <w:rFonts w:hint="default" w:ascii="仿宋" w:hAnsi="仿宋" w:eastAsia="仿宋" w:cs="仿宋"/>
                <w:b/>
                <w:bCs/>
                <w:kern w:val="0"/>
                <w:sz w:val="24"/>
                <w:szCs w:val="22"/>
              </w:rPr>
            </w:pPr>
            <w:r>
              <w:rPr>
                <w:rFonts w:hint="eastAsia" w:ascii="仿宋" w:hAnsi="仿宋" w:eastAsia="仿宋" w:cs="仿宋"/>
                <w:b/>
                <w:bCs/>
                <w:kern w:val="0"/>
                <w:sz w:val="24"/>
                <w:szCs w:val="22"/>
              </w:rPr>
              <w:t>简要技术需求或服务要求</w:t>
            </w:r>
          </w:p>
        </w:tc>
      </w:tr>
      <w:tr w14:paraId="5598BB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312" w:type="pct"/>
            <w:vMerge w:val="restart"/>
            <w:tcBorders>
              <w:top w:val="single" w:color="auto" w:sz="4" w:space="0"/>
              <w:left w:val="single" w:color="auto" w:sz="4" w:space="0"/>
              <w:right w:val="single" w:color="auto" w:sz="4" w:space="0"/>
            </w:tcBorders>
            <w:vAlign w:val="center"/>
          </w:tcPr>
          <w:p w14:paraId="3C93E970">
            <w:pPr>
              <w:keepNext w:val="0"/>
              <w:keepLines w:val="0"/>
              <w:pageBreakBefore w:val="0"/>
              <w:suppressLineNumbers w:val="0"/>
              <w:kinsoku/>
              <w:wordWrap/>
              <w:overflowPunct/>
              <w:topLinePunct w:val="0"/>
              <w:autoSpaceDE w:val="0"/>
              <w:autoSpaceDN w:val="0"/>
              <w:bidi w:val="0"/>
              <w:adjustRightInd/>
              <w:snapToGrid/>
              <w:spacing w:before="120" w:beforeLines="50" w:beforeAutospacing="0" w:after="0" w:afterAutospacing="0" w:line="240" w:lineRule="auto"/>
              <w:ind w:left="0" w:right="0"/>
              <w:jc w:val="center"/>
              <w:textAlignment w:val="auto"/>
              <w:rPr>
                <w:rFonts w:hint="default" w:ascii="仿宋" w:hAnsi="仿宋" w:eastAsia="仿宋" w:cs="仿宋"/>
                <w:kern w:val="0"/>
                <w:sz w:val="24"/>
                <w:szCs w:val="22"/>
                <w:lang w:val="en-US" w:eastAsia="zh-CN"/>
              </w:rPr>
            </w:pPr>
            <w:r>
              <w:rPr>
                <w:rFonts w:hint="eastAsia" w:ascii="仿宋" w:hAnsi="仿宋" w:eastAsia="仿宋" w:cs="仿宋"/>
                <w:kern w:val="0"/>
                <w:sz w:val="24"/>
                <w:szCs w:val="22"/>
                <w:lang w:val="en-US" w:eastAsia="zh-CN"/>
              </w:rPr>
              <w:t>01</w:t>
            </w:r>
          </w:p>
        </w:tc>
        <w:tc>
          <w:tcPr>
            <w:tcW w:w="487" w:type="pct"/>
            <w:vMerge w:val="restart"/>
            <w:tcBorders>
              <w:top w:val="single" w:color="auto" w:sz="4" w:space="0"/>
              <w:left w:val="single" w:color="auto" w:sz="4" w:space="0"/>
              <w:right w:val="single" w:color="auto" w:sz="4" w:space="0"/>
            </w:tcBorders>
            <w:vAlign w:val="center"/>
          </w:tcPr>
          <w:p w14:paraId="0134E4A3">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公立医院高质量发展中西医结合医院服务采购项目</w:t>
            </w:r>
          </w:p>
        </w:tc>
        <w:tc>
          <w:tcPr>
            <w:tcW w:w="413" w:type="pct"/>
            <w:tcBorders>
              <w:top w:val="single" w:color="auto" w:sz="4" w:space="0"/>
              <w:left w:val="single" w:color="auto" w:sz="4" w:space="0"/>
              <w:bottom w:val="single" w:color="auto" w:sz="4" w:space="0"/>
              <w:right w:val="single" w:color="auto" w:sz="4" w:space="0"/>
            </w:tcBorders>
            <w:vAlign w:val="center"/>
          </w:tcPr>
          <w:p w14:paraId="23C1FC2E">
            <w:pPr>
              <w:keepNext w:val="0"/>
              <w:keepLines w:val="0"/>
              <w:suppressLineNumbers w:val="0"/>
              <w:autoSpaceDE w:val="0"/>
              <w:autoSpaceDN w:val="0"/>
              <w:spacing w:before="0" w:beforeAutospacing="0" w:after="0" w:afterAutospacing="0" w:line="240" w:lineRule="auto"/>
              <w:ind w:left="0" w:right="0"/>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w:t>
            </w:r>
          </w:p>
        </w:tc>
        <w:tc>
          <w:tcPr>
            <w:tcW w:w="1190" w:type="pct"/>
            <w:tcBorders>
              <w:top w:val="single" w:color="auto" w:sz="4" w:space="0"/>
              <w:left w:val="single" w:color="auto" w:sz="4" w:space="0"/>
              <w:bottom w:val="single" w:color="auto" w:sz="4" w:space="0"/>
              <w:right w:val="single" w:color="auto" w:sz="4" w:space="0"/>
            </w:tcBorders>
            <w:vAlign w:val="center"/>
          </w:tcPr>
          <w:p w14:paraId="54C40B88">
            <w:pPr>
              <w:keepNext w:val="0"/>
              <w:keepLines w:val="0"/>
              <w:suppressLineNumbers w:val="0"/>
              <w:autoSpaceDE w:val="0"/>
              <w:autoSpaceDN w:val="0"/>
              <w:spacing w:before="0" w:beforeAutospacing="0" w:after="0" w:afterAutospacing="0" w:line="240" w:lineRule="auto"/>
              <w:ind w:left="0" w:right="0"/>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服务内容一：医院战略分析与精细化运营管理体系构建</w:t>
            </w:r>
          </w:p>
        </w:tc>
        <w:tc>
          <w:tcPr>
            <w:tcW w:w="2596" w:type="pct"/>
            <w:tcBorders>
              <w:top w:val="single" w:color="auto" w:sz="4" w:space="0"/>
              <w:left w:val="single" w:color="auto" w:sz="4" w:space="0"/>
              <w:bottom w:val="single" w:color="auto" w:sz="4" w:space="0"/>
              <w:right w:val="single" w:color="auto" w:sz="4" w:space="0"/>
            </w:tcBorders>
            <w:vAlign w:val="center"/>
          </w:tcPr>
          <w:p w14:paraId="199C9A9F">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对医院开展财务收支分析，结合医院总体定位与学科特点，识别影响医院运营管理的核心动因和关键要素，确定并优化医院开展精细化运营管理的核心运营战略，构建运营管理组织及工作机制。</w:t>
            </w:r>
          </w:p>
        </w:tc>
      </w:tr>
      <w:tr w14:paraId="3A1788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312" w:type="pct"/>
            <w:vMerge w:val="continue"/>
            <w:tcBorders>
              <w:left w:val="single" w:color="auto" w:sz="4" w:space="0"/>
              <w:right w:val="single" w:color="auto" w:sz="4" w:space="0"/>
            </w:tcBorders>
            <w:vAlign w:val="center"/>
          </w:tcPr>
          <w:p w14:paraId="6F8D4049">
            <w:pPr>
              <w:keepNext w:val="0"/>
              <w:keepLines w:val="0"/>
              <w:pageBreakBefore w:val="0"/>
              <w:suppressLineNumbers w:val="0"/>
              <w:kinsoku/>
              <w:wordWrap/>
              <w:overflowPunct/>
              <w:topLinePunct w:val="0"/>
              <w:autoSpaceDE w:val="0"/>
              <w:autoSpaceDN w:val="0"/>
              <w:bidi w:val="0"/>
              <w:adjustRightInd/>
              <w:snapToGrid/>
              <w:spacing w:before="120" w:beforeLines="50" w:beforeAutospacing="0" w:after="0" w:afterAutospacing="0" w:line="240" w:lineRule="auto"/>
              <w:ind w:left="0" w:right="0"/>
              <w:jc w:val="center"/>
              <w:textAlignment w:val="auto"/>
              <w:rPr>
                <w:rFonts w:hint="default" w:ascii="仿宋" w:hAnsi="仿宋" w:eastAsia="仿宋" w:cs="仿宋"/>
                <w:kern w:val="0"/>
                <w:sz w:val="24"/>
                <w:szCs w:val="22"/>
                <w:lang w:val="en-US" w:eastAsia="zh-CN"/>
              </w:rPr>
            </w:pPr>
          </w:p>
        </w:tc>
        <w:tc>
          <w:tcPr>
            <w:tcW w:w="487" w:type="pct"/>
            <w:vMerge w:val="continue"/>
            <w:tcBorders>
              <w:left w:val="single" w:color="auto" w:sz="4" w:space="0"/>
              <w:right w:val="single" w:color="auto" w:sz="4" w:space="0"/>
            </w:tcBorders>
            <w:vAlign w:val="center"/>
          </w:tcPr>
          <w:p w14:paraId="35832918">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kern w:val="0"/>
                <w:sz w:val="24"/>
                <w:szCs w:val="24"/>
                <w:highlight w:val="none"/>
                <w:lang w:val="en-US" w:eastAsia="zh-CN"/>
              </w:rPr>
            </w:pPr>
          </w:p>
        </w:tc>
        <w:tc>
          <w:tcPr>
            <w:tcW w:w="413" w:type="pct"/>
            <w:tcBorders>
              <w:top w:val="single" w:color="auto" w:sz="4" w:space="0"/>
              <w:left w:val="single" w:color="auto" w:sz="4" w:space="0"/>
              <w:bottom w:val="single" w:color="auto" w:sz="4" w:space="0"/>
              <w:right w:val="single" w:color="auto" w:sz="4" w:space="0"/>
            </w:tcBorders>
            <w:vAlign w:val="center"/>
          </w:tcPr>
          <w:p w14:paraId="49733889">
            <w:pPr>
              <w:keepNext w:val="0"/>
              <w:keepLines w:val="0"/>
              <w:suppressLineNumbers w:val="0"/>
              <w:autoSpaceDE w:val="0"/>
              <w:autoSpaceDN w:val="0"/>
              <w:spacing w:before="0" w:beforeAutospacing="0" w:after="0" w:afterAutospacing="0" w:line="240" w:lineRule="auto"/>
              <w:ind w:left="0" w:right="0"/>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w:t>
            </w:r>
          </w:p>
        </w:tc>
        <w:tc>
          <w:tcPr>
            <w:tcW w:w="1190" w:type="pct"/>
            <w:tcBorders>
              <w:top w:val="single" w:color="auto" w:sz="4" w:space="0"/>
              <w:left w:val="single" w:color="auto" w:sz="4" w:space="0"/>
              <w:bottom w:val="single" w:color="auto" w:sz="4" w:space="0"/>
              <w:right w:val="single" w:color="auto" w:sz="4" w:space="0"/>
            </w:tcBorders>
            <w:vAlign w:val="center"/>
          </w:tcPr>
          <w:p w14:paraId="1E08B640">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服务内容二：基于中西医结合医院特色的运营分析监测指标体系构建</w:t>
            </w:r>
          </w:p>
        </w:tc>
        <w:tc>
          <w:tcPr>
            <w:tcW w:w="2596" w:type="pct"/>
            <w:tcBorders>
              <w:top w:val="single" w:color="auto" w:sz="4" w:space="0"/>
              <w:left w:val="single" w:color="auto" w:sz="4" w:space="0"/>
              <w:bottom w:val="single" w:color="auto" w:sz="4" w:space="0"/>
              <w:right w:val="single" w:color="auto" w:sz="4" w:space="0"/>
            </w:tcBorders>
            <w:vAlign w:val="center"/>
          </w:tcPr>
          <w:p w14:paraId="3E09A312">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借鉴国家及北京市经济管理考核指标体系，结合医院中西医特色，构建适用于医院的精细化运营管理监测指标体系，完成医院精细化运营管理监测指标体系建设及应用。</w:t>
            </w:r>
          </w:p>
        </w:tc>
      </w:tr>
      <w:tr w14:paraId="1622D5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312" w:type="pct"/>
            <w:vMerge w:val="continue"/>
            <w:tcBorders>
              <w:left w:val="single" w:color="auto" w:sz="4" w:space="0"/>
              <w:right w:val="single" w:color="auto" w:sz="4" w:space="0"/>
            </w:tcBorders>
            <w:vAlign w:val="center"/>
          </w:tcPr>
          <w:p w14:paraId="3B92A394">
            <w:pPr>
              <w:keepNext w:val="0"/>
              <w:keepLines w:val="0"/>
              <w:pageBreakBefore w:val="0"/>
              <w:suppressLineNumbers w:val="0"/>
              <w:kinsoku/>
              <w:wordWrap/>
              <w:overflowPunct/>
              <w:topLinePunct w:val="0"/>
              <w:autoSpaceDE w:val="0"/>
              <w:autoSpaceDN w:val="0"/>
              <w:bidi w:val="0"/>
              <w:adjustRightInd/>
              <w:snapToGrid/>
              <w:spacing w:before="120" w:beforeLines="50" w:beforeAutospacing="0" w:after="0" w:afterAutospacing="0" w:line="240" w:lineRule="auto"/>
              <w:ind w:left="0" w:right="0"/>
              <w:jc w:val="center"/>
              <w:textAlignment w:val="auto"/>
              <w:rPr>
                <w:rFonts w:hint="default" w:ascii="仿宋" w:hAnsi="仿宋" w:eastAsia="仿宋" w:cs="仿宋"/>
                <w:kern w:val="0"/>
                <w:sz w:val="24"/>
                <w:szCs w:val="22"/>
                <w:lang w:val="en-US" w:eastAsia="zh-CN"/>
              </w:rPr>
            </w:pPr>
          </w:p>
        </w:tc>
        <w:tc>
          <w:tcPr>
            <w:tcW w:w="487" w:type="pct"/>
            <w:vMerge w:val="continue"/>
            <w:tcBorders>
              <w:left w:val="single" w:color="auto" w:sz="4" w:space="0"/>
              <w:right w:val="single" w:color="auto" w:sz="4" w:space="0"/>
            </w:tcBorders>
            <w:vAlign w:val="center"/>
          </w:tcPr>
          <w:p w14:paraId="19D9060C">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kern w:val="0"/>
                <w:sz w:val="24"/>
                <w:szCs w:val="24"/>
                <w:highlight w:val="none"/>
                <w:lang w:val="en-US" w:eastAsia="zh-CN"/>
              </w:rPr>
            </w:pPr>
          </w:p>
        </w:tc>
        <w:tc>
          <w:tcPr>
            <w:tcW w:w="413" w:type="pct"/>
            <w:tcBorders>
              <w:top w:val="single" w:color="auto" w:sz="4" w:space="0"/>
              <w:left w:val="single" w:color="auto" w:sz="4" w:space="0"/>
              <w:bottom w:val="single" w:color="auto" w:sz="4" w:space="0"/>
              <w:right w:val="single" w:color="auto" w:sz="4" w:space="0"/>
            </w:tcBorders>
            <w:vAlign w:val="center"/>
          </w:tcPr>
          <w:p w14:paraId="3A66CEDB">
            <w:pPr>
              <w:keepNext w:val="0"/>
              <w:keepLines w:val="0"/>
              <w:suppressLineNumbers w:val="0"/>
              <w:autoSpaceDE w:val="0"/>
              <w:autoSpaceDN w:val="0"/>
              <w:spacing w:before="0" w:beforeAutospacing="0" w:after="0" w:afterAutospacing="0" w:line="240" w:lineRule="auto"/>
              <w:ind w:left="0" w:right="0"/>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w:t>
            </w:r>
          </w:p>
        </w:tc>
        <w:tc>
          <w:tcPr>
            <w:tcW w:w="1190" w:type="pct"/>
            <w:tcBorders>
              <w:top w:val="single" w:color="auto" w:sz="4" w:space="0"/>
              <w:left w:val="single" w:color="auto" w:sz="4" w:space="0"/>
              <w:bottom w:val="single" w:color="auto" w:sz="4" w:space="0"/>
              <w:right w:val="single" w:color="auto" w:sz="4" w:space="0"/>
            </w:tcBorders>
            <w:vAlign w:val="center"/>
          </w:tcPr>
          <w:p w14:paraId="647A003B">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服务内容三：基于重点专科的医院科室成本核算及运营效益分析</w:t>
            </w:r>
          </w:p>
        </w:tc>
        <w:tc>
          <w:tcPr>
            <w:tcW w:w="2596" w:type="pct"/>
            <w:tcBorders>
              <w:top w:val="single" w:color="auto" w:sz="4" w:space="0"/>
              <w:left w:val="single" w:color="auto" w:sz="4" w:space="0"/>
              <w:bottom w:val="single" w:color="auto" w:sz="4" w:space="0"/>
              <w:right w:val="single" w:color="auto" w:sz="4" w:space="0"/>
            </w:tcBorders>
            <w:vAlign w:val="center"/>
          </w:tcPr>
          <w:p w14:paraId="52B5A383">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建立健全与医院实际运营活动相匹配的科室成本核算体系，并对医院重点专科科室运营效益开展分析，完成科室成本的核算体系构建及实际应用。</w:t>
            </w:r>
          </w:p>
        </w:tc>
      </w:tr>
      <w:tr w14:paraId="6C13E6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312" w:type="pct"/>
            <w:vMerge w:val="continue"/>
            <w:tcBorders>
              <w:left w:val="single" w:color="auto" w:sz="4" w:space="0"/>
              <w:right w:val="single" w:color="auto" w:sz="4" w:space="0"/>
            </w:tcBorders>
            <w:vAlign w:val="center"/>
          </w:tcPr>
          <w:p w14:paraId="26A676C6">
            <w:pPr>
              <w:keepNext w:val="0"/>
              <w:keepLines w:val="0"/>
              <w:pageBreakBefore w:val="0"/>
              <w:suppressLineNumbers w:val="0"/>
              <w:kinsoku/>
              <w:wordWrap/>
              <w:overflowPunct/>
              <w:topLinePunct w:val="0"/>
              <w:autoSpaceDE w:val="0"/>
              <w:autoSpaceDN w:val="0"/>
              <w:bidi w:val="0"/>
              <w:adjustRightInd/>
              <w:snapToGrid/>
              <w:spacing w:before="120" w:beforeLines="50" w:beforeAutospacing="0" w:after="0" w:afterAutospacing="0" w:line="240" w:lineRule="auto"/>
              <w:ind w:left="0" w:right="0"/>
              <w:jc w:val="center"/>
              <w:textAlignment w:val="auto"/>
              <w:rPr>
                <w:rFonts w:hint="default" w:ascii="仿宋" w:hAnsi="仿宋" w:eastAsia="仿宋" w:cs="仿宋"/>
                <w:kern w:val="0"/>
                <w:sz w:val="24"/>
                <w:szCs w:val="22"/>
                <w:lang w:val="en-US" w:eastAsia="zh-CN"/>
              </w:rPr>
            </w:pPr>
          </w:p>
        </w:tc>
        <w:tc>
          <w:tcPr>
            <w:tcW w:w="487" w:type="pct"/>
            <w:vMerge w:val="continue"/>
            <w:tcBorders>
              <w:left w:val="single" w:color="auto" w:sz="4" w:space="0"/>
              <w:right w:val="single" w:color="auto" w:sz="4" w:space="0"/>
            </w:tcBorders>
            <w:vAlign w:val="center"/>
          </w:tcPr>
          <w:p w14:paraId="7212A8AF">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kern w:val="0"/>
                <w:sz w:val="24"/>
                <w:szCs w:val="24"/>
                <w:highlight w:val="none"/>
                <w:lang w:val="en-US" w:eastAsia="zh-CN"/>
              </w:rPr>
            </w:pPr>
          </w:p>
        </w:tc>
        <w:tc>
          <w:tcPr>
            <w:tcW w:w="413" w:type="pct"/>
            <w:tcBorders>
              <w:top w:val="single" w:color="auto" w:sz="4" w:space="0"/>
              <w:left w:val="single" w:color="auto" w:sz="4" w:space="0"/>
              <w:bottom w:val="single" w:color="auto" w:sz="4" w:space="0"/>
              <w:right w:val="single" w:color="auto" w:sz="4" w:space="0"/>
            </w:tcBorders>
            <w:vAlign w:val="center"/>
          </w:tcPr>
          <w:p w14:paraId="57DAD98B">
            <w:pPr>
              <w:keepNext w:val="0"/>
              <w:keepLines w:val="0"/>
              <w:suppressLineNumbers w:val="0"/>
              <w:autoSpaceDE w:val="0"/>
              <w:autoSpaceDN w:val="0"/>
              <w:spacing w:before="0" w:beforeAutospacing="0" w:after="0" w:afterAutospacing="0" w:line="240" w:lineRule="auto"/>
              <w:ind w:left="0" w:right="0"/>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w:t>
            </w:r>
          </w:p>
        </w:tc>
        <w:tc>
          <w:tcPr>
            <w:tcW w:w="1190" w:type="pct"/>
            <w:tcBorders>
              <w:top w:val="single" w:color="auto" w:sz="4" w:space="0"/>
              <w:left w:val="single" w:color="auto" w:sz="4" w:space="0"/>
              <w:bottom w:val="single" w:color="auto" w:sz="4" w:space="0"/>
              <w:right w:val="single" w:color="auto" w:sz="4" w:space="0"/>
            </w:tcBorders>
            <w:vAlign w:val="center"/>
          </w:tcPr>
          <w:p w14:paraId="63C19075">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服务内容四：基于精细化运营管理的全面预算管理体系建设</w:t>
            </w:r>
          </w:p>
        </w:tc>
        <w:tc>
          <w:tcPr>
            <w:tcW w:w="2596" w:type="pct"/>
            <w:tcBorders>
              <w:top w:val="single" w:color="auto" w:sz="4" w:space="0"/>
              <w:left w:val="single" w:color="auto" w:sz="4" w:space="0"/>
              <w:bottom w:val="single" w:color="auto" w:sz="4" w:space="0"/>
              <w:right w:val="single" w:color="auto" w:sz="4" w:space="0"/>
            </w:tcBorders>
            <w:vAlign w:val="center"/>
          </w:tcPr>
          <w:p w14:paraId="0AB9300C">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系统地对医院的运营情况进行深入调研，梳理各类经济活动及业务活动管理流程，建立规范、细化、高效、可操作性强的全面预算管理体系及工作机制并配套信息化系统实现应用。</w:t>
            </w:r>
          </w:p>
        </w:tc>
      </w:tr>
      <w:tr w14:paraId="768ACC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312" w:type="pct"/>
            <w:vMerge w:val="continue"/>
            <w:tcBorders>
              <w:left w:val="single" w:color="auto" w:sz="4" w:space="0"/>
              <w:bottom w:val="single" w:color="auto" w:sz="4" w:space="0"/>
              <w:right w:val="single" w:color="auto" w:sz="4" w:space="0"/>
            </w:tcBorders>
            <w:vAlign w:val="center"/>
          </w:tcPr>
          <w:p w14:paraId="538D4A6E">
            <w:pPr>
              <w:keepNext w:val="0"/>
              <w:keepLines w:val="0"/>
              <w:pageBreakBefore w:val="0"/>
              <w:suppressLineNumbers w:val="0"/>
              <w:kinsoku/>
              <w:wordWrap/>
              <w:overflowPunct/>
              <w:topLinePunct w:val="0"/>
              <w:autoSpaceDE w:val="0"/>
              <w:autoSpaceDN w:val="0"/>
              <w:bidi w:val="0"/>
              <w:adjustRightInd/>
              <w:snapToGrid/>
              <w:spacing w:before="120" w:beforeLines="50" w:beforeAutospacing="0" w:after="0" w:afterAutospacing="0" w:line="240" w:lineRule="auto"/>
              <w:ind w:left="0" w:right="0"/>
              <w:jc w:val="center"/>
              <w:textAlignment w:val="auto"/>
              <w:rPr>
                <w:rFonts w:hint="default" w:ascii="仿宋" w:hAnsi="仿宋" w:eastAsia="仿宋" w:cs="仿宋"/>
                <w:kern w:val="0"/>
                <w:sz w:val="24"/>
                <w:szCs w:val="22"/>
                <w:lang w:val="en-US" w:eastAsia="zh-CN"/>
              </w:rPr>
            </w:pPr>
          </w:p>
        </w:tc>
        <w:tc>
          <w:tcPr>
            <w:tcW w:w="487" w:type="pct"/>
            <w:vMerge w:val="continue"/>
            <w:tcBorders>
              <w:left w:val="single" w:color="auto" w:sz="4" w:space="0"/>
              <w:bottom w:val="single" w:color="auto" w:sz="4" w:space="0"/>
              <w:right w:val="single" w:color="auto" w:sz="4" w:space="0"/>
            </w:tcBorders>
            <w:vAlign w:val="center"/>
          </w:tcPr>
          <w:p w14:paraId="0D659DE8">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kern w:val="0"/>
                <w:sz w:val="24"/>
                <w:szCs w:val="24"/>
                <w:highlight w:val="none"/>
                <w:lang w:val="en-US" w:eastAsia="zh-CN"/>
              </w:rPr>
            </w:pPr>
          </w:p>
        </w:tc>
        <w:tc>
          <w:tcPr>
            <w:tcW w:w="413" w:type="pct"/>
            <w:tcBorders>
              <w:top w:val="single" w:color="auto" w:sz="4" w:space="0"/>
              <w:left w:val="single" w:color="auto" w:sz="4" w:space="0"/>
              <w:bottom w:val="single" w:color="auto" w:sz="4" w:space="0"/>
              <w:right w:val="single" w:color="auto" w:sz="4" w:space="0"/>
            </w:tcBorders>
            <w:vAlign w:val="center"/>
          </w:tcPr>
          <w:p w14:paraId="29A58EDE">
            <w:pPr>
              <w:keepNext w:val="0"/>
              <w:keepLines w:val="0"/>
              <w:suppressLineNumbers w:val="0"/>
              <w:autoSpaceDE w:val="0"/>
              <w:autoSpaceDN w:val="0"/>
              <w:spacing w:before="0" w:beforeAutospacing="0" w:after="0" w:afterAutospacing="0" w:line="240" w:lineRule="auto"/>
              <w:ind w:left="0" w:right="0"/>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w:t>
            </w:r>
          </w:p>
        </w:tc>
        <w:tc>
          <w:tcPr>
            <w:tcW w:w="1190" w:type="pct"/>
            <w:tcBorders>
              <w:top w:val="single" w:color="auto" w:sz="4" w:space="0"/>
              <w:left w:val="single" w:color="auto" w:sz="4" w:space="0"/>
              <w:bottom w:val="single" w:color="auto" w:sz="4" w:space="0"/>
              <w:right w:val="single" w:color="auto" w:sz="4" w:space="0"/>
            </w:tcBorders>
            <w:vAlign w:val="center"/>
          </w:tcPr>
          <w:p w14:paraId="36287979">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服务内容五：基于公益性导向的薪酬绩效管理体系建设</w:t>
            </w:r>
          </w:p>
        </w:tc>
        <w:tc>
          <w:tcPr>
            <w:tcW w:w="2596" w:type="pct"/>
            <w:tcBorders>
              <w:top w:val="single" w:color="auto" w:sz="4" w:space="0"/>
              <w:left w:val="single" w:color="auto" w:sz="4" w:space="0"/>
              <w:bottom w:val="single" w:color="auto" w:sz="4" w:space="0"/>
              <w:right w:val="single" w:color="auto" w:sz="4" w:space="0"/>
            </w:tcBorders>
            <w:vAlign w:val="center"/>
          </w:tcPr>
          <w:p w14:paraId="1C102EE8">
            <w:pPr>
              <w:keepNext w:val="0"/>
              <w:keepLines w:val="0"/>
              <w:suppressLineNumbers w:val="0"/>
              <w:autoSpaceDE w:val="0"/>
              <w:autoSpaceDN w:val="0"/>
              <w:spacing w:before="0" w:beforeAutospacing="0" w:after="0" w:afterAutospacing="0" w:line="240" w:lineRule="auto"/>
              <w:ind w:left="0" w:right="0"/>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建立健全与医院精细化运营管理适配的薪酬绩效管理体系，跟踪监测薪酬绩效体系的实施情况，构建与薪酬绩效分配方案相匹配的考核管理体系。</w:t>
            </w:r>
          </w:p>
        </w:tc>
      </w:tr>
    </w:tbl>
    <w:p w14:paraId="46DD618E">
      <w:pPr>
        <w:keepNext w:val="0"/>
        <w:keepLines w:val="0"/>
        <w:pageBreakBefore w:val="0"/>
        <w:widowControl w:val="0"/>
        <w:tabs>
          <w:tab w:val="left" w:pos="470"/>
        </w:tabs>
        <w:kinsoku/>
        <w:wordWrap/>
        <w:overflowPunct/>
        <w:topLinePunct w:val="0"/>
        <w:autoSpaceDE w:val="0"/>
        <w:autoSpaceDN w:val="0"/>
        <w:bidi w:val="0"/>
        <w:adjustRightInd/>
        <w:snapToGrid/>
        <w:spacing w:before="0" w:after="0" w:line="360" w:lineRule="auto"/>
        <w:ind w:left="121" w:right="5876" w:firstLine="0"/>
        <w:textAlignment w:val="auto"/>
        <w:rPr>
          <w:rFonts w:ascii="仿宋" w:hAnsi="仿宋" w:eastAsia="仿宋" w:cs="仿宋"/>
          <w:sz w:val="24"/>
          <w:szCs w:val="22"/>
          <w:lang w:val="en-US" w:eastAsia="en-US" w:bidi="ar-SA"/>
        </w:rPr>
      </w:pPr>
      <w:r>
        <w:rPr>
          <w:rFonts w:hint="eastAsia" w:ascii="仿宋" w:hAnsi="仿宋" w:eastAsia="仿宋" w:cs="仿宋"/>
          <w:b/>
          <w:bCs/>
          <w:sz w:val="24"/>
          <w:szCs w:val="22"/>
          <w:lang w:val="en-US" w:eastAsia="en-US" w:bidi="ar-SA"/>
        </w:rPr>
        <w:t>二、商务要求</w:t>
      </w:r>
    </w:p>
    <w:p w14:paraId="2C2CD3EF">
      <w:pPr>
        <w:keepNext w:val="0"/>
        <w:keepLines w:val="0"/>
        <w:pageBreakBefore w:val="0"/>
        <w:widowControl w:val="0"/>
        <w:tabs>
          <w:tab w:val="left" w:pos="470"/>
        </w:tabs>
        <w:kinsoku/>
        <w:wordWrap/>
        <w:overflowPunct/>
        <w:topLinePunct w:val="0"/>
        <w:autoSpaceDE w:val="0"/>
        <w:autoSpaceDN w:val="0"/>
        <w:bidi w:val="0"/>
        <w:adjustRightInd/>
        <w:snapToGrid/>
        <w:spacing w:before="0" w:after="0" w:line="360" w:lineRule="auto"/>
        <w:ind w:left="0" w:firstLine="0"/>
        <w:textAlignment w:val="auto"/>
        <w:rPr>
          <w:rFonts w:ascii="仿宋" w:hAnsi="仿宋" w:eastAsia="仿宋" w:cs="仿宋"/>
          <w:sz w:val="24"/>
          <w:szCs w:val="24"/>
          <w:lang w:val="en-US" w:eastAsia="zh-CN" w:bidi="ar-SA"/>
        </w:rPr>
      </w:pPr>
      <w:r>
        <w:rPr>
          <w:rFonts w:hint="eastAsia" w:ascii="仿宋" w:hAnsi="仿宋" w:eastAsia="仿宋" w:cs="仿宋"/>
          <w:sz w:val="24"/>
          <w:szCs w:val="24"/>
          <w:lang w:val="en-US" w:eastAsia="en-US" w:bidi="ar-SA"/>
        </w:rPr>
        <w:t>1.</w:t>
      </w:r>
      <w:r>
        <w:rPr>
          <w:rFonts w:hint="eastAsia" w:ascii="仿宋" w:hAnsi="仿宋" w:eastAsia="仿宋" w:cs="仿宋"/>
          <w:sz w:val="24"/>
          <w:szCs w:val="24"/>
          <w:lang w:val="en-US" w:eastAsia="zh-CN" w:bidi="ar-SA"/>
        </w:rPr>
        <w:t>实施的期限和地点：</w:t>
      </w:r>
    </w:p>
    <w:p w14:paraId="0EEEB36B">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outlineLvl w:val="9"/>
        <w:rPr>
          <w:rFonts w:hint="eastAsia" w:ascii="仿宋" w:hAnsi="仿宋" w:eastAsia="仿宋" w:cs="仿宋"/>
          <w:b w:val="0"/>
          <w:sz w:val="24"/>
          <w:szCs w:val="24"/>
          <w:u w:val="single"/>
          <w:lang w:val="en-US" w:eastAsia="zh-CN" w:bidi="ar-SA"/>
        </w:rPr>
      </w:pPr>
      <w:bookmarkStart w:id="2" w:name="_Toc24278"/>
      <w:bookmarkStart w:id="3" w:name="_Toc17271"/>
      <w:bookmarkStart w:id="4" w:name="_Toc14802"/>
      <w:bookmarkStart w:id="5" w:name="_Toc8442"/>
      <w:bookmarkStart w:id="6" w:name="_Toc23382"/>
      <w:r>
        <w:rPr>
          <w:rFonts w:hint="eastAsia" w:ascii="仿宋" w:hAnsi="仿宋" w:eastAsia="仿宋" w:cs="仿宋"/>
          <w:b w:val="0"/>
          <w:sz w:val="24"/>
          <w:szCs w:val="24"/>
          <w:lang w:val="en-US" w:eastAsia="zh-CN" w:bidi="ar-SA"/>
        </w:rPr>
        <w:t>1.1采购项目（标的）实施的时间：</w:t>
      </w:r>
      <w:bookmarkEnd w:id="2"/>
      <w:bookmarkEnd w:id="3"/>
      <w:bookmarkEnd w:id="4"/>
      <w:bookmarkEnd w:id="5"/>
      <w:bookmarkEnd w:id="6"/>
      <w:r>
        <w:rPr>
          <w:rFonts w:hint="eastAsia" w:ascii="仿宋" w:hAnsi="仿宋" w:eastAsia="仿宋" w:cs="仿宋"/>
          <w:b w:val="0"/>
          <w:sz w:val="24"/>
          <w:szCs w:val="24"/>
          <w:u w:val="single"/>
          <w:lang w:val="en-US" w:eastAsia="zh-CN" w:bidi="ar-SA"/>
        </w:rPr>
        <w:t>自签订合同之日起至2025年12月31日。</w:t>
      </w:r>
    </w:p>
    <w:p w14:paraId="45CFF02D">
      <w:pPr>
        <w:keepNext w:val="0"/>
        <w:keepLines w:val="0"/>
        <w:pageBreakBefore w:val="0"/>
        <w:widowControl w:val="0"/>
        <w:kinsoku/>
        <w:wordWrap/>
        <w:overflowPunct/>
        <w:topLinePunct w:val="0"/>
        <w:autoSpaceDE w:val="0"/>
        <w:autoSpaceDN w:val="0"/>
        <w:bidi w:val="0"/>
        <w:adjustRightInd/>
        <w:snapToGrid/>
        <w:spacing w:after="0" w:line="360" w:lineRule="auto"/>
        <w:ind w:left="220" w:leftChars="0" w:firstLine="40" w:firstLineChars="0"/>
        <w:jc w:val="both"/>
        <w:textAlignment w:val="auto"/>
        <w:outlineLvl w:val="9"/>
        <w:rPr>
          <w:rFonts w:ascii="仿宋" w:hAnsi="仿宋" w:eastAsia="仿宋" w:cs="仿宋"/>
          <w:b w:val="0"/>
          <w:sz w:val="24"/>
          <w:szCs w:val="24"/>
          <w:lang w:val="en-US" w:eastAsia="zh-CN" w:bidi="ar-SA"/>
        </w:rPr>
      </w:pPr>
      <w:r>
        <w:rPr>
          <w:rFonts w:hint="eastAsia" w:ascii="仿宋" w:hAnsi="仿宋" w:eastAsia="仿宋" w:cs="仿宋"/>
          <w:b w:val="0"/>
          <w:sz w:val="24"/>
          <w:szCs w:val="24"/>
          <w:u w:val="none"/>
          <w:lang w:val="en-US" w:eastAsia="zh-CN" w:bidi="ar-SA"/>
        </w:rPr>
        <w:t>交付时间：</w:t>
      </w:r>
      <w:r>
        <w:rPr>
          <w:rFonts w:hint="eastAsia" w:ascii="仿宋" w:hAnsi="仿宋" w:eastAsia="仿宋" w:cs="仿宋"/>
          <w:b w:val="0"/>
          <w:sz w:val="24"/>
          <w:szCs w:val="24"/>
          <w:u w:val="single"/>
          <w:lang w:val="en-US" w:eastAsia="zh-CN" w:bidi="ar-SA"/>
        </w:rPr>
        <w:t>2025年12月31日前</w:t>
      </w:r>
    </w:p>
    <w:p w14:paraId="16EC4070">
      <w:pPr>
        <w:keepNext w:val="0"/>
        <w:keepLines w:val="0"/>
        <w:pageBreakBefore w:val="0"/>
        <w:widowControl w:val="0"/>
        <w:tabs>
          <w:tab w:val="left" w:pos="0"/>
        </w:tabs>
        <w:kinsoku/>
        <w:wordWrap/>
        <w:overflowPunct/>
        <w:topLinePunct w:val="0"/>
        <w:autoSpaceDE w:val="0"/>
        <w:autoSpaceDN w:val="0"/>
        <w:bidi w:val="0"/>
        <w:adjustRightInd/>
        <w:snapToGrid/>
        <w:spacing w:after="0" w:line="360" w:lineRule="auto"/>
        <w:jc w:val="both"/>
        <w:textAlignment w:val="auto"/>
        <w:outlineLvl w:val="9"/>
        <w:rPr>
          <w:rFonts w:ascii="仿宋" w:hAnsi="仿宋" w:eastAsia="仿宋" w:cs="仿宋"/>
          <w:b w:val="0"/>
          <w:sz w:val="24"/>
          <w:szCs w:val="24"/>
          <w:lang w:val="en-US" w:eastAsia="zh-CN" w:bidi="ar-SA"/>
        </w:rPr>
      </w:pPr>
      <w:bookmarkStart w:id="7" w:name="_Toc2290"/>
      <w:bookmarkStart w:id="8" w:name="_Toc30936"/>
      <w:bookmarkStart w:id="9" w:name="_Toc8853"/>
      <w:bookmarkStart w:id="10" w:name="_Toc19535"/>
      <w:bookmarkStart w:id="11" w:name="_Toc18881"/>
      <w:r>
        <w:rPr>
          <w:rFonts w:hint="eastAsia" w:ascii="仿宋" w:hAnsi="仿宋" w:eastAsia="仿宋" w:cs="仿宋"/>
          <w:b w:val="0"/>
          <w:sz w:val="24"/>
          <w:szCs w:val="24"/>
          <w:lang w:val="en-US" w:eastAsia="zh-CN" w:bidi="ar-SA"/>
        </w:rPr>
        <w:t>1.2采购项目（标的）实施的地点：</w:t>
      </w:r>
      <w:r>
        <w:rPr>
          <w:rFonts w:hint="eastAsia" w:ascii="仿宋" w:hAnsi="仿宋" w:eastAsia="仿宋" w:cs="仿宋"/>
          <w:b w:val="0"/>
          <w:sz w:val="24"/>
          <w:szCs w:val="24"/>
          <w:u w:val="single"/>
          <w:lang w:val="en-US" w:eastAsia="zh-CN" w:bidi="ar-SA"/>
        </w:rPr>
        <w:t>北京中西医结合医院指定地点</w:t>
      </w:r>
      <w:bookmarkEnd w:id="7"/>
      <w:bookmarkEnd w:id="8"/>
      <w:bookmarkEnd w:id="9"/>
      <w:bookmarkEnd w:id="10"/>
      <w:bookmarkEnd w:id="11"/>
    </w:p>
    <w:p w14:paraId="375BFC76">
      <w:pPr>
        <w:keepNext w:val="0"/>
        <w:keepLines w:val="0"/>
        <w:pageBreakBefore w:val="0"/>
        <w:widowControl w:val="0"/>
        <w:tabs>
          <w:tab w:val="left" w:pos="470"/>
        </w:tabs>
        <w:kinsoku/>
        <w:wordWrap/>
        <w:overflowPunct/>
        <w:topLinePunct w:val="0"/>
        <w:autoSpaceDE w:val="0"/>
        <w:autoSpaceDN w:val="0"/>
        <w:bidi w:val="0"/>
        <w:adjustRightInd/>
        <w:snapToGrid/>
        <w:spacing w:before="0" w:after="0" w:line="360" w:lineRule="auto"/>
        <w:ind w:left="0" w:firstLine="0"/>
        <w:textAlignment w:val="auto"/>
        <w:rPr>
          <w:rFonts w:ascii="仿宋" w:hAnsi="仿宋" w:eastAsia="仿宋" w:cs="仿宋"/>
          <w:szCs w:val="22"/>
          <w:u w:val="single"/>
          <w:lang w:val="en-US" w:eastAsia="zh-CN" w:bidi="ar-SA"/>
        </w:rPr>
      </w:pPr>
      <w:r>
        <w:rPr>
          <w:rFonts w:hint="eastAsia" w:ascii="仿宋" w:hAnsi="仿宋" w:eastAsia="仿宋" w:cs="仿宋"/>
          <w:sz w:val="24"/>
          <w:szCs w:val="24"/>
          <w:lang w:val="en-US" w:eastAsia="zh-CN" w:bidi="ar-SA"/>
        </w:rPr>
        <w:t>2.付款条件（进度和方式）：</w:t>
      </w:r>
      <w:r>
        <w:rPr>
          <w:rFonts w:hint="eastAsia" w:ascii="仿宋" w:hAnsi="仿宋" w:eastAsia="仿宋" w:cs="仿宋"/>
          <w:sz w:val="24"/>
          <w:szCs w:val="24"/>
          <w:u w:val="single"/>
          <w:lang w:val="en-US" w:eastAsia="zh-CN" w:bidi="ar-SA"/>
        </w:rPr>
        <w:t>完成全部成果支付合同总金额90%，项目验收合格后支付合同总金额的10%。</w:t>
      </w:r>
    </w:p>
    <w:p w14:paraId="08FABC61">
      <w:pPr>
        <w:keepNext w:val="0"/>
        <w:keepLines w:val="0"/>
        <w:pageBreakBefore w:val="0"/>
        <w:widowControl w:val="0"/>
        <w:tabs>
          <w:tab w:val="left" w:pos="470"/>
        </w:tabs>
        <w:kinsoku/>
        <w:wordWrap/>
        <w:overflowPunct/>
        <w:topLinePunct w:val="0"/>
        <w:autoSpaceDE w:val="0"/>
        <w:autoSpaceDN w:val="0"/>
        <w:bidi w:val="0"/>
        <w:adjustRightInd/>
        <w:snapToGrid/>
        <w:spacing w:before="0" w:after="0" w:line="360" w:lineRule="auto"/>
        <w:ind w:left="119" w:right="5886" w:rightChars="0" w:firstLine="0"/>
        <w:jc w:val="both"/>
        <w:textAlignment w:val="auto"/>
        <w:rPr>
          <w:rFonts w:ascii="仿宋" w:hAnsi="仿宋" w:eastAsia="仿宋" w:cs="仿宋"/>
          <w:sz w:val="24"/>
          <w:szCs w:val="22"/>
          <w:lang w:val="en-US" w:eastAsia="zh-CN" w:bidi="ar-SA"/>
        </w:rPr>
      </w:pPr>
      <w:r>
        <w:rPr>
          <w:rFonts w:hint="eastAsia" w:ascii="仿宋" w:hAnsi="仿宋" w:eastAsia="仿宋" w:cs="仿宋"/>
          <w:b/>
          <w:bCs/>
          <w:sz w:val="24"/>
          <w:szCs w:val="22"/>
          <w:lang w:val="en-US" w:eastAsia="zh-CN" w:bidi="ar-SA"/>
        </w:rPr>
        <w:t>三、技术要求</w:t>
      </w:r>
    </w:p>
    <w:p w14:paraId="0C09EF0C">
      <w:pPr>
        <w:keepNext w:val="0"/>
        <w:keepLines w:val="0"/>
        <w:pageBreakBefore w:val="0"/>
        <w:widowControl w:val="0"/>
        <w:tabs>
          <w:tab w:val="left" w:pos="470"/>
        </w:tabs>
        <w:kinsoku/>
        <w:wordWrap/>
        <w:overflowPunct/>
        <w:topLinePunct w:val="0"/>
        <w:autoSpaceDE w:val="0"/>
        <w:autoSpaceDN w:val="0"/>
        <w:bidi w:val="0"/>
        <w:adjustRightInd/>
        <w:snapToGrid/>
        <w:spacing w:before="0" w:after="0" w:line="360" w:lineRule="auto"/>
        <w:ind w:left="0" w:firstLine="0"/>
        <w:jc w:val="both"/>
        <w:textAlignment w:val="auto"/>
        <w:rPr>
          <w:rFonts w:ascii="仿宋" w:hAnsi="仿宋" w:eastAsia="仿宋" w:cs="仿宋"/>
          <w:b/>
          <w:bCs/>
          <w:sz w:val="24"/>
          <w:szCs w:val="22"/>
          <w:lang w:val="en-US" w:eastAsia="zh-CN" w:bidi="ar-SA"/>
        </w:rPr>
      </w:pPr>
      <w:r>
        <w:rPr>
          <w:rFonts w:hint="eastAsia" w:ascii="仿宋" w:hAnsi="仿宋" w:eastAsia="仿宋" w:cs="仿宋"/>
          <w:b/>
          <w:bCs/>
          <w:spacing w:val="-2"/>
          <w:w w:val="114"/>
          <w:sz w:val="24"/>
          <w:szCs w:val="24"/>
          <w:lang w:val="en-US" w:eastAsia="zh-CN" w:bidi="ar-SA"/>
        </w:rPr>
        <w:t>1.</w:t>
      </w:r>
      <w:r>
        <w:rPr>
          <w:rFonts w:hint="eastAsia" w:ascii="仿宋" w:hAnsi="仿宋" w:eastAsia="仿宋" w:cs="仿宋"/>
          <w:b/>
          <w:bCs/>
          <w:sz w:val="24"/>
          <w:szCs w:val="22"/>
          <w:lang w:val="en-US" w:eastAsia="zh-CN" w:bidi="ar-SA"/>
        </w:rPr>
        <w:t>基本要求</w:t>
      </w:r>
    </w:p>
    <w:p w14:paraId="1A50D732">
      <w:pPr>
        <w:keepNext w:val="0"/>
        <w:keepLines w:val="0"/>
        <w:pageBreakBefore w:val="0"/>
        <w:kinsoku/>
        <w:wordWrap/>
        <w:overflowPunct/>
        <w:topLinePunct w:val="0"/>
        <w:autoSpaceDE w:val="0"/>
        <w:autoSpaceDN w:val="0"/>
        <w:bidi w:val="0"/>
        <w:adjustRightInd/>
        <w:snapToGrid/>
        <w:spacing w:after="0" w:line="360" w:lineRule="auto"/>
        <w:jc w:val="both"/>
        <w:textAlignment w:val="auto"/>
        <w:rPr>
          <w:rFonts w:ascii="仿宋" w:hAnsi="仿宋" w:eastAsia="仿宋" w:cs="仿宋"/>
          <w:kern w:val="0"/>
          <w:sz w:val="24"/>
          <w:szCs w:val="22"/>
        </w:rPr>
      </w:pPr>
      <w:r>
        <w:rPr>
          <w:rFonts w:hint="eastAsia" w:ascii="仿宋" w:hAnsi="仿宋" w:eastAsia="仿宋" w:cs="仿宋"/>
          <w:kern w:val="0"/>
          <w:sz w:val="24"/>
          <w:szCs w:val="22"/>
        </w:rPr>
        <w:t>1.1采购标的需实现的功能或者目标</w:t>
      </w:r>
    </w:p>
    <w:p w14:paraId="61C889DC">
      <w:pPr>
        <w:keepNext w:val="0"/>
        <w:keepLines w:val="0"/>
        <w:pageBreakBefore w:val="0"/>
        <w:kinsoku/>
        <w:wordWrap/>
        <w:overflowPunct/>
        <w:topLinePunct w:val="0"/>
        <w:autoSpaceDE w:val="0"/>
        <w:autoSpaceDN w:val="0"/>
        <w:bidi w:val="0"/>
        <w:adjustRightInd/>
        <w:snapToGrid/>
        <w:spacing w:after="0" w:line="360" w:lineRule="auto"/>
        <w:ind w:firstLine="480" w:firstLineChars="200"/>
        <w:contextualSpacing/>
        <w:jc w:val="left"/>
        <w:textAlignment w:val="auto"/>
        <w:rPr>
          <w:rFonts w:hint="eastAsia" w:ascii="仿宋" w:hAnsi="仿宋" w:eastAsia="仿宋" w:cs="仿宋"/>
          <w:kern w:val="0"/>
          <w:sz w:val="24"/>
          <w:szCs w:val="22"/>
        </w:rPr>
      </w:pPr>
      <w:r>
        <w:rPr>
          <w:rFonts w:hint="eastAsia" w:ascii="仿宋" w:hAnsi="仿宋" w:eastAsia="仿宋" w:cs="仿宋"/>
          <w:kern w:val="0"/>
          <w:sz w:val="24"/>
          <w:szCs w:val="22"/>
        </w:rPr>
        <w:t>北京中西医结合医院是一所集医疗、教学、科研、预防保健、康复为一体，以中西医结合为特色的三级甲等中西医结合医院。根据《关于加强公立医院运营管理的指导意见》《公立医院全面预算管理制度实施办法》《国务院办公厅关于推动公立医院高质量发展的意见》《关于2024-2025年持续开展“公立医疗机构经济管理年”活动的通知》等文件要求，在中关村医院精细化运营管理体系建设顶层设计基础上，结合中西医结合医院学科定位与病种特点，拟通过构建具有中西医结合特色的医院全面预算和精细化运营管理模式。</w:t>
      </w:r>
    </w:p>
    <w:p w14:paraId="39E003BA">
      <w:pPr>
        <w:keepNext w:val="0"/>
        <w:keepLines w:val="0"/>
        <w:pageBreakBefore w:val="0"/>
        <w:kinsoku/>
        <w:wordWrap/>
        <w:overflowPunct/>
        <w:topLinePunct w:val="0"/>
        <w:autoSpaceDE w:val="0"/>
        <w:autoSpaceDN w:val="0"/>
        <w:bidi w:val="0"/>
        <w:adjustRightInd/>
        <w:snapToGrid/>
        <w:spacing w:after="0" w:line="360" w:lineRule="auto"/>
        <w:ind w:firstLine="480" w:firstLineChars="200"/>
        <w:contextualSpacing/>
        <w:jc w:val="left"/>
        <w:textAlignment w:val="auto"/>
        <w:rPr>
          <w:rFonts w:hint="eastAsia" w:ascii="仿宋" w:hAnsi="仿宋" w:eastAsia="仿宋" w:cs="仿宋"/>
          <w:kern w:val="0"/>
          <w:sz w:val="24"/>
          <w:szCs w:val="22"/>
        </w:rPr>
      </w:pPr>
      <w:r>
        <w:rPr>
          <w:rFonts w:hint="eastAsia" w:ascii="仿宋" w:hAnsi="仿宋" w:eastAsia="仿宋" w:cs="仿宋"/>
          <w:kern w:val="0"/>
          <w:sz w:val="24"/>
          <w:szCs w:val="22"/>
        </w:rPr>
        <w:t>本项目拟形成符合海淀区中西医结合医院战略定位及管理特色的公立医院高质量发展精细化运营管理模式，并探索在中西医结合医院特色重点专科开展运营管理模式创新，加快医院精细化运营管理进程，推动医院改变规模扩张的粗放式发展模式，转向内涵质量提升的集约式发展模式，助力医院实现从“经验管理”到“数据决策”转变，构建长期可持续发展的管理模式。</w:t>
      </w:r>
    </w:p>
    <w:p w14:paraId="3DF0561E">
      <w:pPr>
        <w:keepNext w:val="0"/>
        <w:keepLines w:val="0"/>
        <w:pageBreakBefore w:val="0"/>
        <w:kinsoku/>
        <w:wordWrap/>
        <w:overflowPunct/>
        <w:topLinePunct w:val="0"/>
        <w:autoSpaceDE w:val="0"/>
        <w:autoSpaceDN w:val="0"/>
        <w:bidi w:val="0"/>
        <w:adjustRightInd/>
        <w:snapToGrid/>
        <w:spacing w:after="0" w:line="360" w:lineRule="auto"/>
        <w:ind w:firstLine="480" w:firstLineChars="200"/>
        <w:contextualSpacing/>
        <w:jc w:val="left"/>
        <w:textAlignment w:val="auto"/>
        <w:rPr>
          <w:rFonts w:hint="eastAsia" w:ascii="仿宋" w:hAnsi="仿宋" w:eastAsia="仿宋" w:cs="仿宋"/>
          <w:kern w:val="0"/>
          <w:sz w:val="24"/>
          <w:szCs w:val="22"/>
        </w:rPr>
      </w:pPr>
      <w:r>
        <w:rPr>
          <w:rFonts w:hint="eastAsia" w:ascii="仿宋" w:hAnsi="仿宋" w:eastAsia="仿宋" w:cs="仿宋"/>
          <w:kern w:val="0"/>
          <w:sz w:val="24"/>
          <w:szCs w:val="22"/>
        </w:rPr>
        <w:t>1.服务内容一：对医院开展财务收支分析，结合医院总体定位与学科特点，识别影响医院运营管理的核心动因和关键要素，确定并优化医院开展精细化运营管理的核心运营战略，构建运营管理组织及工作机制。</w:t>
      </w:r>
    </w:p>
    <w:p w14:paraId="53308616">
      <w:pPr>
        <w:keepNext w:val="0"/>
        <w:keepLines w:val="0"/>
        <w:pageBreakBefore w:val="0"/>
        <w:kinsoku/>
        <w:wordWrap/>
        <w:overflowPunct/>
        <w:topLinePunct w:val="0"/>
        <w:autoSpaceDE w:val="0"/>
        <w:autoSpaceDN w:val="0"/>
        <w:bidi w:val="0"/>
        <w:adjustRightInd/>
        <w:snapToGrid/>
        <w:spacing w:after="0" w:line="360" w:lineRule="auto"/>
        <w:ind w:firstLine="480" w:firstLineChars="200"/>
        <w:contextualSpacing/>
        <w:jc w:val="left"/>
        <w:textAlignment w:val="auto"/>
        <w:rPr>
          <w:rFonts w:hint="eastAsia" w:ascii="仿宋" w:hAnsi="仿宋" w:eastAsia="仿宋" w:cs="仿宋"/>
          <w:kern w:val="0"/>
          <w:sz w:val="24"/>
          <w:szCs w:val="22"/>
        </w:rPr>
      </w:pPr>
      <w:r>
        <w:rPr>
          <w:rFonts w:hint="eastAsia" w:ascii="仿宋" w:hAnsi="仿宋" w:eastAsia="仿宋" w:cs="仿宋"/>
          <w:kern w:val="0"/>
          <w:sz w:val="24"/>
          <w:szCs w:val="22"/>
        </w:rPr>
        <w:t>2.服务内容二：借鉴国家及北京市经济管理考核指标体系，结合医院中西医特色，构建适用于医院的精细化运营管理监测指标体系，完成医院精细化运营管理监测指标体系建设及应用。</w:t>
      </w:r>
    </w:p>
    <w:p w14:paraId="2CEEACBF">
      <w:pPr>
        <w:keepNext w:val="0"/>
        <w:keepLines w:val="0"/>
        <w:pageBreakBefore w:val="0"/>
        <w:kinsoku/>
        <w:wordWrap/>
        <w:overflowPunct/>
        <w:topLinePunct w:val="0"/>
        <w:autoSpaceDE w:val="0"/>
        <w:autoSpaceDN w:val="0"/>
        <w:bidi w:val="0"/>
        <w:adjustRightInd/>
        <w:snapToGrid/>
        <w:spacing w:after="0" w:line="360" w:lineRule="auto"/>
        <w:ind w:firstLine="480" w:firstLineChars="200"/>
        <w:contextualSpacing/>
        <w:jc w:val="left"/>
        <w:textAlignment w:val="auto"/>
        <w:rPr>
          <w:rFonts w:hint="eastAsia" w:ascii="仿宋" w:hAnsi="仿宋" w:eastAsia="仿宋" w:cs="仿宋"/>
          <w:kern w:val="0"/>
          <w:sz w:val="24"/>
          <w:szCs w:val="22"/>
        </w:rPr>
      </w:pPr>
      <w:r>
        <w:rPr>
          <w:rFonts w:hint="eastAsia" w:ascii="仿宋" w:hAnsi="仿宋" w:eastAsia="仿宋" w:cs="仿宋"/>
          <w:kern w:val="0"/>
          <w:sz w:val="24"/>
          <w:szCs w:val="22"/>
        </w:rPr>
        <w:t>3.服务内容三：建立健全与医院实际运营活动相匹配的科室成本核算体系，并对医院重点专科科室运营效益开展分析，完成科室成本的核算体系构建及实际应用。</w:t>
      </w:r>
    </w:p>
    <w:p w14:paraId="5DC107E3">
      <w:pPr>
        <w:keepNext w:val="0"/>
        <w:keepLines w:val="0"/>
        <w:pageBreakBefore w:val="0"/>
        <w:kinsoku/>
        <w:wordWrap/>
        <w:overflowPunct/>
        <w:topLinePunct w:val="0"/>
        <w:autoSpaceDE w:val="0"/>
        <w:autoSpaceDN w:val="0"/>
        <w:bidi w:val="0"/>
        <w:adjustRightInd/>
        <w:snapToGrid/>
        <w:spacing w:after="0" w:line="360" w:lineRule="auto"/>
        <w:ind w:firstLine="480" w:firstLineChars="200"/>
        <w:contextualSpacing/>
        <w:jc w:val="left"/>
        <w:textAlignment w:val="auto"/>
        <w:rPr>
          <w:rFonts w:hint="eastAsia" w:ascii="仿宋" w:hAnsi="仿宋" w:eastAsia="仿宋" w:cs="仿宋"/>
          <w:kern w:val="0"/>
          <w:sz w:val="24"/>
          <w:szCs w:val="22"/>
        </w:rPr>
      </w:pPr>
      <w:r>
        <w:rPr>
          <w:rFonts w:hint="eastAsia" w:ascii="仿宋" w:hAnsi="仿宋" w:eastAsia="仿宋" w:cs="仿宋"/>
          <w:kern w:val="0"/>
          <w:sz w:val="24"/>
          <w:szCs w:val="22"/>
        </w:rPr>
        <w:t>4.服务内容四：系统地对医院的运营情况进行深入调研，梳理各类经济活动及业务活动管理流程，建立规范、细化、高效、可操作性强的全面预算管理体系及工作机制并配套信息化系统实现应用。</w:t>
      </w:r>
    </w:p>
    <w:p w14:paraId="3E188860">
      <w:pPr>
        <w:keepNext w:val="0"/>
        <w:keepLines w:val="0"/>
        <w:pageBreakBefore w:val="0"/>
        <w:kinsoku/>
        <w:wordWrap/>
        <w:overflowPunct/>
        <w:topLinePunct w:val="0"/>
        <w:autoSpaceDE w:val="0"/>
        <w:autoSpaceDN w:val="0"/>
        <w:bidi w:val="0"/>
        <w:adjustRightInd/>
        <w:snapToGrid/>
        <w:spacing w:after="0" w:line="360" w:lineRule="auto"/>
        <w:ind w:firstLine="480" w:firstLineChars="200"/>
        <w:contextualSpacing/>
        <w:jc w:val="left"/>
        <w:textAlignment w:val="auto"/>
        <w:rPr>
          <w:rFonts w:hint="eastAsia" w:ascii="仿宋" w:hAnsi="仿宋" w:eastAsia="仿宋" w:cs="仿宋"/>
          <w:kern w:val="0"/>
          <w:sz w:val="24"/>
          <w:szCs w:val="22"/>
        </w:rPr>
      </w:pPr>
      <w:r>
        <w:rPr>
          <w:rFonts w:hint="eastAsia" w:ascii="仿宋" w:hAnsi="仿宋" w:eastAsia="仿宋" w:cs="仿宋"/>
          <w:kern w:val="0"/>
          <w:sz w:val="24"/>
          <w:szCs w:val="22"/>
        </w:rPr>
        <w:t>5.服务内容五：建立健全与医院精细化运营管理适配的薪酬绩效管理体系，跟踪监测薪酬绩效体系的实施情况，构建与薪酬绩效分配方案相匹配的考核管理体系。</w:t>
      </w:r>
    </w:p>
    <w:p w14:paraId="107D7B33">
      <w:pPr>
        <w:keepNext w:val="0"/>
        <w:keepLines w:val="0"/>
        <w:pageBreakBefore w:val="0"/>
        <w:kinsoku/>
        <w:wordWrap/>
        <w:overflowPunct/>
        <w:topLinePunct w:val="0"/>
        <w:autoSpaceDE w:val="0"/>
        <w:autoSpaceDN w:val="0"/>
        <w:bidi w:val="0"/>
        <w:adjustRightInd/>
        <w:snapToGrid/>
        <w:spacing w:after="0" w:line="360" w:lineRule="auto"/>
        <w:contextualSpacing/>
        <w:jc w:val="left"/>
        <w:textAlignment w:val="auto"/>
        <w:rPr>
          <w:rFonts w:ascii="仿宋" w:hAnsi="仿宋" w:eastAsia="仿宋" w:cs="仿宋"/>
          <w:kern w:val="0"/>
          <w:sz w:val="24"/>
          <w:szCs w:val="22"/>
        </w:rPr>
      </w:pPr>
      <w:r>
        <w:rPr>
          <w:rFonts w:hint="eastAsia" w:ascii="仿宋" w:hAnsi="仿宋" w:eastAsia="仿宋" w:cs="仿宋"/>
          <w:kern w:val="0"/>
          <w:sz w:val="24"/>
          <w:szCs w:val="22"/>
        </w:rPr>
        <w:t>1.2 需执行的国家相关标准、行业标准、地方标准或者其他标准、规范</w:t>
      </w:r>
    </w:p>
    <w:p w14:paraId="5FFC0191">
      <w:pPr>
        <w:keepNext w:val="0"/>
        <w:keepLines w:val="0"/>
        <w:pageBreakBefore w:val="0"/>
        <w:kinsoku/>
        <w:wordWrap/>
        <w:overflowPunct/>
        <w:topLinePunct w:val="0"/>
        <w:autoSpaceDE w:val="0"/>
        <w:autoSpaceDN w:val="0"/>
        <w:bidi w:val="0"/>
        <w:adjustRightInd/>
        <w:snapToGrid/>
        <w:spacing w:after="0" w:line="360" w:lineRule="auto"/>
        <w:ind w:firstLine="480" w:firstLineChars="200"/>
        <w:contextualSpacing/>
        <w:jc w:val="left"/>
        <w:textAlignment w:val="auto"/>
        <w:rPr>
          <w:rFonts w:ascii="仿宋" w:hAnsi="仿宋" w:eastAsia="仿宋" w:cs="仿宋"/>
          <w:kern w:val="0"/>
          <w:sz w:val="24"/>
          <w:szCs w:val="22"/>
        </w:rPr>
      </w:pPr>
      <w:r>
        <w:rPr>
          <w:rFonts w:hint="eastAsia" w:ascii="仿宋" w:hAnsi="仿宋" w:eastAsia="仿宋" w:cs="仿宋"/>
          <w:kern w:val="0"/>
          <w:sz w:val="24"/>
          <w:szCs w:val="22"/>
        </w:rPr>
        <w:t>供应商应保证所提供的服务符合国家相关法律法规的要求。</w:t>
      </w:r>
    </w:p>
    <w:p w14:paraId="22A00B8E">
      <w:pPr>
        <w:keepNext w:val="0"/>
        <w:keepLines w:val="0"/>
        <w:pageBreakBefore w:val="0"/>
        <w:kinsoku/>
        <w:wordWrap/>
        <w:overflowPunct/>
        <w:topLinePunct w:val="0"/>
        <w:autoSpaceDE w:val="0"/>
        <w:autoSpaceDN w:val="0"/>
        <w:bidi w:val="0"/>
        <w:adjustRightInd/>
        <w:snapToGrid/>
        <w:spacing w:after="0" w:line="360" w:lineRule="auto"/>
        <w:contextualSpacing/>
        <w:jc w:val="left"/>
        <w:textAlignment w:val="auto"/>
        <w:rPr>
          <w:rFonts w:ascii="仿宋" w:hAnsi="仿宋" w:eastAsia="仿宋" w:cs="仿宋"/>
          <w:b/>
          <w:bCs/>
          <w:i/>
          <w:iCs/>
          <w:kern w:val="0"/>
          <w:sz w:val="24"/>
          <w:szCs w:val="22"/>
        </w:rPr>
      </w:pPr>
      <w:r>
        <w:rPr>
          <w:rFonts w:hint="eastAsia" w:ascii="仿宋" w:hAnsi="仿宋" w:eastAsia="仿宋" w:cs="仿宋"/>
          <w:b/>
          <w:bCs/>
          <w:kern w:val="0"/>
          <w:sz w:val="24"/>
          <w:szCs w:val="22"/>
        </w:rPr>
        <w:t>2 验收标准</w:t>
      </w:r>
    </w:p>
    <w:p w14:paraId="39657593">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outlineLvl w:val="9"/>
        <w:rPr>
          <w:rFonts w:hint="eastAsia" w:ascii="仿宋" w:hAnsi="仿宋" w:eastAsia="仿宋" w:cs="仿宋"/>
          <w:b w:val="0"/>
          <w:sz w:val="24"/>
          <w:szCs w:val="24"/>
          <w:lang w:val="en-US" w:eastAsia="zh-CN" w:bidi="ar-SA"/>
        </w:rPr>
      </w:pPr>
      <w:r>
        <w:rPr>
          <w:rFonts w:hint="eastAsia" w:ascii="仿宋" w:hAnsi="仿宋" w:eastAsia="仿宋" w:cs="仿宋"/>
          <w:b w:val="0"/>
          <w:sz w:val="24"/>
          <w:szCs w:val="24"/>
          <w:lang w:val="en-US" w:eastAsia="zh-CN" w:bidi="ar-SA"/>
        </w:rPr>
        <w:t>2.1验收内容</w:t>
      </w:r>
    </w:p>
    <w:p w14:paraId="752E2C81">
      <w:pPr>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440" w:firstLineChars="0"/>
        <w:jc w:val="both"/>
        <w:textAlignment w:val="auto"/>
        <w:outlineLvl w:val="9"/>
        <w:rPr>
          <w:rFonts w:hint="eastAsia" w:ascii="仿宋" w:hAnsi="仿宋" w:eastAsia="仿宋" w:cs="仿宋"/>
          <w:b w:val="0"/>
          <w:sz w:val="24"/>
          <w:szCs w:val="24"/>
          <w:lang w:val="en-US" w:eastAsia="zh-CN" w:bidi="ar-SA"/>
        </w:rPr>
      </w:pPr>
      <w:r>
        <w:rPr>
          <w:rFonts w:hint="eastAsia" w:ascii="仿宋" w:hAnsi="仿宋" w:eastAsia="仿宋" w:cs="仿宋"/>
          <w:b w:val="0"/>
          <w:sz w:val="24"/>
          <w:szCs w:val="24"/>
          <w:lang w:val="en-US" w:eastAsia="zh-CN" w:bidi="ar-SA"/>
        </w:rPr>
        <w:t>预期书面材料：</w:t>
      </w:r>
    </w:p>
    <w:p w14:paraId="4EBACED6">
      <w:pPr>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440" w:firstLineChars="0"/>
        <w:jc w:val="both"/>
        <w:textAlignment w:val="auto"/>
        <w:outlineLvl w:val="9"/>
        <w:rPr>
          <w:rFonts w:hint="eastAsia" w:ascii="仿宋" w:hAnsi="仿宋" w:eastAsia="仿宋" w:cs="仿宋"/>
          <w:b w:val="0"/>
          <w:sz w:val="24"/>
          <w:szCs w:val="24"/>
          <w:lang w:val="en-US" w:eastAsia="zh-CN" w:bidi="ar-SA"/>
        </w:rPr>
      </w:pPr>
      <w:r>
        <w:rPr>
          <w:rFonts w:hint="eastAsia" w:ascii="仿宋" w:hAnsi="仿宋" w:eastAsia="仿宋" w:cs="仿宋"/>
          <w:b w:val="0"/>
          <w:sz w:val="24"/>
          <w:szCs w:val="24"/>
          <w:lang w:val="en-US" w:eastAsia="zh-CN" w:bidi="ar-SA"/>
        </w:rPr>
        <w:t>2.1.1 形成1份《北京中西医结合医院运营战略分析报告》；1套《北京中西医结合医院运营管理规章制度汇编》；1份《北京中西医结合医院重点专科运营助理培训手册》；</w:t>
      </w:r>
    </w:p>
    <w:p w14:paraId="3BEC0113">
      <w:pPr>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440" w:firstLineChars="0"/>
        <w:jc w:val="both"/>
        <w:textAlignment w:val="auto"/>
        <w:outlineLvl w:val="9"/>
        <w:rPr>
          <w:rFonts w:hint="eastAsia" w:ascii="仿宋" w:hAnsi="仿宋" w:eastAsia="仿宋" w:cs="仿宋"/>
          <w:b w:val="0"/>
          <w:sz w:val="24"/>
          <w:szCs w:val="24"/>
          <w:lang w:val="en-US" w:eastAsia="zh-CN" w:bidi="ar-SA"/>
        </w:rPr>
      </w:pPr>
      <w:r>
        <w:rPr>
          <w:rFonts w:hint="eastAsia" w:ascii="仿宋" w:hAnsi="仿宋" w:eastAsia="仿宋" w:cs="仿宋"/>
          <w:b w:val="0"/>
          <w:sz w:val="24"/>
          <w:szCs w:val="24"/>
          <w:lang w:val="en-US" w:eastAsia="zh-CN" w:bidi="ar-SA"/>
        </w:rPr>
        <w:t>2.1.2 形成1套《北京中西医结合医院精细化运营管理监测指标操作手册》；配合完成1套医院运营管理数据监测平台的更新与应用；出具1份基于试点数据的运营分析报告；</w:t>
      </w:r>
    </w:p>
    <w:p w14:paraId="7DB6501F">
      <w:pPr>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440" w:firstLineChars="0"/>
        <w:jc w:val="both"/>
        <w:textAlignment w:val="auto"/>
        <w:outlineLvl w:val="9"/>
        <w:rPr>
          <w:rFonts w:hint="eastAsia" w:ascii="仿宋" w:hAnsi="仿宋" w:eastAsia="仿宋" w:cs="仿宋"/>
          <w:b w:val="0"/>
          <w:sz w:val="24"/>
          <w:szCs w:val="24"/>
          <w:lang w:val="en-US" w:eastAsia="zh-CN" w:bidi="ar-SA"/>
        </w:rPr>
      </w:pPr>
      <w:r>
        <w:rPr>
          <w:rFonts w:hint="eastAsia" w:ascii="仿宋" w:hAnsi="仿宋" w:eastAsia="仿宋" w:cs="仿宋"/>
          <w:b w:val="0"/>
          <w:sz w:val="24"/>
          <w:szCs w:val="24"/>
          <w:lang w:val="en-US" w:eastAsia="zh-CN" w:bidi="ar-SA"/>
        </w:rPr>
        <w:t>2.1.3 形成完成1份《北京中西医结合医院基于精细化运营管理的科室成本核算操作手册》、配合完成1套医院成本数据监测平台的更新与应用、3份《北京中西医结合医院重点专科科室层面效益分析报告》；</w:t>
      </w:r>
    </w:p>
    <w:p w14:paraId="42B6865F">
      <w:pPr>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440" w:firstLineChars="0"/>
        <w:jc w:val="both"/>
        <w:textAlignment w:val="auto"/>
        <w:outlineLvl w:val="9"/>
        <w:rPr>
          <w:rFonts w:hint="eastAsia" w:ascii="仿宋" w:hAnsi="仿宋" w:eastAsia="仿宋" w:cs="仿宋"/>
          <w:b w:val="0"/>
          <w:sz w:val="24"/>
          <w:szCs w:val="24"/>
          <w:lang w:val="en-US" w:eastAsia="zh-CN" w:bidi="ar-SA"/>
        </w:rPr>
      </w:pPr>
      <w:r>
        <w:rPr>
          <w:rFonts w:hint="eastAsia" w:ascii="仿宋" w:hAnsi="仿宋" w:eastAsia="仿宋" w:cs="仿宋"/>
          <w:b w:val="0"/>
          <w:sz w:val="24"/>
          <w:szCs w:val="24"/>
          <w:lang w:val="en-US" w:eastAsia="zh-CN" w:bidi="ar-SA"/>
        </w:rPr>
        <w:t>2.1.4 完成1套《北京中西医结合医院全面预算管理及精细化运营管理操作手册》、1套《北京中西医结合全面预算管理及精细化运营制度汇编》、更新1套适配医院的全面预算管理信息系统；</w:t>
      </w:r>
    </w:p>
    <w:p w14:paraId="38039F9D">
      <w:pPr>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440" w:firstLineChars="0"/>
        <w:jc w:val="both"/>
        <w:textAlignment w:val="auto"/>
        <w:outlineLvl w:val="9"/>
        <w:rPr>
          <w:rFonts w:hint="eastAsia" w:ascii="仿宋" w:hAnsi="仿宋" w:eastAsia="仿宋" w:cs="仿宋"/>
          <w:b w:val="0"/>
          <w:sz w:val="24"/>
          <w:szCs w:val="24"/>
          <w:lang w:val="en-US" w:eastAsia="zh-CN" w:bidi="ar-SA"/>
        </w:rPr>
      </w:pPr>
      <w:r>
        <w:rPr>
          <w:rFonts w:hint="eastAsia" w:ascii="仿宋" w:hAnsi="仿宋" w:eastAsia="仿宋" w:cs="仿宋"/>
          <w:b w:val="0"/>
          <w:sz w:val="24"/>
          <w:szCs w:val="24"/>
          <w:lang w:val="en-US" w:eastAsia="zh-CN" w:bidi="ar-SA"/>
        </w:rPr>
        <w:t>2.1.5 完成1份《绩效薪酬改革跟踪监测分析报告及优化方案》；1份《北京中西医结合医院科室绩效二次分配方案及操作手册》；1份《北京中西医结合医院科室绩效考核指南及实施细则》；</w:t>
      </w:r>
    </w:p>
    <w:p w14:paraId="3EB5D36F">
      <w:pPr>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440" w:firstLineChars="0"/>
        <w:jc w:val="both"/>
        <w:textAlignment w:val="auto"/>
        <w:outlineLvl w:val="9"/>
        <w:rPr>
          <w:rFonts w:hint="eastAsia" w:ascii="仿宋" w:hAnsi="仿宋" w:eastAsia="仿宋" w:cs="仿宋"/>
          <w:b w:val="0"/>
          <w:sz w:val="24"/>
          <w:szCs w:val="24"/>
          <w:lang w:val="en-US" w:eastAsia="zh-CN" w:bidi="ar-SA"/>
        </w:rPr>
      </w:pPr>
      <w:r>
        <w:rPr>
          <w:rFonts w:hint="eastAsia" w:ascii="仿宋" w:hAnsi="仿宋" w:eastAsia="仿宋" w:cs="仿宋"/>
          <w:b w:val="0"/>
          <w:sz w:val="24"/>
          <w:szCs w:val="24"/>
          <w:lang w:val="en-US" w:eastAsia="zh-CN" w:bidi="ar-SA"/>
        </w:rPr>
        <w:t>2.1.6 其他履约过程中的必要成果。</w:t>
      </w:r>
    </w:p>
    <w:p w14:paraId="6AB2799A">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outlineLvl w:val="9"/>
        <w:rPr>
          <w:rFonts w:hint="eastAsia" w:ascii="仿宋" w:hAnsi="仿宋" w:eastAsia="仿宋" w:cs="仿宋"/>
          <w:b w:val="0"/>
          <w:sz w:val="24"/>
          <w:szCs w:val="24"/>
          <w:lang w:val="en-US" w:eastAsia="zh-CN" w:bidi="ar-SA"/>
        </w:rPr>
      </w:pPr>
      <w:r>
        <w:rPr>
          <w:rFonts w:hint="eastAsia" w:ascii="仿宋" w:hAnsi="仿宋" w:eastAsia="仿宋" w:cs="仿宋"/>
          <w:b w:val="0"/>
          <w:sz w:val="24"/>
          <w:szCs w:val="24"/>
          <w:lang w:val="en-US" w:eastAsia="zh-CN" w:bidi="ar-SA"/>
        </w:rPr>
        <w:t>2.2验收标准</w:t>
      </w:r>
    </w:p>
    <w:p w14:paraId="3EF0D64D">
      <w:pPr>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440" w:firstLineChars="0"/>
        <w:jc w:val="both"/>
        <w:textAlignment w:val="auto"/>
        <w:outlineLvl w:val="9"/>
        <w:rPr>
          <w:rFonts w:hint="eastAsia" w:ascii="仿宋" w:hAnsi="仿宋" w:eastAsia="仿宋" w:cs="仿宋"/>
          <w:b w:val="0"/>
          <w:sz w:val="24"/>
          <w:szCs w:val="24"/>
          <w:lang w:val="en-US" w:eastAsia="zh-CN" w:bidi="ar-SA"/>
        </w:rPr>
      </w:pPr>
      <w:r>
        <w:rPr>
          <w:rFonts w:hint="eastAsia" w:ascii="仿宋" w:hAnsi="仿宋" w:eastAsia="仿宋" w:cs="仿宋"/>
          <w:b w:val="0"/>
          <w:sz w:val="24"/>
          <w:szCs w:val="24"/>
          <w:lang w:val="en-US" w:eastAsia="zh-CN" w:bidi="ar-SA"/>
        </w:rPr>
        <w:t xml:space="preserve">2.2.1采购标的需满足采购内容的质量要求、服务标准和期限要求。 </w:t>
      </w:r>
    </w:p>
    <w:p w14:paraId="5E3A90EC">
      <w:pPr>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440" w:firstLineChars="0"/>
        <w:jc w:val="both"/>
        <w:textAlignment w:val="auto"/>
        <w:outlineLvl w:val="9"/>
        <w:rPr>
          <w:rFonts w:ascii="仿宋" w:hAnsi="仿宋" w:eastAsia="仿宋" w:cs="仿宋"/>
          <w:b w:val="0"/>
          <w:sz w:val="24"/>
          <w:szCs w:val="24"/>
          <w:lang w:val="en-US" w:eastAsia="zh-CN" w:bidi="ar-SA"/>
        </w:rPr>
      </w:pPr>
      <w:r>
        <w:rPr>
          <w:rFonts w:hint="eastAsia" w:ascii="仿宋" w:hAnsi="仿宋" w:eastAsia="仿宋" w:cs="仿宋"/>
          <w:b w:val="0"/>
          <w:sz w:val="24"/>
          <w:szCs w:val="24"/>
          <w:lang w:val="en-US" w:eastAsia="zh-CN" w:bidi="ar-SA"/>
        </w:rPr>
        <w:t>2.2.2研究报告需满足采购方的应用场景需求。</w:t>
      </w:r>
    </w:p>
    <w:p w14:paraId="082BE867">
      <w:pPr>
        <w:keepNext w:val="0"/>
        <w:keepLines w:val="0"/>
        <w:pageBreakBefore w:val="0"/>
        <w:kinsoku/>
        <w:wordWrap/>
        <w:overflowPunct/>
        <w:topLinePunct w:val="0"/>
        <w:autoSpaceDE w:val="0"/>
        <w:autoSpaceDN w:val="0"/>
        <w:bidi w:val="0"/>
        <w:adjustRightInd/>
        <w:snapToGrid/>
        <w:spacing w:after="0" w:line="360" w:lineRule="auto"/>
        <w:contextualSpacing/>
        <w:jc w:val="left"/>
        <w:textAlignment w:val="auto"/>
        <w:rPr>
          <w:rFonts w:ascii="仿宋" w:hAnsi="仿宋" w:eastAsia="仿宋" w:cs="仿宋"/>
          <w:b/>
          <w:bCs/>
          <w:kern w:val="0"/>
          <w:sz w:val="24"/>
          <w:szCs w:val="22"/>
        </w:rPr>
      </w:pPr>
      <w:r>
        <w:rPr>
          <w:rFonts w:hint="eastAsia" w:ascii="仿宋" w:hAnsi="仿宋" w:eastAsia="仿宋" w:cs="仿宋"/>
          <w:b/>
          <w:bCs/>
          <w:kern w:val="0"/>
          <w:sz w:val="24"/>
          <w:szCs w:val="22"/>
        </w:rPr>
        <w:t>3. 服务内容要求、技术要求</w:t>
      </w:r>
    </w:p>
    <w:p w14:paraId="2537E2A2">
      <w:pPr>
        <w:keepNext w:val="0"/>
        <w:keepLines w:val="0"/>
        <w:pageBreakBefore w:val="0"/>
        <w:widowControl/>
        <w:kinsoku/>
        <w:wordWrap/>
        <w:overflowPunct/>
        <w:topLinePunct w:val="0"/>
        <w:autoSpaceDE w:val="0"/>
        <w:autoSpaceDN w:val="0"/>
        <w:bidi w:val="0"/>
        <w:adjustRightInd/>
        <w:snapToGrid/>
        <w:spacing w:after="0" w:line="360" w:lineRule="auto"/>
        <w:contextualSpacing/>
        <w:jc w:val="left"/>
        <w:textAlignment w:val="auto"/>
        <w:rPr>
          <w:rFonts w:ascii="仿宋" w:hAnsi="仿宋" w:eastAsia="仿宋" w:cs="仿宋"/>
          <w:b/>
          <w:bCs/>
          <w:kern w:val="0"/>
          <w:sz w:val="24"/>
          <w:szCs w:val="22"/>
        </w:rPr>
      </w:pPr>
      <w:r>
        <w:rPr>
          <w:rFonts w:hint="eastAsia" w:ascii="仿宋" w:hAnsi="仿宋" w:eastAsia="仿宋" w:cs="仿宋"/>
          <w:b/>
          <w:bCs/>
          <w:kern w:val="0"/>
          <w:sz w:val="24"/>
          <w:szCs w:val="22"/>
        </w:rPr>
        <w:t>3.1采购标的需满足的性能、材料、结构、外观、质量、安全、技术规格、物理特性等要求；</w:t>
      </w:r>
    </w:p>
    <w:p w14:paraId="5E0B324F">
      <w:pPr>
        <w:keepNext w:val="0"/>
        <w:keepLines w:val="0"/>
        <w:pageBreakBefore w:val="0"/>
        <w:widowControl/>
        <w:kinsoku/>
        <w:wordWrap/>
        <w:overflowPunct/>
        <w:topLinePunct w:val="0"/>
        <w:autoSpaceDE w:val="0"/>
        <w:autoSpaceDN w:val="0"/>
        <w:bidi w:val="0"/>
        <w:adjustRightInd/>
        <w:snapToGrid/>
        <w:spacing w:after="0" w:line="360" w:lineRule="auto"/>
        <w:ind w:firstLine="480" w:firstLineChars="200"/>
        <w:contextualSpacing/>
        <w:jc w:val="left"/>
        <w:textAlignment w:val="auto"/>
        <w:rPr>
          <w:rFonts w:hint="eastAsia" w:ascii="仿宋" w:hAnsi="仿宋" w:eastAsia="仿宋" w:cs="仿宋"/>
          <w:kern w:val="0"/>
          <w:sz w:val="24"/>
          <w:szCs w:val="22"/>
          <w:lang w:eastAsia="zh-CN"/>
        </w:rPr>
      </w:pPr>
      <w:r>
        <w:rPr>
          <w:rFonts w:hint="eastAsia" w:ascii="仿宋" w:hAnsi="仿宋" w:eastAsia="仿宋" w:cs="仿宋"/>
          <w:kern w:val="0"/>
          <w:sz w:val="24"/>
          <w:szCs w:val="22"/>
          <w:lang w:val="en-US" w:eastAsia="zh-CN"/>
        </w:rPr>
        <w:t>3</w:t>
      </w:r>
      <w:r>
        <w:rPr>
          <w:rFonts w:hint="eastAsia" w:ascii="仿宋" w:hAnsi="仿宋" w:eastAsia="仿宋" w:cs="仿宋"/>
          <w:kern w:val="0"/>
          <w:sz w:val="24"/>
          <w:szCs w:val="22"/>
          <w:lang w:eastAsia="zh-CN"/>
        </w:rPr>
        <w:t xml:space="preserve">.1.1服务内容： </w:t>
      </w:r>
    </w:p>
    <w:p w14:paraId="070F7199">
      <w:pPr>
        <w:keepNext w:val="0"/>
        <w:keepLines w:val="0"/>
        <w:pageBreakBefore w:val="0"/>
        <w:widowControl/>
        <w:kinsoku/>
        <w:wordWrap/>
        <w:overflowPunct/>
        <w:topLinePunct w:val="0"/>
        <w:autoSpaceDE w:val="0"/>
        <w:autoSpaceDN w:val="0"/>
        <w:bidi w:val="0"/>
        <w:adjustRightInd/>
        <w:snapToGrid/>
        <w:spacing w:after="0" w:line="360" w:lineRule="auto"/>
        <w:ind w:firstLine="480" w:firstLineChars="200"/>
        <w:contextualSpacing/>
        <w:jc w:val="left"/>
        <w:textAlignment w:val="auto"/>
        <w:rPr>
          <w:rFonts w:hint="eastAsia" w:ascii="仿宋" w:hAnsi="仿宋" w:eastAsia="仿宋" w:cs="仿宋"/>
          <w:kern w:val="0"/>
          <w:sz w:val="24"/>
          <w:szCs w:val="22"/>
          <w:lang w:eastAsia="zh-CN"/>
        </w:rPr>
      </w:pPr>
      <w:r>
        <w:rPr>
          <w:rFonts w:hint="eastAsia" w:ascii="仿宋" w:hAnsi="仿宋" w:eastAsia="仿宋" w:cs="仿宋"/>
          <w:kern w:val="0"/>
          <w:sz w:val="24"/>
          <w:szCs w:val="22"/>
          <w:lang w:eastAsia="zh-CN"/>
        </w:rPr>
        <w:t>1.服务内容一： 开展医院财务与业务运行分析，结合三级康复转型战略与中西医结合学科特色，识别运营管理关键驱动因素，优化核心运营战略，建立适配的运营管理组织架构与常态化工作机制。</w:t>
      </w:r>
    </w:p>
    <w:p w14:paraId="3EC718BE">
      <w:pPr>
        <w:keepNext w:val="0"/>
        <w:keepLines w:val="0"/>
        <w:pageBreakBefore w:val="0"/>
        <w:widowControl/>
        <w:kinsoku/>
        <w:wordWrap/>
        <w:overflowPunct/>
        <w:topLinePunct w:val="0"/>
        <w:autoSpaceDE w:val="0"/>
        <w:autoSpaceDN w:val="0"/>
        <w:bidi w:val="0"/>
        <w:adjustRightInd/>
        <w:snapToGrid/>
        <w:spacing w:after="0" w:line="360" w:lineRule="auto"/>
        <w:ind w:firstLine="480" w:firstLineChars="200"/>
        <w:contextualSpacing/>
        <w:jc w:val="left"/>
        <w:textAlignment w:val="auto"/>
        <w:rPr>
          <w:rFonts w:hint="eastAsia" w:ascii="仿宋" w:hAnsi="仿宋" w:eastAsia="仿宋" w:cs="仿宋"/>
          <w:kern w:val="0"/>
          <w:sz w:val="24"/>
          <w:szCs w:val="22"/>
          <w:lang w:eastAsia="zh-CN"/>
        </w:rPr>
      </w:pPr>
      <w:r>
        <w:rPr>
          <w:rFonts w:hint="eastAsia" w:ascii="仿宋" w:hAnsi="仿宋" w:eastAsia="仿宋" w:cs="仿宋"/>
          <w:kern w:val="0"/>
          <w:sz w:val="24"/>
          <w:szCs w:val="22"/>
          <w:lang w:eastAsia="zh-CN"/>
        </w:rPr>
        <w:t>2.服务内容二：精细化运营管理监测指标体系建设。借鉴国家及北京市相关考核要求，融合医院中西医结合与康复专科特色，构建覆盖医疗质量、运营效率与公益性的精细化运营管理监测指标体系，并推动其在数据平台中的落地应用。</w:t>
      </w:r>
    </w:p>
    <w:p w14:paraId="222076EF">
      <w:pPr>
        <w:keepNext w:val="0"/>
        <w:keepLines w:val="0"/>
        <w:pageBreakBefore w:val="0"/>
        <w:widowControl/>
        <w:kinsoku/>
        <w:wordWrap/>
        <w:overflowPunct/>
        <w:topLinePunct w:val="0"/>
        <w:autoSpaceDE w:val="0"/>
        <w:autoSpaceDN w:val="0"/>
        <w:bidi w:val="0"/>
        <w:adjustRightInd/>
        <w:snapToGrid/>
        <w:spacing w:after="0" w:line="360" w:lineRule="auto"/>
        <w:ind w:firstLine="480" w:firstLineChars="200"/>
        <w:contextualSpacing/>
        <w:jc w:val="left"/>
        <w:textAlignment w:val="auto"/>
        <w:rPr>
          <w:rFonts w:hint="eastAsia" w:ascii="仿宋" w:hAnsi="仿宋" w:eastAsia="仿宋" w:cs="仿宋"/>
          <w:kern w:val="0"/>
          <w:sz w:val="24"/>
          <w:szCs w:val="22"/>
          <w:lang w:eastAsia="zh-CN"/>
        </w:rPr>
      </w:pPr>
      <w:r>
        <w:rPr>
          <w:rFonts w:hint="eastAsia" w:ascii="仿宋" w:hAnsi="仿宋" w:eastAsia="仿宋" w:cs="仿宋"/>
          <w:kern w:val="0"/>
          <w:sz w:val="24"/>
          <w:szCs w:val="22"/>
          <w:lang w:eastAsia="zh-CN"/>
        </w:rPr>
        <w:t>3.服务内容三：科室成本核算与运营效益分析。建立与医院业务实际相符的科室成本核算方法，开展重点专科运营效益分析，形成可操作的成本核算体系并实现数据化应用，支撑资源优化配置与绩效决策。</w:t>
      </w:r>
    </w:p>
    <w:p w14:paraId="0EDCA97A">
      <w:pPr>
        <w:keepNext w:val="0"/>
        <w:keepLines w:val="0"/>
        <w:pageBreakBefore w:val="0"/>
        <w:widowControl/>
        <w:kinsoku/>
        <w:wordWrap/>
        <w:overflowPunct/>
        <w:topLinePunct w:val="0"/>
        <w:autoSpaceDE w:val="0"/>
        <w:autoSpaceDN w:val="0"/>
        <w:bidi w:val="0"/>
        <w:adjustRightInd/>
        <w:snapToGrid/>
        <w:spacing w:after="0" w:line="360" w:lineRule="auto"/>
        <w:ind w:firstLine="480" w:firstLineChars="200"/>
        <w:contextualSpacing/>
        <w:jc w:val="left"/>
        <w:textAlignment w:val="auto"/>
        <w:rPr>
          <w:rFonts w:hint="eastAsia" w:ascii="仿宋" w:hAnsi="仿宋" w:eastAsia="仿宋" w:cs="仿宋"/>
          <w:kern w:val="0"/>
          <w:sz w:val="24"/>
          <w:szCs w:val="22"/>
          <w:lang w:eastAsia="zh-CN"/>
        </w:rPr>
      </w:pPr>
      <w:r>
        <w:rPr>
          <w:rFonts w:hint="eastAsia" w:ascii="仿宋" w:hAnsi="仿宋" w:eastAsia="仿宋" w:cs="仿宋"/>
          <w:kern w:val="0"/>
          <w:sz w:val="24"/>
          <w:szCs w:val="22"/>
          <w:lang w:eastAsia="zh-CN"/>
        </w:rPr>
        <w:t>4.服务内容四：全面预算管理体系构建。梳理医院经济与业务管理流程，构建“业财融合、战略导向”的全面预算管理体系，制定配套制度机制，并通过信息化系统实现预算编制、执行、监控与分析的闭环管理。</w:t>
      </w:r>
    </w:p>
    <w:p w14:paraId="086E7A65">
      <w:pPr>
        <w:keepNext w:val="0"/>
        <w:keepLines w:val="0"/>
        <w:pageBreakBefore w:val="0"/>
        <w:widowControl/>
        <w:kinsoku/>
        <w:wordWrap/>
        <w:overflowPunct/>
        <w:topLinePunct w:val="0"/>
        <w:autoSpaceDE w:val="0"/>
        <w:autoSpaceDN w:val="0"/>
        <w:bidi w:val="0"/>
        <w:adjustRightInd/>
        <w:snapToGrid/>
        <w:spacing w:after="0" w:line="360" w:lineRule="auto"/>
        <w:ind w:firstLine="480" w:firstLineChars="200"/>
        <w:contextualSpacing/>
        <w:jc w:val="left"/>
        <w:textAlignment w:val="auto"/>
        <w:rPr>
          <w:rFonts w:hint="eastAsia" w:ascii="仿宋" w:hAnsi="仿宋" w:eastAsia="仿宋" w:cs="仿宋"/>
          <w:kern w:val="0"/>
          <w:sz w:val="24"/>
          <w:szCs w:val="22"/>
          <w:lang w:eastAsia="zh-CN"/>
        </w:rPr>
      </w:pPr>
      <w:r>
        <w:rPr>
          <w:rFonts w:hint="eastAsia" w:ascii="仿宋" w:hAnsi="仿宋" w:eastAsia="仿宋" w:cs="仿宋"/>
          <w:kern w:val="0"/>
          <w:sz w:val="24"/>
          <w:szCs w:val="22"/>
          <w:lang w:eastAsia="zh-CN"/>
        </w:rPr>
        <w:t>5.服务内容五：薪酬绩效管理体系优化。推动基于公益导向的薪酬绩效体系改革落地，开展岗位职责梳理与价值评估，优化科室及岗位绩效系数模型，完成与医院战略转型相匹配的精细化薪酬绩效管理能力体系建设。</w:t>
      </w:r>
    </w:p>
    <w:p w14:paraId="37A0F208">
      <w:pPr>
        <w:keepNext w:val="0"/>
        <w:keepLines w:val="0"/>
        <w:pageBreakBefore w:val="0"/>
        <w:widowControl/>
        <w:kinsoku/>
        <w:wordWrap/>
        <w:overflowPunct/>
        <w:topLinePunct w:val="0"/>
        <w:autoSpaceDE w:val="0"/>
        <w:autoSpaceDN w:val="0"/>
        <w:bidi w:val="0"/>
        <w:adjustRightInd/>
        <w:snapToGrid/>
        <w:spacing w:after="0" w:line="360" w:lineRule="auto"/>
        <w:ind w:firstLine="480" w:firstLineChars="200"/>
        <w:contextualSpacing/>
        <w:jc w:val="left"/>
        <w:textAlignment w:val="auto"/>
        <w:rPr>
          <w:rFonts w:hint="eastAsia" w:ascii="仿宋" w:hAnsi="仿宋" w:eastAsia="仿宋" w:cs="仿宋"/>
          <w:kern w:val="0"/>
          <w:sz w:val="24"/>
          <w:szCs w:val="22"/>
          <w:lang w:eastAsia="zh-CN"/>
        </w:rPr>
      </w:pPr>
      <w:r>
        <w:rPr>
          <w:rFonts w:hint="eastAsia" w:ascii="仿宋" w:hAnsi="仿宋" w:eastAsia="仿宋" w:cs="仿宋"/>
          <w:kern w:val="0"/>
          <w:sz w:val="24"/>
          <w:szCs w:val="22"/>
          <w:lang w:val="en-US" w:eastAsia="zh-CN"/>
        </w:rPr>
        <w:t>3</w:t>
      </w:r>
      <w:r>
        <w:rPr>
          <w:rFonts w:hint="eastAsia" w:ascii="仿宋" w:hAnsi="仿宋" w:eastAsia="仿宋" w:cs="仿宋"/>
          <w:kern w:val="0"/>
          <w:sz w:val="24"/>
          <w:szCs w:val="22"/>
          <w:lang w:eastAsia="zh-CN"/>
        </w:rPr>
        <w:t>.1.2质量要求：</w:t>
      </w:r>
    </w:p>
    <w:p w14:paraId="18C4191F">
      <w:pPr>
        <w:keepNext w:val="0"/>
        <w:keepLines w:val="0"/>
        <w:pageBreakBefore w:val="0"/>
        <w:widowControl/>
        <w:kinsoku/>
        <w:wordWrap/>
        <w:overflowPunct/>
        <w:topLinePunct w:val="0"/>
        <w:autoSpaceDE w:val="0"/>
        <w:autoSpaceDN w:val="0"/>
        <w:bidi w:val="0"/>
        <w:adjustRightInd/>
        <w:snapToGrid/>
        <w:spacing w:after="0" w:line="360" w:lineRule="auto"/>
        <w:ind w:firstLine="480" w:firstLineChars="200"/>
        <w:contextualSpacing/>
        <w:jc w:val="left"/>
        <w:textAlignment w:val="auto"/>
        <w:rPr>
          <w:rFonts w:hint="eastAsia" w:ascii="仿宋" w:hAnsi="仿宋" w:eastAsia="仿宋" w:cs="仿宋"/>
          <w:kern w:val="0"/>
          <w:sz w:val="24"/>
          <w:szCs w:val="22"/>
          <w:lang w:eastAsia="zh-CN"/>
        </w:rPr>
      </w:pPr>
      <w:r>
        <w:rPr>
          <w:rFonts w:hint="eastAsia" w:ascii="仿宋" w:hAnsi="仿宋" w:eastAsia="仿宋" w:cs="仿宋"/>
          <w:kern w:val="0"/>
          <w:sz w:val="24"/>
          <w:szCs w:val="22"/>
          <w:lang w:eastAsia="zh-CN"/>
        </w:rPr>
        <w:t>1.《北京中西医结合医院运营战略分析报告》具备合理性；</w:t>
      </w:r>
    </w:p>
    <w:p w14:paraId="05C3B3F5">
      <w:pPr>
        <w:keepNext w:val="0"/>
        <w:keepLines w:val="0"/>
        <w:pageBreakBefore w:val="0"/>
        <w:widowControl/>
        <w:kinsoku/>
        <w:wordWrap/>
        <w:overflowPunct/>
        <w:topLinePunct w:val="0"/>
        <w:autoSpaceDE w:val="0"/>
        <w:autoSpaceDN w:val="0"/>
        <w:bidi w:val="0"/>
        <w:adjustRightInd/>
        <w:snapToGrid/>
        <w:spacing w:after="0" w:line="360" w:lineRule="auto"/>
        <w:ind w:firstLine="480" w:firstLineChars="200"/>
        <w:contextualSpacing/>
        <w:jc w:val="left"/>
        <w:textAlignment w:val="auto"/>
        <w:rPr>
          <w:rFonts w:hint="eastAsia" w:ascii="仿宋" w:hAnsi="仿宋" w:eastAsia="仿宋" w:cs="仿宋"/>
          <w:kern w:val="0"/>
          <w:sz w:val="24"/>
          <w:szCs w:val="22"/>
          <w:lang w:eastAsia="zh-CN"/>
        </w:rPr>
      </w:pPr>
      <w:r>
        <w:rPr>
          <w:rFonts w:hint="eastAsia" w:ascii="仿宋" w:hAnsi="仿宋" w:eastAsia="仿宋" w:cs="仿宋"/>
          <w:kern w:val="0"/>
          <w:sz w:val="24"/>
          <w:szCs w:val="22"/>
          <w:lang w:eastAsia="zh-CN"/>
        </w:rPr>
        <w:t>2.《北京中西医结合医院运营管理规章制度汇编》具备可用性；</w:t>
      </w:r>
    </w:p>
    <w:p w14:paraId="5E307B5A">
      <w:pPr>
        <w:keepNext w:val="0"/>
        <w:keepLines w:val="0"/>
        <w:pageBreakBefore w:val="0"/>
        <w:widowControl/>
        <w:kinsoku/>
        <w:wordWrap/>
        <w:overflowPunct/>
        <w:topLinePunct w:val="0"/>
        <w:autoSpaceDE w:val="0"/>
        <w:autoSpaceDN w:val="0"/>
        <w:bidi w:val="0"/>
        <w:adjustRightInd/>
        <w:snapToGrid/>
        <w:spacing w:after="0" w:line="360" w:lineRule="auto"/>
        <w:ind w:firstLine="480" w:firstLineChars="200"/>
        <w:contextualSpacing/>
        <w:jc w:val="left"/>
        <w:textAlignment w:val="auto"/>
        <w:rPr>
          <w:rFonts w:hint="eastAsia" w:ascii="仿宋" w:hAnsi="仿宋" w:eastAsia="仿宋" w:cs="仿宋"/>
          <w:kern w:val="0"/>
          <w:sz w:val="24"/>
          <w:szCs w:val="22"/>
          <w:lang w:eastAsia="zh-CN"/>
        </w:rPr>
      </w:pPr>
      <w:r>
        <w:rPr>
          <w:rFonts w:hint="eastAsia" w:ascii="仿宋" w:hAnsi="仿宋" w:eastAsia="仿宋" w:cs="仿宋"/>
          <w:kern w:val="0"/>
          <w:sz w:val="24"/>
          <w:szCs w:val="22"/>
          <w:lang w:eastAsia="zh-CN"/>
        </w:rPr>
        <w:t>3.《北京中西医结合医院重点专科运营助理培训手册》具备可用性；</w:t>
      </w:r>
    </w:p>
    <w:p w14:paraId="2EDE8226">
      <w:pPr>
        <w:keepNext w:val="0"/>
        <w:keepLines w:val="0"/>
        <w:pageBreakBefore w:val="0"/>
        <w:widowControl/>
        <w:kinsoku/>
        <w:wordWrap/>
        <w:overflowPunct/>
        <w:topLinePunct w:val="0"/>
        <w:autoSpaceDE w:val="0"/>
        <w:autoSpaceDN w:val="0"/>
        <w:bidi w:val="0"/>
        <w:adjustRightInd/>
        <w:snapToGrid/>
        <w:spacing w:after="0" w:line="360" w:lineRule="auto"/>
        <w:ind w:firstLine="480" w:firstLineChars="200"/>
        <w:contextualSpacing/>
        <w:jc w:val="left"/>
        <w:textAlignment w:val="auto"/>
        <w:rPr>
          <w:rFonts w:hint="eastAsia" w:ascii="仿宋" w:hAnsi="仿宋" w:eastAsia="仿宋" w:cs="仿宋"/>
          <w:kern w:val="0"/>
          <w:sz w:val="24"/>
          <w:szCs w:val="22"/>
          <w:lang w:eastAsia="zh-CN"/>
        </w:rPr>
      </w:pPr>
      <w:r>
        <w:rPr>
          <w:rFonts w:hint="eastAsia" w:ascii="仿宋" w:hAnsi="仿宋" w:eastAsia="仿宋" w:cs="仿宋"/>
          <w:kern w:val="0"/>
          <w:sz w:val="24"/>
          <w:szCs w:val="22"/>
          <w:lang w:eastAsia="zh-CN"/>
        </w:rPr>
        <w:t>4.《北京中西医结合医院精细化运营管理监测指标操作手册》具备可用性；</w:t>
      </w:r>
    </w:p>
    <w:p w14:paraId="723D4271">
      <w:pPr>
        <w:keepNext w:val="0"/>
        <w:keepLines w:val="0"/>
        <w:pageBreakBefore w:val="0"/>
        <w:widowControl/>
        <w:kinsoku/>
        <w:wordWrap/>
        <w:overflowPunct/>
        <w:topLinePunct w:val="0"/>
        <w:autoSpaceDE w:val="0"/>
        <w:autoSpaceDN w:val="0"/>
        <w:bidi w:val="0"/>
        <w:adjustRightInd/>
        <w:snapToGrid/>
        <w:spacing w:after="0" w:line="360" w:lineRule="auto"/>
        <w:ind w:firstLine="480" w:firstLineChars="200"/>
        <w:contextualSpacing/>
        <w:jc w:val="left"/>
        <w:textAlignment w:val="auto"/>
        <w:rPr>
          <w:rFonts w:hint="eastAsia" w:ascii="仿宋" w:hAnsi="仿宋" w:eastAsia="仿宋" w:cs="仿宋"/>
          <w:kern w:val="0"/>
          <w:sz w:val="24"/>
          <w:szCs w:val="22"/>
          <w:lang w:eastAsia="zh-CN"/>
        </w:rPr>
      </w:pPr>
      <w:r>
        <w:rPr>
          <w:rFonts w:hint="eastAsia" w:ascii="仿宋" w:hAnsi="仿宋" w:eastAsia="仿宋" w:cs="仿宋"/>
          <w:kern w:val="0"/>
          <w:sz w:val="24"/>
          <w:szCs w:val="22"/>
          <w:lang w:eastAsia="zh-CN"/>
        </w:rPr>
        <w:t>5.医院运营管理数据监测平台具备可用性；</w:t>
      </w:r>
    </w:p>
    <w:p w14:paraId="36DA70A6">
      <w:pPr>
        <w:keepNext w:val="0"/>
        <w:keepLines w:val="0"/>
        <w:pageBreakBefore w:val="0"/>
        <w:widowControl/>
        <w:kinsoku/>
        <w:wordWrap/>
        <w:overflowPunct/>
        <w:topLinePunct w:val="0"/>
        <w:autoSpaceDE w:val="0"/>
        <w:autoSpaceDN w:val="0"/>
        <w:bidi w:val="0"/>
        <w:adjustRightInd/>
        <w:snapToGrid/>
        <w:spacing w:after="0" w:line="360" w:lineRule="auto"/>
        <w:ind w:firstLine="480" w:firstLineChars="200"/>
        <w:contextualSpacing/>
        <w:jc w:val="left"/>
        <w:textAlignment w:val="auto"/>
        <w:rPr>
          <w:rFonts w:hint="eastAsia" w:ascii="仿宋" w:hAnsi="仿宋" w:eastAsia="仿宋" w:cs="仿宋"/>
          <w:kern w:val="0"/>
          <w:sz w:val="24"/>
          <w:szCs w:val="22"/>
          <w:lang w:eastAsia="zh-CN"/>
        </w:rPr>
      </w:pPr>
      <w:r>
        <w:rPr>
          <w:rFonts w:hint="eastAsia" w:ascii="仿宋" w:hAnsi="仿宋" w:eastAsia="仿宋" w:cs="仿宋"/>
          <w:kern w:val="0"/>
          <w:sz w:val="24"/>
          <w:szCs w:val="22"/>
          <w:lang w:eastAsia="zh-CN"/>
        </w:rPr>
        <w:t>6.基于试点数据的医院运营分析报告具备准确性；</w:t>
      </w:r>
    </w:p>
    <w:p w14:paraId="5C55ECB2">
      <w:pPr>
        <w:keepNext w:val="0"/>
        <w:keepLines w:val="0"/>
        <w:pageBreakBefore w:val="0"/>
        <w:widowControl/>
        <w:kinsoku/>
        <w:wordWrap/>
        <w:overflowPunct/>
        <w:topLinePunct w:val="0"/>
        <w:autoSpaceDE w:val="0"/>
        <w:autoSpaceDN w:val="0"/>
        <w:bidi w:val="0"/>
        <w:adjustRightInd/>
        <w:snapToGrid/>
        <w:spacing w:after="0" w:line="360" w:lineRule="auto"/>
        <w:ind w:firstLine="480" w:firstLineChars="200"/>
        <w:contextualSpacing/>
        <w:jc w:val="left"/>
        <w:textAlignment w:val="auto"/>
        <w:rPr>
          <w:rFonts w:hint="eastAsia" w:ascii="仿宋" w:hAnsi="仿宋" w:eastAsia="仿宋" w:cs="仿宋"/>
          <w:kern w:val="0"/>
          <w:sz w:val="24"/>
          <w:szCs w:val="22"/>
          <w:lang w:eastAsia="zh-CN"/>
        </w:rPr>
      </w:pPr>
      <w:r>
        <w:rPr>
          <w:rFonts w:hint="eastAsia" w:ascii="仿宋" w:hAnsi="仿宋" w:eastAsia="仿宋" w:cs="仿宋"/>
          <w:kern w:val="0"/>
          <w:sz w:val="24"/>
          <w:szCs w:val="22"/>
          <w:lang w:eastAsia="zh-CN"/>
        </w:rPr>
        <w:t>7.医院基于精细化运营管理的科室成本核算操作手册具备合理性；</w:t>
      </w:r>
    </w:p>
    <w:p w14:paraId="473C41C0">
      <w:pPr>
        <w:keepNext w:val="0"/>
        <w:keepLines w:val="0"/>
        <w:pageBreakBefore w:val="0"/>
        <w:widowControl/>
        <w:kinsoku/>
        <w:wordWrap/>
        <w:overflowPunct/>
        <w:topLinePunct w:val="0"/>
        <w:autoSpaceDE w:val="0"/>
        <w:autoSpaceDN w:val="0"/>
        <w:bidi w:val="0"/>
        <w:adjustRightInd/>
        <w:snapToGrid/>
        <w:spacing w:after="0" w:line="360" w:lineRule="auto"/>
        <w:ind w:firstLine="480" w:firstLineChars="200"/>
        <w:contextualSpacing/>
        <w:jc w:val="left"/>
        <w:textAlignment w:val="auto"/>
        <w:rPr>
          <w:rFonts w:hint="eastAsia" w:ascii="仿宋" w:hAnsi="仿宋" w:eastAsia="仿宋" w:cs="仿宋"/>
          <w:kern w:val="0"/>
          <w:sz w:val="24"/>
          <w:szCs w:val="22"/>
          <w:lang w:eastAsia="zh-CN"/>
        </w:rPr>
      </w:pPr>
      <w:r>
        <w:rPr>
          <w:rFonts w:hint="eastAsia" w:ascii="仿宋" w:hAnsi="仿宋" w:eastAsia="仿宋" w:cs="仿宋"/>
          <w:kern w:val="0"/>
          <w:sz w:val="24"/>
          <w:szCs w:val="22"/>
          <w:lang w:eastAsia="zh-CN"/>
        </w:rPr>
        <w:t>8.医院成本数据监测平台具备可用性；</w:t>
      </w:r>
    </w:p>
    <w:p w14:paraId="686E17EB">
      <w:pPr>
        <w:keepNext w:val="0"/>
        <w:keepLines w:val="0"/>
        <w:pageBreakBefore w:val="0"/>
        <w:widowControl/>
        <w:kinsoku/>
        <w:wordWrap/>
        <w:overflowPunct/>
        <w:topLinePunct w:val="0"/>
        <w:autoSpaceDE w:val="0"/>
        <w:autoSpaceDN w:val="0"/>
        <w:bidi w:val="0"/>
        <w:adjustRightInd/>
        <w:snapToGrid/>
        <w:spacing w:after="0" w:line="360" w:lineRule="auto"/>
        <w:ind w:firstLine="480" w:firstLineChars="200"/>
        <w:contextualSpacing/>
        <w:jc w:val="left"/>
        <w:textAlignment w:val="auto"/>
        <w:rPr>
          <w:rFonts w:hint="eastAsia" w:ascii="仿宋" w:hAnsi="仿宋" w:eastAsia="仿宋" w:cs="仿宋"/>
          <w:kern w:val="0"/>
          <w:sz w:val="24"/>
          <w:szCs w:val="22"/>
          <w:lang w:eastAsia="zh-CN"/>
        </w:rPr>
      </w:pPr>
      <w:r>
        <w:rPr>
          <w:rFonts w:hint="eastAsia" w:ascii="仿宋" w:hAnsi="仿宋" w:eastAsia="仿宋" w:cs="仿宋"/>
          <w:kern w:val="0"/>
          <w:sz w:val="24"/>
          <w:szCs w:val="22"/>
          <w:lang w:eastAsia="zh-CN"/>
        </w:rPr>
        <w:t>9.《北京中西医结合医院科室运营管理分析报告》具备准确性；</w:t>
      </w:r>
    </w:p>
    <w:p w14:paraId="2C299ACF">
      <w:pPr>
        <w:keepNext w:val="0"/>
        <w:keepLines w:val="0"/>
        <w:pageBreakBefore w:val="0"/>
        <w:widowControl/>
        <w:kinsoku/>
        <w:wordWrap/>
        <w:overflowPunct/>
        <w:topLinePunct w:val="0"/>
        <w:autoSpaceDE w:val="0"/>
        <w:autoSpaceDN w:val="0"/>
        <w:bidi w:val="0"/>
        <w:adjustRightInd/>
        <w:snapToGrid/>
        <w:spacing w:after="0" w:line="360" w:lineRule="auto"/>
        <w:ind w:firstLine="480" w:firstLineChars="200"/>
        <w:contextualSpacing/>
        <w:jc w:val="left"/>
        <w:textAlignment w:val="auto"/>
        <w:rPr>
          <w:rFonts w:hint="eastAsia" w:ascii="仿宋" w:hAnsi="仿宋" w:eastAsia="仿宋" w:cs="仿宋"/>
          <w:kern w:val="0"/>
          <w:sz w:val="24"/>
          <w:szCs w:val="22"/>
          <w:lang w:eastAsia="zh-CN"/>
        </w:rPr>
      </w:pPr>
      <w:r>
        <w:rPr>
          <w:rFonts w:hint="eastAsia" w:ascii="仿宋" w:hAnsi="仿宋" w:eastAsia="仿宋" w:cs="仿宋"/>
          <w:kern w:val="0"/>
          <w:sz w:val="24"/>
          <w:szCs w:val="22"/>
          <w:lang w:eastAsia="zh-CN"/>
        </w:rPr>
        <w:t>10.《全面预算管理及精细化运营管理操作手册》具备可用性；</w:t>
      </w:r>
    </w:p>
    <w:p w14:paraId="3F050D3F">
      <w:pPr>
        <w:keepNext w:val="0"/>
        <w:keepLines w:val="0"/>
        <w:pageBreakBefore w:val="0"/>
        <w:widowControl/>
        <w:kinsoku/>
        <w:wordWrap/>
        <w:overflowPunct/>
        <w:topLinePunct w:val="0"/>
        <w:autoSpaceDE w:val="0"/>
        <w:autoSpaceDN w:val="0"/>
        <w:bidi w:val="0"/>
        <w:adjustRightInd/>
        <w:snapToGrid/>
        <w:spacing w:after="0" w:line="360" w:lineRule="auto"/>
        <w:ind w:firstLine="480" w:firstLineChars="200"/>
        <w:contextualSpacing/>
        <w:jc w:val="left"/>
        <w:textAlignment w:val="auto"/>
        <w:rPr>
          <w:rFonts w:hint="eastAsia" w:ascii="仿宋" w:hAnsi="仿宋" w:eastAsia="仿宋" w:cs="仿宋"/>
          <w:kern w:val="0"/>
          <w:sz w:val="24"/>
          <w:szCs w:val="22"/>
          <w:lang w:eastAsia="zh-CN"/>
        </w:rPr>
      </w:pPr>
      <w:r>
        <w:rPr>
          <w:rFonts w:hint="eastAsia" w:ascii="仿宋" w:hAnsi="仿宋" w:eastAsia="仿宋" w:cs="仿宋"/>
          <w:kern w:val="0"/>
          <w:sz w:val="24"/>
          <w:szCs w:val="22"/>
          <w:lang w:eastAsia="zh-CN"/>
        </w:rPr>
        <w:t>11.《北京中西医结合医院全面预算管理制度汇编》具备可用性；</w:t>
      </w:r>
    </w:p>
    <w:p w14:paraId="55585E4F">
      <w:pPr>
        <w:keepNext w:val="0"/>
        <w:keepLines w:val="0"/>
        <w:pageBreakBefore w:val="0"/>
        <w:widowControl/>
        <w:kinsoku/>
        <w:wordWrap/>
        <w:overflowPunct/>
        <w:topLinePunct w:val="0"/>
        <w:autoSpaceDE w:val="0"/>
        <w:autoSpaceDN w:val="0"/>
        <w:bidi w:val="0"/>
        <w:adjustRightInd/>
        <w:snapToGrid/>
        <w:spacing w:after="0" w:line="360" w:lineRule="auto"/>
        <w:ind w:firstLine="480" w:firstLineChars="200"/>
        <w:contextualSpacing/>
        <w:jc w:val="left"/>
        <w:textAlignment w:val="auto"/>
        <w:rPr>
          <w:rFonts w:hint="eastAsia" w:ascii="仿宋" w:hAnsi="仿宋" w:eastAsia="仿宋" w:cs="仿宋"/>
          <w:kern w:val="0"/>
          <w:sz w:val="24"/>
          <w:szCs w:val="22"/>
          <w:lang w:eastAsia="zh-CN"/>
        </w:rPr>
      </w:pPr>
      <w:r>
        <w:rPr>
          <w:rFonts w:hint="eastAsia" w:ascii="仿宋" w:hAnsi="仿宋" w:eastAsia="仿宋" w:cs="仿宋"/>
          <w:kern w:val="0"/>
          <w:sz w:val="24"/>
          <w:szCs w:val="22"/>
          <w:lang w:eastAsia="zh-CN"/>
        </w:rPr>
        <w:t>12.医院全面预算管理平台具备可用性；</w:t>
      </w:r>
    </w:p>
    <w:p w14:paraId="59E1949B">
      <w:pPr>
        <w:keepNext w:val="0"/>
        <w:keepLines w:val="0"/>
        <w:pageBreakBefore w:val="0"/>
        <w:widowControl/>
        <w:kinsoku/>
        <w:wordWrap/>
        <w:overflowPunct/>
        <w:topLinePunct w:val="0"/>
        <w:autoSpaceDE w:val="0"/>
        <w:autoSpaceDN w:val="0"/>
        <w:bidi w:val="0"/>
        <w:adjustRightInd/>
        <w:snapToGrid/>
        <w:spacing w:after="0" w:line="360" w:lineRule="auto"/>
        <w:ind w:firstLine="480" w:firstLineChars="200"/>
        <w:contextualSpacing/>
        <w:jc w:val="left"/>
        <w:textAlignment w:val="auto"/>
        <w:rPr>
          <w:rFonts w:hint="eastAsia" w:ascii="仿宋" w:hAnsi="仿宋" w:eastAsia="仿宋" w:cs="仿宋"/>
          <w:kern w:val="0"/>
          <w:sz w:val="24"/>
          <w:szCs w:val="22"/>
          <w:lang w:eastAsia="zh-CN"/>
        </w:rPr>
      </w:pPr>
      <w:r>
        <w:rPr>
          <w:rFonts w:hint="eastAsia" w:ascii="仿宋" w:hAnsi="仿宋" w:eastAsia="仿宋" w:cs="仿宋"/>
          <w:kern w:val="0"/>
          <w:sz w:val="24"/>
          <w:szCs w:val="22"/>
          <w:lang w:eastAsia="zh-CN"/>
        </w:rPr>
        <w:t>13.《绩效薪酬改革跟踪监测分析报告及优化方案》具备合理性；</w:t>
      </w:r>
    </w:p>
    <w:p w14:paraId="0300B6C4">
      <w:pPr>
        <w:keepNext w:val="0"/>
        <w:keepLines w:val="0"/>
        <w:pageBreakBefore w:val="0"/>
        <w:widowControl/>
        <w:kinsoku/>
        <w:wordWrap/>
        <w:overflowPunct/>
        <w:topLinePunct w:val="0"/>
        <w:autoSpaceDE w:val="0"/>
        <w:autoSpaceDN w:val="0"/>
        <w:bidi w:val="0"/>
        <w:adjustRightInd/>
        <w:snapToGrid/>
        <w:spacing w:after="0" w:line="360" w:lineRule="auto"/>
        <w:ind w:firstLine="480" w:firstLineChars="200"/>
        <w:contextualSpacing/>
        <w:jc w:val="left"/>
        <w:textAlignment w:val="auto"/>
        <w:rPr>
          <w:rFonts w:hint="eastAsia" w:ascii="仿宋" w:hAnsi="仿宋" w:eastAsia="仿宋" w:cs="仿宋"/>
          <w:kern w:val="0"/>
          <w:sz w:val="24"/>
          <w:szCs w:val="22"/>
          <w:lang w:eastAsia="zh-CN"/>
        </w:rPr>
      </w:pPr>
      <w:r>
        <w:rPr>
          <w:rFonts w:hint="eastAsia" w:ascii="仿宋" w:hAnsi="仿宋" w:eastAsia="仿宋" w:cs="仿宋"/>
          <w:kern w:val="0"/>
          <w:sz w:val="24"/>
          <w:szCs w:val="22"/>
          <w:lang w:eastAsia="zh-CN"/>
        </w:rPr>
        <w:t>14.《医院科室绩效二次分配方案及操作手册》具备可用性；</w:t>
      </w:r>
    </w:p>
    <w:p w14:paraId="322F14ED">
      <w:pPr>
        <w:keepNext w:val="0"/>
        <w:keepLines w:val="0"/>
        <w:pageBreakBefore w:val="0"/>
        <w:widowControl/>
        <w:kinsoku/>
        <w:wordWrap/>
        <w:overflowPunct/>
        <w:topLinePunct w:val="0"/>
        <w:autoSpaceDE w:val="0"/>
        <w:autoSpaceDN w:val="0"/>
        <w:bidi w:val="0"/>
        <w:adjustRightInd/>
        <w:snapToGrid/>
        <w:spacing w:after="0" w:line="360" w:lineRule="auto"/>
        <w:ind w:firstLine="480" w:firstLineChars="200"/>
        <w:contextualSpacing/>
        <w:jc w:val="left"/>
        <w:textAlignment w:val="auto"/>
        <w:rPr>
          <w:rFonts w:hint="eastAsia" w:ascii="仿宋" w:hAnsi="仿宋" w:eastAsia="仿宋" w:cs="仿宋"/>
          <w:kern w:val="0"/>
          <w:sz w:val="24"/>
          <w:szCs w:val="22"/>
          <w:lang w:eastAsia="zh-CN"/>
        </w:rPr>
      </w:pPr>
      <w:r>
        <w:rPr>
          <w:rFonts w:hint="eastAsia" w:ascii="仿宋" w:hAnsi="仿宋" w:eastAsia="仿宋" w:cs="仿宋"/>
          <w:kern w:val="0"/>
          <w:sz w:val="24"/>
          <w:szCs w:val="22"/>
          <w:lang w:eastAsia="zh-CN"/>
        </w:rPr>
        <w:t>15.《医院科室绩效考核指南及实施细则》可操作性。</w:t>
      </w:r>
    </w:p>
    <w:p w14:paraId="7BA9066B">
      <w:pPr>
        <w:keepNext w:val="0"/>
        <w:keepLines w:val="0"/>
        <w:pageBreakBefore w:val="0"/>
        <w:widowControl/>
        <w:kinsoku/>
        <w:wordWrap/>
        <w:overflowPunct/>
        <w:topLinePunct w:val="0"/>
        <w:autoSpaceDE w:val="0"/>
        <w:autoSpaceDN w:val="0"/>
        <w:bidi w:val="0"/>
        <w:adjustRightInd/>
        <w:snapToGrid/>
        <w:spacing w:after="0" w:line="360" w:lineRule="auto"/>
        <w:contextualSpacing/>
        <w:jc w:val="left"/>
        <w:textAlignment w:val="auto"/>
        <w:rPr>
          <w:rFonts w:ascii="仿宋" w:hAnsi="仿宋" w:eastAsia="仿宋" w:cs="仿宋"/>
          <w:b/>
          <w:bCs/>
          <w:kern w:val="0"/>
          <w:sz w:val="24"/>
          <w:szCs w:val="22"/>
        </w:rPr>
      </w:pPr>
      <w:r>
        <w:rPr>
          <w:rFonts w:hint="eastAsia" w:ascii="仿宋" w:hAnsi="仿宋" w:eastAsia="仿宋" w:cs="仿宋"/>
          <w:b/>
          <w:bCs/>
          <w:kern w:val="0"/>
          <w:sz w:val="24"/>
          <w:szCs w:val="22"/>
        </w:rPr>
        <w:t>3.2采购标的需满足的服务标准、期限、效率等要求；</w:t>
      </w:r>
    </w:p>
    <w:p w14:paraId="70F60343">
      <w:pPr>
        <w:keepNext w:val="0"/>
        <w:keepLines w:val="0"/>
        <w:pageBreakBefore w:val="0"/>
        <w:widowControl/>
        <w:kinsoku/>
        <w:wordWrap/>
        <w:overflowPunct/>
        <w:topLinePunct w:val="0"/>
        <w:autoSpaceDE w:val="0"/>
        <w:autoSpaceDN w:val="0"/>
        <w:bidi w:val="0"/>
        <w:adjustRightInd/>
        <w:snapToGrid/>
        <w:spacing w:after="0" w:line="360" w:lineRule="auto"/>
        <w:ind w:firstLine="480" w:firstLineChars="200"/>
        <w:contextualSpacing/>
        <w:jc w:val="left"/>
        <w:textAlignment w:val="auto"/>
        <w:rPr>
          <w:rFonts w:hint="eastAsia" w:ascii="仿宋" w:hAnsi="仿宋" w:eastAsia="仿宋" w:cs="仿宋"/>
          <w:kern w:val="0"/>
          <w:sz w:val="24"/>
          <w:szCs w:val="22"/>
        </w:rPr>
      </w:pPr>
      <w:r>
        <w:rPr>
          <w:rFonts w:hint="eastAsia" w:ascii="仿宋" w:hAnsi="仿宋" w:eastAsia="仿宋" w:cs="仿宋"/>
          <w:kern w:val="0"/>
          <w:sz w:val="24"/>
          <w:szCs w:val="22"/>
          <w:lang w:val="en-US" w:eastAsia="zh-CN"/>
        </w:rPr>
        <w:t>3</w:t>
      </w:r>
      <w:r>
        <w:rPr>
          <w:rFonts w:hint="eastAsia" w:ascii="仿宋" w:hAnsi="仿宋" w:eastAsia="仿宋" w:cs="仿宋"/>
          <w:kern w:val="0"/>
          <w:sz w:val="24"/>
          <w:szCs w:val="22"/>
        </w:rPr>
        <w:t>.2.1服务标准</w:t>
      </w:r>
    </w:p>
    <w:p w14:paraId="4E4D3E84">
      <w:pPr>
        <w:keepNext w:val="0"/>
        <w:keepLines w:val="0"/>
        <w:pageBreakBefore w:val="0"/>
        <w:widowControl/>
        <w:kinsoku/>
        <w:wordWrap/>
        <w:overflowPunct/>
        <w:topLinePunct w:val="0"/>
        <w:autoSpaceDE w:val="0"/>
        <w:autoSpaceDN w:val="0"/>
        <w:bidi w:val="0"/>
        <w:adjustRightInd/>
        <w:snapToGrid/>
        <w:spacing w:after="0" w:line="360" w:lineRule="auto"/>
        <w:ind w:firstLine="480" w:firstLineChars="200"/>
        <w:contextualSpacing/>
        <w:jc w:val="left"/>
        <w:textAlignment w:val="auto"/>
        <w:rPr>
          <w:rFonts w:hint="eastAsia" w:ascii="仿宋" w:hAnsi="仿宋" w:eastAsia="仿宋" w:cs="仿宋"/>
          <w:kern w:val="0"/>
          <w:sz w:val="24"/>
          <w:szCs w:val="22"/>
        </w:rPr>
      </w:pPr>
      <w:r>
        <w:rPr>
          <w:rFonts w:hint="eastAsia" w:ascii="仿宋" w:hAnsi="仿宋" w:eastAsia="仿宋" w:cs="仿宋"/>
          <w:kern w:val="0"/>
          <w:sz w:val="24"/>
          <w:szCs w:val="22"/>
        </w:rPr>
        <w:t>1.服务内容一：医院战略分析与精细化运营管理体系构建</w:t>
      </w:r>
    </w:p>
    <w:p w14:paraId="3A2F5F9E">
      <w:pPr>
        <w:keepNext w:val="0"/>
        <w:keepLines w:val="0"/>
        <w:pageBreakBefore w:val="0"/>
        <w:widowControl/>
        <w:kinsoku/>
        <w:wordWrap/>
        <w:overflowPunct/>
        <w:topLinePunct w:val="0"/>
        <w:autoSpaceDE w:val="0"/>
        <w:autoSpaceDN w:val="0"/>
        <w:bidi w:val="0"/>
        <w:adjustRightInd/>
        <w:snapToGrid/>
        <w:spacing w:after="0" w:line="360" w:lineRule="auto"/>
        <w:ind w:firstLine="480" w:firstLineChars="200"/>
        <w:contextualSpacing/>
        <w:jc w:val="left"/>
        <w:textAlignment w:val="auto"/>
        <w:rPr>
          <w:rFonts w:hint="eastAsia" w:ascii="仿宋" w:hAnsi="仿宋" w:eastAsia="仿宋" w:cs="仿宋"/>
          <w:kern w:val="0"/>
          <w:sz w:val="24"/>
          <w:szCs w:val="22"/>
        </w:rPr>
      </w:pPr>
      <w:r>
        <w:rPr>
          <w:rFonts w:hint="eastAsia" w:ascii="仿宋" w:hAnsi="仿宋" w:eastAsia="仿宋" w:cs="仿宋"/>
          <w:kern w:val="0"/>
          <w:sz w:val="24"/>
          <w:szCs w:val="22"/>
        </w:rPr>
        <w:t>2.完成医院财务收支及运营指标分析，识别影响医院运营管理的核心动因及要素，根据医院战略分析形成精细化运营实施路径，完成医院重点专科运营管理人员能力建设；</w:t>
      </w:r>
    </w:p>
    <w:p w14:paraId="7133A65A">
      <w:pPr>
        <w:keepNext w:val="0"/>
        <w:keepLines w:val="0"/>
        <w:pageBreakBefore w:val="0"/>
        <w:widowControl/>
        <w:kinsoku/>
        <w:wordWrap/>
        <w:overflowPunct/>
        <w:topLinePunct w:val="0"/>
        <w:autoSpaceDE w:val="0"/>
        <w:autoSpaceDN w:val="0"/>
        <w:bidi w:val="0"/>
        <w:adjustRightInd/>
        <w:snapToGrid/>
        <w:spacing w:after="0" w:line="360" w:lineRule="auto"/>
        <w:ind w:firstLine="480" w:firstLineChars="200"/>
        <w:contextualSpacing/>
        <w:jc w:val="left"/>
        <w:textAlignment w:val="auto"/>
        <w:rPr>
          <w:rFonts w:hint="eastAsia" w:ascii="仿宋" w:hAnsi="仿宋" w:eastAsia="仿宋" w:cs="仿宋"/>
          <w:kern w:val="0"/>
          <w:sz w:val="24"/>
          <w:szCs w:val="22"/>
        </w:rPr>
      </w:pPr>
      <w:r>
        <w:rPr>
          <w:rFonts w:hint="eastAsia" w:ascii="仿宋" w:hAnsi="仿宋" w:eastAsia="仿宋" w:cs="仿宋"/>
          <w:kern w:val="0"/>
          <w:sz w:val="24"/>
          <w:szCs w:val="22"/>
        </w:rPr>
        <w:t>3.建立健全医院运营管理组织体系，制定医院精细化运营管理总体策略及方案。</w:t>
      </w:r>
    </w:p>
    <w:p w14:paraId="5B02D9BB">
      <w:pPr>
        <w:keepNext w:val="0"/>
        <w:keepLines w:val="0"/>
        <w:pageBreakBefore w:val="0"/>
        <w:widowControl/>
        <w:kinsoku/>
        <w:wordWrap/>
        <w:overflowPunct/>
        <w:topLinePunct w:val="0"/>
        <w:autoSpaceDE w:val="0"/>
        <w:autoSpaceDN w:val="0"/>
        <w:bidi w:val="0"/>
        <w:adjustRightInd/>
        <w:snapToGrid/>
        <w:spacing w:after="0" w:line="360" w:lineRule="auto"/>
        <w:ind w:firstLine="480" w:firstLineChars="200"/>
        <w:contextualSpacing/>
        <w:jc w:val="left"/>
        <w:textAlignment w:val="auto"/>
        <w:rPr>
          <w:rFonts w:hint="eastAsia" w:ascii="仿宋" w:hAnsi="仿宋" w:eastAsia="仿宋" w:cs="仿宋"/>
          <w:kern w:val="0"/>
          <w:sz w:val="24"/>
          <w:szCs w:val="22"/>
        </w:rPr>
      </w:pPr>
      <w:r>
        <w:rPr>
          <w:rFonts w:hint="eastAsia" w:ascii="仿宋" w:hAnsi="仿宋" w:eastAsia="仿宋" w:cs="仿宋"/>
          <w:kern w:val="0"/>
          <w:sz w:val="24"/>
          <w:szCs w:val="22"/>
        </w:rPr>
        <w:t>4.服务内容二：基于中西医结合医院特色的运营分析监测指标体系构建</w:t>
      </w:r>
    </w:p>
    <w:p w14:paraId="1646718F">
      <w:pPr>
        <w:keepNext w:val="0"/>
        <w:keepLines w:val="0"/>
        <w:pageBreakBefore w:val="0"/>
        <w:widowControl/>
        <w:kinsoku/>
        <w:wordWrap/>
        <w:overflowPunct/>
        <w:topLinePunct w:val="0"/>
        <w:autoSpaceDE w:val="0"/>
        <w:autoSpaceDN w:val="0"/>
        <w:bidi w:val="0"/>
        <w:adjustRightInd/>
        <w:snapToGrid/>
        <w:spacing w:after="0" w:line="360" w:lineRule="auto"/>
        <w:ind w:firstLine="480" w:firstLineChars="200"/>
        <w:contextualSpacing/>
        <w:jc w:val="left"/>
        <w:textAlignment w:val="auto"/>
        <w:rPr>
          <w:rFonts w:hint="eastAsia" w:ascii="仿宋" w:hAnsi="仿宋" w:eastAsia="仿宋" w:cs="仿宋"/>
          <w:kern w:val="0"/>
          <w:sz w:val="24"/>
          <w:szCs w:val="22"/>
        </w:rPr>
      </w:pPr>
      <w:r>
        <w:rPr>
          <w:rFonts w:hint="eastAsia" w:ascii="仿宋" w:hAnsi="仿宋" w:eastAsia="仿宋" w:cs="仿宋"/>
          <w:kern w:val="0"/>
          <w:sz w:val="24"/>
          <w:szCs w:val="22"/>
        </w:rPr>
        <w:t>5.充分借鉴国家及北京市经济管理考核指标体系，构建适用于医院的精细化运营管理监测指标体系，完成医院精细化运营管理监测指标体系建设及应用。</w:t>
      </w:r>
    </w:p>
    <w:p w14:paraId="6BEFBD43">
      <w:pPr>
        <w:keepNext w:val="0"/>
        <w:keepLines w:val="0"/>
        <w:pageBreakBefore w:val="0"/>
        <w:widowControl/>
        <w:kinsoku/>
        <w:wordWrap/>
        <w:overflowPunct/>
        <w:topLinePunct w:val="0"/>
        <w:autoSpaceDE w:val="0"/>
        <w:autoSpaceDN w:val="0"/>
        <w:bidi w:val="0"/>
        <w:adjustRightInd/>
        <w:snapToGrid/>
        <w:spacing w:after="0" w:line="360" w:lineRule="auto"/>
        <w:ind w:firstLine="480" w:firstLineChars="200"/>
        <w:contextualSpacing/>
        <w:jc w:val="left"/>
        <w:textAlignment w:val="auto"/>
        <w:rPr>
          <w:rFonts w:hint="eastAsia" w:ascii="仿宋" w:hAnsi="仿宋" w:eastAsia="仿宋" w:cs="仿宋"/>
          <w:kern w:val="0"/>
          <w:sz w:val="24"/>
          <w:szCs w:val="22"/>
        </w:rPr>
      </w:pPr>
      <w:r>
        <w:rPr>
          <w:rFonts w:hint="eastAsia" w:ascii="仿宋" w:hAnsi="仿宋" w:eastAsia="仿宋" w:cs="仿宋"/>
          <w:kern w:val="0"/>
          <w:sz w:val="24"/>
          <w:szCs w:val="22"/>
        </w:rPr>
        <w:t>6.服务内容三：基于重点专科的医院科室成本核算及运营效益分析</w:t>
      </w:r>
    </w:p>
    <w:p w14:paraId="600FB8CC">
      <w:pPr>
        <w:keepNext w:val="0"/>
        <w:keepLines w:val="0"/>
        <w:pageBreakBefore w:val="0"/>
        <w:widowControl/>
        <w:kinsoku/>
        <w:wordWrap/>
        <w:overflowPunct/>
        <w:topLinePunct w:val="0"/>
        <w:autoSpaceDE w:val="0"/>
        <w:autoSpaceDN w:val="0"/>
        <w:bidi w:val="0"/>
        <w:adjustRightInd/>
        <w:snapToGrid/>
        <w:spacing w:after="0" w:line="360" w:lineRule="auto"/>
        <w:ind w:firstLine="480" w:firstLineChars="200"/>
        <w:contextualSpacing/>
        <w:jc w:val="left"/>
        <w:textAlignment w:val="auto"/>
        <w:rPr>
          <w:rFonts w:hint="eastAsia" w:ascii="仿宋" w:hAnsi="仿宋" w:eastAsia="仿宋" w:cs="仿宋"/>
          <w:kern w:val="0"/>
          <w:sz w:val="24"/>
          <w:szCs w:val="22"/>
        </w:rPr>
      </w:pPr>
      <w:r>
        <w:rPr>
          <w:rFonts w:hint="eastAsia" w:ascii="仿宋" w:hAnsi="仿宋" w:eastAsia="仿宋" w:cs="仿宋"/>
          <w:kern w:val="0"/>
          <w:sz w:val="24"/>
          <w:szCs w:val="22"/>
        </w:rPr>
        <w:t>7.依据医院发展与科室定位：对临床科室进行科室价值评估，确定科室系数，为绩效模型提供科室权重参数。</w:t>
      </w:r>
    </w:p>
    <w:p w14:paraId="6F3BE08A">
      <w:pPr>
        <w:keepNext w:val="0"/>
        <w:keepLines w:val="0"/>
        <w:pageBreakBefore w:val="0"/>
        <w:widowControl/>
        <w:kinsoku/>
        <w:wordWrap/>
        <w:overflowPunct/>
        <w:topLinePunct w:val="0"/>
        <w:autoSpaceDE w:val="0"/>
        <w:autoSpaceDN w:val="0"/>
        <w:bidi w:val="0"/>
        <w:adjustRightInd/>
        <w:snapToGrid/>
        <w:spacing w:after="0" w:line="360" w:lineRule="auto"/>
        <w:ind w:firstLine="480" w:firstLineChars="200"/>
        <w:contextualSpacing/>
        <w:jc w:val="left"/>
        <w:textAlignment w:val="auto"/>
        <w:rPr>
          <w:rFonts w:hint="eastAsia" w:ascii="仿宋" w:hAnsi="仿宋" w:eastAsia="仿宋" w:cs="仿宋"/>
          <w:kern w:val="0"/>
          <w:sz w:val="24"/>
          <w:szCs w:val="22"/>
        </w:rPr>
      </w:pPr>
      <w:r>
        <w:rPr>
          <w:rFonts w:hint="eastAsia" w:ascii="仿宋" w:hAnsi="仿宋" w:eastAsia="仿宋" w:cs="仿宋"/>
          <w:kern w:val="0"/>
          <w:sz w:val="24"/>
          <w:szCs w:val="22"/>
        </w:rPr>
        <w:t>8.依据医院上级主管政策、财务能力与行业对标：进行科室成本核算建模，确保成本核算体系的科学性和实用性，支持科室间的资源合理分配。</w:t>
      </w:r>
    </w:p>
    <w:p w14:paraId="3F853CEA">
      <w:pPr>
        <w:keepNext w:val="0"/>
        <w:keepLines w:val="0"/>
        <w:pageBreakBefore w:val="0"/>
        <w:widowControl/>
        <w:kinsoku/>
        <w:wordWrap/>
        <w:overflowPunct/>
        <w:topLinePunct w:val="0"/>
        <w:autoSpaceDE w:val="0"/>
        <w:autoSpaceDN w:val="0"/>
        <w:bidi w:val="0"/>
        <w:adjustRightInd/>
        <w:snapToGrid/>
        <w:spacing w:after="0" w:line="360" w:lineRule="auto"/>
        <w:ind w:firstLine="480" w:firstLineChars="200"/>
        <w:contextualSpacing/>
        <w:jc w:val="left"/>
        <w:textAlignment w:val="auto"/>
        <w:rPr>
          <w:rFonts w:hint="eastAsia" w:ascii="仿宋" w:hAnsi="仿宋" w:eastAsia="仿宋" w:cs="仿宋"/>
          <w:kern w:val="0"/>
          <w:sz w:val="24"/>
          <w:szCs w:val="22"/>
        </w:rPr>
      </w:pPr>
      <w:r>
        <w:rPr>
          <w:rFonts w:hint="eastAsia" w:ascii="仿宋" w:hAnsi="仿宋" w:eastAsia="仿宋" w:cs="仿宋"/>
          <w:kern w:val="0"/>
          <w:sz w:val="24"/>
          <w:szCs w:val="22"/>
        </w:rPr>
        <w:t>9.服务内容四：基于精细化运营管理的全面预算管理体系建设</w:t>
      </w:r>
    </w:p>
    <w:p w14:paraId="4C5937CA">
      <w:pPr>
        <w:keepNext w:val="0"/>
        <w:keepLines w:val="0"/>
        <w:pageBreakBefore w:val="0"/>
        <w:widowControl/>
        <w:kinsoku/>
        <w:wordWrap/>
        <w:overflowPunct/>
        <w:topLinePunct w:val="0"/>
        <w:autoSpaceDE w:val="0"/>
        <w:autoSpaceDN w:val="0"/>
        <w:bidi w:val="0"/>
        <w:adjustRightInd/>
        <w:snapToGrid/>
        <w:spacing w:after="0" w:line="360" w:lineRule="auto"/>
        <w:ind w:firstLine="480" w:firstLineChars="200"/>
        <w:contextualSpacing/>
        <w:jc w:val="left"/>
        <w:textAlignment w:val="auto"/>
        <w:rPr>
          <w:rFonts w:hint="eastAsia" w:ascii="仿宋" w:hAnsi="仿宋" w:eastAsia="仿宋" w:cs="仿宋"/>
          <w:kern w:val="0"/>
          <w:sz w:val="24"/>
          <w:szCs w:val="22"/>
        </w:rPr>
      </w:pPr>
      <w:r>
        <w:rPr>
          <w:rFonts w:hint="eastAsia" w:ascii="仿宋" w:hAnsi="仿宋" w:eastAsia="仿宋" w:cs="仿宋"/>
          <w:kern w:val="0"/>
          <w:sz w:val="24"/>
          <w:szCs w:val="22"/>
        </w:rPr>
        <w:t>10.依据医院发展和相关政策：结合医院实际情况，设计全面预算管理体系，涵盖收入预算、支出预算、资本性支出预算等方面，同时考虑国考、三级评审等政策要求。</w:t>
      </w:r>
    </w:p>
    <w:p w14:paraId="4FAF2069">
      <w:pPr>
        <w:keepNext w:val="0"/>
        <w:keepLines w:val="0"/>
        <w:pageBreakBefore w:val="0"/>
        <w:widowControl/>
        <w:kinsoku/>
        <w:wordWrap/>
        <w:overflowPunct/>
        <w:topLinePunct w:val="0"/>
        <w:autoSpaceDE w:val="0"/>
        <w:autoSpaceDN w:val="0"/>
        <w:bidi w:val="0"/>
        <w:adjustRightInd/>
        <w:snapToGrid/>
        <w:spacing w:after="0" w:line="360" w:lineRule="auto"/>
        <w:ind w:firstLine="480" w:firstLineChars="200"/>
        <w:contextualSpacing/>
        <w:jc w:val="left"/>
        <w:textAlignment w:val="auto"/>
        <w:rPr>
          <w:rFonts w:hint="eastAsia" w:ascii="仿宋" w:hAnsi="仿宋" w:eastAsia="仿宋" w:cs="仿宋"/>
          <w:kern w:val="0"/>
          <w:sz w:val="24"/>
          <w:szCs w:val="22"/>
        </w:rPr>
      </w:pPr>
      <w:r>
        <w:rPr>
          <w:rFonts w:hint="eastAsia" w:ascii="仿宋" w:hAnsi="仿宋" w:eastAsia="仿宋" w:cs="仿宋"/>
          <w:kern w:val="0"/>
          <w:sz w:val="24"/>
          <w:szCs w:val="22"/>
        </w:rPr>
        <w:t>11.服务内容五：基于公益性导向的薪酬绩效管理体系建设</w:t>
      </w:r>
    </w:p>
    <w:p w14:paraId="57538936">
      <w:pPr>
        <w:keepNext w:val="0"/>
        <w:keepLines w:val="0"/>
        <w:pageBreakBefore w:val="0"/>
        <w:widowControl/>
        <w:kinsoku/>
        <w:wordWrap/>
        <w:overflowPunct/>
        <w:topLinePunct w:val="0"/>
        <w:autoSpaceDE w:val="0"/>
        <w:autoSpaceDN w:val="0"/>
        <w:bidi w:val="0"/>
        <w:adjustRightInd/>
        <w:snapToGrid/>
        <w:spacing w:after="0" w:line="360" w:lineRule="auto"/>
        <w:ind w:firstLine="480" w:firstLineChars="200"/>
        <w:contextualSpacing/>
        <w:jc w:val="left"/>
        <w:textAlignment w:val="auto"/>
        <w:rPr>
          <w:rFonts w:hint="eastAsia" w:ascii="仿宋" w:hAnsi="仿宋" w:eastAsia="仿宋" w:cs="仿宋"/>
          <w:kern w:val="0"/>
          <w:sz w:val="24"/>
          <w:szCs w:val="22"/>
        </w:rPr>
      </w:pPr>
      <w:r>
        <w:rPr>
          <w:rFonts w:hint="eastAsia" w:ascii="仿宋" w:hAnsi="仿宋" w:eastAsia="仿宋" w:cs="仿宋"/>
          <w:kern w:val="0"/>
          <w:sz w:val="24"/>
          <w:szCs w:val="22"/>
        </w:rPr>
        <w:t>12.依据临床岗位等级原则：梳理临床岗位等级与绩效价值系数挂钩机制，确保薪酬绩效体系能够激励员工积极贡献。</w:t>
      </w:r>
    </w:p>
    <w:p w14:paraId="4A020E70">
      <w:pPr>
        <w:keepNext w:val="0"/>
        <w:keepLines w:val="0"/>
        <w:pageBreakBefore w:val="0"/>
        <w:widowControl/>
        <w:kinsoku/>
        <w:wordWrap/>
        <w:overflowPunct/>
        <w:topLinePunct w:val="0"/>
        <w:autoSpaceDE w:val="0"/>
        <w:autoSpaceDN w:val="0"/>
        <w:bidi w:val="0"/>
        <w:adjustRightInd/>
        <w:snapToGrid/>
        <w:spacing w:after="0" w:line="360" w:lineRule="auto"/>
        <w:ind w:firstLine="480" w:firstLineChars="200"/>
        <w:contextualSpacing/>
        <w:jc w:val="left"/>
        <w:textAlignment w:val="auto"/>
        <w:rPr>
          <w:rFonts w:hint="eastAsia" w:ascii="仿宋" w:hAnsi="仿宋" w:eastAsia="仿宋" w:cs="仿宋"/>
          <w:kern w:val="0"/>
          <w:sz w:val="24"/>
          <w:szCs w:val="22"/>
        </w:rPr>
      </w:pPr>
      <w:r>
        <w:rPr>
          <w:rFonts w:hint="eastAsia" w:ascii="仿宋" w:hAnsi="仿宋" w:eastAsia="仿宋" w:cs="仿宋"/>
          <w:kern w:val="0"/>
          <w:sz w:val="24"/>
          <w:szCs w:val="22"/>
        </w:rPr>
        <w:t>13.依据医院发展与相关政策：设计“院-科-岗”三级绩效考核体系，优化科级绩效管理方案，构建绩效目标-绩效考评-绩效沟通-绩效应用的闭环机制，促进医院整体运营效率和服务质量的提升。</w:t>
      </w:r>
    </w:p>
    <w:p w14:paraId="6872AA81">
      <w:pPr>
        <w:keepNext w:val="0"/>
        <w:keepLines w:val="0"/>
        <w:pageBreakBefore w:val="0"/>
        <w:widowControl/>
        <w:kinsoku/>
        <w:wordWrap/>
        <w:overflowPunct/>
        <w:topLinePunct w:val="0"/>
        <w:autoSpaceDE w:val="0"/>
        <w:autoSpaceDN w:val="0"/>
        <w:bidi w:val="0"/>
        <w:adjustRightInd/>
        <w:snapToGrid/>
        <w:spacing w:after="0" w:line="360" w:lineRule="auto"/>
        <w:ind w:firstLine="480" w:firstLineChars="200"/>
        <w:contextualSpacing/>
        <w:jc w:val="left"/>
        <w:textAlignment w:val="auto"/>
        <w:rPr>
          <w:rFonts w:hint="eastAsia" w:ascii="仿宋" w:hAnsi="仿宋" w:eastAsia="仿宋" w:cs="仿宋"/>
          <w:kern w:val="0"/>
          <w:sz w:val="24"/>
          <w:szCs w:val="22"/>
        </w:rPr>
      </w:pPr>
      <w:r>
        <w:rPr>
          <w:rFonts w:hint="eastAsia" w:ascii="仿宋" w:hAnsi="仿宋" w:eastAsia="仿宋" w:cs="仿宋"/>
          <w:kern w:val="0"/>
          <w:sz w:val="24"/>
          <w:szCs w:val="22"/>
        </w:rPr>
        <w:t>14.依据绩效考核和一次分配机制：提供各科室二次分配的绩效考核和绩效分配的指导意见，确保公平合理的绩效分配制度得以实施。</w:t>
      </w:r>
    </w:p>
    <w:p w14:paraId="6C39D2B8">
      <w:pPr>
        <w:keepNext w:val="0"/>
        <w:keepLines w:val="0"/>
        <w:pageBreakBefore w:val="0"/>
        <w:widowControl/>
        <w:kinsoku/>
        <w:wordWrap/>
        <w:overflowPunct/>
        <w:topLinePunct w:val="0"/>
        <w:autoSpaceDE w:val="0"/>
        <w:autoSpaceDN w:val="0"/>
        <w:bidi w:val="0"/>
        <w:adjustRightInd/>
        <w:snapToGrid/>
        <w:spacing w:after="0" w:line="360" w:lineRule="auto"/>
        <w:ind w:firstLine="480" w:firstLineChars="200"/>
        <w:contextualSpacing/>
        <w:jc w:val="left"/>
        <w:textAlignment w:val="auto"/>
        <w:rPr>
          <w:rFonts w:hint="eastAsia" w:ascii="仿宋" w:hAnsi="仿宋" w:eastAsia="仿宋" w:cs="仿宋"/>
          <w:kern w:val="0"/>
          <w:sz w:val="24"/>
          <w:szCs w:val="22"/>
        </w:rPr>
      </w:pPr>
      <w:r>
        <w:rPr>
          <w:rFonts w:hint="eastAsia" w:ascii="仿宋" w:hAnsi="仿宋" w:eastAsia="仿宋" w:cs="仿宋"/>
          <w:kern w:val="0"/>
          <w:sz w:val="24"/>
          <w:szCs w:val="22"/>
          <w:lang w:val="en-US" w:eastAsia="zh-CN"/>
        </w:rPr>
        <w:t>3</w:t>
      </w:r>
      <w:r>
        <w:rPr>
          <w:rFonts w:hint="eastAsia" w:ascii="仿宋" w:hAnsi="仿宋" w:eastAsia="仿宋" w:cs="仿宋"/>
          <w:kern w:val="0"/>
          <w:sz w:val="24"/>
          <w:szCs w:val="22"/>
        </w:rPr>
        <w:t>.2.2期限要求：</w:t>
      </w:r>
    </w:p>
    <w:p w14:paraId="41FB5218">
      <w:pPr>
        <w:keepNext w:val="0"/>
        <w:keepLines w:val="0"/>
        <w:pageBreakBefore w:val="0"/>
        <w:widowControl/>
        <w:kinsoku/>
        <w:wordWrap/>
        <w:overflowPunct/>
        <w:topLinePunct w:val="0"/>
        <w:autoSpaceDE w:val="0"/>
        <w:autoSpaceDN w:val="0"/>
        <w:bidi w:val="0"/>
        <w:adjustRightInd/>
        <w:snapToGrid/>
        <w:spacing w:after="0" w:line="360" w:lineRule="auto"/>
        <w:ind w:firstLine="480" w:firstLineChars="200"/>
        <w:contextualSpacing/>
        <w:jc w:val="left"/>
        <w:textAlignment w:val="auto"/>
        <w:rPr>
          <w:rFonts w:ascii="仿宋" w:hAnsi="仿宋" w:eastAsia="仿宋" w:cs="仿宋"/>
          <w:kern w:val="0"/>
          <w:sz w:val="24"/>
          <w:szCs w:val="22"/>
        </w:rPr>
      </w:pPr>
      <w:r>
        <w:rPr>
          <w:rFonts w:hint="eastAsia" w:ascii="仿宋" w:hAnsi="仿宋" w:eastAsia="仿宋" w:cs="仿宋"/>
          <w:kern w:val="0"/>
          <w:sz w:val="24"/>
          <w:szCs w:val="22"/>
        </w:rPr>
        <w:t>2025年12月31日前完成并提交相关成果产出。</w:t>
      </w:r>
    </w:p>
    <w:p w14:paraId="2B00CBEE">
      <w:pPr>
        <w:keepNext w:val="0"/>
        <w:keepLines w:val="0"/>
        <w:pageBreakBefore w:val="0"/>
        <w:tabs>
          <w:tab w:val="left" w:pos="900"/>
        </w:tabs>
        <w:kinsoku/>
        <w:wordWrap/>
        <w:overflowPunct/>
        <w:topLinePunct w:val="0"/>
        <w:autoSpaceDE w:val="0"/>
        <w:autoSpaceDN w:val="0"/>
        <w:bidi w:val="0"/>
        <w:adjustRightInd/>
        <w:snapToGrid/>
        <w:spacing w:after="0" w:line="360" w:lineRule="auto"/>
        <w:ind w:left="480" w:hanging="480" w:hangingChars="200"/>
        <w:jc w:val="left"/>
        <w:textAlignment w:val="auto"/>
        <w:rPr>
          <w:rFonts w:ascii="仿宋" w:hAnsi="仿宋" w:eastAsia="仿宋" w:cs="仿宋"/>
          <w:b/>
          <w:bCs/>
          <w:kern w:val="0"/>
          <w:sz w:val="24"/>
          <w:szCs w:val="22"/>
        </w:rPr>
      </w:pPr>
      <w:r>
        <w:rPr>
          <w:rFonts w:hint="eastAsia" w:ascii="仿宋" w:hAnsi="仿宋" w:eastAsia="仿宋" w:cs="仿宋"/>
          <w:kern w:val="0"/>
          <w:sz w:val="24"/>
          <w:szCs w:val="22"/>
        </w:rPr>
        <w:t>3.3为落实政府采购政策需满足的要求为落实政府采购政策需满足的要求</w:t>
      </w:r>
      <w:r>
        <w:rPr>
          <w:rFonts w:hint="eastAsia" w:ascii="仿宋" w:hAnsi="仿宋" w:eastAsia="仿宋" w:cs="仿宋"/>
          <w:b/>
          <w:bCs/>
          <w:kern w:val="0"/>
          <w:sz w:val="24"/>
          <w:szCs w:val="22"/>
        </w:rPr>
        <w:t>（专门面向中小企业采购或预留份额的情况不享受政策优惠扣除）</w:t>
      </w:r>
    </w:p>
    <w:p w14:paraId="5B1CB5EB">
      <w:pPr>
        <w:keepNext w:val="0"/>
        <w:keepLines w:val="0"/>
        <w:pageBreakBefore w:val="0"/>
        <w:tabs>
          <w:tab w:val="left" w:pos="900"/>
        </w:tabs>
        <w:kinsoku/>
        <w:wordWrap/>
        <w:overflowPunct/>
        <w:topLinePunct w:val="0"/>
        <w:autoSpaceDE w:val="0"/>
        <w:autoSpaceDN w:val="0"/>
        <w:bidi w:val="0"/>
        <w:adjustRightInd/>
        <w:snapToGrid/>
        <w:spacing w:after="0" w:line="360" w:lineRule="auto"/>
        <w:jc w:val="left"/>
        <w:textAlignment w:val="auto"/>
        <w:rPr>
          <w:rFonts w:ascii="仿宋" w:hAnsi="仿宋" w:eastAsia="仿宋" w:cs="仿宋"/>
          <w:kern w:val="0"/>
          <w:sz w:val="24"/>
          <w:szCs w:val="22"/>
        </w:rPr>
      </w:pPr>
      <w:r>
        <w:rPr>
          <w:rFonts w:hint="eastAsia" w:ascii="仿宋" w:hAnsi="仿宋" w:eastAsia="仿宋" w:cs="仿宋"/>
          <w:kern w:val="0"/>
          <w:sz w:val="24"/>
          <w:szCs w:val="22"/>
        </w:rPr>
        <w:t>1）促进中小企业发展政策：根据《政府采购促进中小企业发展管理办法》的通知（财库〔2020〕46号）规定，本项目供应商所投产品为中小企业制造或提供服务由中小企业承接的，</w:t>
      </w:r>
      <w:r>
        <w:rPr>
          <w:rFonts w:hint="eastAsia" w:ascii="仿宋" w:hAnsi="仿宋" w:eastAsia="仿宋" w:cs="仿宋"/>
          <w:b/>
          <w:bCs/>
          <w:kern w:val="0"/>
          <w:sz w:val="24"/>
          <w:szCs w:val="22"/>
        </w:rPr>
        <w:t>供应商应出具招标文件要求的《中小企业声明函》给予证明，否则评标时不予认可</w:t>
      </w:r>
      <w:r>
        <w:rPr>
          <w:rFonts w:hint="eastAsia" w:ascii="仿宋" w:hAnsi="仿宋" w:eastAsia="仿宋" w:cs="仿宋"/>
          <w:kern w:val="0"/>
          <w:sz w:val="24"/>
          <w:szCs w:val="22"/>
        </w:rPr>
        <w:t>。</w:t>
      </w:r>
      <w:r>
        <w:rPr>
          <w:rFonts w:hint="eastAsia" w:ascii="仿宋" w:hAnsi="仿宋" w:eastAsia="仿宋" w:cs="仿宋"/>
          <w:b/>
          <w:bCs/>
          <w:kern w:val="0"/>
          <w:sz w:val="24"/>
          <w:szCs w:val="22"/>
        </w:rPr>
        <w:t>供应商应对提交的中小企业声明函的真实性负责，</w:t>
      </w:r>
      <w:r>
        <w:rPr>
          <w:rFonts w:hint="eastAsia" w:ascii="仿宋" w:hAnsi="仿宋" w:eastAsia="仿宋" w:cs="仿宋"/>
          <w:kern w:val="0"/>
          <w:sz w:val="24"/>
          <w:szCs w:val="22"/>
        </w:rPr>
        <w:t>提交的中小企业声明函不真实的，应承担相应的法律责任。</w:t>
      </w:r>
    </w:p>
    <w:p w14:paraId="5BCE5927">
      <w:pPr>
        <w:keepNext w:val="0"/>
        <w:keepLines w:val="0"/>
        <w:pageBreakBefore w:val="0"/>
        <w:tabs>
          <w:tab w:val="left" w:pos="900"/>
        </w:tabs>
        <w:kinsoku/>
        <w:wordWrap/>
        <w:overflowPunct/>
        <w:topLinePunct w:val="0"/>
        <w:autoSpaceDE w:val="0"/>
        <w:autoSpaceDN w:val="0"/>
        <w:bidi w:val="0"/>
        <w:adjustRightInd/>
        <w:snapToGrid/>
        <w:spacing w:after="0" w:line="360" w:lineRule="auto"/>
        <w:jc w:val="left"/>
        <w:textAlignment w:val="auto"/>
        <w:rPr>
          <w:rFonts w:ascii="仿宋" w:hAnsi="仿宋" w:eastAsia="仿宋" w:cs="仿宋"/>
          <w:kern w:val="0"/>
          <w:sz w:val="24"/>
          <w:szCs w:val="22"/>
        </w:rPr>
      </w:pPr>
      <w:r>
        <w:rPr>
          <w:rFonts w:hint="eastAsia" w:ascii="仿宋" w:hAnsi="仿宋" w:eastAsia="仿宋" w:cs="仿宋"/>
          <w:kern w:val="0"/>
          <w:sz w:val="24"/>
          <w:szCs w:val="22"/>
        </w:rPr>
        <w:t>2）监狱企业扶持政策：供应商如为监狱企业将视同为小型或微型企业，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14:paraId="3519B81C">
      <w:pPr>
        <w:keepNext w:val="0"/>
        <w:keepLines w:val="0"/>
        <w:pageBreakBefore w:val="0"/>
        <w:tabs>
          <w:tab w:val="left" w:pos="900"/>
        </w:tabs>
        <w:kinsoku/>
        <w:wordWrap/>
        <w:overflowPunct/>
        <w:topLinePunct w:val="0"/>
        <w:autoSpaceDE w:val="0"/>
        <w:autoSpaceDN w:val="0"/>
        <w:bidi w:val="0"/>
        <w:adjustRightInd/>
        <w:snapToGrid/>
        <w:spacing w:after="0" w:line="360" w:lineRule="auto"/>
        <w:jc w:val="left"/>
        <w:textAlignment w:val="auto"/>
        <w:rPr>
          <w:rFonts w:ascii="仿宋" w:hAnsi="仿宋" w:eastAsia="仿宋" w:cs="仿宋"/>
          <w:kern w:val="0"/>
          <w:sz w:val="24"/>
          <w:szCs w:val="22"/>
        </w:rPr>
      </w:pPr>
      <w:r>
        <w:rPr>
          <w:rFonts w:hint="eastAsia" w:ascii="仿宋" w:hAnsi="仿宋" w:eastAsia="仿宋" w:cs="仿宋"/>
          <w:kern w:val="0"/>
          <w:sz w:val="24"/>
          <w:szCs w:val="22"/>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148DE15C">
      <w:pPr>
        <w:keepNext w:val="0"/>
        <w:keepLines w:val="0"/>
        <w:pageBreakBefore w:val="0"/>
        <w:tabs>
          <w:tab w:val="left" w:pos="900"/>
        </w:tabs>
        <w:kinsoku/>
        <w:wordWrap/>
        <w:overflowPunct/>
        <w:topLinePunct w:val="0"/>
        <w:autoSpaceDE w:val="0"/>
        <w:autoSpaceDN w:val="0"/>
        <w:bidi w:val="0"/>
        <w:adjustRightInd/>
        <w:snapToGrid/>
        <w:spacing w:after="0" w:line="360" w:lineRule="auto"/>
        <w:jc w:val="left"/>
        <w:textAlignment w:val="auto"/>
        <w:rPr>
          <w:rFonts w:ascii="仿宋" w:hAnsi="仿宋" w:eastAsia="仿宋" w:cs="仿宋"/>
          <w:kern w:val="0"/>
          <w:sz w:val="24"/>
          <w:szCs w:val="22"/>
        </w:rPr>
      </w:pPr>
      <w:r>
        <w:rPr>
          <w:rFonts w:hint="eastAsia" w:ascii="仿宋" w:hAnsi="仿宋" w:eastAsia="仿宋" w:cs="仿宋"/>
          <w:kern w:val="0"/>
          <w:sz w:val="24"/>
          <w:szCs w:val="22"/>
        </w:rPr>
        <w:t>4）鼓励节能、环保政策：依据《财政部发展改革委生态环境部市场监管总局关于调整优化节能产品、环境标志产品政府采购执行机制的通知（财库（2019）9号）》执行。</w:t>
      </w:r>
    </w:p>
    <w:p w14:paraId="70F75E68">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b/>
          <w:bCs/>
          <w:kern w:val="0"/>
          <w:sz w:val="24"/>
          <w:szCs w:val="22"/>
          <w:lang w:eastAsia="zh-CN"/>
        </w:rPr>
      </w:pPr>
      <w:r>
        <w:rPr>
          <w:rFonts w:hint="eastAsia" w:ascii="仿宋" w:hAnsi="仿宋" w:eastAsia="仿宋" w:cs="仿宋"/>
          <w:b/>
          <w:bCs/>
          <w:kern w:val="0"/>
          <w:sz w:val="24"/>
          <w:szCs w:val="22"/>
        </w:rPr>
        <w:t>3.4采购标的的其他技术、服务等要求</w:t>
      </w:r>
      <w:r>
        <w:rPr>
          <w:rFonts w:hint="eastAsia" w:ascii="仿宋" w:hAnsi="仿宋" w:eastAsia="仿宋" w:cs="仿宋"/>
          <w:b/>
          <w:bCs/>
          <w:kern w:val="0"/>
          <w:sz w:val="24"/>
          <w:szCs w:val="22"/>
          <w:lang w:eastAsia="zh-CN"/>
        </w:rPr>
        <w:t>：</w:t>
      </w:r>
    </w:p>
    <w:p w14:paraId="55E32048">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kern w:val="0"/>
          <w:sz w:val="24"/>
          <w:szCs w:val="22"/>
          <w:lang w:val="en-US" w:eastAsia="zh-CN"/>
        </w:rPr>
      </w:pPr>
      <w:r>
        <w:rPr>
          <w:rFonts w:hint="eastAsia" w:ascii="仿宋" w:hAnsi="仿宋" w:eastAsia="仿宋" w:cs="仿宋"/>
          <w:kern w:val="0"/>
          <w:sz w:val="24"/>
          <w:szCs w:val="22"/>
          <w:lang w:val="en-US" w:eastAsia="zh-CN"/>
        </w:rPr>
        <w:t>3.4.1 培训要求</w:t>
      </w:r>
    </w:p>
    <w:p w14:paraId="033BE0C3">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kern w:val="0"/>
          <w:sz w:val="24"/>
          <w:szCs w:val="22"/>
          <w:lang w:val="en-US" w:eastAsia="zh-CN"/>
        </w:rPr>
      </w:pPr>
      <w:r>
        <w:rPr>
          <w:rFonts w:hint="eastAsia" w:ascii="仿宋" w:hAnsi="仿宋" w:eastAsia="仿宋" w:cs="仿宋"/>
          <w:kern w:val="0"/>
          <w:sz w:val="24"/>
          <w:szCs w:val="22"/>
          <w:lang w:val="en-US" w:eastAsia="zh-CN"/>
        </w:rPr>
        <w:t>服务方委派经验丰富的专业技术人员在采购方使用现场对采购方工作人员进行精细化运营管理方案建设落地的全程辅导。</w:t>
      </w:r>
    </w:p>
    <w:p w14:paraId="457C45EF">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kern w:val="0"/>
          <w:sz w:val="24"/>
          <w:szCs w:val="22"/>
          <w:lang w:val="en-US" w:eastAsia="zh-CN"/>
        </w:rPr>
      </w:pPr>
      <w:r>
        <w:rPr>
          <w:rFonts w:hint="eastAsia" w:ascii="仿宋" w:hAnsi="仿宋" w:eastAsia="仿宋" w:cs="仿宋"/>
          <w:kern w:val="0"/>
          <w:sz w:val="24"/>
          <w:szCs w:val="22"/>
          <w:lang w:val="en-US" w:eastAsia="zh-CN"/>
        </w:rPr>
        <w:t>3.4.2 项目组织实施与服务要求</w:t>
      </w:r>
    </w:p>
    <w:p w14:paraId="15F0167B">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kern w:val="0"/>
          <w:sz w:val="24"/>
          <w:szCs w:val="22"/>
          <w:lang w:val="en-US" w:eastAsia="zh-CN"/>
        </w:rPr>
      </w:pPr>
      <w:r>
        <w:rPr>
          <w:rFonts w:hint="eastAsia" w:ascii="仿宋" w:hAnsi="仿宋" w:eastAsia="仿宋" w:cs="仿宋"/>
          <w:kern w:val="0"/>
          <w:sz w:val="24"/>
          <w:szCs w:val="22"/>
          <w:lang w:val="en-US" w:eastAsia="zh-CN"/>
        </w:rPr>
        <w:t>服务方需根据采购方要求协助组织并按约定参加服务相关的专家论证会、研讨会和总结会。</w:t>
      </w:r>
    </w:p>
    <w:p w14:paraId="36BF5204">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kern w:val="0"/>
          <w:sz w:val="24"/>
          <w:szCs w:val="22"/>
          <w:lang w:val="en-US" w:eastAsia="zh-CN"/>
        </w:rPr>
      </w:pPr>
    </w:p>
    <w:p w14:paraId="26C25DDC">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b/>
          <w:bCs/>
          <w:kern w:val="0"/>
          <w:sz w:val="24"/>
          <w:szCs w:val="22"/>
          <w:lang w:val="en-US" w:eastAsia="zh-CN"/>
        </w:rPr>
      </w:pPr>
      <w:r>
        <w:rPr>
          <w:rFonts w:hint="eastAsia" w:ascii="仿宋" w:hAnsi="仿宋" w:eastAsia="仿宋" w:cs="仿宋"/>
          <w:b/>
          <w:bCs/>
          <w:kern w:val="0"/>
          <w:sz w:val="24"/>
          <w:szCs w:val="22"/>
          <w:lang w:val="en-US" w:eastAsia="zh-CN"/>
        </w:rPr>
        <w:t>4. 其他要求</w:t>
      </w:r>
    </w:p>
    <w:p w14:paraId="1737E56C">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kern w:val="0"/>
          <w:sz w:val="24"/>
          <w:szCs w:val="22"/>
          <w:lang w:val="en-US" w:eastAsia="zh-CN"/>
        </w:rPr>
      </w:pPr>
      <w:r>
        <w:rPr>
          <w:rFonts w:hint="eastAsia" w:ascii="仿宋" w:hAnsi="仿宋" w:eastAsia="仿宋" w:cs="仿宋"/>
          <w:kern w:val="0"/>
          <w:sz w:val="24"/>
          <w:szCs w:val="22"/>
          <w:lang w:val="en-US" w:eastAsia="zh-CN"/>
        </w:rPr>
        <w:t>4.1要求服务方兼具医疗服务背景、运营咨询经验和财务管理技术。</w:t>
      </w:r>
    </w:p>
    <w:p w14:paraId="7C3D67B0">
      <w:pPr>
        <w:keepNext w:val="0"/>
        <w:keepLines w:val="0"/>
        <w:pageBreakBefore w:val="0"/>
        <w:kinsoku/>
        <w:wordWrap/>
        <w:overflowPunct/>
        <w:topLinePunct w:val="0"/>
        <w:autoSpaceDE w:val="0"/>
        <w:autoSpaceDN w:val="0"/>
        <w:bidi w:val="0"/>
        <w:adjustRightInd/>
        <w:snapToGrid/>
        <w:spacing w:after="0" w:line="360" w:lineRule="auto"/>
        <w:jc w:val="left"/>
        <w:textAlignment w:val="auto"/>
        <w:rPr>
          <w:rFonts w:hint="eastAsia" w:ascii="仿宋" w:hAnsi="仿宋" w:eastAsia="仿宋" w:cs="仿宋"/>
          <w:kern w:val="0"/>
          <w:sz w:val="24"/>
          <w:szCs w:val="22"/>
          <w:lang w:val="en-US" w:eastAsia="zh-CN"/>
        </w:rPr>
      </w:pPr>
      <w:r>
        <w:rPr>
          <w:rFonts w:hint="eastAsia" w:ascii="仿宋" w:hAnsi="仿宋" w:eastAsia="仿宋" w:cs="仿宋"/>
          <w:kern w:val="0"/>
          <w:sz w:val="24"/>
          <w:szCs w:val="22"/>
          <w:lang w:val="en-US" w:eastAsia="zh-CN"/>
        </w:rPr>
        <w:t>4.2 需拟定针对本项目的服务团队、人员组成、工作经验、人员分工、管理制度等，人员需有类似业务工作经验（2年（含）以上）。</w:t>
      </w:r>
    </w:p>
    <w:p w14:paraId="3F138BF2">
      <w:pPr>
        <w:autoSpaceDE w:val="0"/>
        <w:autoSpaceDN w:val="0"/>
        <w:spacing w:after="0" w:line="240" w:lineRule="auto"/>
        <w:jc w:val="left"/>
        <w:rPr>
          <w:rFonts w:hint="eastAsia" w:ascii="仿宋" w:hAnsi="仿宋" w:eastAsia="仿宋" w:cs="仿宋"/>
          <w:kern w:val="0"/>
          <w:sz w:val="24"/>
          <w:szCs w:val="22"/>
          <w:lang w:val="en-US" w:eastAsia="zh-CN"/>
        </w:rPr>
      </w:pPr>
      <w:r>
        <w:rPr>
          <w:rFonts w:hint="eastAsia" w:ascii="仿宋" w:hAnsi="仿宋" w:eastAsia="仿宋" w:cs="仿宋"/>
          <w:kern w:val="0"/>
          <w:sz w:val="24"/>
          <w:szCs w:val="22"/>
          <w:lang w:val="en-US" w:eastAsia="zh-CN"/>
        </w:rPr>
        <w:br w:type="page"/>
      </w:r>
    </w:p>
    <w:p w14:paraId="0B737AE4">
      <w:pPr>
        <w:widowControl w:val="0"/>
        <w:autoSpaceDE w:val="0"/>
        <w:autoSpaceDN w:val="0"/>
        <w:adjustRightInd w:val="0"/>
        <w:spacing w:after="160" w:line="278" w:lineRule="auto"/>
        <w:rPr>
          <w:rFonts w:hint="eastAsia" w:ascii="仿宋" w:hAnsi="仿宋" w:eastAsia="仿宋" w:cs="仿宋"/>
          <w:color w:val="000000"/>
          <w:sz w:val="24"/>
          <w:szCs w:val="24"/>
          <w:lang w:val="en-US" w:eastAsia="zh-CN" w:bidi="ar-SA"/>
        </w:rPr>
      </w:pPr>
    </w:p>
    <w:p w14:paraId="51B4147B">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A0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2025-11-14T04:56:55Z</dcterms:created>
  <dc:creator>KB110</dc:creator>
  <cp:lastModifiedBy>KB110</cp:lastModifiedBy>
  <dcterms:modified xsi:type="dcterms:W3CDTF">2025-11-14T04:58:09Z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eyJoZGlkIjoiYzJkNmQ0NDE4YzEzNGRmM2Y2YjQ4M2I3YzVkZjVlNzUiLCJ1c2VySWQiOiI0MzU0Njc3NTAifQ==</vt:lpwstr>
  </property>
  <property fmtid="{D5CDD505-2E9C-101B-9397-08002B2CF9AE}" pid="4" name="ICV">
    <vt:lpwstr>55F5D9A3F81244AA95F3E07CAEF55766_12</vt:lpwstr>
  </property>
</Properties>
</file>