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D79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1E88B1C6">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E6B534D">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2025-2026年魏善庄镇人民政府物业服务项目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11月21日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11月27日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1C7B95D3">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35393621"/>
      <w:bookmarkStart w:id="2" w:name="_Toc35393790"/>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093F8EA">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11011525210200029229-XM001</w:t>
      </w:r>
    </w:p>
    <w:p w14:paraId="620E4A5C">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2025-2026年魏善庄镇人民政府物业服务项目</w:t>
      </w:r>
    </w:p>
    <w:bookmarkEnd w:id="4"/>
    <w:p w14:paraId="33FD4BD6">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125</w:t>
      </w:r>
      <w:r>
        <w:rPr>
          <w:rFonts w:hint="eastAsia" w:ascii="仿宋" w:hAnsi="仿宋" w:eastAsia="仿宋" w:cs="仿宋"/>
          <w:color w:val="auto"/>
          <w:sz w:val="24"/>
          <w:szCs w:val="24"/>
          <w:u w:val="none"/>
          <w:lang w:val="en-US" w:eastAsia="zh-CN"/>
        </w:rPr>
        <w:t>万元</w:t>
      </w:r>
    </w:p>
    <w:p w14:paraId="31C68AA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43977D9F">
      <w:pPr>
        <w:adjustRightInd/>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合同履行期限：</w:t>
      </w:r>
      <w:r>
        <w:rPr>
          <w:rFonts w:hint="eastAsia" w:ascii="仿宋" w:hAnsi="仿宋" w:eastAsia="仿宋" w:cs="仿宋"/>
          <w:b w:val="0"/>
          <w:bCs w:val="0"/>
          <w:color w:val="auto"/>
          <w:sz w:val="24"/>
          <w:szCs w:val="28"/>
          <w:lang w:eastAsia="zh-CN"/>
        </w:rPr>
        <w:t>自合同签订之日起</w:t>
      </w:r>
      <w:r>
        <w:rPr>
          <w:rFonts w:hint="eastAsia" w:ascii="仿宋" w:hAnsi="仿宋" w:eastAsia="仿宋" w:cs="仿宋"/>
          <w:b w:val="0"/>
          <w:bCs w:val="0"/>
          <w:color w:val="auto"/>
          <w:sz w:val="24"/>
          <w:szCs w:val="28"/>
          <w:lang w:val="en-US" w:eastAsia="zh-CN"/>
        </w:rPr>
        <w:t>1年</w:t>
      </w:r>
    </w:p>
    <w:p w14:paraId="3FF4E77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80"/>
      <w:bookmarkStart w:id="6" w:name="_Toc35393791"/>
      <w:bookmarkStart w:id="7" w:name="_Toc35393622"/>
      <w:bookmarkStart w:id="8" w:name="_Toc28359003"/>
    </w:p>
    <w:p w14:paraId="4FF6656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二、申请人的资格要求：</w:t>
      </w:r>
      <w:bookmarkEnd w:id="5"/>
      <w:bookmarkEnd w:id="6"/>
      <w:bookmarkEnd w:id="7"/>
      <w:bookmarkEnd w:id="8"/>
    </w:p>
    <w:p w14:paraId="0AA8CEC1">
      <w:pPr>
        <w:pStyle w:val="12"/>
        <w:keepNext w:val="0"/>
        <w:keepLines w:val="0"/>
        <w:pageBreakBefore w:val="0"/>
        <w:wordWrap/>
        <w:overflowPunct/>
        <w:topLinePunct w:val="0"/>
        <w:autoSpaceDE w:val="0"/>
        <w:autoSpaceDN w:val="0"/>
        <w:bidi w:val="0"/>
        <w:adjustRightInd w:val="0"/>
        <w:spacing w:line="240" w:lineRule="auto"/>
        <w:ind w:left="0" w:leftChars="0" w:right="0" w:firstLine="236" w:firstLineChars="100"/>
        <w:rPr>
          <w:rFonts w:hint="eastAsia" w:ascii="仿宋" w:hAnsi="仿宋" w:eastAsia="仿宋" w:cs="仿宋"/>
          <w:sz w:val="24"/>
          <w:szCs w:val="24"/>
        </w:rPr>
      </w:pPr>
      <w:bookmarkStart w:id="9" w:name="_Toc28359081"/>
      <w:bookmarkStart w:id="10" w:name="_Toc35393792"/>
      <w:bookmarkStart w:id="11" w:name="_Toc35393623"/>
      <w:bookmarkStart w:id="12" w:name="_Toc28359004"/>
      <w:r>
        <w:rPr>
          <w:rFonts w:hint="eastAsia" w:ascii="仿宋" w:hAnsi="仿宋" w:eastAsia="仿宋" w:cs="仿宋"/>
          <w:spacing w:val="-2"/>
          <w:sz w:val="24"/>
          <w:szCs w:val="24"/>
        </w:rPr>
        <w:t>1.满足《中华人民共和国政府采购法》第二十二</w:t>
      </w:r>
      <w:r>
        <w:rPr>
          <w:rFonts w:hint="eastAsia" w:ascii="仿宋" w:hAnsi="仿宋" w:eastAsia="仿宋" w:cs="仿宋"/>
          <w:spacing w:val="-2"/>
          <w:sz w:val="24"/>
          <w:szCs w:val="24"/>
          <w:lang w:eastAsia="zh-CN"/>
        </w:rPr>
        <w:t>条规定；</w:t>
      </w:r>
    </w:p>
    <w:p w14:paraId="10B262C7">
      <w:pPr>
        <w:pStyle w:val="12"/>
        <w:keepNext w:val="0"/>
        <w:keepLines w:val="0"/>
        <w:pageBreakBefore w:val="0"/>
        <w:wordWrap/>
        <w:overflowPunct/>
        <w:topLinePunct w:val="0"/>
        <w:autoSpaceDE w:val="0"/>
        <w:autoSpaceDN w:val="0"/>
        <w:bidi w:val="0"/>
        <w:adjustRightInd w:val="0"/>
        <w:spacing w:line="240" w:lineRule="auto"/>
        <w:ind w:left="0" w:leftChars="0" w:right="0" w:firstLine="234" w:firstLineChars="100"/>
        <w:rPr>
          <w:rFonts w:hint="eastAsia" w:ascii="仿宋" w:hAnsi="仿宋" w:eastAsia="仿宋" w:cs="仿宋"/>
          <w:sz w:val="24"/>
          <w:szCs w:val="24"/>
        </w:rPr>
      </w:pPr>
      <w:r>
        <w:rPr>
          <w:rFonts w:hint="eastAsia" w:ascii="仿宋" w:hAnsi="仿宋" w:eastAsia="仿宋" w:cs="仿宋"/>
          <w:spacing w:val="-3"/>
          <w:sz w:val="24"/>
          <w:szCs w:val="24"/>
        </w:rPr>
        <w:t>2.落实政府采购政策需满足的资格要求：</w:t>
      </w:r>
    </w:p>
    <w:p w14:paraId="7CEF95BB">
      <w:pPr>
        <w:pStyle w:val="12"/>
        <w:keepNext w:val="0"/>
        <w:keepLines w:val="0"/>
        <w:pageBreakBefore w:val="0"/>
        <w:wordWrap/>
        <w:overflowPunct/>
        <w:topLinePunct w:val="0"/>
        <w:autoSpaceDE w:val="0"/>
        <w:autoSpaceDN w:val="0"/>
        <w:bidi w:val="0"/>
        <w:adjustRightInd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rPr>
        <w:t>2.1  中小企业政策</w:t>
      </w:r>
    </w:p>
    <w:p w14:paraId="29FCBEBF">
      <w:pPr>
        <w:pStyle w:val="12"/>
        <w:keepNext w:val="0"/>
        <w:keepLines w:val="0"/>
        <w:pageBreakBefore w:val="0"/>
        <w:wordWrap/>
        <w:overflowPunct/>
        <w:topLinePunct w:val="0"/>
        <w:autoSpaceDE w:val="0"/>
        <w:autoSpaceDN w:val="0"/>
        <w:bidi w:val="0"/>
        <w:adjustRightInd w:val="0"/>
        <w:spacing w:line="240" w:lineRule="auto"/>
        <w:ind w:left="0" w:leftChars="0" w:right="0" w:firstLine="446" w:firstLineChars="173"/>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1"/>
          <w:sz w:val="24"/>
          <w:szCs w:val="24"/>
        </w:rPr>
        <w:t>本项目不专门面向中小企业预留采购份额。</w:t>
      </w:r>
    </w:p>
    <w:p w14:paraId="05AA8A2A">
      <w:pPr>
        <w:pStyle w:val="12"/>
        <w:keepNext w:val="0"/>
        <w:keepLines w:val="0"/>
        <w:pageBreakBefore w:val="0"/>
        <w:wordWrap/>
        <w:overflowPunct/>
        <w:topLinePunct w:val="0"/>
        <w:autoSpaceDE w:val="0"/>
        <w:autoSpaceDN w:val="0"/>
        <w:bidi w:val="0"/>
        <w:adjustRightInd w:val="0"/>
        <w:spacing w:line="240" w:lineRule="auto"/>
        <w:ind w:left="0" w:leftChars="0" w:right="0" w:firstLine="388" w:firstLineChars="162"/>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本项目专门面向 </w:t>
      </w: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中小 □小微企业采购。即：即提供的货物全部由符合政策要求的</w:t>
      </w:r>
      <w:r>
        <w:rPr>
          <w:rFonts w:hint="eastAsia" w:ascii="仿宋" w:hAnsi="仿宋" w:eastAsia="仿宋" w:cs="仿宋"/>
          <w:spacing w:val="9"/>
          <w:sz w:val="24"/>
          <w:szCs w:val="24"/>
          <w:lang w:val="en-US" w:eastAsia="zh-CN"/>
        </w:rPr>
        <w:t>中小</w:t>
      </w:r>
      <w:r>
        <w:rPr>
          <w:rFonts w:hint="eastAsia" w:ascii="仿宋" w:hAnsi="仿宋" w:eastAsia="仿宋" w:cs="仿宋"/>
          <w:spacing w:val="9"/>
          <w:sz w:val="24"/>
          <w:szCs w:val="24"/>
        </w:rPr>
        <w:t>企业制造、服务全部由符合政策要求的</w:t>
      </w:r>
      <w:r>
        <w:rPr>
          <w:rFonts w:hint="eastAsia" w:ascii="仿宋" w:hAnsi="仿宋" w:eastAsia="仿宋" w:cs="仿宋"/>
          <w:spacing w:val="9"/>
          <w:sz w:val="24"/>
          <w:szCs w:val="24"/>
          <w:lang w:val="en-US" w:eastAsia="zh-CN"/>
        </w:rPr>
        <w:t>中小</w:t>
      </w:r>
      <w:r>
        <w:rPr>
          <w:rFonts w:hint="eastAsia" w:ascii="仿宋" w:hAnsi="仿宋" w:eastAsia="仿宋" w:cs="仿宋"/>
          <w:spacing w:val="9"/>
          <w:sz w:val="24"/>
          <w:szCs w:val="24"/>
        </w:rPr>
        <w:t>企业承接</w:t>
      </w:r>
      <w:r>
        <w:rPr>
          <w:rFonts w:hint="eastAsia" w:ascii="仿宋" w:hAnsi="仿宋" w:eastAsia="仿宋" w:cs="仿宋"/>
          <w:spacing w:val="-1"/>
          <w:sz w:val="24"/>
          <w:szCs w:val="24"/>
        </w:rPr>
        <w:t>。</w:t>
      </w:r>
    </w:p>
    <w:p w14:paraId="1B33B4CB">
      <w:pPr>
        <w:pStyle w:val="12"/>
        <w:keepNext w:val="0"/>
        <w:keepLines w:val="0"/>
        <w:pageBreakBefore w:val="0"/>
        <w:wordWrap/>
        <w:overflowPunct/>
        <w:topLinePunct w:val="0"/>
        <w:autoSpaceDE w:val="0"/>
        <w:autoSpaceDN w:val="0"/>
        <w:bidi w:val="0"/>
        <w:adjustRightInd w:val="0"/>
        <w:spacing w:line="240" w:lineRule="auto"/>
        <w:ind w:left="0" w:leftChars="0" w:right="0" w:firstLine="418" w:firstLineChars="173"/>
        <w:rPr>
          <w:rFonts w:hint="eastAsia" w:ascii="仿宋" w:hAnsi="仿宋" w:eastAsia="仿宋" w:cs="仿宋"/>
          <w:sz w:val="24"/>
          <w:szCs w:val="24"/>
        </w:rPr>
      </w:pPr>
      <w:r>
        <w:rPr>
          <w:rFonts w:hint="eastAsia" w:ascii="仿宋" w:hAnsi="仿宋" w:eastAsia="仿宋" w:cs="仿宋"/>
          <w:spacing w:val="1"/>
          <w:sz w:val="24"/>
          <w:szCs w:val="24"/>
        </w:rPr>
        <w:t>□本项目预留部分采购项目预算专门面向中小企业采购</w:t>
      </w:r>
      <w:r>
        <w:rPr>
          <w:rFonts w:hint="eastAsia" w:ascii="仿宋" w:hAnsi="仿宋" w:eastAsia="仿宋" w:cs="仿宋"/>
          <w:sz w:val="24"/>
          <w:szCs w:val="24"/>
        </w:rPr>
        <w:t>。对于预留份额，提供的货</w:t>
      </w:r>
      <w:r>
        <w:rPr>
          <w:rFonts w:hint="eastAsia" w:ascii="仿宋" w:hAnsi="仿宋" w:eastAsia="仿宋" w:cs="仿宋"/>
          <w:spacing w:val="-2"/>
          <w:sz w:val="24"/>
          <w:szCs w:val="24"/>
        </w:rPr>
        <w:t>物由符合政策要求的中小企业制造、服务由符合政策要求的中小企业承接。预留份额通</w:t>
      </w:r>
      <w:r>
        <w:rPr>
          <w:rFonts w:hint="eastAsia" w:ascii="仿宋" w:hAnsi="仿宋" w:eastAsia="仿宋" w:cs="仿宋"/>
          <w:spacing w:val="-1"/>
          <w:sz w:val="24"/>
          <w:szCs w:val="24"/>
        </w:rPr>
        <w:t>过以下措施进行：</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FBD6A3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其它落实政府采购政策的资格要求（如有</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lang w:eastAsia="zh-CN"/>
        </w:rPr>
        <w:t>无</w:t>
      </w:r>
      <w:r>
        <w:rPr>
          <w:rFonts w:hint="eastAsia" w:ascii="仿宋" w:hAnsi="仿宋" w:eastAsia="仿宋" w:cs="仿宋"/>
          <w:spacing w:val="-5"/>
          <w:sz w:val="24"/>
          <w:szCs w:val="24"/>
          <w:highlight w:val="none"/>
        </w:rPr>
        <w:t>。</w:t>
      </w:r>
    </w:p>
    <w:p w14:paraId="7ED17113">
      <w:pPr>
        <w:pStyle w:val="12"/>
        <w:keepNext w:val="0"/>
        <w:keepLines w:val="0"/>
        <w:pageBreakBefore w:val="0"/>
        <w:wordWrap/>
        <w:overflowPunct/>
        <w:topLinePunct w:val="0"/>
        <w:autoSpaceDE w:val="0"/>
        <w:autoSpaceDN w:val="0"/>
        <w:bidi w:val="0"/>
        <w:adjustRightInd w:val="0"/>
        <w:spacing w:line="240" w:lineRule="auto"/>
        <w:ind w:left="0" w:leftChars="0" w:right="0" w:firstLine="232" w:firstLineChars="100"/>
        <w:rPr>
          <w:rFonts w:hint="eastAsia" w:ascii="仿宋" w:hAnsi="仿宋" w:eastAsia="仿宋" w:cs="仿宋"/>
          <w:spacing w:val="-4"/>
          <w:sz w:val="24"/>
          <w:szCs w:val="24"/>
        </w:rPr>
      </w:pPr>
      <w:r>
        <w:rPr>
          <w:rFonts w:hint="eastAsia" w:ascii="仿宋" w:hAnsi="仿宋" w:eastAsia="仿宋" w:cs="仿宋"/>
          <w:spacing w:val="-4"/>
          <w:sz w:val="24"/>
          <w:szCs w:val="24"/>
        </w:rPr>
        <w:t>3.本项目的特定资格要求：</w:t>
      </w:r>
    </w:p>
    <w:p w14:paraId="54C9839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3.1 本项目是否属于政府购买</w:t>
      </w:r>
      <w:r>
        <w:rPr>
          <w:rFonts w:hint="eastAsia" w:ascii="仿宋" w:hAnsi="仿宋" w:eastAsia="仿宋" w:cs="仿宋"/>
          <w:spacing w:val="-5"/>
          <w:sz w:val="24"/>
          <w:szCs w:val="24"/>
          <w:highlight w:val="none"/>
          <w:lang w:val="en-US" w:eastAsia="zh-CN"/>
        </w:rPr>
        <w:t>服务</w:t>
      </w:r>
      <w:r>
        <w:rPr>
          <w:rFonts w:hint="eastAsia" w:ascii="仿宋" w:hAnsi="仿宋" w:eastAsia="仿宋" w:cs="仿宋"/>
          <w:spacing w:val="-5"/>
          <w:sz w:val="24"/>
          <w:szCs w:val="24"/>
          <w:highlight w:val="none"/>
        </w:rPr>
        <w:t xml:space="preserve">： </w:t>
      </w:r>
    </w:p>
    <w:p w14:paraId="30D24D8F">
      <w:pPr>
        <w:pStyle w:val="12"/>
        <w:keepNext w:val="0"/>
        <w:keepLines w:val="0"/>
        <w:pageBreakBefore w:val="0"/>
        <w:wordWrap/>
        <w:overflowPunct/>
        <w:topLinePunct w:val="0"/>
        <w:autoSpaceDE w:val="0"/>
        <w:autoSpaceDN w:val="0"/>
        <w:bidi w:val="0"/>
        <w:adjustRightInd w:val="0"/>
        <w:spacing w:line="240" w:lineRule="auto"/>
        <w:ind w:left="0" w:leftChars="0" w:right="0" w:firstLine="440" w:firstLineChars="182"/>
        <w:rPr>
          <w:rFonts w:hint="eastAsia" w:ascii="仿宋" w:hAnsi="仿宋" w:eastAsia="仿宋" w:cs="仿宋"/>
          <w:spacing w:val="-5"/>
          <w:sz w:val="24"/>
          <w:szCs w:val="24"/>
          <w:highlight w:val="none"/>
        </w:rPr>
      </w:pPr>
      <w:r>
        <w:rPr>
          <w:rFonts w:hint="eastAsia" w:ascii="仿宋" w:hAnsi="仿宋" w:eastAsia="仿宋" w:cs="仿宋"/>
          <w:spacing w:val="1"/>
          <w:sz w:val="24"/>
          <w:szCs w:val="24"/>
          <w:lang w:eastAsia="zh-CN"/>
        </w:rPr>
        <w:t>□</w:t>
      </w:r>
      <w:r>
        <w:rPr>
          <w:rFonts w:hint="eastAsia" w:ascii="仿宋" w:hAnsi="仿宋" w:eastAsia="仿宋" w:cs="仿宋"/>
          <w:spacing w:val="-5"/>
          <w:sz w:val="24"/>
          <w:szCs w:val="24"/>
          <w:highlight w:val="none"/>
        </w:rPr>
        <w:t>否</w:t>
      </w:r>
    </w:p>
    <w:p w14:paraId="0BBEC328">
      <w:pPr>
        <w:pStyle w:val="12"/>
        <w:keepNext w:val="0"/>
        <w:keepLines w:val="0"/>
        <w:pageBreakBefore w:val="0"/>
        <w:wordWrap/>
        <w:overflowPunct/>
        <w:topLinePunct w:val="0"/>
        <w:autoSpaceDE w:val="0"/>
        <w:autoSpaceDN w:val="0"/>
        <w:bidi w:val="0"/>
        <w:adjustRightInd w:val="0"/>
        <w:spacing w:line="240" w:lineRule="auto"/>
        <w:ind w:left="0" w:leftChars="0" w:right="0" w:firstLine="434" w:firstLineChars="181"/>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4"/>
          <w:sz w:val="24"/>
          <w:szCs w:val="24"/>
        </w:rPr>
        <w:t>是，公益一类事业</w:t>
      </w:r>
      <w:bookmarkStart w:id="27" w:name="_GoBack"/>
      <w:bookmarkEnd w:id="27"/>
      <w:r>
        <w:rPr>
          <w:rFonts w:hint="eastAsia" w:ascii="仿宋" w:hAnsi="仿宋" w:eastAsia="仿宋" w:cs="仿宋"/>
          <w:spacing w:val="-4"/>
          <w:sz w:val="24"/>
          <w:szCs w:val="24"/>
        </w:rPr>
        <w:t>单位、使用事业编制且由财政拨款保障的群团组织，不</w:t>
      </w:r>
      <w:r>
        <w:rPr>
          <w:rFonts w:hint="eastAsia" w:ascii="仿宋" w:hAnsi="仿宋" w:eastAsia="仿宋" w:cs="仿宋"/>
          <w:sz w:val="24"/>
          <w:szCs w:val="24"/>
        </w:rPr>
        <w:t>得</w:t>
      </w:r>
      <w:r>
        <w:rPr>
          <w:rFonts w:hint="eastAsia" w:ascii="仿宋" w:hAnsi="仿宋" w:eastAsia="仿宋" w:cs="仿宋"/>
          <w:spacing w:val="-9"/>
          <w:sz w:val="24"/>
          <w:szCs w:val="24"/>
        </w:rPr>
        <w:t>作为承接主体；</w:t>
      </w:r>
    </w:p>
    <w:p w14:paraId="71CAE251">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right="0" w:firstLine="418" w:firstLineChars="173"/>
        <w:textAlignment w:val="auto"/>
        <w:rPr>
          <w:rFonts w:hint="eastAsia" w:ascii="仿宋" w:hAnsi="仿宋" w:eastAsia="仿宋" w:cs="仿宋"/>
          <w:color w:val="auto"/>
          <w:sz w:val="24"/>
          <w:szCs w:val="28"/>
          <w:lang w:val="en-US" w:eastAsia="zh-CN"/>
        </w:rPr>
      </w:pPr>
      <w:r>
        <w:rPr>
          <w:rFonts w:hint="eastAsia" w:ascii="仿宋" w:hAnsi="仿宋" w:eastAsia="仿宋" w:cs="仿宋"/>
          <w:spacing w:val="1"/>
          <w:sz w:val="24"/>
          <w:szCs w:val="24"/>
        </w:rPr>
        <w:t>3.2 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494107B5">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三、获取招标文件</w:t>
      </w:r>
      <w:bookmarkEnd w:id="9"/>
      <w:bookmarkEnd w:id="10"/>
      <w:bookmarkEnd w:id="11"/>
      <w:bookmarkEnd w:id="12"/>
    </w:p>
    <w:p w14:paraId="5A8DB725">
      <w:pPr>
        <w:pStyle w:val="12"/>
        <w:keepNext w:val="0"/>
        <w:keepLines w:val="0"/>
        <w:pageBreakBefore w:val="0"/>
        <w:wordWrap/>
        <w:overflowPunct/>
        <w:topLinePunct w:val="0"/>
        <w:bidi w:val="0"/>
        <w:spacing w:line="240" w:lineRule="auto"/>
        <w:ind w:left="0" w:leftChars="0" w:right="0" w:firstLine="228" w:firstLineChars="100"/>
        <w:rPr>
          <w:rFonts w:hint="eastAsia" w:ascii="仿宋" w:hAnsi="仿宋" w:eastAsia="仿宋" w:cs="仿宋"/>
          <w:sz w:val="24"/>
          <w:szCs w:val="24"/>
        </w:rPr>
      </w:pPr>
      <w:r>
        <w:rPr>
          <w:rFonts w:hint="eastAsia" w:ascii="仿宋" w:hAnsi="仿宋" w:eastAsia="仿宋" w:cs="仿宋"/>
          <w:spacing w:val="-6"/>
          <w:sz w:val="24"/>
          <w:szCs w:val="24"/>
          <w:highlight w:val="none"/>
        </w:rPr>
        <w:t>1.时间：</w:t>
      </w:r>
      <w:r>
        <w:rPr>
          <w:rFonts w:hint="eastAsia" w:ascii="仿宋" w:hAnsi="仿宋" w:eastAsia="仿宋" w:cs="仿宋"/>
          <w:color w:val="auto"/>
          <w:w w:val="95"/>
          <w:sz w:val="24"/>
          <w:szCs w:val="24"/>
          <w:highlight w:val="none"/>
          <w:lang w:val="en-US" w:eastAsia="zh-CN"/>
        </w:rPr>
        <w:t>2025年11月21日</w:t>
      </w:r>
      <w:r>
        <w:rPr>
          <w:rFonts w:hint="eastAsia" w:ascii="仿宋" w:hAnsi="仿宋" w:eastAsia="仿宋" w:cs="仿宋"/>
          <w:color w:val="auto"/>
          <w:w w:val="95"/>
          <w:sz w:val="24"/>
          <w:szCs w:val="24"/>
          <w:highlight w:val="none"/>
          <w:shd w:val="clear"/>
          <w:lang w:val="en-US" w:eastAsia="zh-CN"/>
        </w:rPr>
        <w:t>上午9:30至11月27日</w:t>
      </w:r>
      <w:r>
        <w:rPr>
          <w:rFonts w:hint="eastAsia" w:ascii="仿宋" w:hAnsi="仿宋" w:eastAsia="仿宋" w:cs="仿宋"/>
          <w:color w:val="auto"/>
          <w:w w:val="95"/>
          <w:sz w:val="24"/>
          <w:szCs w:val="24"/>
          <w:highlight w:val="none"/>
          <w:lang w:val="en-US" w:eastAsia="zh-CN"/>
        </w:rPr>
        <w:t>下午17:00</w:t>
      </w:r>
      <w:r>
        <w:rPr>
          <w:rFonts w:hint="eastAsia" w:ascii="仿宋" w:hAnsi="仿宋" w:eastAsia="仿宋" w:cs="仿宋"/>
          <w:spacing w:val="-7"/>
          <w:w w:val="95"/>
          <w:sz w:val="24"/>
          <w:szCs w:val="24"/>
          <w:highlight w:val="none"/>
        </w:rPr>
        <w:t>（北京时</w:t>
      </w:r>
      <w:r>
        <w:rPr>
          <w:rFonts w:hint="eastAsia" w:ascii="仿宋" w:hAnsi="仿宋" w:eastAsia="仿宋" w:cs="仿宋"/>
          <w:spacing w:val="-15"/>
          <w:w w:val="95"/>
          <w:sz w:val="24"/>
          <w:szCs w:val="24"/>
          <w:highlight w:val="none"/>
        </w:rPr>
        <w:t>间，法定节假日</w:t>
      </w:r>
      <w:r>
        <w:rPr>
          <w:rFonts w:hint="eastAsia" w:ascii="仿宋" w:hAnsi="仿宋" w:eastAsia="仿宋" w:cs="仿宋"/>
          <w:spacing w:val="-15"/>
          <w:w w:val="95"/>
          <w:sz w:val="24"/>
          <w:szCs w:val="24"/>
        </w:rPr>
        <w:t>除外）。</w:t>
      </w:r>
    </w:p>
    <w:p w14:paraId="126BF7BE">
      <w:pPr>
        <w:pStyle w:val="12"/>
        <w:keepNext w:val="0"/>
        <w:keepLines w:val="0"/>
        <w:pageBreakBefore w:val="0"/>
        <w:wordWrap/>
        <w:overflowPunct/>
        <w:topLinePunct w:val="0"/>
        <w:bidi w:val="0"/>
        <w:spacing w:line="240" w:lineRule="auto"/>
        <w:ind w:left="0" w:leftChars="0" w:right="0" w:firstLine="240" w:firstLineChars="100"/>
        <w:rPr>
          <w:rFonts w:hint="eastAsia" w:ascii="仿宋" w:hAnsi="仿宋" w:eastAsia="仿宋" w:cs="仿宋"/>
          <w:sz w:val="24"/>
          <w:szCs w:val="24"/>
        </w:rPr>
      </w:pPr>
      <w:r>
        <w:rPr>
          <w:rFonts w:hint="eastAsia" w:ascii="仿宋" w:hAnsi="仿宋" w:eastAsia="仿宋" w:cs="仿宋"/>
          <w:sz w:val="24"/>
          <w:szCs w:val="24"/>
        </w:rPr>
        <w:t>2.地点：北京市政府采购电子交易平台</w:t>
      </w:r>
    </w:p>
    <w:p w14:paraId="7F6750CC">
      <w:pPr>
        <w:keepNext w:val="0"/>
        <w:keepLines w:val="0"/>
        <w:pageBreakBefore w:val="0"/>
        <w:widowControl w:val="0"/>
        <w:kinsoku/>
        <w:wordWrap/>
        <w:overflowPunct/>
        <w:topLinePunct w:val="0"/>
        <w:autoSpaceDE/>
        <w:autoSpaceDN/>
        <w:bidi w:val="0"/>
        <w:adjustRightInd/>
        <w:snapToGrid/>
        <w:spacing w:line="240" w:lineRule="auto"/>
        <w:ind w:left="0" w:leftChars="0" w:right="0" w:firstLine="238" w:firstLineChars="10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11DBCA1">
      <w:pPr>
        <w:keepNext w:val="0"/>
        <w:keepLines w:val="0"/>
        <w:pageBreakBefore w:val="0"/>
        <w:widowControl w:val="0"/>
        <w:kinsoku/>
        <w:wordWrap/>
        <w:overflowPunct/>
        <w:topLinePunct w:val="0"/>
        <w:autoSpaceDE/>
        <w:autoSpaceDN/>
        <w:bidi w:val="0"/>
        <w:adjustRightInd/>
        <w:snapToGrid/>
        <w:spacing w:line="24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spacing w:val="-1"/>
          <w:sz w:val="24"/>
          <w:szCs w:val="24"/>
        </w:rPr>
        <w:t>4.售价：0 元。</w:t>
      </w:r>
    </w:p>
    <w:p w14:paraId="0A692A3D">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13" w:name="_Toc28359005"/>
      <w:bookmarkStart w:id="14" w:name="_Toc28359082"/>
      <w:bookmarkStart w:id="15" w:name="_Toc35393793"/>
      <w:bookmarkStart w:id="16" w:name="_Toc35393624"/>
      <w:r>
        <w:rPr>
          <w:rFonts w:hint="eastAsia" w:ascii="仿宋" w:hAnsi="仿宋" w:eastAsia="仿宋" w:cs="仿宋"/>
          <w:b w:val="0"/>
          <w:color w:val="auto"/>
          <w:sz w:val="24"/>
          <w:szCs w:val="28"/>
        </w:rPr>
        <w:t>四、提交投标文件</w:t>
      </w:r>
      <w:bookmarkEnd w:id="13"/>
      <w:bookmarkEnd w:id="14"/>
      <w:r>
        <w:rPr>
          <w:rFonts w:hint="eastAsia" w:ascii="仿宋" w:hAnsi="仿宋" w:eastAsia="仿宋" w:cs="仿宋"/>
          <w:b w:val="0"/>
          <w:color w:val="auto"/>
          <w:sz w:val="24"/>
          <w:szCs w:val="28"/>
        </w:rPr>
        <w:t>截止时间、开标时间和地点</w:t>
      </w:r>
      <w:bookmarkEnd w:id="15"/>
      <w:bookmarkEnd w:id="16"/>
    </w:p>
    <w:p w14:paraId="502A73D7">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提交投标文件截止时间：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w:t>
      </w:r>
    </w:p>
    <w:p w14:paraId="42D4F30E">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w:t>
      </w:r>
    </w:p>
    <w:p w14:paraId="2D3429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开标地点：北京市大兴区公共资源交易分中心</w:t>
      </w:r>
      <w:r>
        <w:rPr>
          <w:rFonts w:hint="eastAsia" w:ascii="仿宋" w:hAnsi="仿宋" w:eastAsia="仿宋" w:cs="仿宋"/>
          <w:color w:val="auto"/>
          <w:sz w:val="24"/>
          <w:szCs w:val="28"/>
          <w:highlight w:val="none"/>
          <w:lang w:eastAsia="zh-CN"/>
        </w:rPr>
        <w:t>三层</w:t>
      </w:r>
    </w:p>
    <w:p w14:paraId="64BF70A5">
      <w:pPr>
        <w:pStyle w:val="4"/>
        <w:pageBreakBefore w:val="0"/>
        <w:widowControl w:val="0"/>
        <w:kinsoku/>
        <w:wordWrap/>
        <w:overflowPunct/>
        <w:topLinePunct w:val="0"/>
        <w:bidi w:val="0"/>
        <w:snapToGrid/>
        <w:spacing w:line="240" w:lineRule="auto"/>
        <w:rPr>
          <w:rFonts w:hint="eastAsia" w:ascii="仿宋" w:hAnsi="仿宋" w:eastAsia="仿宋" w:cs="仿宋"/>
          <w:b w:val="0"/>
          <w:bCs w:val="0"/>
          <w:color w:val="auto"/>
          <w:sz w:val="24"/>
          <w:szCs w:val="28"/>
        </w:rPr>
      </w:pPr>
      <w:bookmarkStart w:id="17" w:name="_Toc28359007"/>
      <w:bookmarkStart w:id="18" w:name="_Toc35393625"/>
      <w:bookmarkStart w:id="19" w:name="_Toc35393794"/>
      <w:bookmarkStart w:id="20" w:name="_Toc28359084"/>
      <w:r>
        <w:rPr>
          <w:rFonts w:hint="eastAsia" w:ascii="仿宋" w:hAnsi="仿宋" w:eastAsia="仿宋" w:cs="仿宋"/>
          <w:b w:val="0"/>
          <w:bCs w:val="0"/>
          <w:color w:val="auto"/>
          <w:sz w:val="24"/>
          <w:szCs w:val="28"/>
        </w:rPr>
        <w:t>五、公告期限</w:t>
      </w:r>
      <w:bookmarkEnd w:id="17"/>
      <w:bookmarkEnd w:id="18"/>
      <w:bookmarkEnd w:id="19"/>
      <w:bookmarkEnd w:id="20"/>
    </w:p>
    <w:p w14:paraId="16D44A52">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自本公告发布之日起5个工作日。</w:t>
      </w:r>
    </w:p>
    <w:p w14:paraId="41F608B1">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1" w:name="_Toc35393795"/>
      <w:bookmarkStart w:id="22" w:name="_Toc35393626"/>
      <w:r>
        <w:rPr>
          <w:rFonts w:hint="eastAsia" w:ascii="仿宋" w:hAnsi="仿宋" w:eastAsia="仿宋" w:cs="仿宋"/>
          <w:b w:val="0"/>
          <w:color w:val="auto"/>
          <w:sz w:val="24"/>
          <w:szCs w:val="28"/>
        </w:rPr>
        <w:t>六、其他补充事宜</w:t>
      </w:r>
      <w:bookmarkEnd w:id="21"/>
      <w:bookmarkEnd w:id="22"/>
    </w:p>
    <w:p w14:paraId="3BD08572">
      <w:pPr>
        <w:pStyle w:val="12"/>
        <w:keepNext w:val="0"/>
        <w:keepLines w:val="0"/>
        <w:pageBreakBefore w:val="0"/>
        <w:wordWrap/>
        <w:overflowPunct/>
        <w:topLinePunct w:val="0"/>
        <w:bidi w:val="0"/>
        <w:spacing w:line="240" w:lineRule="auto"/>
        <w:ind w:left="0" w:leftChars="0" w:right="0" w:firstLine="222" w:firstLineChars="100"/>
        <w:jc w:val="both"/>
        <w:rPr>
          <w:rFonts w:hint="eastAsia" w:ascii="仿宋" w:hAnsi="仿宋" w:eastAsia="仿宋" w:cs="仿宋"/>
          <w:sz w:val="24"/>
          <w:szCs w:val="24"/>
          <w:lang w:val="en-US"/>
        </w:rPr>
      </w:pPr>
      <w:r>
        <w:rPr>
          <w:rFonts w:hint="eastAsia" w:ascii="仿宋" w:hAnsi="仿宋" w:eastAsia="仿宋" w:cs="仿宋"/>
          <w:spacing w:val="-9"/>
          <w:sz w:val="24"/>
          <w:szCs w:val="24"/>
        </w:rPr>
        <w:t>1.本项目需要落实的政府采购政策：</w:t>
      </w:r>
      <w:r>
        <w:rPr>
          <w:rFonts w:hint="eastAsia" w:ascii="仿宋" w:hAnsi="仿宋" w:eastAsia="仿宋" w:cs="仿宋"/>
          <w:spacing w:val="-9"/>
          <w:sz w:val="24"/>
          <w:szCs w:val="24"/>
          <w:u w:val="single"/>
          <w:lang w:val="en-US" w:eastAsia="zh-CN"/>
        </w:rPr>
        <w:t>如涉及的详见招标文件各章对应条款要求。</w:t>
      </w:r>
    </w:p>
    <w:p w14:paraId="45EB5E00">
      <w:pPr>
        <w:pStyle w:val="12"/>
        <w:keepNext w:val="0"/>
        <w:keepLines w:val="0"/>
        <w:pageBreakBefore w:val="0"/>
        <w:wordWrap/>
        <w:overflowPunct/>
        <w:topLinePunct w:val="0"/>
        <w:bidi w:val="0"/>
        <w:spacing w:line="240" w:lineRule="auto"/>
        <w:ind w:left="0" w:leftChars="0" w:right="0"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.本项目采用全流程电子化采购方式</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线下开标评标</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请供应商认真学习北京市政府采购电子交易</w:t>
      </w:r>
      <w:r>
        <w:rPr>
          <w:rFonts w:hint="eastAsia" w:ascii="仿宋" w:hAnsi="仿宋" w:eastAsia="仿宋" w:cs="仿宋"/>
          <w:spacing w:val="-4"/>
          <w:sz w:val="24"/>
          <w:szCs w:val="24"/>
        </w:rPr>
        <w:t>平台发布的相关操作手册（供应商可在交易平台下载相关手册</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w:t>
      </w:r>
      <w:r>
        <w:rPr>
          <w:rFonts w:hint="eastAsia" w:ascii="仿宋" w:hAnsi="仿宋" w:eastAsia="仿宋" w:cs="仿宋"/>
          <w:spacing w:val="-5"/>
          <w:sz w:val="24"/>
          <w:szCs w:val="24"/>
        </w:rPr>
        <w:t>办理</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CA数字证书或</w:t>
      </w:r>
      <w:r>
        <w:rPr>
          <w:rFonts w:hint="eastAsia" w:ascii="仿宋" w:hAnsi="仿宋" w:eastAsia="仿宋" w:cs="仿宋"/>
          <w:spacing w:val="-6"/>
          <w:sz w:val="24"/>
          <w:szCs w:val="24"/>
        </w:rPr>
        <w:t>电子营业执照、进行北京市政府采购电子交易平台注册绑定，并认真核实</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CA数字证书</w:t>
      </w:r>
      <w:r>
        <w:rPr>
          <w:rFonts w:hint="eastAsia" w:ascii="仿宋" w:hAnsi="仿宋" w:eastAsia="仿宋" w:cs="仿宋"/>
          <w:spacing w:val="-1"/>
          <w:sz w:val="24"/>
          <w:szCs w:val="24"/>
        </w:rPr>
        <w:t>或电子营业执照情况确认是否符合本项目电子化</w:t>
      </w:r>
      <w:r>
        <w:rPr>
          <w:rFonts w:hint="eastAsia" w:ascii="仿宋" w:hAnsi="仿宋" w:eastAsia="仿宋" w:cs="仿宋"/>
          <w:spacing w:val="-2"/>
          <w:sz w:val="24"/>
          <w:szCs w:val="24"/>
        </w:rPr>
        <w:t>采购流程要求。</w:t>
      </w:r>
    </w:p>
    <w:p w14:paraId="21F20455">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CA 数字证书服务热线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010-58511086</w:t>
      </w:r>
    </w:p>
    <w:p w14:paraId="79C8F44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电子营业执照服务热线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400-699-</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000</w:t>
      </w:r>
    </w:p>
    <w:p w14:paraId="0523FC39">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数字证书服务热线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010-58515511</w:t>
      </w:r>
    </w:p>
    <w:p w14:paraId="61DB15C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技术支持服务热线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010-86483801</w:t>
      </w:r>
    </w:p>
    <w:p w14:paraId="21055390">
      <w:pPr>
        <w:pStyle w:val="12"/>
        <w:keepNext w:val="0"/>
        <w:keepLines w:val="0"/>
        <w:pageBreakBefore w:val="0"/>
        <w:wordWrap/>
        <w:overflowPunct/>
        <w:topLinePunct w:val="0"/>
        <w:bidi w:val="0"/>
        <w:spacing w:line="24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办理</w:t>
      </w:r>
      <w:r>
        <w:rPr>
          <w:rFonts w:hint="eastAsia" w:ascii="仿宋" w:hAnsi="仿宋" w:eastAsia="仿宋" w:cs="仿宋"/>
          <w:spacing w:val="-46"/>
          <w:sz w:val="24"/>
          <w:szCs w:val="24"/>
        </w:rPr>
        <w:t xml:space="preserve"> </w:t>
      </w:r>
      <w:r>
        <w:rPr>
          <w:rFonts w:hint="eastAsia" w:ascii="仿宋" w:hAnsi="仿宋" w:eastAsia="仿宋" w:cs="仿宋"/>
          <w:sz w:val="24"/>
          <w:szCs w:val="24"/>
        </w:rPr>
        <w:t>CA 数字证书或电子</w:t>
      </w:r>
      <w:r>
        <w:rPr>
          <w:rFonts w:hint="eastAsia" w:ascii="仿宋" w:hAnsi="仿宋" w:eastAsia="仿宋" w:cs="仿宋"/>
          <w:sz w:val="24"/>
          <w:szCs w:val="24"/>
          <w:lang w:eastAsia="zh-CN"/>
        </w:rPr>
        <w:t>营业执照</w:t>
      </w:r>
    </w:p>
    <w:p w14:paraId="28F09845">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供应商登录北京市政府采购电子交易平台查阅 “用户指南”—</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“操作指南”—</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市场</w:t>
      </w:r>
      <w:r>
        <w:rPr>
          <w:rFonts w:hint="eastAsia" w:ascii="仿宋" w:hAnsi="仿宋" w:eastAsia="仿宋" w:cs="仿宋"/>
          <w:spacing w:val="2"/>
          <w:sz w:val="24"/>
          <w:szCs w:val="24"/>
        </w:rPr>
        <w:t>主体</w:t>
      </w:r>
      <w:r>
        <w:rPr>
          <w:rFonts w:hint="eastAsia" w:ascii="仿宋" w:hAnsi="仿宋" w:eastAsia="仿宋" w:cs="仿宋"/>
          <w:spacing w:val="-35"/>
          <w:sz w:val="24"/>
          <w:szCs w:val="24"/>
        </w:rPr>
        <w:t xml:space="preserve"> </w:t>
      </w:r>
      <w:r>
        <w:rPr>
          <w:rFonts w:hint="eastAsia" w:ascii="仿宋" w:hAnsi="仿宋" w:eastAsia="仿宋" w:cs="仿宋"/>
          <w:sz w:val="24"/>
          <w:szCs w:val="24"/>
        </w:rPr>
        <w:t>CA</w:t>
      </w:r>
      <w:r>
        <w:rPr>
          <w:rFonts w:hint="eastAsia" w:ascii="仿宋" w:hAnsi="仿宋" w:eastAsia="仿宋" w:cs="仿宋"/>
          <w:spacing w:val="2"/>
          <w:sz w:val="24"/>
          <w:szCs w:val="24"/>
        </w:rPr>
        <w:t xml:space="preserve"> 办理操作流程指引”/“电子营业执照使用指南”，按照程序要求办理。</w:t>
      </w:r>
    </w:p>
    <w:p w14:paraId="2675F86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.2</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注册</w:t>
      </w:r>
    </w:p>
    <w:p w14:paraId="5845D27A">
      <w:pPr>
        <w:pStyle w:val="12"/>
        <w:keepNext w:val="0"/>
        <w:keepLines w:val="0"/>
        <w:pageBreakBefore w:val="0"/>
        <w:wordWrap/>
        <w:overflowPunct/>
        <w:topLinePunct w:val="0"/>
        <w:bidi w:val="0"/>
        <w:spacing w:line="240" w:lineRule="auto"/>
        <w:ind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“操作指南”—</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市场主体注</w:t>
      </w:r>
      <w:r>
        <w:rPr>
          <w:rFonts w:hint="eastAsia" w:ascii="仿宋" w:hAnsi="仿宋" w:eastAsia="仿宋" w:cs="仿宋"/>
          <w:sz w:val="24"/>
          <w:szCs w:val="24"/>
        </w:rPr>
        <w:t>册入库操作流程指引”进行自助注册绑定。</w:t>
      </w:r>
    </w:p>
    <w:p w14:paraId="2653FC64">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驱动、客户端下载</w:t>
      </w:r>
    </w:p>
    <w:p w14:paraId="0E6A098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供应商登录北京市政府采购电子交易平台“用户指南”—</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“招标采购系</w:t>
      </w:r>
      <w:r>
        <w:rPr>
          <w:rFonts w:hint="eastAsia" w:ascii="仿宋" w:hAnsi="仿宋" w:eastAsia="仿宋" w:cs="仿宋"/>
          <w:spacing w:val="-1"/>
          <w:sz w:val="24"/>
          <w:szCs w:val="24"/>
        </w:rPr>
        <w:t>统文件驱动安装包”下载相关驱动。</w:t>
      </w:r>
    </w:p>
    <w:p w14:paraId="1A75ECBF">
      <w:pPr>
        <w:pStyle w:val="12"/>
        <w:keepNext w:val="0"/>
        <w:keepLines w:val="0"/>
        <w:pageBreakBefore w:val="0"/>
        <w:wordWrap/>
        <w:overflowPunct/>
        <w:topLinePunct w:val="0"/>
        <w:bidi w:val="0"/>
        <w:spacing w:line="240" w:lineRule="auto"/>
        <w:ind w:left="0" w:leftChars="0"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投标文</w:t>
      </w:r>
      <w:r>
        <w:rPr>
          <w:rFonts w:hint="eastAsia" w:ascii="仿宋" w:hAnsi="仿宋" w:eastAsia="仿宋" w:cs="仿宋"/>
          <w:spacing w:val="4"/>
          <w:sz w:val="24"/>
          <w:szCs w:val="24"/>
        </w:rPr>
        <w:t>件编</w:t>
      </w:r>
      <w:r>
        <w:rPr>
          <w:rFonts w:hint="eastAsia" w:ascii="仿宋" w:hAnsi="仿宋" w:eastAsia="仿宋" w:cs="仿宋"/>
          <w:sz w:val="24"/>
          <w:szCs w:val="24"/>
        </w:rPr>
        <w:t>制工具”下载相关客户端。</w:t>
      </w:r>
    </w:p>
    <w:p w14:paraId="302F5593">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获取电子招标文件</w:t>
      </w:r>
    </w:p>
    <w:p w14:paraId="116ECB6F">
      <w:pPr>
        <w:pStyle w:val="12"/>
        <w:keepNext w:val="0"/>
        <w:keepLines w:val="0"/>
        <w:pageBreakBefore w:val="0"/>
        <w:wordWrap/>
        <w:overflowPunct/>
        <w:topLinePunct w:val="0"/>
        <w:bidi w:val="0"/>
        <w:spacing w:line="240" w:lineRule="auto"/>
        <w:ind w:left="0" w:leftChars="0" w:right="0" w:firstLine="476" w:firstLineChars="200"/>
        <w:rPr>
          <w:rFonts w:hint="eastAsia" w:ascii="仿宋" w:hAnsi="仿宋" w:eastAsia="仿宋" w:cs="仿宋"/>
          <w:sz w:val="24"/>
          <w:szCs w:val="24"/>
        </w:rPr>
      </w:pPr>
      <w:r>
        <w:rPr>
          <w:rFonts w:hint="eastAsia" w:ascii="仿宋" w:hAnsi="仿宋" w:eastAsia="仿宋" w:cs="仿宋"/>
          <w:spacing w:val="-1"/>
          <w:sz w:val="24"/>
          <w:szCs w:val="24"/>
        </w:rPr>
        <w:t>供应商使用</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CA数字证书或电子营业执照登录北京市政府采购电子交易</w:t>
      </w:r>
      <w:r>
        <w:rPr>
          <w:rFonts w:hint="eastAsia" w:ascii="仿宋" w:hAnsi="仿宋" w:eastAsia="仿宋" w:cs="仿宋"/>
          <w:spacing w:val="-2"/>
          <w:sz w:val="24"/>
          <w:szCs w:val="24"/>
        </w:rPr>
        <w:t>平台获取电</w:t>
      </w:r>
      <w:r>
        <w:rPr>
          <w:rFonts w:hint="eastAsia" w:ascii="仿宋" w:hAnsi="仿宋" w:eastAsia="仿宋" w:cs="仿宋"/>
          <w:spacing w:val="-7"/>
          <w:sz w:val="24"/>
          <w:szCs w:val="24"/>
        </w:rPr>
        <w:t>子招标文件。</w:t>
      </w:r>
    </w:p>
    <w:p w14:paraId="62A5DC2A">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供应商如计划参与多个采购包的投标，应在登录北京市政府采购电子交易平台后，</w:t>
      </w:r>
      <w:r>
        <w:rPr>
          <w:rFonts w:hint="eastAsia" w:ascii="仿宋" w:hAnsi="仿宋" w:eastAsia="仿宋" w:cs="仿宋"/>
          <w:spacing w:val="3"/>
          <w:sz w:val="24"/>
          <w:szCs w:val="24"/>
        </w:rPr>
        <w:t>在【我的项目】栏目依次选择对应采购包，进入项目工作台招标/采购文件环节分别按</w:t>
      </w:r>
      <w:r>
        <w:rPr>
          <w:rFonts w:hint="eastAsia" w:ascii="仿宋" w:hAnsi="仿宋" w:eastAsia="仿宋" w:cs="仿宋"/>
          <w:spacing w:val="-5"/>
          <w:sz w:val="24"/>
          <w:szCs w:val="24"/>
        </w:rPr>
        <w:t>采购包下载招标文件电子版。未在规定期限内按上述操作获取文件的采购包，供应商无</w:t>
      </w:r>
      <w:r>
        <w:rPr>
          <w:rFonts w:hint="eastAsia" w:ascii="仿宋" w:hAnsi="仿宋" w:eastAsia="仿宋" w:cs="仿宋"/>
          <w:spacing w:val="-3"/>
          <w:sz w:val="24"/>
          <w:szCs w:val="24"/>
        </w:rPr>
        <w:t>法提交相应包的电子投标文件。</w:t>
      </w:r>
    </w:p>
    <w:p w14:paraId="70C2366B">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编制电子投标文件</w:t>
      </w:r>
    </w:p>
    <w:p w14:paraId="7AAC41AD">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供应商应使用电子投标客户端编制电子投标文件并进行线上投标，供应商电子投标</w:t>
      </w:r>
      <w:r>
        <w:rPr>
          <w:rFonts w:hint="eastAsia" w:ascii="仿宋" w:hAnsi="仿宋" w:eastAsia="仿宋" w:cs="仿宋"/>
          <w:spacing w:val="-3"/>
          <w:sz w:val="24"/>
          <w:szCs w:val="24"/>
        </w:rPr>
        <w:t>文件需要加密并加盖电子签章，如无法按照要求在电子投标文件中加盖电子签章和加密，</w:t>
      </w:r>
      <w:r>
        <w:rPr>
          <w:rFonts w:hint="eastAsia" w:ascii="仿宋" w:hAnsi="仿宋" w:eastAsia="仿宋" w:cs="仿宋"/>
          <w:spacing w:val="-2"/>
          <w:sz w:val="24"/>
          <w:szCs w:val="24"/>
        </w:rPr>
        <w:t>请及时通过技术支持服务热线联系技术人员。</w:t>
      </w:r>
    </w:p>
    <w:p w14:paraId="18AC354D">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提交电子投标文件</w:t>
      </w:r>
    </w:p>
    <w:p w14:paraId="607BB422">
      <w:pPr>
        <w:pStyle w:val="12"/>
        <w:keepNext w:val="0"/>
        <w:keepLines w:val="0"/>
        <w:pageBreakBefore w:val="0"/>
        <w:wordWrap/>
        <w:overflowPunct/>
        <w:topLinePunct w:val="0"/>
        <w:bidi w:val="0"/>
        <w:spacing w:line="240" w:lineRule="auto"/>
        <w:ind w:left="0" w:leftChars="0" w:right="0" w:firstLine="0" w:firstLineChars="0"/>
        <w:rPr>
          <w:rFonts w:hint="eastAsia" w:ascii="仿宋" w:hAnsi="仿宋" w:eastAsia="仿宋" w:cs="仿宋"/>
          <w:sz w:val="24"/>
          <w:szCs w:val="24"/>
        </w:rPr>
      </w:pPr>
      <w:r>
        <w:rPr>
          <w:rFonts w:hint="eastAsia" w:ascii="仿宋" w:hAnsi="仿宋" w:eastAsia="仿宋" w:cs="仿宋"/>
          <w:spacing w:val="-2"/>
          <w:sz w:val="24"/>
          <w:szCs w:val="24"/>
        </w:rPr>
        <w:t>供应商应于投标截止时间前在北京市政府采购电子交易平台提交电子投标文件，上传电子投标文件过程中请保持与互联网的连接畅通。</w:t>
      </w:r>
    </w:p>
    <w:p w14:paraId="41D315AA">
      <w:pPr>
        <w:pStyle w:val="12"/>
        <w:keepNext w:val="0"/>
        <w:keepLines w:val="0"/>
        <w:pageBreakBefore w:val="0"/>
        <w:wordWrap/>
        <w:overflowPunct/>
        <w:topLinePunct w:val="0"/>
        <w:bidi w:val="0"/>
        <w:spacing w:line="24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开标</w:t>
      </w:r>
    </w:p>
    <w:p w14:paraId="7D67F901">
      <w:pPr>
        <w:pStyle w:val="12"/>
        <w:keepNext w:val="0"/>
        <w:keepLines w:val="0"/>
        <w:pageBreakBefore w:val="0"/>
        <w:wordWrap/>
        <w:overflowPunct/>
        <w:topLinePunct w:val="0"/>
        <w:bidi w:val="0"/>
        <w:spacing w:line="240" w:lineRule="auto"/>
        <w:ind w:left="0" w:leftChars="0" w:right="0" w:firstLine="472" w:firstLineChars="200"/>
        <w:rPr>
          <w:rFonts w:hint="eastAsia" w:ascii="仿宋_GB2312" w:hAnsi="仿宋_GB2312" w:eastAsia="仿宋_GB2312" w:cs="仿宋_GB2312"/>
        </w:rPr>
      </w:pPr>
      <w:r>
        <w:rPr>
          <w:rFonts w:hint="eastAsia" w:ascii="仿宋" w:hAnsi="仿宋" w:eastAsia="仿宋" w:cs="仿宋"/>
          <w:spacing w:val="-2"/>
          <w:sz w:val="24"/>
          <w:szCs w:val="24"/>
          <w:highlight w:val="none"/>
          <w:lang w:val="en-US" w:eastAsia="zh-CN"/>
        </w:rPr>
        <w:t>供应商</w:t>
      </w:r>
      <w:r>
        <w:rPr>
          <w:rFonts w:hint="eastAsia" w:ascii="仿宋" w:hAnsi="仿宋" w:eastAsia="仿宋" w:cs="仿宋"/>
          <w:spacing w:val="-2"/>
          <w:sz w:val="24"/>
          <w:szCs w:val="24"/>
          <w:highlight w:val="none"/>
          <w:lang w:eastAsia="zh-CN"/>
        </w:rPr>
        <w:t>需在</w:t>
      </w:r>
      <w:r>
        <w:rPr>
          <w:rFonts w:hint="eastAsia" w:ascii="仿宋" w:hAnsi="仿宋" w:eastAsia="仿宋" w:cs="仿宋"/>
          <w:color w:val="auto"/>
          <w:spacing w:val="-2"/>
          <w:sz w:val="24"/>
          <w:szCs w:val="24"/>
          <w:highlight w:val="none"/>
          <w:lang w:eastAsia="zh-CN"/>
        </w:rPr>
        <w:t>202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z w:val="24"/>
          <w:szCs w:val="28"/>
          <w:highlight w:val="none"/>
          <w:lang w:val="en-US" w:eastAsia="zh-CN"/>
        </w:rPr>
        <w:t>12月12日</w:t>
      </w:r>
      <w:r>
        <w:rPr>
          <w:rFonts w:hint="eastAsia" w:ascii="仿宋" w:hAnsi="仿宋" w:eastAsia="仿宋" w:cs="仿宋"/>
          <w:spacing w:val="-2"/>
          <w:sz w:val="24"/>
          <w:szCs w:val="24"/>
          <w:highlight w:val="none"/>
          <w:lang w:eastAsia="zh-CN"/>
        </w:rPr>
        <w:t>上午9点30分（北京时间）</w:t>
      </w:r>
      <w:r>
        <w:rPr>
          <w:rFonts w:hint="eastAsia" w:ascii="仿宋" w:hAnsi="仿宋" w:eastAsia="仿宋" w:cs="仿宋"/>
          <w:spacing w:val="-2"/>
          <w:sz w:val="24"/>
          <w:szCs w:val="24"/>
          <w:highlight w:val="none"/>
          <w:lang w:val="en-US" w:eastAsia="zh-CN"/>
        </w:rPr>
        <w:t>开标当日，由投标</w:t>
      </w:r>
      <w:r>
        <w:rPr>
          <w:rFonts w:hint="eastAsia" w:ascii="仿宋" w:hAnsi="仿宋" w:eastAsia="仿宋" w:cs="仿宋"/>
          <w:spacing w:val="-2"/>
          <w:sz w:val="24"/>
          <w:szCs w:val="24"/>
          <w:lang w:val="en-US" w:eastAsia="zh-CN"/>
        </w:rPr>
        <w:t>单位法人或授权人参加</w:t>
      </w:r>
      <w:r>
        <w:rPr>
          <w:rFonts w:hint="eastAsia" w:ascii="仿宋" w:hAnsi="仿宋" w:eastAsia="仿宋" w:cs="仿宋"/>
          <w:spacing w:val="-2"/>
          <w:sz w:val="24"/>
          <w:szCs w:val="24"/>
          <w:lang w:eastAsia="zh-CN"/>
        </w:rPr>
        <w:t>开标会（地点：北京市大兴区公共资源交易分中心三层）。届时应提供以下资料：</w:t>
      </w:r>
      <w:r>
        <w:rPr>
          <w:rFonts w:hint="eastAsia" w:ascii="仿宋" w:hAnsi="仿宋" w:eastAsia="仿宋" w:cs="仿宋"/>
          <w:spacing w:val="-2"/>
          <w:sz w:val="24"/>
          <w:szCs w:val="24"/>
          <w:lang w:val="en-US" w:eastAsia="zh-CN"/>
        </w:rPr>
        <w:t>1、携带制作电子版《投标文件》的CA证书（钥匙）。2、法人代表授权书1份。以上资料需开标当日现场递交，大兴区政府采购中心</w:t>
      </w:r>
      <w:r>
        <w:rPr>
          <w:rFonts w:hint="eastAsia" w:ascii="仿宋" w:hAnsi="仿宋" w:eastAsia="仿宋" w:cs="仿宋"/>
          <w:spacing w:val="-2"/>
          <w:sz w:val="24"/>
          <w:szCs w:val="24"/>
          <w:lang w:eastAsia="zh-CN"/>
        </w:rPr>
        <w:t>不接受现场递交以外的投递形式，</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采取其他投递形式致使</w:t>
      </w:r>
      <w:r>
        <w:rPr>
          <w:rFonts w:hint="eastAsia" w:ascii="仿宋" w:hAnsi="仿宋" w:eastAsia="仿宋" w:cs="仿宋"/>
          <w:b/>
          <w:bCs/>
          <w:spacing w:val="-2"/>
          <w:sz w:val="24"/>
          <w:szCs w:val="24"/>
          <w:lang w:eastAsia="zh-CN"/>
        </w:rPr>
        <w:t>投标无效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大兴区政府</w:t>
      </w:r>
      <w:r>
        <w:rPr>
          <w:rFonts w:hint="eastAsia" w:ascii="仿宋" w:hAnsi="仿宋" w:eastAsia="仿宋" w:cs="仿宋"/>
          <w:spacing w:val="-2"/>
          <w:sz w:val="24"/>
          <w:szCs w:val="24"/>
          <w:lang w:eastAsia="zh-CN"/>
        </w:rPr>
        <w:t>采购中心不承担任何责任。（现场递交系指</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将</w:t>
      </w:r>
      <w:r>
        <w:rPr>
          <w:rFonts w:hint="eastAsia" w:ascii="仿宋" w:hAnsi="仿宋" w:eastAsia="仿宋" w:cs="仿宋"/>
          <w:spacing w:val="-2"/>
          <w:sz w:val="24"/>
          <w:szCs w:val="24"/>
          <w:lang w:val="en-US" w:eastAsia="zh-CN"/>
        </w:rPr>
        <w:t>上述</w:t>
      </w:r>
      <w:r>
        <w:rPr>
          <w:rFonts w:hint="eastAsia" w:ascii="仿宋" w:hAnsi="仿宋" w:eastAsia="仿宋" w:cs="仿宋"/>
          <w:spacing w:val="-2"/>
          <w:sz w:val="24"/>
          <w:szCs w:val="24"/>
          <w:lang w:eastAsia="zh-CN"/>
        </w:rPr>
        <w:t>资料直接递交给采购中心联系人，并签字确认）。</w:t>
      </w:r>
    </w:p>
    <w:p w14:paraId="46F82FA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3" w:name="_Toc28359008"/>
      <w:bookmarkStart w:id="24" w:name="_Toc35393627"/>
      <w:bookmarkStart w:id="25" w:name="_Toc28359085"/>
      <w:bookmarkStart w:id="26" w:name="_Toc35393796"/>
      <w:r>
        <w:rPr>
          <w:rFonts w:hint="eastAsia" w:ascii="仿宋" w:hAnsi="仿宋" w:eastAsia="仿宋" w:cs="仿宋"/>
          <w:b w:val="0"/>
          <w:color w:val="auto"/>
          <w:sz w:val="24"/>
          <w:szCs w:val="28"/>
        </w:rPr>
        <w:t>七、对本次招标提出询问，请按以下方式联系。</w:t>
      </w:r>
      <w:bookmarkEnd w:id="23"/>
      <w:bookmarkEnd w:id="24"/>
      <w:bookmarkEnd w:id="25"/>
      <w:bookmarkEnd w:id="26"/>
    </w:p>
    <w:p w14:paraId="14EB145F">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1.采购人信息</w:t>
      </w:r>
    </w:p>
    <w:p w14:paraId="73CA349C">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kern w:val="2"/>
          <w:sz w:val="24"/>
          <w:szCs w:val="24"/>
          <w:lang w:val="en-US" w:eastAsia="en-US" w:bidi="ar-SA"/>
        </w:rPr>
        <w:t>名称：</w:t>
      </w:r>
      <w:r>
        <w:rPr>
          <w:rFonts w:hint="eastAsia" w:ascii="仿宋" w:hAnsi="仿宋" w:eastAsia="仿宋" w:cs="仿宋"/>
          <w:color w:val="auto"/>
          <w:kern w:val="2"/>
          <w:sz w:val="24"/>
          <w:szCs w:val="24"/>
          <w:lang w:val="en-US" w:eastAsia="zh-CN" w:bidi="ar-SA"/>
        </w:rPr>
        <w:t>北京市大兴区魏善庄镇人民政府</w:t>
      </w:r>
    </w:p>
    <w:p w14:paraId="2D3B927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en-US" w:bidi="ar-SA"/>
        </w:rPr>
        <w:t>地址：</w:t>
      </w:r>
      <w:r>
        <w:rPr>
          <w:rFonts w:hint="eastAsia" w:ascii="仿宋" w:hAnsi="仿宋" w:eastAsia="仿宋" w:cs="仿宋"/>
          <w:color w:val="auto"/>
          <w:kern w:val="2"/>
          <w:sz w:val="24"/>
          <w:szCs w:val="24"/>
          <w:lang w:val="en-US" w:eastAsia="zh-CN" w:bidi="ar-SA"/>
        </w:rPr>
        <w:t>北京市大兴区魏善庄镇府前路1号</w:t>
      </w:r>
    </w:p>
    <w:p w14:paraId="17CB911A">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联系人：郝老师</w:t>
      </w:r>
    </w:p>
    <w:p w14:paraId="6F20E7C7">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w:t>
      </w:r>
      <w:r>
        <w:rPr>
          <w:rFonts w:hint="eastAsia" w:ascii="仿宋" w:hAnsi="仿宋" w:eastAsia="仿宋" w:cs="仿宋"/>
          <w:kern w:val="0"/>
          <w:sz w:val="24"/>
          <w:lang w:val="en-US"/>
        </w:rPr>
        <w:t>010-89231375</w:t>
      </w:r>
    </w:p>
    <w:p w14:paraId="21168CE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2.采购代理机构信息</w:t>
      </w:r>
    </w:p>
    <w:p w14:paraId="0C975F8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名称：北京市大兴区政府采购中心</w:t>
      </w:r>
    </w:p>
    <w:p w14:paraId="4E845C03">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地址：北京市大兴区公共资源交易分中心三层</w:t>
      </w:r>
    </w:p>
    <w:p w14:paraId="69EF011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联系方式：010-69231333、69231339</w:t>
      </w:r>
    </w:p>
    <w:p w14:paraId="1CC881C2">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3.项目联系方式</w:t>
      </w:r>
    </w:p>
    <w:p w14:paraId="3338F95E">
      <w:pPr>
        <w:keepNext w:val="0"/>
        <w:keepLines w:val="0"/>
        <w:pageBreakBefore w:val="0"/>
        <w:widowControl w:val="0"/>
        <w:tabs>
          <w:tab w:val="left" w:pos="3174"/>
        </w:tabs>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项目联系人：卢老师</w:t>
      </w:r>
      <w:r>
        <w:rPr>
          <w:rFonts w:hint="eastAsia" w:ascii="仿宋" w:hAnsi="仿宋" w:eastAsia="仿宋" w:cs="仿宋"/>
          <w:color w:val="auto"/>
          <w:kern w:val="2"/>
          <w:sz w:val="24"/>
          <w:szCs w:val="24"/>
          <w:lang w:val="en-US" w:eastAsia="zh-CN" w:bidi="ar-SA"/>
        </w:rPr>
        <w:tab/>
      </w:r>
    </w:p>
    <w:p w14:paraId="583F4D8A">
      <w:pPr>
        <w:pStyle w:val="17"/>
        <w:keepNext w:val="0"/>
        <w:keepLines w:val="0"/>
        <w:pageBreakBefore w:val="0"/>
        <w:wordWrap/>
        <w:overflowPunct/>
        <w:topLinePunct w:val="0"/>
        <w:bidi w:val="0"/>
        <w:spacing w:after="0" w:line="240" w:lineRule="auto"/>
        <w:ind w:left="0" w:leftChars="0" w:right="0" w:firstLine="240" w:firstLineChars="1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电话：010-69231333转205</w:t>
      </w:r>
    </w:p>
    <w:p w14:paraId="5051F3A2">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116D558E">
      <w:pPr>
        <w:widowControl/>
        <w:ind w:firstLine="4320" w:firstLineChars="1800"/>
        <w:jc w:val="left"/>
        <w:rPr>
          <w:rFonts w:ascii="仿宋" w:hAnsi="仿宋" w:eastAsia="仿宋"/>
          <w:color w:val="auto"/>
          <w:sz w:val="24"/>
          <w:szCs w:val="28"/>
        </w:rPr>
      </w:pPr>
    </w:p>
    <w:p w14:paraId="659E297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94DE1AC">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5年11月20日</w:t>
      </w:r>
    </w:p>
    <w:p w14:paraId="17ADFC5A">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DC3874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0BF2BCDD">
      <w:pPr>
        <w:jc w:val="center"/>
        <w:rPr>
          <w:rFonts w:hint="eastAsia" w:ascii="仿宋" w:hAnsi="仿宋" w:eastAsia="仿宋" w:cs="仿宋"/>
          <w:kern w:val="0"/>
          <w:sz w:val="36"/>
          <w:szCs w:val="36"/>
          <w:u w:val="single"/>
        </w:rPr>
      </w:pPr>
    </w:p>
    <w:p w14:paraId="73414013">
      <w:pPr>
        <w:numPr>
          <w:ilvl w:val="0"/>
          <w:numId w:val="3"/>
        </w:numPr>
        <w:adjustRightInd w:val="0"/>
        <w:spacing w:line="360" w:lineRule="atLeast"/>
        <w:jc w:val="left"/>
        <w:textAlignment w:val="baseline"/>
        <w:rPr>
          <w:rFonts w:hint="eastAsia" w:ascii="仿宋" w:hAnsi="仿宋" w:eastAsia="仿宋" w:cs="仿宋"/>
          <w:b/>
          <w:sz w:val="24"/>
        </w:rPr>
      </w:pPr>
      <w:r>
        <w:rPr>
          <w:rFonts w:hint="eastAsia" w:ascii="仿宋" w:hAnsi="仿宋" w:eastAsia="仿宋" w:cs="仿宋"/>
          <w:b/>
          <w:sz w:val="24"/>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150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D2B6C60">
            <w:pPr>
              <w:jc w:val="center"/>
              <w:rPr>
                <w:rFonts w:hint="eastAsia" w:ascii="仿宋" w:hAnsi="仿宋" w:eastAsia="仿宋" w:cs="仿宋"/>
                <w:b/>
                <w:sz w:val="24"/>
              </w:rPr>
            </w:pPr>
            <w:r>
              <w:rPr>
                <w:rFonts w:hint="eastAsia" w:ascii="仿宋" w:hAnsi="仿宋" w:eastAsia="仿宋" w:cs="仿宋"/>
                <w:b/>
                <w:sz w:val="24"/>
              </w:rPr>
              <w:t>序号</w:t>
            </w:r>
          </w:p>
        </w:tc>
        <w:tc>
          <w:tcPr>
            <w:tcW w:w="2477" w:type="dxa"/>
            <w:noWrap w:val="0"/>
            <w:vAlign w:val="center"/>
          </w:tcPr>
          <w:p w14:paraId="199770DF">
            <w:pPr>
              <w:jc w:val="center"/>
              <w:rPr>
                <w:rFonts w:hint="eastAsia" w:ascii="仿宋" w:hAnsi="仿宋" w:eastAsia="仿宋" w:cs="仿宋"/>
                <w:b/>
                <w:sz w:val="24"/>
                <w:lang w:eastAsia="zh-CN"/>
              </w:rPr>
            </w:pPr>
            <w:r>
              <w:rPr>
                <w:rFonts w:hint="eastAsia" w:ascii="仿宋" w:hAnsi="仿宋" w:eastAsia="仿宋" w:cs="仿宋"/>
                <w:b/>
                <w:sz w:val="24"/>
                <w:lang w:eastAsia="zh-CN"/>
              </w:rPr>
              <w:t>服务类别</w:t>
            </w:r>
          </w:p>
        </w:tc>
        <w:tc>
          <w:tcPr>
            <w:tcW w:w="1789" w:type="dxa"/>
            <w:noWrap w:val="0"/>
            <w:vAlign w:val="center"/>
          </w:tcPr>
          <w:p w14:paraId="72F97BE6">
            <w:pPr>
              <w:jc w:val="center"/>
              <w:rPr>
                <w:rFonts w:hint="eastAsia" w:ascii="仿宋" w:hAnsi="仿宋" w:eastAsia="仿宋" w:cs="仿宋"/>
                <w:b/>
                <w:sz w:val="24"/>
              </w:rPr>
            </w:pPr>
            <w:r>
              <w:rPr>
                <w:rFonts w:hint="eastAsia" w:ascii="仿宋" w:hAnsi="仿宋" w:eastAsia="仿宋" w:cs="仿宋"/>
                <w:b/>
                <w:sz w:val="24"/>
              </w:rPr>
              <w:t>数量</w:t>
            </w:r>
          </w:p>
        </w:tc>
        <w:tc>
          <w:tcPr>
            <w:tcW w:w="1545" w:type="dxa"/>
            <w:noWrap w:val="0"/>
            <w:vAlign w:val="center"/>
          </w:tcPr>
          <w:p w14:paraId="74F9C611">
            <w:pPr>
              <w:jc w:val="center"/>
              <w:rPr>
                <w:rFonts w:hint="eastAsia" w:ascii="仿宋" w:hAnsi="仿宋" w:eastAsia="仿宋" w:cs="仿宋"/>
                <w:b/>
                <w:sz w:val="24"/>
              </w:rPr>
            </w:pPr>
            <w:r>
              <w:rPr>
                <w:rFonts w:hint="eastAsia" w:ascii="仿宋" w:hAnsi="仿宋" w:eastAsia="仿宋" w:cs="仿宋"/>
                <w:b/>
                <w:sz w:val="24"/>
              </w:rPr>
              <w:t>单位</w:t>
            </w:r>
          </w:p>
        </w:tc>
        <w:tc>
          <w:tcPr>
            <w:tcW w:w="2035" w:type="dxa"/>
            <w:noWrap w:val="0"/>
            <w:vAlign w:val="center"/>
          </w:tcPr>
          <w:p w14:paraId="7EAA8EAE">
            <w:pPr>
              <w:jc w:val="center"/>
              <w:rPr>
                <w:rFonts w:hint="eastAsia" w:ascii="仿宋" w:hAnsi="仿宋" w:eastAsia="仿宋" w:cs="仿宋"/>
                <w:b/>
                <w:sz w:val="24"/>
                <w:lang w:eastAsia="zh-CN"/>
              </w:rPr>
            </w:pPr>
            <w:r>
              <w:rPr>
                <w:rFonts w:hint="eastAsia" w:ascii="仿宋" w:hAnsi="仿宋" w:eastAsia="仿宋" w:cs="仿宋"/>
                <w:b/>
                <w:sz w:val="24"/>
              </w:rPr>
              <w:t>备注</w:t>
            </w:r>
          </w:p>
        </w:tc>
      </w:tr>
      <w:tr w14:paraId="6902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3815D52">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rPr>
              <w:t>1</w:t>
            </w:r>
          </w:p>
        </w:tc>
        <w:tc>
          <w:tcPr>
            <w:tcW w:w="2477" w:type="dxa"/>
            <w:noWrap w:val="0"/>
            <w:vAlign w:val="center"/>
          </w:tcPr>
          <w:p w14:paraId="50D0D6E7">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rPr>
              <w:t>卫生保洁服务</w:t>
            </w:r>
          </w:p>
        </w:tc>
        <w:tc>
          <w:tcPr>
            <w:tcW w:w="1789" w:type="dxa"/>
            <w:noWrap w:val="0"/>
            <w:vAlign w:val="center"/>
          </w:tcPr>
          <w:p w14:paraId="03D31E18">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8</w:t>
            </w:r>
          </w:p>
        </w:tc>
        <w:tc>
          <w:tcPr>
            <w:tcW w:w="1545" w:type="dxa"/>
            <w:noWrap w:val="0"/>
            <w:vAlign w:val="center"/>
          </w:tcPr>
          <w:p w14:paraId="2EE3F63F">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人</w:t>
            </w:r>
          </w:p>
        </w:tc>
        <w:tc>
          <w:tcPr>
            <w:tcW w:w="2035" w:type="dxa"/>
            <w:noWrap w:val="0"/>
            <w:vAlign w:val="top"/>
          </w:tcPr>
          <w:p w14:paraId="38002E06">
            <w:pPr>
              <w:rPr>
                <w:rFonts w:hint="eastAsia" w:ascii="仿宋" w:hAnsi="仿宋" w:eastAsia="仿宋" w:cs="仿宋"/>
                <w:sz w:val="24"/>
              </w:rPr>
            </w:pPr>
          </w:p>
        </w:tc>
      </w:tr>
      <w:tr w14:paraId="30C2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930F066">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rPr>
              <w:t>2</w:t>
            </w:r>
          </w:p>
        </w:tc>
        <w:tc>
          <w:tcPr>
            <w:tcW w:w="2477" w:type="dxa"/>
            <w:noWrap w:val="0"/>
            <w:vAlign w:val="center"/>
          </w:tcPr>
          <w:p w14:paraId="4DADD575">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rPr>
              <w:t>车辆驾驶服务</w:t>
            </w:r>
          </w:p>
        </w:tc>
        <w:tc>
          <w:tcPr>
            <w:tcW w:w="1789" w:type="dxa"/>
            <w:noWrap w:val="0"/>
            <w:vAlign w:val="center"/>
          </w:tcPr>
          <w:p w14:paraId="5ABCA716">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2</w:t>
            </w:r>
          </w:p>
        </w:tc>
        <w:tc>
          <w:tcPr>
            <w:tcW w:w="1545" w:type="dxa"/>
            <w:noWrap w:val="0"/>
            <w:vAlign w:val="center"/>
          </w:tcPr>
          <w:p w14:paraId="75A7092F">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人</w:t>
            </w:r>
          </w:p>
        </w:tc>
        <w:tc>
          <w:tcPr>
            <w:tcW w:w="2035" w:type="dxa"/>
            <w:noWrap w:val="0"/>
            <w:vAlign w:val="top"/>
          </w:tcPr>
          <w:p w14:paraId="3AF07F75">
            <w:pPr>
              <w:rPr>
                <w:rFonts w:hint="eastAsia" w:ascii="仿宋" w:hAnsi="仿宋" w:eastAsia="仿宋" w:cs="仿宋"/>
                <w:sz w:val="24"/>
              </w:rPr>
            </w:pPr>
          </w:p>
        </w:tc>
      </w:tr>
      <w:tr w14:paraId="403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F1E6EF0">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rPr>
              <w:t>3</w:t>
            </w:r>
          </w:p>
        </w:tc>
        <w:tc>
          <w:tcPr>
            <w:tcW w:w="2477" w:type="dxa"/>
            <w:noWrap w:val="0"/>
            <w:vAlign w:val="center"/>
          </w:tcPr>
          <w:p w14:paraId="35E84681">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rPr>
              <w:t>后勤维修服务</w:t>
            </w:r>
          </w:p>
        </w:tc>
        <w:tc>
          <w:tcPr>
            <w:tcW w:w="1789" w:type="dxa"/>
            <w:noWrap w:val="0"/>
            <w:vAlign w:val="center"/>
          </w:tcPr>
          <w:p w14:paraId="2064D7B7">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2</w:t>
            </w:r>
          </w:p>
        </w:tc>
        <w:tc>
          <w:tcPr>
            <w:tcW w:w="1545" w:type="dxa"/>
            <w:noWrap w:val="0"/>
            <w:vAlign w:val="center"/>
          </w:tcPr>
          <w:p w14:paraId="2B762D95">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人</w:t>
            </w:r>
          </w:p>
        </w:tc>
        <w:tc>
          <w:tcPr>
            <w:tcW w:w="2035" w:type="dxa"/>
            <w:noWrap w:val="0"/>
            <w:vAlign w:val="top"/>
          </w:tcPr>
          <w:p w14:paraId="15CF54EA">
            <w:pPr>
              <w:rPr>
                <w:rFonts w:hint="eastAsia" w:ascii="仿宋" w:hAnsi="仿宋" w:eastAsia="仿宋" w:cs="仿宋"/>
                <w:sz w:val="24"/>
              </w:rPr>
            </w:pPr>
          </w:p>
        </w:tc>
      </w:tr>
      <w:tr w14:paraId="5F19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F5133A3">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rPr>
              <w:t>4</w:t>
            </w:r>
          </w:p>
        </w:tc>
        <w:tc>
          <w:tcPr>
            <w:tcW w:w="2477" w:type="dxa"/>
            <w:noWrap w:val="0"/>
            <w:vAlign w:val="center"/>
          </w:tcPr>
          <w:p w14:paraId="58EBEB93">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rPr>
              <w:t>就餐保障服务</w:t>
            </w:r>
          </w:p>
        </w:tc>
        <w:tc>
          <w:tcPr>
            <w:tcW w:w="1789" w:type="dxa"/>
            <w:noWrap w:val="0"/>
            <w:vAlign w:val="center"/>
          </w:tcPr>
          <w:p w14:paraId="0410FAFC">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2</w:t>
            </w:r>
          </w:p>
        </w:tc>
        <w:tc>
          <w:tcPr>
            <w:tcW w:w="1545" w:type="dxa"/>
            <w:noWrap w:val="0"/>
            <w:vAlign w:val="center"/>
          </w:tcPr>
          <w:p w14:paraId="082A9626">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人</w:t>
            </w:r>
          </w:p>
        </w:tc>
        <w:tc>
          <w:tcPr>
            <w:tcW w:w="2035" w:type="dxa"/>
            <w:noWrap w:val="0"/>
            <w:vAlign w:val="top"/>
          </w:tcPr>
          <w:p w14:paraId="4B71C222">
            <w:pPr>
              <w:rPr>
                <w:rFonts w:hint="eastAsia" w:ascii="仿宋" w:hAnsi="仿宋" w:eastAsia="仿宋" w:cs="仿宋"/>
                <w:sz w:val="24"/>
              </w:rPr>
            </w:pPr>
          </w:p>
        </w:tc>
      </w:tr>
      <w:tr w14:paraId="6CC2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gridSpan w:val="2"/>
            <w:noWrap w:val="0"/>
            <w:vAlign w:val="center"/>
          </w:tcPr>
          <w:p w14:paraId="73FCF6DE">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合计</w:t>
            </w:r>
          </w:p>
        </w:tc>
        <w:tc>
          <w:tcPr>
            <w:tcW w:w="1789" w:type="dxa"/>
            <w:noWrap w:val="0"/>
            <w:vAlign w:val="center"/>
          </w:tcPr>
          <w:p w14:paraId="59083D5A">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14</w:t>
            </w:r>
          </w:p>
        </w:tc>
        <w:tc>
          <w:tcPr>
            <w:tcW w:w="1545" w:type="dxa"/>
            <w:noWrap w:val="0"/>
            <w:vAlign w:val="center"/>
          </w:tcPr>
          <w:p w14:paraId="02CF1004">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sz w:val="24"/>
              </w:rPr>
            </w:pPr>
            <w:r>
              <w:rPr>
                <w:rFonts w:hint="eastAsia" w:ascii="仿宋" w:hAnsi="仿宋" w:eastAsia="仿宋" w:cs="仿宋"/>
                <w:lang w:val="en-US" w:eastAsia="zh-CN"/>
              </w:rPr>
              <w:t>人</w:t>
            </w:r>
          </w:p>
        </w:tc>
        <w:tc>
          <w:tcPr>
            <w:tcW w:w="2035" w:type="dxa"/>
            <w:noWrap w:val="0"/>
            <w:vAlign w:val="top"/>
          </w:tcPr>
          <w:p w14:paraId="02D80020">
            <w:pPr>
              <w:rPr>
                <w:rFonts w:hint="eastAsia" w:ascii="仿宋" w:hAnsi="仿宋" w:eastAsia="仿宋" w:cs="仿宋"/>
                <w:sz w:val="24"/>
              </w:rPr>
            </w:pPr>
          </w:p>
        </w:tc>
      </w:tr>
    </w:tbl>
    <w:p w14:paraId="68EFDF86">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仿宋" w:hAnsi="仿宋" w:eastAsia="仿宋" w:cs="仿宋"/>
          <w:b w:val="0"/>
          <w:bCs/>
          <w:sz w:val="24"/>
          <w:lang w:eastAsia="zh-CN"/>
        </w:rPr>
      </w:pPr>
      <w:r>
        <w:rPr>
          <w:rFonts w:hint="eastAsia" w:ascii="仿宋" w:hAnsi="仿宋" w:eastAsia="仿宋" w:cs="仿宋"/>
          <w:b w:val="0"/>
          <w:bCs/>
          <w:sz w:val="24"/>
          <w:lang w:eastAsia="zh-CN"/>
        </w:rPr>
        <w:t>项目预算金额：</w:t>
      </w:r>
      <w:r>
        <w:rPr>
          <w:rFonts w:hint="eastAsia" w:ascii="仿宋" w:hAnsi="仿宋" w:eastAsia="仿宋" w:cs="仿宋"/>
          <w:b w:val="0"/>
          <w:bCs/>
          <w:sz w:val="24"/>
          <w:lang w:val="en-US" w:eastAsia="zh-CN"/>
        </w:rPr>
        <w:t>125万元</w:t>
      </w:r>
    </w:p>
    <w:p w14:paraId="24198389">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eastAsia="zh-CN"/>
        </w:rPr>
        <w:t>合同履行期限：自合同签订之日起</w:t>
      </w:r>
      <w:r>
        <w:rPr>
          <w:rFonts w:hint="eastAsia" w:ascii="仿宋" w:hAnsi="仿宋" w:eastAsia="仿宋" w:cs="仿宋"/>
          <w:b w:val="0"/>
          <w:bCs/>
          <w:sz w:val="24"/>
          <w:lang w:val="en-US" w:eastAsia="zh-CN"/>
        </w:rPr>
        <w:t>1年</w:t>
      </w:r>
    </w:p>
    <w:p w14:paraId="4C755056">
      <w:pPr>
        <w:numPr>
          <w:ilvl w:val="0"/>
          <w:numId w:val="3"/>
        </w:numPr>
        <w:adjustRightInd w:val="0"/>
        <w:spacing w:line="360" w:lineRule="atLeast"/>
        <w:jc w:val="left"/>
        <w:textAlignment w:val="baseline"/>
        <w:rPr>
          <w:rFonts w:hint="eastAsia" w:ascii="仿宋" w:hAnsi="仿宋" w:eastAsia="仿宋" w:cs="仿宋"/>
          <w:b/>
          <w:sz w:val="24"/>
        </w:rPr>
      </w:pPr>
      <w:r>
        <w:rPr>
          <w:rFonts w:hint="eastAsia" w:ascii="仿宋" w:hAnsi="仿宋" w:eastAsia="仿宋" w:cs="仿宋"/>
          <w:b/>
          <w:sz w:val="24"/>
        </w:rPr>
        <w:t>项目背景或简况</w:t>
      </w:r>
    </w:p>
    <w:p w14:paraId="636EBF4F">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仿宋" w:hAnsi="仿宋" w:eastAsia="仿宋" w:cs="仿宋"/>
          <w:b w:val="0"/>
          <w:bCs/>
          <w:sz w:val="24"/>
          <w:lang w:eastAsia="zh-CN"/>
        </w:rPr>
      </w:pPr>
      <w:r>
        <w:rPr>
          <w:rFonts w:hint="eastAsia" w:ascii="仿宋" w:hAnsi="仿宋" w:eastAsia="仿宋" w:cs="仿宋"/>
          <w:b w:val="0"/>
          <w:bCs/>
          <w:sz w:val="24"/>
          <w:lang w:eastAsia="zh-CN"/>
        </w:rPr>
        <w:t>魏善庄镇政府前后办公楼、财政所办公楼、机关院内公共区域等办公区域需专业人员开展卫生保洁服务和后勤维修服务工作。同时，为做好日常工作保障，需由专业车辆驾驶服务人员和就餐保障服务人员开展相应工作。</w:t>
      </w:r>
    </w:p>
    <w:p w14:paraId="6C7F252F">
      <w:pPr>
        <w:numPr>
          <w:ilvl w:val="0"/>
          <w:numId w:val="3"/>
        </w:numPr>
        <w:adjustRightInd w:val="0"/>
        <w:spacing w:line="360" w:lineRule="atLeast"/>
        <w:jc w:val="left"/>
        <w:textAlignment w:val="baseline"/>
        <w:rPr>
          <w:rFonts w:hint="eastAsia" w:ascii="仿宋" w:hAnsi="仿宋" w:eastAsia="仿宋" w:cs="仿宋"/>
          <w:b/>
          <w:sz w:val="24"/>
        </w:rPr>
      </w:pPr>
      <w:r>
        <w:rPr>
          <w:rFonts w:hint="eastAsia" w:ascii="仿宋" w:hAnsi="仿宋" w:eastAsia="仿宋" w:cs="仿宋"/>
          <w:b/>
          <w:sz w:val="24"/>
        </w:rPr>
        <w:t>技术参数要求（技术指标包括性能、规格、材质等，但不能指定品牌）、服务要求</w:t>
      </w:r>
    </w:p>
    <w:p w14:paraId="56EEB00C">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1.基础服务</w:t>
      </w:r>
    </w:p>
    <w:p w14:paraId="3411CF6E">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投标人应当满足采购人的服务要求和标准，为采购人提供专业、优质、高效的服务，投标人提供的工作人员需遵守以下规定：</w:t>
      </w:r>
    </w:p>
    <w:p w14:paraId="63EF9D93">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1.1制定总体物业管理制度、各分项服务管理制度、奖惩办法等并严格执行。</w:t>
      </w:r>
    </w:p>
    <w:p w14:paraId="6D819162">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1.2建立健全员工培训机制，加强员工培训，有完整的员工培训记录，不断提高员工工作技能和水平。员工在工作时间应着装整齐，仪表、仪态、用语文明礼貌；服务做到坚持原则，热情大方；服务过程中不做与工作无关的事。</w:t>
      </w:r>
    </w:p>
    <w:p w14:paraId="6A871145">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1.3人员上岗率100%，每日考勤记录完整。</w:t>
      </w:r>
    </w:p>
    <w:p w14:paraId="275DCECE">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1.4保洁问题30分钟内响应、维修1小时内响应、出车30分钟内响应；漏水、停电等问题10分钟内到场处置；维修/水电问题12小时内解决率≥95%。</w:t>
      </w:r>
    </w:p>
    <w:p w14:paraId="4781EEFF">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1.5设备维护记录、清洁消杀、菜品留样等记录完整；安全隐患整改台账清晰。</w:t>
      </w:r>
    </w:p>
    <w:p w14:paraId="15CFBCF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1.6采购人定期开展满意度调查，达到甲方要求的相应满意度</w:t>
      </w:r>
    </w:p>
    <w:p w14:paraId="6F662D93">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2.卫生保洁服务</w:t>
      </w:r>
    </w:p>
    <w:tbl>
      <w:tblPr>
        <w:tblStyle w:val="23"/>
        <w:tblW w:w="9060" w:type="dxa"/>
        <w:jc w:val="center"/>
        <w:tblLayout w:type="fixed"/>
        <w:tblCellMar>
          <w:top w:w="0" w:type="dxa"/>
          <w:left w:w="104" w:type="dxa"/>
          <w:bottom w:w="0" w:type="dxa"/>
          <w:right w:w="11" w:type="dxa"/>
        </w:tblCellMar>
      </w:tblPr>
      <w:tblGrid>
        <w:gridCol w:w="849"/>
        <w:gridCol w:w="2200"/>
        <w:gridCol w:w="1865"/>
        <w:gridCol w:w="7"/>
        <w:gridCol w:w="1079"/>
        <w:gridCol w:w="3060"/>
      </w:tblGrid>
      <w:tr w14:paraId="39D1166E">
        <w:tblPrEx>
          <w:tblCellMar>
            <w:top w:w="0" w:type="dxa"/>
            <w:left w:w="104" w:type="dxa"/>
            <w:bottom w:w="0" w:type="dxa"/>
            <w:right w:w="11" w:type="dxa"/>
          </w:tblCellMar>
        </w:tblPrEx>
        <w:trPr>
          <w:trHeight w:val="425" w:hRule="atLeast"/>
          <w:jc w:val="center"/>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72D1AF3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分类</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AED875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内容</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05EB1B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要求</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0C39CC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频率</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BFA0F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服务标准</w:t>
            </w:r>
          </w:p>
        </w:tc>
      </w:tr>
      <w:tr w14:paraId="7EF967FD">
        <w:tblPrEx>
          <w:tblCellMar>
            <w:top w:w="0" w:type="dxa"/>
            <w:left w:w="104" w:type="dxa"/>
            <w:bottom w:w="0" w:type="dxa"/>
            <w:right w:w="11" w:type="dxa"/>
          </w:tblCellMar>
        </w:tblPrEx>
        <w:trPr>
          <w:trHeight w:val="454"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1C56F0E5">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r>
              <w:rPr>
                <w:rFonts w:hint="eastAsia" w:ascii="仿宋" w:hAnsi="仿宋" w:eastAsia="仿宋" w:cs="仿宋"/>
                <w:sz w:val="22"/>
                <w:szCs w:val="28"/>
              </w:rPr>
              <w:t>室内保洁</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4A981CC8">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096F46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62306CB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59BBDA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b w:val="0"/>
                <w:bCs w:val="0"/>
                <w:color w:val="000000"/>
                <w:sz w:val="22"/>
                <w:szCs w:val="22"/>
              </w:rPr>
              <w:t>地面光亮、无尘、无杂物</w:t>
            </w:r>
          </w:p>
        </w:tc>
      </w:tr>
      <w:tr w14:paraId="68CE5172">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center"/>
          </w:tcPr>
          <w:p w14:paraId="7AE7D2D6">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F28D1D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垃圾筐（桶）</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C94C0BE">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倾倒、擦拭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69B77D0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8B7F13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洁净、无污渍</w:t>
            </w:r>
          </w:p>
        </w:tc>
      </w:tr>
      <w:tr w14:paraId="1C812410">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1B9DC09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07AAEF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柜体、隔断</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1E35FC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42F6F8C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5BC8385">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洁净、无灰尘</w:t>
            </w:r>
          </w:p>
        </w:tc>
      </w:tr>
      <w:tr w14:paraId="01FD9E9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78EB6EC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D43B36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34279E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推尘、擦拭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421DA20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A2EA97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洁净、无污渍</w:t>
            </w:r>
          </w:p>
        </w:tc>
      </w:tr>
      <w:tr w14:paraId="2C1C1DA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0DD9975A">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360A56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门、门框、开关</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890EA2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EC4476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E7738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洁净、无污渍</w:t>
            </w:r>
          </w:p>
        </w:tc>
      </w:tr>
      <w:tr w14:paraId="2D4C590A">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7560FDD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F85C9C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会议桌</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9E6BA9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183F10B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03F882A">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洁净、无灰尘</w:t>
            </w:r>
          </w:p>
        </w:tc>
      </w:tr>
      <w:tr w14:paraId="2BCF6942">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50668C93">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D31C7E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沙发、椅子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CC16AA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4A5D88E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B803925">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洁净、无污渍</w:t>
            </w:r>
          </w:p>
        </w:tc>
      </w:tr>
      <w:tr w14:paraId="6713A1F9">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47695B7E">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46C03F1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窗台、暖气片</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3D1B4AE">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C6E7B7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D395C9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洁净、无灰尘</w:t>
            </w:r>
          </w:p>
        </w:tc>
      </w:tr>
      <w:tr w14:paraId="6AB94A07">
        <w:tblPrEx>
          <w:tblCellMar>
            <w:top w:w="0" w:type="dxa"/>
            <w:left w:w="104" w:type="dxa"/>
            <w:bottom w:w="0" w:type="dxa"/>
            <w:right w:w="11" w:type="dxa"/>
          </w:tblCellMar>
        </w:tblPrEx>
        <w:trPr>
          <w:trHeight w:val="454"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17D3242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r>
              <w:rPr>
                <w:rFonts w:hint="eastAsia" w:ascii="仿宋" w:hAnsi="仿宋" w:eastAsia="仿宋" w:cs="仿宋"/>
                <w:sz w:val="22"/>
                <w:szCs w:val="28"/>
              </w:rPr>
              <w:t>公共区域通道、步行梯</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20E26C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B30B74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6B41851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7A999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地面光亮、无尘、无杂物</w:t>
            </w:r>
          </w:p>
        </w:tc>
      </w:tr>
      <w:tr w14:paraId="2F69FBC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5283A236">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563CD4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AB8B6F9">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B70878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63F18E5">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无污迹</w:t>
            </w:r>
            <w:r>
              <w:rPr>
                <w:rFonts w:hint="eastAsia" w:ascii="仿宋" w:hAnsi="仿宋" w:eastAsia="仿宋" w:cs="仿宋"/>
                <w:b w:val="0"/>
                <w:bCs w:val="0"/>
                <w:color w:val="000000"/>
                <w:sz w:val="22"/>
                <w:szCs w:val="22"/>
              </w:rPr>
              <w:t>、无尘</w:t>
            </w:r>
          </w:p>
        </w:tc>
      </w:tr>
      <w:tr w14:paraId="026B465A">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2BC48DCD">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7392897">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出入门、闭门器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884F86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0E7A2BE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287914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无手印、污渍、玻璃光亮</w:t>
            </w:r>
          </w:p>
        </w:tc>
      </w:tr>
      <w:tr w14:paraId="23DE276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0EEBA978">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6D00D7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入室门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3B4A30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1005463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4FCC0D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无手印、污渍、玻璃光亮</w:t>
            </w:r>
          </w:p>
        </w:tc>
      </w:tr>
      <w:tr w14:paraId="3E246401">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7FD7956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07424B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消防设施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683EF4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1E1B952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F1B578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无手印迹</w:t>
            </w:r>
          </w:p>
        </w:tc>
      </w:tr>
      <w:tr w14:paraId="251F5FF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2814609E">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3DCA7C5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指示灯牌、墙面装饰物的清洁</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49F9B0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5BCE98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D3CB187">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无杂物、手印、污迹、表面洁净</w:t>
            </w:r>
          </w:p>
        </w:tc>
      </w:tr>
      <w:tr w14:paraId="29A6FD15">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08B560A5">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F80CAB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清洁间、开水间清洁</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A046B4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擦拭</w:t>
            </w:r>
            <w:r>
              <w:rPr>
                <w:rFonts w:hint="eastAsia" w:ascii="仿宋" w:hAnsi="仿宋" w:eastAsia="仿宋" w:cs="仿宋"/>
                <w:sz w:val="22"/>
                <w:szCs w:val="28"/>
                <w:highlight w:val="none"/>
                <w:lang w:eastAsia="zh-CN"/>
              </w:rPr>
              <w:t>、</w:t>
            </w:r>
            <w:r>
              <w:rPr>
                <w:rFonts w:hint="eastAsia" w:ascii="仿宋" w:hAnsi="仿宋" w:eastAsia="仿宋" w:cs="仿宋"/>
                <w:sz w:val="22"/>
                <w:szCs w:val="28"/>
                <w:highlight w:val="none"/>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CF39ED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8F7E62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无污迹、杂物、清洁工具码放规范整齐</w:t>
            </w:r>
          </w:p>
        </w:tc>
      </w:tr>
      <w:tr w14:paraId="2DC26D25">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3582218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BC8E24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扶手</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F17761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CD666D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5B37B0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无尘</w:t>
            </w:r>
          </w:p>
        </w:tc>
      </w:tr>
      <w:tr w14:paraId="227D2B1A">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7AF6127D">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2E9C09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rPr>
            </w:pPr>
            <w:r>
              <w:rPr>
                <w:rFonts w:hint="eastAsia" w:ascii="仿宋" w:hAnsi="仿宋" w:eastAsia="仿宋" w:cs="仿宋"/>
                <w:b w:val="0"/>
                <w:bCs w:val="0"/>
                <w:color w:val="000000"/>
                <w:sz w:val="22"/>
                <w:szCs w:val="22"/>
                <w:highlight w:val="none"/>
              </w:rPr>
              <w:t>消防井</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444CC1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160D17E">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sz w:val="22"/>
                <w:szCs w:val="28"/>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979F9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仿宋" w:hAnsi="仿宋" w:eastAsia="仿宋" w:cs="仿宋"/>
                <w:sz w:val="22"/>
                <w:szCs w:val="28"/>
              </w:rPr>
            </w:pPr>
            <w:r>
              <w:rPr>
                <w:rFonts w:hint="eastAsia" w:ascii="仿宋" w:hAnsi="仿宋" w:eastAsia="仿宋" w:cs="仿宋"/>
                <w:b w:val="0"/>
                <w:bCs w:val="0"/>
                <w:color w:val="000000"/>
                <w:sz w:val="22"/>
                <w:szCs w:val="22"/>
              </w:rPr>
              <w:t>无杂物、无顽固污渍</w:t>
            </w:r>
          </w:p>
        </w:tc>
      </w:tr>
      <w:tr w14:paraId="5F66006C">
        <w:tblPrEx>
          <w:tblCellMar>
            <w:top w:w="0" w:type="dxa"/>
            <w:left w:w="104" w:type="dxa"/>
            <w:bottom w:w="0" w:type="dxa"/>
            <w:right w:w="35" w:type="dxa"/>
          </w:tblCellMar>
        </w:tblPrEx>
        <w:trPr>
          <w:trHeight w:val="451"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0B20714E">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卫生间</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335C385A">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37D63C71">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5D8E5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4E4B93">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干净，无污，无味，无积水</w:t>
            </w:r>
          </w:p>
        </w:tc>
      </w:tr>
      <w:tr w14:paraId="5C6297A2">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71A1BE10">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53D21A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内墙面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7E6E690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D7DB2E">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661196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无污迹，无尘</w:t>
            </w:r>
          </w:p>
        </w:tc>
      </w:tr>
      <w:tr w14:paraId="32452781">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right w:val="single" w:color="000000" w:sz="4" w:space="0"/>
            </w:tcBorders>
            <w:noWrap w:val="0"/>
            <w:vAlign w:val="top"/>
          </w:tcPr>
          <w:p w14:paraId="53031AA6">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EF3C117">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恭桶、便池</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42B2462F">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清洁／消毒</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C8D3667">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53B170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无杂物，无污垢</w:t>
            </w:r>
          </w:p>
        </w:tc>
      </w:tr>
      <w:tr w14:paraId="73BCF5E2">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5294C387">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DEFDCF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洗手盆</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1408F717">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清洁</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63D604">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E74DE7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无污物</w:t>
            </w:r>
          </w:p>
        </w:tc>
      </w:tr>
      <w:tr w14:paraId="5B62AF4B">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026EF9C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3EBE6F3A">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68F6321A">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清洗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F3E270D">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06F5694">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清洁、无污迹</w:t>
            </w:r>
          </w:p>
        </w:tc>
      </w:tr>
      <w:tr w14:paraId="2D695714">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right w:val="single" w:color="000000" w:sz="4" w:space="0"/>
            </w:tcBorders>
            <w:noWrap w:val="0"/>
            <w:vAlign w:val="top"/>
          </w:tcPr>
          <w:p w14:paraId="4495E21A">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4510467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挡板</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74DF1C5A">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967205">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F485E29">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干净、无污迹</w:t>
            </w:r>
          </w:p>
        </w:tc>
      </w:tr>
      <w:tr w14:paraId="248B7C8C">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01D9D013">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1CC76091">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隔断门金属件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5B9AED4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D16708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8FBB17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无手印、无污迹</w:t>
            </w:r>
          </w:p>
        </w:tc>
      </w:tr>
      <w:tr w14:paraId="4FF45532">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bottom w:val="single" w:color="000000" w:sz="4" w:space="0"/>
              <w:right w:val="single" w:color="000000" w:sz="4" w:space="0"/>
            </w:tcBorders>
            <w:noWrap w:val="0"/>
            <w:vAlign w:val="top"/>
          </w:tcPr>
          <w:p w14:paraId="1B7ABB9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4E36C00">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门、灯具、电镀件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42F19FB7">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C1C16F">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6CD3F2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光亮无手印</w:t>
            </w:r>
          </w:p>
        </w:tc>
      </w:tr>
    </w:tbl>
    <w:p w14:paraId="4EAA3CF3">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kern w:val="2"/>
          <w:sz w:val="24"/>
          <w:szCs w:val="24"/>
          <w:lang w:val="en-US" w:eastAsia="zh-CN" w:bidi="ar-SA"/>
        </w:rPr>
        <w:t>3.</w:t>
      </w:r>
      <w:r>
        <w:rPr>
          <w:rFonts w:hint="eastAsia" w:ascii="仿宋" w:hAnsi="仿宋" w:eastAsia="仿宋" w:cs="仿宋"/>
          <w:b w:val="0"/>
          <w:bCs/>
          <w:sz w:val="24"/>
          <w:lang w:val="en-US" w:eastAsia="zh-CN"/>
        </w:rPr>
        <w:t>车辆驾驶服务</w:t>
      </w:r>
    </w:p>
    <w:tbl>
      <w:tblPr>
        <w:tblStyle w:val="23"/>
        <w:tblpPr w:leftFromText="180" w:rightFromText="180" w:vertAnchor="text" w:horzAnchor="page" w:tblpX="1234" w:tblpY="454"/>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8"/>
        <w:gridCol w:w="6780"/>
        <w:gridCol w:w="544"/>
      </w:tblGrid>
      <w:tr w14:paraId="27FB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32E0E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服务内容</w:t>
            </w:r>
          </w:p>
        </w:tc>
        <w:tc>
          <w:tcPr>
            <w:tcW w:w="382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11A4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服务标准</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22901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14:paraId="71CF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DAA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车辆驾驶服务</w:t>
            </w:r>
          </w:p>
        </w:tc>
        <w:tc>
          <w:tcPr>
            <w:tcW w:w="3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4B7C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1.工作期间每日对车辆整体状况进行检查至少一次，确保安全出车。</w:t>
            </w:r>
          </w:p>
          <w:p w14:paraId="50893C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2.按照采购人的要求及时完成车辆的保养、年检等工作。</w:t>
            </w:r>
          </w:p>
          <w:p w14:paraId="01ABA8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3.按照采购人的日常管理规范及时做好车辆的油料、玻璃水、擦洗等日常维护，保障正常出车。</w:t>
            </w:r>
          </w:p>
          <w:p w14:paraId="74A5F8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4.按照采购人指定的时间、路线、地点，安全、准时完成出车任务。</w:t>
            </w:r>
          </w:p>
          <w:p w14:paraId="3B121D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5.严格按照采购人的日常管理制度做好公务用车系统管理和维护工作。</w:t>
            </w:r>
          </w:p>
          <w:p w14:paraId="3E40A4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6.做好节假日期间的公务用车停驶、应急驾驶等工作。承担。</w:t>
            </w:r>
          </w:p>
          <w:p w14:paraId="39BA9C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7.行驶期间不出现违章、主责事故等情况，否则由中标人承担。</w:t>
            </w:r>
          </w:p>
          <w:p w14:paraId="46017B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8.行驶中发现车辆状态异常或仪表显示故障时，立即停车检查并处理。</w:t>
            </w:r>
          </w:p>
          <w:p w14:paraId="08CD007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1"/>
                <w:szCs w:val="21"/>
                <w:u w:val="none"/>
                <w:lang w:val="en-US" w:eastAsia="zh-CN" w:bidi="ar"/>
              </w:rPr>
              <w:t>9.服从领导的其它安排。</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241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20EEE312">
      <w:pPr>
        <w:pStyle w:val="2"/>
        <w:numPr>
          <w:ilvl w:val="-1"/>
          <w:numId w:val="0"/>
        </w:numPr>
        <w:ind w:left="0" w:leftChars="0"/>
        <w:rPr>
          <w:rFonts w:hint="eastAsia" w:ascii="仿宋" w:hAnsi="仿宋" w:eastAsia="仿宋" w:cs="仿宋"/>
          <w:lang w:val="en-US" w:eastAsia="zh-CN"/>
        </w:rPr>
      </w:pPr>
    </w:p>
    <w:p w14:paraId="496C13C0">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kern w:val="2"/>
          <w:sz w:val="24"/>
          <w:szCs w:val="24"/>
          <w:lang w:val="en-US" w:eastAsia="zh-CN" w:bidi="ar-SA"/>
        </w:rPr>
        <w:t>4.</w:t>
      </w:r>
      <w:r>
        <w:rPr>
          <w:rFonts w:hint="eastAsia" w:ascii="仿宋" w:hAnsi="仿宋" w:eastAsia="仿宋" w:cs="仿宋"/>
          <w:b w:val="0"/>
          <w:bCs/>
          <w:sz w:val="24"/>
          <w:lang w:val="en-US" w:eastAsia="zh-CN"/>
        </w:rPr>
        <w:t>后勤维修服务</w:t>
      </w:r>
    </w:p>
    <w:tbl>
      <w:tblPr>
        <w:tblStyle w:val="23"/>
        <w:tblpPr w:leftFromText="180" w:rightFromText="180" w:vertAnchor="text" w:horzAnchor="page" w:tblpX="1209" w:tblpY="176"/>
        <w:tblOverlap w:val="never"/>
        <w:tblW w:w="9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5"/>
        <w:gridCol w:w="6933"/>
        <w:gridCol w:w="720"/>
      </w:tblGrid>
      <w:tr w14:paraId="0158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5ADC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服务内容</w:t>
            </w:r>
          </w:p>
        </w:tc>
        <w:tc>
          <w:tcPr>
            <w:tcW w:w="6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DFDF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服务标准</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8D7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14:paraId="6FBA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C1A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后勤维修服务</w:t>
            </w:r>
          </w:p>
        </w:tc>
        <w:tc>
          <w:tcPr>
            <w:tcW w:w="69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99B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1.因采购人内部设施设备故障导致的停水停电等问题能够按照采购人的要求及时修复。</w:t>
            </w:r>
          </w:p>
          <w:p w14:paraId="2BAA9A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2.修复完的问题半年内不出现重复维修情况。</w:t>
            </w:r>
          </w:p>
          <w:p w14:paraId="728C4B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3.维修完成后及时清理恢复现场。</w:t>
            </w:r>
          </w:p>
          <w:p w14:paraId="77A272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4.每周对采购人划定的维修区域进行巡检一次。</w:t>
            </w:r>
          </w:p>
          <w:p w14:paraId="74CAFD9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5.严格按照安全规程操作并设置警示标志。</w:t>
            </w:r>
          </w:p>
          <w:p w14:paraId="27D6D1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6.定期维护检修工具，确保维修设备完好率。</w:t>
            </w:r>
          </w:p>
          <w:p w14:paraId="54F8E6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7.一般维修当天处理完毕。因特殊原因不能按时完成维修任务的，应当及时汇报并协调处理。</w:t>
            </w:r>
          </w:p>
          <w:p w14:paraId="2477041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1"/>
                <w:szCs w:val="21"/>
                <w:u w:val="none"/>
                <w:lang w:val="en-US" w:eastAsia="zh-CN" w:bidi="ar"/>
              </w:rPr>
              <w:t>8.定期做好库存物品的盘点，防止出现缺货或积压现象。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7A3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760896C6">
      <w:pPr>
        <w:pStyle w:val="2"/>
        <w:numPr>
          <w:ilvl w:val="-1"/>
          <w:numId w:val="0"/>
        </w:numPr>
        <w:ind w:left="0" w:leftChars="0"/>
        <w:rPr>
          <w:rFonts w:hint="eastAsia" w:ascii="仿宋" w:hAnsi="仿宋" w:eastAsia="仿宋" w:cs="仿宋"/>
          <w:lang w:val="en-US" w:eastAsia="zh-CN"/>
        </w:rPr>
      </w:pPr>
    </w:p>
    <w:p w14:paraId="11AB94DC">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kern w:val="2"/>
          <w:sz w:val="24"/>
          <w:szCs w:val="24"/>
          <w:lang w:val="en-US" w:eastAsia="zh-CN" w:bidi="ar-SA"/>
        </w:rPr>
        <w:t>5.</w:t>
      </w:r>
      <w:r>
        <w:rPr>
          <w:rFonts w:hint="eastAsia" w:ascii="仿宋" w:hAnsi="仿宋" w:eastAsia="仿宋" w:cs="仿宋"/>
          <w:b w:val="0"/>
          <w:bCs/>
          <w:sz w:val="24"/>
          <w:lang w:val="en-US" w:eastAsia="zh-CN"/>
        </w:rPr>
        <w:t>就餐保障服务</w:t>
      </w:r>
    </w:p>
    <w:p w14:paraId="131D8B2A">
      <w:pPr>
        <w:pStyle w:val="2"/>
        <w:numPr>
          <w:ilvl w:val="-1"/>
          <w:numId w:val="0"/>
        </w:numPr>
        <w:ind w:left="0" w:leftChars="0"/>
        <w:rPr>
          <w:rFonts w:hint="eastAsia" w:ascii="仿宋" w:hAnsi="仿宋" w:eastAsia="仿宋" w:cs="仿宋"/>
          <w:lang w:val="en-US" w:eastAsia="zh-CN"/>
        </w:rPr>
      </w:pPr>
    </w:p>
    <w:tbl>
      <w:tblPr>
        <w:tblStyle w:val="23"/>
        <w:tblpPr w:leftFromText="180" w:rightFromText="180" w:vertAnchor="text" w:horzAnchor="page" w:tblpX="1218" w:tblpY="330"/>
        <w:tblOverlap w:val="never"/>
        <w:tblW w:w="9060" w:type="dxa"/>
        <w:tblInd w:w="0" w:type="dxa"/>
        <w:tblLayout w:type="fixed"/>
        <w:tblCellMar>
          <w:top w:w="0" w:type="dxa"/>
          <w:left w:w="104" w:type="dxa"/>
          <w:bottom w:w="0" w:type="dxa"/>
          <w:right w:w="11" w:type="dxa"/>
        </w:tblCellMar>
      </w:tblPr>
      <w:tblGrid>
        <w:gridCol w:w="849"/>
        <w:gridCol w:w="1217"/>
        <w:gridCol w:w="1050"/>
        <w:gridCol w:w="1117"/>
        <w:gridCol w:w="4827"/>
      </w:tblGrid>
      <w:tr w14:paraId="1BF22AAD">
        <w:tblPrEx>
          <w:tblCellMar>
            <w:top w:w="0" w:type="dxa"/>
            <w:left w:w="104" w:type="dxa"/>
            <w:bottom w:w="0" w:type="dxa"/>
            <w:right w:w="11" w:type="dxa"/>
          </w:tblCellMar>
        </w:tblPrEx>
        <w:trPr>
          <w:trHeight w:val="425" w:hRule="atLeast"/>
        </w:trPr>
        <w:tc>
          <w:tcPr>
            <w:tcW w:w="849" w:type="dxa"/>
            <w:tcBorders>
              <w:top w:val="single" w:color="000000" w:sz="4" w:space="0"/>
              <w:left w:val="single" w:color="000000" w:sz="4" w:space="0"/>
              <w:bottom w:val="single" w:color="auto" w:sz="4" w:space="0"/>
              <w:right w:val="single" w:color="000000" w:sz="4" w:space="0"/>
            </w:tcBorders>
            <w:noWrap w:val="0"/>
            <w:vAlign w:val="center"/>
          </w:tcPr>
          <w:p w14:paraId="62596CD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分类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57C3266">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82E35C">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要求</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830C5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频率</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19F07BB">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color w:val="auto"/>
                <w:sz w:val="22"/>
                <w:szCs w:val="28"/>
              </w:rPr>
            </w:pPr>
            <w:r>
              <w:rPr>
                <w:rFonts w:hint="eastAsia" w:ascii="仿宋" w:hAnsi="仿宋" w:eastAsia="仿宋" w:cs="仿宋"/>
                <w:color w:val="auto"/>
                <w:sz w:val="22"/>
                <w:szCs w:val="28"/>
              </w:rPr>
              <w:t>服务标准</w:t>
            </w:r>
          </w:p>
        </w:tc>
      </w:tr>
      <w:tr w14:paraId="4D0CA9A6">
        <w:tblPrEx>
          <w:tblCellMar>
            <w:top w:w="0" w:type="dxa"/>
            <w:left w:w="104" w:type="dxa"/>
            <w:bottom w:w="0" w:type="dxa"/>
            <w:right w:w="11" w:type="dxa"/>
          </w:tblCellMar>
        </w:tblPrEx>
        <w:trPr>
          <w:trHeight w:val="454" w:hRule="atLeast"/>
        </w:trPr>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14:paraId="231AAD7D">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r>
              <w:rPr>
                <w:rFonts w:hint="eastAsia" w:ascii="仿宋" w:hAnsi="仿宋" w:eastAsia="仿宋" w:cs="仿宋"/>
                <w:sz w:val="22"/>
                <w:szCs w:val="28"/>
                <w:lang w:eastAsia="zh-CN"/>
              </w:rPr>
              <w:t>厨房和餐厅环境</w:t>
            </w: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2D7CE24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地面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BE57F2">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清扫</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009F59">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36974D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rPr>
              <w:t>完整、无破损、无变色、无变形、无污渍、无异味、清洁、光亮</w:t>
            </w:r>
          </w:p>
        </w:tc>
      </w:tr>
      <w:tr w14:paraId="44DDA85F">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5B1E9D2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23ED9A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门窗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0E27E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B00F07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5635C9F9">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无破损、无变形、无划痕、无灰尘</w:t>
            </w:r>
          </w:p>
        </w:tc>
      </w:tr>
      <w:tr w14:paraId="31AFF7F7">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50476147">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2ECE39B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天花板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BD888B">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46F8E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F6D15D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无破损、无裂痕、无脱落，无灰尘、无水迹、无蛛网，无污渍</w:t>
            </w:r>
          </w:p>
        </w:tc>
      </w:tr>
      <w:tr w14:paraId="02D4AAF2">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0B336518">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40981F6">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墙面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4CCB74">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49318A5">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1E21257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平整、无破损、无开裂、无脱落、无污渍、无蛛网</w:t>
            </w:r>
          </w:p>
        </w:tc>
      </w:tr>
      <w:tr w14:paraId="24710945">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0D4C066">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AC48C1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灯具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8825D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F3C694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5C7E9AB">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完好、有效，与整体装饰风格相匹配，无灰尘、无污渍</w:t>
            </w:r>
          </w:p>
        </w:tc>
      </w:tr>
      <w:tr w14:paraId="3EB808E3">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63D340CF">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1F29CB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餐具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FF6335">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2B468B">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558B7698">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清洗、消毒、存放符合卫生标准要求，无灰尘、无水渍</w:t>
            </w:r>
          </w:p>
        </w:tc>
      </w:tr>
      <w:tr w14:paraId="74915E66">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46F4348">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F93F78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灶具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E1CC4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147144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BC37F2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清洗、存放符合卫生标准要求，无灰尘、无污渍</w:t>
            </w:r>
          </w:p>
        </w:tc>
      </w:tr>
      <w:tr w14:paraId="07236667">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51781BB0">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16BC93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标识标志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9BBDB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lang w:eastAsia="zh-CN"/>
              </w:rPr>
            </w:pPr>
            <w:r>
              <w:rPr>
                <w:rFonts w:hint="eastAsia" w:ascii="仿宋" w:hAnsi="仿宋" w:eastAsia="仿宋" w:cs="仿宋"/>
                <w:sz w:val="22"/>
                <w:szCs w:val="28"/>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421F63F">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8572616">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在醒目位置张贴有关安全、卫生的须知，标识清晰、规范</w:t>
            </w:r>
          </w:p>
        </w:tc>
      </w:tr>
      <w:tr w14:paraId="39ECAD54">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731D7BDD">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373E276">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通道</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0E2628">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31FFADE">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832CEE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厨房区域各通道保持畅通，无杂物堆积</w:t>
            </w:r>
          </w:p>
        </w:tc>
      </w:tr>
      <w:tr w14:paraId="2FAC4BD8">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69A8FF5A">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4DA9809B">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设施设备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E2EECE">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lang w:eastAsia="zh-CN"/>
              </w:rPr>
            </w:pPr>
            <w:r>
              <w:rPr>
                <w:rFonts w:hint="eastAsia" w:ascii="仿宋" w:hAnsi="仿宋" w:eastAsia="仿宋" w:cs="仿宋"/>
                <w:sz w:val="22"/>
                <w:szCs w:val="28"/>
                <w:lang w:eastAsia="zh-CN"/>
              </w:rPr>
              <w:t>维护</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164065">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5F9B144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各项设备维护保养良好，运行正常，无“跑、冒、滴、漏”现象</w:t>
            </w:r>
          </w:p>
        </w:tc>
      </w:tr>
      <w:tr w14:paraId="6667D939">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E818BF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76FB17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蚊虫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8B007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防范治理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B44925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839934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有防鼠、蟑螂、蝇类、蚊虫的装置与措施，完好有效</w:t>
            </w:r>
          </w:p>
        </w:tc>
      </w:tr>
      <w:tr w14:paraId="119AE2EE">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5E7688F1">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4DA67D5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库房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29768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754257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8044C0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各类库房温度、湿度适宜，照明、通风设施完备有效，整洁卫生</w:t>
            </w:r>
          </w:p>
        </w:tc>
      </w:tr>
      <w:tr w14:paraId="68F823D0">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CB0B08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4AA1FDA8">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下水道清洁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A2C17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8F9F94">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6058EB6">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下水道无堵塞、无油污，保持畅通无阻</w:t>
            </w:r>
          </w:p>
        </w:tc>
      </w:tr>
      <w:tr w14:paraId="1A84EF7F">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191D4BE6">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776443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垃圾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DBECE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清理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B3EBD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6D9228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垃圾分类收集，日产日清，垃圾房周围保持整洁，无保洁死角</w:t>
            </w:r>
          </w:p>
        </w:tc>
      </w:tr>
      <w:tr w14:paraId="0BA7114A">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7CF97758">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74B9B06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排烟与通风设备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38A262">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rPr>
            </w:pPr>
            <w:r>
              <w:rPr>
                <w:rFonts w:hint="eastAsia" w:ascii="仿宋" w:hAnsi="仿宋" w:eastAsia="仿宋" w:cs="仿宋"/>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CD91B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1503DA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排烟与通风设备无油污、无灰尘，定期清理</w:t>
            </w:r>
          </w:p>
        </w:tc>
      </w:tr>
      <w:tr w14:paraId="223ACA9B">
        <w:tblPrEx>
          <w:tblCellMar>
            <w:top w:w="0" w:type="dxa"/>
            <w:left w:w="104" w:type="dxa"/>
            <w:bottom w:w="0" w:type="dxa"/>
            <w:right w:w="11" w:type="dxa"/>
          </w:tblCellMar>
        </w:tblPrEx>
        <w:trPr>
          <w:trHeight w:val="454"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74AF97B8">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仿宋" w:hAnsi="仿宋" w:eastAsia="仿宋" w:cs="仿宋"/>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868A4F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员工区域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6CEC9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582102F">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182B66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员工设施（食堂、浴室、更衣室等）管理规范，设施设备保养良好、整洁卫生</w:t>
            </w:r>
          </w:p>
        </w:tc>
      </w:tr>
      <w:tr w14:paraId="75DDAEE5">
        <w:tblPrEx>
          <w:tblCellMar>
            <w:top w:w="0" w:type="dxa"/>
            <w:left w:w="104" w:type="dxa"/>
            <w:bottom w:w="0" w:type="dxa"/>
            <w:right w:w="11" w:type="dxa"/>
          </w:tblCellMar>
        </w:tblPrEx>
        <w:trPr>
          <w:trHeight w:val="454" w:hRule="atLeast"/>
        </w:trPr>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14:paraId="1D3FAE07">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r>
              <w:rPr>
                <w:rFonts w:hint="eastAsia" w:ascii="仿宋" w:hAnsi="仿宋" w:eastAsia="仿宋" w:cs="仿宋"/>
                <w:sz w:val="22"/>
                <w:szCs w:val="28"/>
                <w:lang w:eastAsia="zh-CN"/>
              </w:rPr>
              <w:t>餐饮保障</w:t>
            </w: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2DE5673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餐食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19995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制作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B76E1CB">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z w:val="22"/>
                <w:szCs w:val="28"/>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59B027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所有餐食及时补充，适温、适量、无异物</w:t>
            </w:r>
          </w:p>
        </w:tc>
      </w:tr>
      <w:tr w14:paraId="382AD576">
        <w:tblPrEx>
          <w:tblCellMar>
            <w:top w:w="0" w:type="dxa"/>
            <w:left w:w="104" w:type="dxa"/>
            <w:bottom w:w="0" w:type="dxa"/>
            <w:right w:w="35" w:type="dxa"/>
          </w:tblCellMar>
        </w:tblPrEx>
        <w:trPr>
          <w:trHeight w:val="451"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030DE677">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FC1164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标牌</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95B059">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B5B3C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46F30F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食品和饮品均正确标记说明，标记牌洁净统一</w:t>
            </w:r>
          </w:p>
        </w:tc>
      </w:tr>
      <w:tr w14:paraId="591837EA">
        <w:tblPrEx>
          <w:tblCellMar>
            <w:top w:w="0" w:type="dxa"/>
            <w:left w:w="104" w:type="dxa"/>
            <w:bottom w:w="0" w:type="dxa"/>
            <w:right w:w="35" w:type="dxa"/>
          </w:tblCellMar>
        </w:tblPrEx>
        <w:trPr>
          <w:trHeight w:val="456"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B7B44D1">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2F6CEF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餐桌</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4E452">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清理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F2A8F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211D4B8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宾客用餐结束后，及时收拾餐桌</w:t>
            </w:r>
          </w:p>
        </w:tc>
      </w:tr>
      <w:tr w14:paraId="46733F29">
        <w:tblPrEx>
          <w:tblCellMar>
            <w:top w:w="0" w:type="dxa"/>
            <w:left w:w="104" w:type="dxa"/>
            <w:bottom w:w="0" w:type="dxa"/>
            <w:right w:w="35" w:type="dxa"/>
          </w:tblCellMar>
        </w:tblPrEx>
        <w:trPr>
          <w:trHeight w:val="451"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71FAAC7">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2D697DB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就餐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95DE2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评价</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FD76B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818584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食品口味评价</w:t>
            </w:r>
          </w:p>
        </w:tc>
      </w:tr>
      <w:tr w14:paraId="66DDDB90">
        <w:tblPrEx>
          <w:tblCellMar>
            <w:top w:w="0" w:type="dxa"/>
            <w:left w:w="104" w:type="dxa"/>
            <w:bottom w:w="0" w:type="dxa"/>
            <w:right w:w="35" w:type="dxa"/>
          </w:tblCellMar>
        </w:tblPrEx>
        <w:trPr>
          <w:trHeight w:val="456" w:hRule="atLeast"/>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9B003F9">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 w:hAnsi="仿宋" w:eastAsia="仿宋" w:cs="仿宋"/>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23CF25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食品加工与贮藏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DF75D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5EC6BA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28FA331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仿宋" w:hAnsi="仿宋" w:eastAsia="仿宋" w:cs="仿宋"/>
                <w:kern w:val="2"/>
                <w:sz w:val="22"/>
                <w:szCs w:val="28"/>
                <w:lang w:val="en-US" w:eastAsia="zh-CN" w:bidi="ar-SA"/>
              </w:rPr>
            </w:pPr>
            <w:r>
              <w:rPr>
                <w:rFonts w:hint="eastAsia" w:ascii="仿宋" w:hAnsi="仿宋" w:eastAsia="仿宋" w:cs="仿宋"/>
                <w:sz w:val="22"/>
                <w:szCs w:val="28"/>
                <w:lang w:eastAsia="zh-CN"/>
              </w:rPr>
              <w:t>食品的加工与贮藏严格做到生、熟分开，操作规范</w:t>
            </w:r>
          </w:p>
        </w:tc>
      </w:tr>
    </w:tbl>
    <w:p w14:paraId="11724DE7">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6.服务及人员要求</w:t>
      </w:r>
    </w:p>
    <w:p w14:paraId="7AE481C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6.服务及人员要求</w:t>
      </w:r>
    </w:p>
    <w:p w14:paraId="1D7637BA">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6.1能够配合采购人完成临时交办的服务内容，不懈怠、推诿。</w:t>
      </w:r>
    </w:p>
    <w:p w14:paraId="1A47358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6.2投标人需签订《保密协议》，投标人为本项目提供的服务人员需签订《保密承诺书》</w:t>
      </w:r>
    </w:p>
    <w:p w14:paraId="69B2FA5D">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6.3积极与采购人协调、配合，并根据采购人的要求，不断改进、提高物业服务质量。</w:t>
      </w:r>
    </w:p>
    <w:p w14:paraId="0324051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6.4投标人应当秉持专业态度，认真严格履行合同条款，并遵守相关法律法规之规定，不存在任何违法行为。</w:t>
      </w:r>
    </w:p>
    <w:p w14:paraId="142A857B">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6.5投标人不得另行委托第三方履行义务。</w:t>
      </w:r>
    </w:p>
    <w:p w14:paraId="6DA300B6">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6.6投标人的物业服务人员应遵守采购人制定的有关管理规定和制度。</w:t>
      </w:r>
    </w:p>
    <w:p w14:paraId="6438A375">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6.7在采购人有证据证明物业服务人员不称职的情况下，投标人应为采购人及时撤换。</w:t>
      </w:r>
    </w:p>
    <w:p w14:paraId="07317106">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6.8提供的服务人员需具备以下条件：</w:t>
      </w:r>
    </w:p>
    <w:p w14:paraId="2BFF474B">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（1）拥护中国共产党的路线、方针、政策，模范遵守国家法律、法规，政治素质好，责任心强，品行端正；</w:t>
      </w:r>
    </w:p>
    <w:p w14:paraId="6B9B8CD2">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（2）初中或中专及以上学历；</w:t>
      </w:r>
    </w:p>
    <w:p w14:paraId="60194FB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（3）18周岁及以上，女55周岁及以下，男60周岁及以下；</w:t>
      </w:r>
    </w:p>
    <w:p w14:paraId="706E7BEB">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（4）熟练掌握相应专业技能；</w:t>
      </w:r>
    </w:p>
    <w:p w14:paraId="61BCDEC2">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（5）身体健康；</w:t>
      </w:r>
    </w:p>
    <w:p w14:paraId="39BA7001">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（6）无犯罪记录；</w:t>
      </w:r>
    </w:p>
    <w:p w14:paraId="54BCD187">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（7）具有良好的职业道德和奉献精神；</w:t>
      </w:r>
    </w:p>
    <w:p w14:paraId="6D796BE2">
      <w:pPr>
        <w:numPr>
          <w:ilvl w:val="0"/>
          <w:numId w:val="0"/>
        </w:numPr>
        <w:adjustRightInd w:val="0"/>
        <w:spacing w:line="360" w:lineRule="atLeast"/>
        <w:ind w:leftChars="0" w:firstLine="480" w:firstLineChars="200"/>
        <w:jc w:val="left"/>
        <w:textAlignment w:val="baseline"/>
        <w:rPr>
          <w:rFonts w:hint="eastAsia" w:ascii="仿宋" w:hAnsi="仿宋" w:eastAsia="仿宋" w:cs="仿宋"/>
          <w:bCs/>
          <w:color w:val="000000"/>
          <w:sz w:val="24"/>
          <w:lang w:val="en-US" w:eastAsia="zh-CN"/>
        </w:rPr>
      </w:pPr>
      <w:r>
        <w:rPr>
          <w:rFonts w:hint="eastAsia" w:ascii="仿宋" w:hAnsi="仿宋" w:eastAsia="仿宋" w:cs="仿宋"/>
          <w:b w:val="0"/>
          <w:bCs/>
          <w:sz w:val="24"/>
          <w:lang w:val="en-US" w:eastAsia="zh-CN"/>
        </w:rPr>
        <w:t>（8）</w:t>
      </w:r>
      <w:r>
        <w:rPr>
          <w:rFonts w:hint="eastAsia" w:ascii="仿宋" w:hAnsi="仿宋" w:eastAsia="仿宋" w:cs="仿宋"/>
          <w:bCs/>
          <w:color w:val="000000"/>
          <w:sz w:val="24"/>
          <w:lang w:val="en-US" w:eastAsia="zh-CN"/>
        </w:rPr>
        <w:t>上岗人员健康证、特种作业证、从业资格证等合格有效。</w:t>
      </w:r>
    </w:p>
    <w:p w14:paraId="2E1BAE5C">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6.9投标人不出现投诉情况。</w:t>
      </w:r>
    </w:p>
    <w:p w14:paraId="51E5B55C">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6.10投标人不出现重大安全事故（如食品安全事故、后勤维修事故等造成人员受伤甚至死亡的）。</w:t>
      </w:r>
    </w:p>
    <w:p w14:paraId="6CE072C6">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6.11投标人不得伪造各类服务记录或资质文件。</w:t>
      </w:r>
    </w:p>
    <w:p w14:paraId="152B3F1A">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6.12投标人不得出现因执行工作管理不到位造成负面舆情的等情况。</w:t>
      </w:r>
    </w:p>
    <w:p w14:paraId="2F47E8D3">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7.节约型公共机构建设要求</w:t>
      </w:r>
    </w:p>
    <w:p w14:paraId="31213147">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7.1节能管理：每日在工作区域内开展巡查，夏季空调≥26℃、冬季≤20℃；非使用时段关闭公共区域空调、排风扇及照明；杜绝“白昼灯”“长明灯”。</w:t>
      </w:r>
    </w:p>
    <w:p w14:paraId="0327BA53">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7.2节水管理：开展保洁服务时注意及时关闭水龙头，并及时报修损坏用水设施设备，杜绝长流水行为；会议服务按需供应热水，不主动提供瓶装水，确需时提供小瓶并提示带走未喝完的瓶装水。</w:t>
      </w:r>
    </w:p>
    <w:p w14:paraId="1F255B6F">
      <w:pPr>
        <w:numPr>
          <w:ilvl w:val="0"/>
          <w:numId w:val="0"/>
        </w:numPr>
        <w:adjustRightInd w:val="0"/>
        <w:spacing w:line="360" w:lineRule="atLeast"/>
        <w:ind w:leftChars="0" w:firstLine="480" w:firstLineChars="200"/>
        <w:jc w:val="lef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7.3生活垃圾分类：按“四分类”配置做好垃圾处理，定期开展分类宣传与培训。</w:t>
      </w:r>
    </w:p>
    <w:p w14:paraId="0F319C64">
      <w:pPr>
        <w:numPr>
          <w:ilvl w:val="0"/>
          <w:numId w:val="0"/>
        </w:numPr>
        <w:adjustRightInd w:val="0"/>
        <w:spacing w:line="360" w:lineRule="atLeast"/>
        <w:ind w:leftChars="0" w:firstLine="480" w:firstLineChars="200"/>
        <w:jc w:val="left"/>
        <w:textAlignment w:val="baseline"/>
        <w:rPr>
          <w:rFonts w:hint="eastAsia" w:ascii="仿宋" w:hAnsi="仿宋" w:eastAsia="仿宋" w:cs="仿宋"/>
        </w:rPr>
      </w:pPr>
      <w:r>
        <w:rPr>
          <w:rFonts w:hint="eastAsia" w:ascii="仿宋" w:hAnsi="仿宋" w:eastAsia="仿宋" w:cs="仿宋"/>
          <w:b w:val="0"/>
          <w:bCs/>
          <w:sz w:val="24"/>
          <w:lang w:val="en-US" w:eastAsia="zh-CN"/>
        </w:rPr>
        <w:t>7.4能耗水耗统计：每月抄表并协助甲方填报《公共机构能源资源消费统计台账》，超定额时立即排查原因并配合整改。</w:t>
      </w:r>
    </w:p>
    <w:p w14:paraId="27995020">
      <w:pPr>
        <w:ind w:left="0" w:leftChars="0" w:firstLine="0" w:firstLineChars="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AB4F42"/>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9DC2A3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4D423BC"/>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3791C"/>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AE3360D"/>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7C3BDB"/>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7CA00C3"/>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2A26D2"/>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3A11C1"/>
    <w:rsid w:val="795D4AF4"/>
    <w:rsid w:val="79DB30F4"/>
    <w:rsid w:val="79E2287D"/>
    <w:rsid w:val="79F645B9"/>
    <w:rsid w:val="7A6B13CB"/>
    <w:rsid w:val="7AE3014E"/>
    <w:rsid w:val="7B074074"/>
    <w:rsid w:val="7B0A5F5C"/>
    <w:rsid w:val="7B2C6241"/>
    <w:rsid w:val="7B3E63F6"/>
    <w:rsid w:val="7BB045DE"/>
    <w:rsid w:val="7C706161"/>
    <w:rsid w:val="7C713077"/>
    <w:rsid w:val="7C851B86"/>
    <w:rsid w:val="7C8D4C53"/>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Plain Text"/>
    <w:basedOn w:val="1"/>
    <w:next w:val="1"/>
    <w:link w:val="34"/>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6"/>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3672</Words>
  <Characters>3951</Characters>
  <Lines>235</Lines>
  <Paragraphs>66</Paragraphs>
  <TotalTime>5</TotalTime>
  <ScaleCrop>false</ScaleCrop>
  <LinksUpToDate>false</LinksUpToDate>
  <CharactersWithSpaces>4119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地瓜彤</cp:lastModifiedBy>
  <dcterms:modified xsi:type="dcterms:W3CDTF">2025-11-20T02:43:38Z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0FCCC5F47ADF4F2993209A55F5BD6C80_13</vt:lpwstr>
  </property>
  <property fmtid="{D5CDD505-2E9C-101B-9397-08002B2CF9AE}" pid="4" name="KSOTemplateDocerSaveRecord">
    <vt:lpwstr>eyJoZGlkIjoiNTA4YjJhNTRhZjIwM2JjMzhhZDU2ZGYyMDM5YzQxMjciLCJ1c2VySWQiOiI4NjIxMjk1MjEifQ==</vt:lpwstr>
  </property>
</Properties>
</file>