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D01CC">
      <w:pPr>
        <w:widowControl/>
        <w:kinsoku w:val="0"/>
        <w:autoSpaceDE w:val="0"/>
        <w:autoSpaceDN w:val="0"/>
        <w:adjustRightInd w:val="0"/>
        <w:snapToGrid w:val="0"/>
        <w:spacing w:before="260" w:after="120" w:line="360" w:lineRule="auto"/>
        <w:jc w:val="center"/>
        <w:textAlignment w:val="baseline"/>
        <w:outlineLvl w:val="0"/>
        <w:rPr>
          <w:rFonts w:hint="default" w:ascii="仿宋" w:hAnsi="仿宋" w:eastAsia="仿宋" w:cs="仿宋"/>
          <w:b/>
          <w:bCs/>
          <w:sz w:val="32"/>
          <w:szCs w:val="32"/>
          <w:highlight w:val="none"/>
          <w:lang w:val="en-US" w:eastAsia="zh-CN"/>
        </w:rPr>
      </w:pPr>
      <w:bookmarkStart w:id="41" w:name="_GoBack"/>
      <w:bookmarkEnd w:id="41"/>
      <w:r>
        <w:rPr>
          <w:rFonts w:hint="eastAsia" w:ascii="仿宋" w:hAnsi="仿宋" w:eastAsia="仿宋" w:cs="仿宋"/>
          <w:b/>
          <w:bCs/>
          <w:sz w:val="32"/>
          <w:szCs w:val="32"/>
          <w:highlight w:val="none"/>
        </w:rPr>
        <w:t>2026年奥林匹克中心区信息化维保项目</w:t>
      </w:r>
      <w:r>
        <w:rPr>
          <w:rFonts w:hint="eastAsia" w:ascii="仿宋" w:hAnsi="仿宋" w:eastAsia="仿宋" w:cs="仿宋"/>
          <w:b/>
          <w:bCs/>
          <w:sz w:val="32"/>
          <w:szCs w:val="32"/>
          <w:highlight w:val="none"/>
          <w:lang w:val="en-US" w:eastAsia="zh-CN"/>
        </w:rPr>
        <w:t>竞争性磋商公告</w:t>
      </w:r>
    </w:p>
    <w:p w14:paraId="24BE1AB4">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highlight w:val="none"/>
        </w:rPr>
      </w:pPr>
      <w:bookmarkStart w:id="0" w:name="_Toc6923"/>
      <w:r>
        <w:rPr>
          <w:rFonts w:hint="eastAsia" w:ascii="仿宋" w:hAnsi="仿宋" w:eastAsia="仿宋" w:cs="仿宋"/>
          <w:b/>
          <w:bCs/>
          <w:sz w:val="28"/>
          <w:szCs w:val="28"/>
          <w:highlight w:val="none"/>
        </w:rPr>
        <w:t>一、项目基本情况</w:t>
      </w:r>
      <w:bookmarkEnd w:id="0"/>
    </w:p>
    <w:p w14:paraId="6D166B36">
      <w:pPr>
        <w:widowControl/>
        <w:kinsoku w:val="0"/>
        <w:autoSpaceDE w:val="0"/>
        <w:autoSpaceDN w:val="0"/>
        <w:adjustRightInd w:val="0"/>
        <w:snapToGrid w:val="0"/>
        <w:spacing w:line="360" w:lineRule="auto"/>
        <w:ind w:left="315" w:leftChars="150"/>
        <w:textAlignment w:val="baseline"/>
        <w:rPr>
          <w:rFonts w:ascii="仿宋" w:hAnsi="仿宋" w:eastAsia="仿宋" w:cs="仿宋"/>
          <w:sz w:val="24"/>
          <w:highlight w:val="none"/>
        </w:rPr>
      </w:pPr>
      <w:r>
        <w:rPr>
          <w:rFonts w:hint="eastAsia" w:ascii="仿宋" w:hAnsi="仿宋" w:eastAsia="仿宋" w:cs="仿宋"/>
          <w:sz w:val="24"/>
          <w:highlight w:val="none"/>
        </w:rPr>
        <w:t>1.项目编号：</w:t>
      </w:r>
      <w:r>
        <w:rPr>
          <w:rFonts w:hint="eastAsia" w:ascii="仿宋" w:hAnsi="仿宋" w:eastAsia="仿宋" w:cs="仿宋"/>
          <w:sz w:val="24"/>
          <w:highlight w:val="none"/>
          <w:u w:val="single"/>
        </w:rPr>
        <w:t>11010525210200025712-XM001</w:t>
      </w:r>
    </w:p>
    <w:p w14:paraId="2EE9CAA8">
      <w:pPr>
        <w:widowControl/>
        <w:kinsoku w:val="0"/>
        <w:autoSpaceDE w:val="0"/>
        <w:autoSpaceDN w:val="0"/>
        <w:adjustRightInd w:val="0"/>
        <w:snapToGrid w:val="0"/>
        <w:spacing w:line="360" w:lineRule="auto"/>
        <w:ind w:left="315" w:leftChars="150"/>
        <w:textAlignment w:val="baseline"/>
        <w:rPr>
          <w:rFonts w:ascii="仿宋" w:hAnsi="仿宋" w:eastAsia="仿宋" w:cs="仿宋"/>
          <w:sz w:val="24"/>
          <w:highlight w:val="none"/>
        </w:rPr>
      </w:pPr>
      <w:r>
        <w:rPr>
          <w:rFonts w:hint="eastAsia" w:ascii="仿宋" w:hAnsi="仿宋" w:eastAsia="仿宋" w:cs="仿宋"/>
          <w:sz w:val="24"/>
          <w:highlight w:val="none"/>
        </w:rPr>
        <w:t>2.项目名称：</w:t>
      </w:r>
      <w:r>
        <w:rPr>
          <w:rFonts w:hint="eastAsia" w:ascii="仿宋" w:hAnsi="仿宋" w:eastAsia="仿宋" w:cs="仿宋"/>
          <w:sz w:val="24"/>
          <w:highlight w:val="none"/>
          <w:u w:val="single"/>
        </w:rPr>
        <w:t>2026年奥林匹克中心区信息化维保项目</w:t>
      </w:r>
    </w:p>
    <w:p w14:paraId="32EFEFC2">
      <w:pPr>
        <w:widowControl/>
        <w:kinsoku w:val="0"/>
        <w:autoSpaceDE w:val="0"/>
        <w:autoSpaceDN w:val="0"/>
        <w:adjustRightInd w:val="0"/>
        <w:snapToGrid w:val="0"/>
        <w:spacing w:line="360" w:lineRule="auto"/>
        <w:ind w:left="315" w:leftChars="150"/>
        <w:textAlignment w:val="baseline"/>
        <w:rPr>
          <w:rFonts w:ascii="仿宋" w:hAnsi="仿宋" w:eastAsia="仿宋" w:cs="仿宋"/>
          <w:sz w:val="24"/>
          <w:highlight w:val="none"/>
        </w:rPr>
      </w:pPr>
      <w:r>
        <w:rPr>
          <w:rFonts w:hint="eastAsia" w:ascii="仿宋" w:hAnsi="仿宋" w:eastAsia="仿宋" w:cs="仿宋"/>
          <w:sz w:val="24"/>
          <w:highlight w:val="none"/>
        </w:rPr>
        <w:t>3.采购方式：</w:t>
      </w:r>
      <w:r>
        <w:rPr>
          <w:rFonts w:hint="eastAsia" w:ascii="仿宋" w:hAnsi="仿宋" w:eastAsia="仿宋" w:cs="仿宋"/>
          <w:sz w:val="24"/>
          <w:highlight w:val="none"/>
          <w:u w:val="single"/>
        </w:rPr>
        <w:t>竞争性磋商</w:t>
      </w:r>
    </w:p>
    <w:p w14:paraId="33C25699">
      <w:pPr>
        <w:widowControl/>
        <w:kinsoku w:val="0"/>
        <w:autoSpaceDE w:val="0"/>
        <w:autoSpaceDN w:val="0"/>
        <w:adjustRightInd w:val="0"/>
        <w:snapToGrid w:val="0"/>
        <w:spacing w:line="360" w:lineRule="auto"/>
        <w:ind w:left="315" w:leftChars="150"/>
        <w:textAlignment w:val="baseline"/>
        <w:rPr>
          <w:rFonts w:ascii="仿宋" w:hAnsi="仿宋" w:eastAsia="仿宋" w:cs="仿宋"/>
          <w:sz w:val="24"/>
          <w:highlight w:val="none"/>
        </w:rPr>
      </w:pPr>
      <w:r>
        <w:rPr>
          <w:rFonts w:hint="eastAsia" w:ascii="仿宋" w:hAnsi="仿宋" w:eastAsia="仿宋" w:cs="仿宋"/>
          <w:sz w:val="24"/>
          <w:highlight w:val="none"/>
        </w:rPr>
        <w:t>4.项目预算金额：</w:t>
      </w:r>
      <w:bookmarkStart w:id="1" w:name="OLE_LINK2"/>
      <w:r>
        <w:rPr>
          <w:rFonts w:hint="eastAsia" w:ascii="仿宋" w:hAnsi="仿宋" w:eastAsia="仿宋" w:cs="仿宋"/>
          <w:sz w:val="24"/>
          <w:highlight w:val="none"/>
          <w:u w:val="single"/>
        </w:rPr>
        <w:t>1,879,583.70</w:t>
      </w:r>
      <w:bookmarkEnd w:id="1"/>
      <w:r>
        <w:rPr>
          <w:rFonts w:hint="eastAsia" w:ascii="仿宋" w:hAnsi="仿宋" w:eastAsia="仿宋" w:cs="仿宋"/>
          <w:sz w:val="24"/>
          <w:highlight w:val="none"/>
        </w:rPr>
        <w:t>元、项目最高限价：</w:t>
      </w:r>
      <w:r>
        <w:rPr>
          <w:rFonts w:hint="eastAsia" w:ascii="仿宋" w:hAnsi="仿宋" w:eastAsia="仿宋" w:cs="仿宋"/>
          <w:sz w:val="24"/>
          <w:highlight w:val="none"/>
          <w:u w:val="single"/>
        </w:rPr>
        <w:t>1,879,583.70</w:t>
      </w:r>
      <w:r>
        <w:rPr>
          <w:rFonts w:hint="eastAsia" w:ascii="仿宋" w:hAnsi="仿宋" w:eastAsia="仿宋" w:cs="仿宋"/>
          <w:sz w:val="24"/>
          <w:highlight w:val="none"/>
        </w:rPr>
        <w:t>元</w:t>
      </w:r>
    </w:p>
    <w:p w14:paraId="6DE882A8">
      <w:pPr>
        <w:widowControl/>
        <w:kinsoku w:val="0"/>
        <w:autoSpaceDE w:val="0"/>
        <w:autoSpaceDN w:val="0"/>
        <w:adjustRightInd w:val="0"/>
        <w:snapToGrid w:val="0"/>
        <w:spacing w:line="360" w:lineRule="auto"/>
        <w:ind w:left="315" w:leftChars="150"/>
        <w:textAlignment w:val="baseline"/>
        <w:rPr>
          <w:rFonts w:ascii="仿宋" w:hAnsi="仿宋" w:eastAsia="仿宋" w:cs="仿宋"/>
          <w:sz w:val="24"/>
          <w:highlight w:val="none"/>
        </w:rPr>
      </w:pPr>
      <w:r>
        <w:rPr>
          <w:rFonts w:hint="eastAsia" w:ascii="仿宋" w:hAnsi="仿宋" w:eastAsia="仿宋" w:cs="仿宋"/>
          <w:sz w:val="24"/>
          <w:highlight w:val="none"/>
        </w:rPr>
        <w:t>5.采购需求：</w:t>
      </w:r>
    </w:p>
    <w:tbl>
      <w:tblPr>
        <w:tblStyle w:val="4"/>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559"/>
        <w:gridCol w:w="1756"/>
        <w:gridCol w:w="1757"/>
        <w:gridCol w:w="700"/>
        <w:gridCol w:w="2931"/>
      </w:tblGrid>
      <w:tr w14:paraId="505D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38" w:type="dxa"/>
            <w:vAlign w:val="center"/>
          </w:tcPr>
          <w:p w14:paraId="202C8113">
            <w:pPr>
              <w:widowControl/>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包号</w:t>
            </w:r>
          </w:p>
        </w:tc>
        <w:tc>
          <w:tcPr>
            <w:tcW w:w="1559" w:type="dxa"/>
            <w:vAlign w:val="center"/>
          </w:tcPr>
          <w:p w14:paraId="4D817A5A">
            <w:pPr>
              <w:widowControl/>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标的名称</w:t>
            </w:r>
          </w:p>
        </w:tc>
        <w:tc>
          <w:tcPr>
            <w:tcW w:w="1756" w:type="dxa"/>
            <w:vAlign w:val="center"/>
          </w:tcPr>
          <w:p w14:paraId="546AC094">
            <w:pPr>
              <w:widowControl/>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包预算金额（元）</w:t>
            </w:r>
          </w:p>
        </w:tc>
        <w:tc>
          <w:tcPr>
            <w:tcW w:w="1757" w:type="dxa"/>
            <w:vAlign w:val="center"/>
          </w:tcPr>
          <w:p w14:paraId="762A0DA9">
            <w:pPr>
              <w:widowControl/>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包最高限价（元）</w:t>
            </w:r>
          </w:p>
        </w:tc>
        <w:tc>
          <w:tcPr>
            <w:tcW w:w="700" w:type="dxa"/>
            <w:vAlign w:val="center"/>
          </w:tcPr>
          <w:p w14:paraId="113D0849">
            <w:pPr>
              <w:widowControl/>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数量</w:t>
            </w:r>
          </w:p>
        </w:tc>
        <w:tc>
          <w:tcPr>
            <w:tcW w:w="2931" w:type="dxa"/>
            <w:vAlign w:val="center"/>
          </w:tcPr>
          <w:p w14:paraId="2D074458">
            <w:pPr>
              <w:widowControl/>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简要技术需求或服务要求</w:t>
            </w:r>
          </w:p>
        </w:tc>
      </w:tr>
      <w:tr w14:paraId="34B7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38" w:type="dxa"/>
            <w:vAlign w:val="center"/>
          </w:tcPr>
          <w:p w14:paraId="064E2B2A">
            <w:pPr>
              <w:spacing w:line="360" w:lineRule="auto"/>
              <w:jc w:val="center"/>
              <w:rPr>
                <w:rFonts w:ascii="仿宋" w:hAnsi="仿宋" w:eastAsia="仿宋" w:cs="仿宋"/>
                <w:sz w:val="24"/>
                <w:highlight w:val="none"/>
              </w:rPr>
            </w:pPr>
            <w:bookmarkStart w:id="2" w:name="OLE_LINK1" w:colFirst="3" w:colLast="3"/>
            <w:r>
              <w:rPr>
                <w:rFonts w:hint="eastAsia" w:ascii="仿宋" w:hAnsi="仿宋" w:eastAsia="仿宋" w:cs="仿宋"/>
                <w:sz w:val="24"/>
                <w:highlight w:val="none"/>
              </w:rPr>
              <w:t>1</w:t>
            </w:r>
          </w:p>
        </w:tc>
        <w:tc>
          <w:tcPr>
            <w:tcW w:w="1559" w:type="dxa"/>
            <w:vAlign w:val="center"/>
          </w:tcPr>
          <w:p w14:paraId="53981450">
            <w:pPr>
              <w:widowControl/>
              <w:spacing w:line="360" w:lineRule="auto"/>
              <w:jc w:val="center"/>
              <w:rPr>
                <w:rFonts w:ascii="仿宋" w:hAnsi="仿宋" w:eastAsia="仿宋" w:cs="仿宋"/>
                <w:kern w:val="0"/>
                <w:sz w:val="24"/>
                <w:highlight w:val="none"/>
              </w:rPr>
            </w:pPr>
            <w:r>
              <w:rPr>
                <w:rFonts w:hint="eastAsia" w:ascii="仿宋" w:hAnsi="仿宋" w:eastAsia="仿宋" w:cs="仿宋"/>
                <w:sz w:val="24"/>
                <w:highlight w:val="none"/>
              </w:rPr>
              <w:t>信息化维保</w:t>
            </w:r>
          </w:p>
        </w:tc>
        <w:tc>
          <w:tcPr>
            <w:tcW w:w="1756" w:type="dxa"/>
            <w:vAlign w:val="center"/>
          </w:tcPr>
          <w:p w14:paraId="2A0680E1">
            <w:pPr>
              <w:widowControl/>
              <w:spacing w:line="360" w:lineRule="auto"/>
              <w:jc w:val="center"/>
              <w:rPr>
                <w:rFonts w:ascii="仿宋" w:hAnsi="仿宋" w:eastAsia="仿宋" w:cs="仿宋"/>
                <w:kern w:val="0"/>
                <w:sz w:val="24"/>
                <w:highlight w:val="none"/>
              </w:rPr>
            </w:pPr>
            <w:r>
              <w:rPr>
                <w:rFonts w:hint="eastAsia" w:ascii="仿宋" w:hAnsi="仿宋" w:eastAsia="仿宋" w:cs="仿宋"/>
                <w:sz w:val="24"/>
                <w:highlight w:val="none"/>
              </w:rPr>
              <w:t>1,879,583.70</w:t>
            </w:r>
          </w:p>
        </w:tc>
        <w:tc>
          <w:tcPr>
            <w:tcW w:w="1757" w:type="dxa"/>
            <w:vAlign w:val="center"/>
          </w:tcPr>
          <w:p w14:paraId="235E761B">
            <w:pPr>
              <w:widowControl/>
              <w:spacing w:line="360" w:lineRule="auto"/>
              <w:jc w:val="center"/>
              <w:rPr>
                <w:rFonts w:ascii="仿宋" w:hAnsi="仿宋" w:eastAsia="仿宋" w:cs="仿宋"/>
                <w:sz w:val="24"/>
                <w:highlight w:val="none"/>
              </w:rPr>
            </w:pPr>
            <w:r>
              <w:rPr>
                <w:rFonts w:hint="eastAsia" w:ascii="仿宋" w:hAnsi="仿宋" w:eastAsia="仿宋" w:cs="仿宋"/>
                <w:sz w:val="24"/>
                <w:highlight w:val="none"/>
              </w:rPr>
              <w:t>1,879,583.70</w:t>
            </w:r>
          </w:p>
        </w:tc>
        <w:tc>
          <w:tcPr>
            <w:tcW w:w="700" w:type="dxa"/>
            <w:vAlign w:val="center"/>
          </w:tcPr>
          <w:p w14:paraId="51674582">
            <w:pPr>
              <w:spacing w:line="360" w:lineRule="auto"/>
              <w:jc w:val="center"/>
              <w:rPr>
                <w:rFonts w:ascii="仿宋" w:hAnsi="仿宋" w:eastAsia="仿宋" w:cs="仿宋"/>
                <w:sz w:val="24"/>
                <w:highlight w:val="none"/>
              </w:rPr>
            </w:pPr>
            <w:r>
              <w:rPr>
                <w:rFonts w:hint="eastAsia" w:ascii="仿宋" w:hAnsi="仿宋" w:eastAsia="仿宋" w:cs="仿宋"/>
                <w:sz w:val="24"/>
                <w:highlight w:val="none"/>
              </w:rPr>
              <w:t>1项</w:t>
            </w:r>
          </w:p>
        </w:tc>
        <w:tc>
          <w:tcPr>
            <w:tcW w:w="2931" w:type="dxa"/>
            <w:vAlign w:val="center"/>
          </w:tcPr>
          <w:p w14:paraId="5E98E036">
            <w:pPr>
              <w:widowControl/>
              <w:spacing w:line="360" w:lineRule="auto"/>
              <w:jc w:val="center"/>
              <w:rPr>
                <w:rFonts w:ascii="仿宋" w:hAnsi="仿宋" w:eastAsia="仿宋" w:cs="仿宋"/>
                <w:kern w:val="0"/>
                <w:sz w:val="24"/>
                <w:highlight w:val="none"/>
              </w:rPr>
            </w:pPr>
            <w:r>
              <w:rPr>
                <w:rFonts w:hint="eastAsia" w:ascii="仿宋" w:hAnsi="仿宋" w:eastAsia="仿宋"/>
                <w:sz w:val="24"/>
                <w:highlight w:val="none"/>
              </w:rPr>
              <w:t>为奥管委监控系统、传输网络、指挥中心、相关机房、服务器等信息化系统提供必要的技术服务，确保相关应用正常运行</w:t>
            </w:r>
            <w:r>
              <w:rPr>
                <w:rFonts w:hint="eastAsia" w:ascii="仿宋" w:hAnsi="仿宋" w:eastAsia="仿宋" w:cs="仿宋"/>
                <w:kern w:val="0"/>
                <w:sz w:val="24"/>
                <w:highlight w:val="none"/>
              </w:rPr>
              <w:t>等，详见第四章采购需求</w:t>
            </w:r>
          </w:p>
        </w:tc>
      </w:tr>
      <w:bookmarkEnd w:id="2"/>
    </w:tbl>
    <w:p w14:paraId="0EA004CC">
      <w:pPr>
        <w:spacing w:line="360" w:lineRule="auto"/>
        <w:rPr>
          <w:rFonts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ab/>
      </w:r>
    </w:p>
    <w:p w14:paraId="31572831">
      <w:pPr>
        <w:widowControl/>
        <w:kinsoku w:val="0"/>
        <w:autoSpaceDE w:val="0"/>
        <w:autoSpaceDN w:val="0"/>
        <w:adjustRightInd w:val="0"/>
        <w:snapToGrid w:val="0"/>
        <w:spacing w:line="360" w:lineRule="auto"/>
        <w:ind w:left="315" w:leftChars="150"/>
        <w:textAlignment w:val="baseline"/>
        <w:rPr>
          <w:rFonts w:ascii="仿宋" w:hAnsi="仿宋" w:eastAsia="仿宋" w:cs="仿宋"/>
          <w:sz w:val="24"/>
          <w:highlight w:val="none"/>
        </w:rPr>
      </w:pPr>
      <w:r>
        <w:rPr>
          <w:rFonts w:hint="eastAsia" w:ascii="仿宋" w:hAnsi="仿宋" w:eastAsia="仿宋" w:cs="仿宋"/>
          <w:sz w:val="24"/>
          <w:highlight w:val="none"/>
        </w:rPr>
        <w:t>6.合同履行期限：</w:t>
      </w:r>
      <w:r>
        <w:rPr>
          <w:rFonts w:hint="eastAsia" w:ascii="仿宋" w:hAnsi="仿宋" w:eastAsia="仿宋" w:cs="仿宋"/>
          <w:sz w:val="24"/>
          <w:highlight w:val="none"/>
          <w:u w:val="single"/>
        </w:rPr>
        <w:t>2026年1月1日至2026年12月31日</w:t>
      </w:r>
    </w:p>
    <w:p w14:paraId="3D43E46F">
      <w:pPr>
        <w:widowControl/>
        <w:kinsoku w:val="0"/>
        <w:autoSpaceDE w:val="0"/>
        <w:autoSpaceDN w:val="0"/>
        <w:adjustRightInd w:val="0"/>
        <w:snapToGrid w:val="0"/>
        <w:spacing w:line="360" w:lineRule="auto"/>
        <w:ind w:left="315" w:leftChars="150"/>
        <w:textAlignment w:val="baseline"/>
        <w:rPr>
          <w:rFonts w:ascii="仿宋" w:hAnsi="仿宋" w:eastAsia="仿宋" w:cs="仿宋"/>
          <w:sz w:val="24"/>
          <w:highlight w:val="none"/>
        </w:rPr>
      </w:pPr>
      <w:r>
        <w:rPr>
          <w:rFonts w:hint="eastAsia" w:ascii="仿宋" w:hAnsi="仿宋" w:eastAsia="仿宋" w:cs="仿宋"/>
          <w:sz w:val="24"/>
          <w:highlight w:val="none"/>
        </w:rPr>
        <w:t>7.本项目是否接受联合体： □是  ■否。</w:t>
      </w:r>
    </w:p>
    <w:p w14:paraId="508C0619">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highlight w:val="none"/>
        </w:rPr>
      </w:pPr>
      <w:bookmarkStart w:id="3" w:name="_Toc7318"/>
      <w:r>
        <w:rPr>
          <w:rFonts w:hint="eastAsia" w:ascii="仿宋" w:hAnsi="仿宋" w:eastAsia="仿宋" w:cs="仿宋"/>
          <w:b/>
          <w:bCs/>
          <w:sz w:val="28"/>
          <w:szCs w:val="28"/>
          <w:highlight w:val="none"/>
        </w:rPr>
        <w:t>二、申请人的资格要求（须同时满足）</w:t>
      </w:r>
      <w:bookmarkEnd w:id="3"/>
    </w:p>
    <w:p w14:paraId="71BEFA4D">
      <w:pPr>
        <w:widowControl/>
        <w:kinsoku w:val="0"/>
        <w:autoSpaceDE w:val="0"/>
        <w:autoSpaceDN w:val="0"/>
        <w:adjustRightInd w:val="0"/>
        <w:snapToGrid w:val="0"/>
        <w:spacing w:line="360" w:lineRule="auto"/>
        <w:ind w:left="315" w:leftChars="150"/>
        <w:textAlignment w:val="baseline"/>
        <w:rPr>
          <w:rFonts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14:paraId="1DA9A28E">
      <w:pPr>
        <w:widowControl/>
        <w:kinsoku w:val="0"/>
        <w:autoSpaceDE w:val="0"/>
        <w:autoSpaceDN w:val="0"/>
        <w:adjustRightInd w:val="0"/>
        <w:snapToGrid w:val="0"/>
        <w:spacing w:line="360" w:lineRule="auto"/>
        <w:ind w:left="315" w:leftChars="150"/>
        <w:textAlignment w:val="baseline"/>
        <w:rPr>
          <w:rFonts w:ascii="仿宋" w:hAnsi="仿宋" w:eastAsia="仿宋" w:cs="仿宋"/>
          <w:sz w:val="24"/>
          <w:highlight w:val="none"/>
        </w:rPr>
      </w:pPr>
      <w:r>
        <w:rPr>
          <w:rFonts w:hint="eastAsia" w:ascii="仿宋" w:hAnsi="仿宋" w:eastAsia="仿宋" w:cs="仿宋"/>
          <w:sz w:val="24"/>
          <w:highlight w:val="none"/>
        </w:rPr>
        <w:t>2.落实政府采购政策需满足的资格要求：</w:t>
      </w:r>
    </w:p>
    <w:p w14:paraId="5167EC03">
      <w:pPr>
        <w:widowControl/>
        <w:kinsoku w:val="0"/>
        <w:autoSpaceDE w:val="0"/>
        <w:autoSpaceDN w:val="0"/>
        <w:adjustRightInd w:val="0"/>
        <w:snapToGrid w:val="0"/>
        <w:spacing w:line="360" w:lineRule="auto"/>
        <w:ind w:left="315" w:leftChars="150"/>
        <w:textAlignment w:val="baseline"/>
        <w:rPr>
          <w:rFonts w:ascii="仿宋" w:hAnsi="仿宋" w:eastAsia="仿宋" w:cs="仿宋"/>
          <w:sz w:val="24"/>
          <w:highlight w:val="none"/>
        </w:rPr>
      </w:pPr>
      <w:r>
        <w:rPr>
          <w:rFonts w:hint="eastAsia" w:ascii="仿宋" w:hAnsi="仿宋" w:eastAsia="仿宋" w:cs="仿宋"/>
          <w:sz w:val="24"/>
          <w:highlight w:val="none"/>
        </w:rPr>
        <w:t>2.1 中小企业政策</w:t>
      </w:r>
    </w:p>
    <w:p w14:paraId="341A4073">
      <w:pPr>
        <w:widowControl/>
        <w:kinsoku w:val="0"/>
        <w:autoSpaceDE w:val="0"/>
        <w:autoSpaceDN w:val="0"/>
        <w:adjustRightInd w:val="0"/>
        <w:snapToGrid w:val="0"/>
        <w:spacing w:line="360" w:lineRule="auto"/>
        <w:ind w:left="315" w:leftChars="150"/>
        <w:textAlignment w:val="baseline"/>
        <w:rPr>
          <w:rFonts w:ascii="仿宋" w:hAnsi="仿宋" w:eastAsia="仿宋" w:cs="仿宋"/>
          <w:sz w:val="24"/>
          <w:highlight w:val="none"/>
        </w:rPr>
      </w:pPr>
      <w:r>
        <w:rPr>
          <w:rFonts w:hint="eastAsia" w:ascii="仿宋" w:hAnsi="仿宋" w:eastAsia="仿宋" w:cs="仿宋"/>
          <w:sz w:val="24"/>
          <w:highlight w:val="none"/>
        </w:rPr>
        <w:t>□本项目不专门面向中小企业预留采购份额。</w:t>
      </w:r>
    </w:p>
    <w:p w14:paraId="43ACE2DA">
      <w:pPr>
        <w:widowControl/>
        <w:kinsoku w:val="0"/>
        <w:autoSpaceDE w:val="0"/>
        <w:autoSpaceDN w:val="0"/>
        <w:adjustRightInd w:val="0"/>
        <w:snapToGrid w:val="0"/>
        <w:spacing w:line="360" w:lineRule="auto"/>
        <w:ind w:left="315" w:leftChars="150"/>
        <w:textAlignment w:val="baseline"/>
        <w:rPr>
          <w:rFonts w:ascii="仿宋" w:hAnsi="仿宋" w:eastAsia="仿宋" w:cs="仿宋"/>
          <w:sz w:val="24"/>
          <w:highlight w:val="none"/>
        </w:rPr>
      </w:pPr>
      <w:r>
        <w:rPr>
          <w:rFonts w:hint="eastAsia" w:ascii="仿宋" w:hAnsi="仿宋" w:eastAsia="仿宋" w:cs="仿宋"/>
          <w:sz w:val="24"/>
          <w:highlight w:val="none"/>
        </w:rPr>
        <w:t>■本项目专门面向</w:t>
      </w:r>
      <w:r>
        <w:rPr>
          <w:rFonts w:hint="eastAsia" w:ascii="仿宋" w:hAnsi="仿宋" w:eastAsia="仿宋" w:cs="仿宋"/>
          <w:sz w:val="24"/>
          <w:highlight w:val="none"/>
          <w:u w:val="single"/>
        </w:rPr>
        <w:t>小微企业</w:t>
      </w:r>
      <w:r>
        <w:rPr>
          <w:rFonts w:hint="eastAsia" w:ascii="仿宋" w:hAnsi="仿宋" w:eastAsia="仿宋" w:cs="仿宋"/>
          <w:sz w:val="24"/>
          <w:highlight w:val="none"/>
        </w:rPr>
        <w:t>采购。即：提供的货物全部由符合政策要求的小微企业制造、服务全部由符合政策要求的小微企业承接。</w:t>
      </w:r>
    </w:p>
    <w:p w14:paraId="642F82B9">
      <w:pPr>
        <w:widowControl/>
        <w:kinsoku w:val="0"/>
        <w:autoSpaceDE w:val="0"/>
        <w:autoSpaceDN w:val="0"/>
        <w:adjustRightInd w:val="0"/>
        <w:snapToGrid w:val="0"/>
        <w:spacing w:line="360" w:lineRule="auto"/>
        <w:ind w:left="315" w:leftChars="150"/>
        <w:textAlignment w:val="baseline"/>
        <w:rPr>
          <w:rFonts w:ascii="仿宋" w:hAnsi="仿宋" w:eastAsia="仿宋" w:cs="仿宋"/>
          <w:sz w:val="24"/>
          <w:highlight w:val="none"/>
        </w:rPr>
      </w:pPr>
      <w:bookmarkStart w:id="4" w:name="OLE_LINK3"/>
      <w:r>
        <w:rPr>
          <w:rFonts w:hint="eastAsia" w:ascii="仿宋" w:hAnsi="仿宋" w:eastAsia="仿宋" w:cs="仿宋"/>
          <w:sz w:val="24"/>
          <w:highlight w:val="none"/>
        </w:rPr>
        <w:t>□</w:t>
      </w:r>
      <w:bookmarkEnd w:id="4"/>
      <w:r>
        <w:rPr>
          <w:rFonts w:hint="eastAsia" w:ascii="仿宋" w:hAnsi="仿宋" w:eastAsia="仿宋" w:cs="仿宋"/>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4CE0F328">
      <w:pPr>
        <w:widowControl/>
        <w:kinsoku w:val="0"/>
        <w:autoSpaceDE w:val="0"/>
        <w:autoSpaceDN w:val="0"/>
        <w:adjustRightInd w:val="0"/>
        <w:snapToGrid w:val="0"/>
        <w:spacing w:line="360" w:lineRule="auto"/>
        <w:ind w:left="315" w:leftChars="150"/>
        <w:textAlignment w:val="baseline"/>
        <w:rPr>
          <w:rFonts w:ascii="仿宋" w:hAnsi="仿宋" w:eastAsia="仿宋" w:cs="仿宋"/>
          <w:sz w:val="24"/>
          <w:highlight w:val="none"/>
        </w:rPr>
      </w:pPr>
      <w:r>
        <w:rPr>
          <w:rFonts w:hint="eastAsia" w:ascii="仿宋" w:hAnsi="仿宋" w:eastAsia="仿宋" w:cs="仿宋"/>
          <w:sz w:val="24"/>
          <w:highlight w:val="none"/>
        </w:rPr>
        <w:t>2.2 其它落实政府采购政策的资格要求：</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08195EBE">
      <w:pPr>
        <w:widowControl/>
        <w:kinsoku w:val="0"/>
        <w:autoSpaceDE w:val="0"/>
        <w:autoSpaceDN w:val="0"/>
        <w:adjustRightInd w:val="0"/>
        <w:snapToGrid w:val="0"/>
        <w:spacing w:line="360" w:lineRule="auto"/>
        <w:ind w:left="315" w:leftChars="150"/>
        <w:textAlignment w:val="baseline"/>
        <w:rPr>
          <w:rFonts w:ascii="仿宋" w:hAnsi="仿宋" w:eastAsia="仿宋" w:cs="仿宋"/>
          <w:sz w:val="24"/>
          <w:highlight w:val="none"/>
        </w:rPr>
      </w:pPr>
      <w:r>
        <w:rPr>
          <w:rFonts w:hint="eastAsia" w:ascii="仿宋" w:hAnsi="仿宋" w:eastAsia="仿宋" w:cs="仿宋"/>
          <w:sz w:val="24"/>
          <w:highlight w:val="none"/>
        </w:rPr>
        <w:t>3.本项目的特定资格要求：</w:t>
      </w:r>
    </w:p>
    <w:p w14:paraId="207C7664">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sz w:val="24"/>
          <w:highlight w:val="none"/>
        </w:rPr>
      </w:pPr>
      <w:r>
        <w:rPr>
          <w:rFonts w:hint="eastAsia" w:ascii="仿宋" w:hAnsi="仿宋" w:eastAsia="仿宋" w:cs="仿宋"/>
          <w:sz w:val="24"/>
          <w:highlight w:val="none"/>
        </w:rPr>
        <w:t>3.1 本项目是否属于政府购买服务：</w:t>
      </w:r>
    </w:p>
    <w:p w14:paraId="3EDC52D1">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sz w:val="24"/>
          <w:highlight w:val="none"/>
        </w:rPr>
      </w:pPr>
      <w:r>
        <w:rPr>
          <w:rFonts w:hint="eastAsia" w:ascii="仿宋" w:hAnsi="仿宋" w:eastAsia="仿宋" w:cs="仿宋"/>
          <w:sz w:val="24"/>
          <w:highlight w:val="none"/>
        </w:rPr>
        <w:t>□否</w:t>
      </w:r>
    </w:p>
    <w:p w14:paraId="5A607C25">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sz w:val="24"/>
          <w:highlight w:val="none"/>
        </w:rPr>
      </w:pPr>
      <w:r>
        <w:rPr>
          <w:rFonts w:hint="eastAsia" w:ascii="仿宋" w:hAnsi="仿宋" w:eastAsia="仿宋" w:cs="仿宋"/>
          <w:sz w:val="24"/>
          <w:highlight w:val="none"/>
        </w:rPr>
        <w:t>■是， 公益一类事业单位、使用事业编制且由财政拨款保障的群团组织，不得作为承接主体；</w:t>
      </w:r>
    </w:p>
    <w:p w14:paraId="3AB9D20C">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sz w:val="24"/>
          <w:highlight w:val="none"/>
        </w:rPr>
      </w:pPr>
      <w:r>
        <w:rPr>
          <w:rFonts w:hint="eastAsia" w:ascii="仿宋" w:hAnsi="仿宋" w:eastAsia="仿宋" w:cs="仿宋"/>
          <w:sz w:val="24"/>
          <w:highlight w:val="none"/>
        </w:rPr>
        <w:t>3.2 其他特定资格要求：</w:t>
      </w:r>
    </w:p>
    <w:p w14:paraId="65F92994">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3.2.1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查询截止时间为磋商当日；</w:t>
      </w:r>
    </w:p>
    <w:p w14:paraId="15692158">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3.2.2供应商应符合中华人民共和国财政部令第102号《政府购买服务管理办法》的第六条：依法成立的企业、社会组织（不含由财政拨款保障的群团组织），公益二类和从事生产经营活动的事业单位，农村集体经济组织，基层群众性自治组织，以及具备条件的个人可以作为政府购买服务的承接主体的规定；</w:t>
      </w:r>
    </w:p>
    <w:p w14:paraId="42A66A9D">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3.2.3供应商应符合中华人民共和国财政部令第102号《政府购买服务管理办法》的第八条：公益一类事业单位、使用事业编制且由财政拨款保障的群团组织，不作为政府购买服务的购买主体和承接主体的规定。</w:t>
      </w:r>
    </w:p>
    <w:p w14:paraId="7AE9453F">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sz w:val="24"/>
          <w:highlight w:val="none"/>
        </w:rPr>
      </w:pPr>
      <w:r>
        <w:rPr>
          <w:rFonts w:hint="eastAsia" w:ascii="仿宋" w:hAnsi="仿宋" w:eastAsia="仿宋" w:cs="仿宋"/>
          <w:sz w:val="24"/>
          <w:highlight w:val="none"/>
        </w:rPr>
        <w:t>3.2.4供应商应领取本项目磋商文件。</w:t>
      </w:r>
    </w:p>
    <w:p w14:paraId="4B504A3F">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highlight w:val="none"/>
        </w:rPr>
      </w:pPr>
      <w:bookmarkStart w:id="5" w:name="_Toc29867"/>
      <w:r>
        <w:rPr>
          <w:rFonts w:hint="eastAsia" w:ascii="仿宋" w:hAnsi="仿宋" w:eastAsia="仿宋" w:cs="仿宋"/>
          <w:b/>
          <w:bCs/>
          <w:sz w:val="28"/>
          <w:szCs w:val="28"/>
          <w:highlight w:val="none"/>
        </w:rPr>
        <w:t>三、获取采购文件</w:t>
      </w:r>
      <w:bookmarkEnd w:id="5"/>
    </w:p>
    <w:p w14:paraId="7D9158BF">
      <w:pPr>
        <w:widowControl/>
        <w:kinsoku w:val="0"/>
        <w:autoSpaceDE w:val="0"/>
        <w:autoSpaceDN w:val="0"/>
        <w:adjustRightInd w:val="0"/>
        <w:snapToGrid w:val="0"/>
        <w:spacing w:line="360" w:lineRule="auto"/>
        <w:ind w:left="315" w:leftChars="150"/>
        <w:textAlignment w:val="baseline"/>
        <w:rPr>
          <w:rFonts w:ascii="仿宋" w:hAnsi="仿宋" w:eastAsia="仿宋" w:cs="仿宋"/>
          <w:sz w:val="24"/>
          <w:highlight w:val="none"/>
        </w:rPr>
      </w:pPr>
      <w:r>
        <w:rPr>
          <w:rFonts w:hint="eastAsia" w:ascii="仿宋" w:hAnsi="仿宋" w:eastAsia="仿宋" w:cs="仿宋"/>
          <w:sz w:val="24"/>
          <w:highlight w:val="none"/>
        </w:rPr>
        <w:t>1.时间：2025年</w:t>
      </w:r>
      <w:r>
        <w:rPr>
          <w:rFonts w:hint="eastAsia" w:ascii="仿宋" w:hAnsi="仿宋" w:eastAsia="仿宋" w:cs="仿宋"/>
          <w:sz w:val="24"/>
          <w:highlight w:val="none"/>
          <w:lang w:val="en-US" w:eastAsia="zh-CN"/>
        </w:rPr>
        <w:t>11月27</w:t>
      </w:r>
      <w:r>
        <w:rPr>
          <w:rFonts w:hint="eastAsia" w:ascii="仿宋" w:hAnsi="仿宋" w:eastAsia="仿宋" w:cs="仿宋"/>
          <w:sz w:val="24"/>
          <w:highlight w:val="none"/>
        </w:rPr>
        <w:t>日至2025年</w:t>
      </w:r>
      <w:r>
        <w:rPr>
          <w:rFonts w:hint="eastAsia" w:ascii="仿宋" w:hAnsi="仿宋" w:eastAsia="仿宋" w:cs="仿宋"/>
          <w:sz w:val="24"/>
          <w:highlight w:val="none"/>
          <w:lang w:val="en-US" w:eastAsia="zh-CN"/>
        </w:rPr>
        <w:t>12</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日,每天上午9：00至12：00，下午12：00至16：00（北京时间，法定节假日除外）。</w:t>
      </w:r>
    </w:p>
    <w:p w14:paraId="10D7D684">
      <w:pPr>
        <w:widowControl/>
        <w:kinsoku w:val="0"/>
        <w:autoSpaceDE w:val="0"/>
        <w:autoSpaceDN w:val="0"/>
        <w:adjustRightInd w:val="0"/>
        <w:snapToGrid w:val="0"/>
        <w:spacing w:line="360" w:lineRule="auto"/>
        <w:ind w:left="315" w:leftChars="150"/>
        <w:textAlignment w:val="baseline"/>
        <w:rPr>
          <w:rFonts w:ascii="仿宋" w:hAnsi="仿宋" w:eastAsia="仿宋" w:cs="仿宋"/>
          <w:sz w:val="24"/>
          <w:highlight w:val="none"/>
        </w:rPr>
      </w:pPr>
      <w:r>
        <w:rPr>
          <w:rFonts w:hint="eastAsia" w:ascii="仿宋" w:hAnsi="仿宋" w:eastAsia="仿宋" w:cs="仿宋"/>
          <w:sz w:val="24"/>
          <w:highlight w:val="none"/>
        </w:rPr>
        <w:t>2.地点：北京市政府采购电子交易平台。</w:t>
      </w:r>
    </w:p>
    <w:p w14:paraId="7BEBD878">
      <w:pPr>
        <w:widowControl/>
        <w:kinsoku w:val="0"/>
        <w:autoSpaceDE w:val="0"/>
        <w:autoSpaceDN w:val="0"/>
        <w:adjustRightInd w:val="0"/>
        <w:snapToGrid w:val="0"/>
        <w:spacing w:line="360" w:lineRule="auto"/>
        <w:ind w:left="315" w:leftChars="150"/>
        <w:textAlignment w:val="baseline"/>
        <w:rPr>
          <w:rFonts w:ascii="仿宋" w:hAnsi="仿宋" w:eastAsia="仿宋" w:cs="仿宋"/>
          <w:sz w:val="24"/>
          <w:highlight w:val="none"/>
        </w:rPr>
      </w:pPr>
      <w:r>
        <w:rPr>
          <w:rFonts w:hint="eastAsia" w:ascii="仿宋" w:hAnsi="仿宋" w:eastAsia="仿宋" w:cs="仿宋"/>
          <w:sz w:val="24"/>
          <w:highlight w:val="none"/>
        </w:rPr>
        <w:t>3.方式： 供应商使用CA数字证书或电子营业执照登录北京市政府采购电子交易平 台（ http://zbcg-bjzc.zhongcy.com/bjczj-portal-site/index.html#/home ）获取电子版竞争性磋商文件。</w:t>
      </w:r>
    </w:p>
    <w:p w14:paraId="5478E870">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4.售价 ：0 元。</w:t>
      </w:r>
    </w:p>
    <w:p w14:paraId="370048ED">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highlight w:val="none"/>
        </w:rPr>
      </w:pPr>
      <w:bookmarkStart w:id="6" w:name="_Toc11837"/>
      <w:r>
        <w:rPr>
          <w:rFonts w:hint="eastAsia" w:ascii="仿宋" w:hAnsi="仿宋" w:eastAsia="仿宋" w:cs="仿宋"/>
          <w:b/>
          <w:bCs/>
          <w:sz w:val="28"/>
          <w:szCs w:val="28"/>
          <w:highlight w:val="none"/>
        </w:rPr>
        <w:t>四、响应文件提交（现场递交）</w:t>
      </w:r>
      <w:bookmarkEnd w:id="6"/>
    </w:p>
    <w:p w14:paraId="65CBF57C">
      <w:pPr>
        <w:spacing w:line="360" w:lineRule="auto"/>
        <w:ind w:firstLine="600" w:firstLineChars="250"/>
        <w:rPr>
          <w:rFonts w:ascii="仿宋" w:hAnsi="仿宋" w:eastAsia="仿宋" w:cs="仿宋"/>
          <w:sz w:val="24"/>
          <w:highlight w:val="none"/>
        </w:rPr>
      </w:pPr>
      <w:r>
        <w:rPr>
          <w:rFonts w:hint="eastAsia" w:ascii="仿宋" w:hAnsi="仿宋" w:eastAsia="仿宋" w:cs="仿宋"/>
          <w:sz w:val="24"/>
          <w:highlight w:val="none"/>
        </w:rPr>
        <w:t>截止时间：2025年</w:t>
      </w:r>
      <w:r>
        <w:rPr>
          <w:rFonts w:hint="eastAsia" w:ascii="仿宋" w:hAnsi="仿宋" w:eastAsia="仿宋" w:cs="仿宋"/>
          <w:sz w:val="24"/>
          <w:highlight w:val="none"/>
          <w:lang w:val="en-US" w:eastAsia="zh-CN"/>
        </w:rPr>
        <w:t>12月8</w:t>
      </w:r>
      <w:r>
        <w:rPr>
          <w:rFonts w:hint="eastAsia" w:ascii="仿宋" w:hAnsi="仿宋" w:eastAsia="仿宋" w:cs="仿宋"/>
          <w:sz w:val="24"/>
          <w:highlight w:val="none"/>
        </w:rPr>
        <w:t>日1</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点</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0分（北京时间）</w:t>
      </w:r>
    </w:p>
    <w:p w14:paraId="47E1C4A4">
      <w:pPr>
        <w:spacing w:line="360" w:lineRule="auto"/>
        <w:ind w:firstLine="600" w:firstLineChars="250"/>
        <w:rPr>
          <w:rFonts w:ascii="仿宋" w:hAnsi="仿宋" w:eastAsia="仿宋" w:cs="仿宋"/>
          <w:sz w:val="24"/>
          <w:highlight w:val="none"/>
        </w:rPr>
      </w:pPr>
      <w:r>
        <w:rPr>
          <w:rFonts w:hint="eastAsia" w:ascii="仿宋" w:hAnsi="仿宋" w:eastAsia="仿宋" w:cs="仿宋"/>
          <w:sz w:val="24"/>
          <w:highlight w:val="none"/>
        </w:rPr>
        <w:t>地点：北京市政府采购电子交易平台。</w:t>
      </w:r>
    </w:p>
    <w:p w14:paraId="4F5E33B5">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highlight w:val="none"/>
        </w:rPr>
      </w:pPr>
      <w:bookmarkStart w:id="7" w:name="_Toc29766"/>
      <w:r>
        <w:rPr>
          <w:rFonts w:hint="eastAsia" w:ascii="仿宋" w:hAnsi="仿宋" w:eastAsia="仿宋" w:cs="仿宋"/>
          <w:b/>
          <w:bCs/>
          <w:sz w:val="28"/>
          <w:szCs w:val="28"/>
          <w:highlight w:val="none"/>
        </w:rPr>
        <w:t>五、开启</w:t>
      </w:r>
      <w:bookmarkEnd w:id="7"/>
    </w:p>
    <w:p w14:paraId="75BC8259">
      <w:pPr>
        <w:spacing w:line="360" w:lineRule="auto"/>
        <w:ind w:firstLine="600" w:firstLineChars="250"/>
        <w:rPr>
          <w:rFonts w:ascii="仿宋" w:hAnsi="仿宋" w:eastAsia="仿宋" w:cs="仿宋"/>
          <w:sz w:val="24"/>
          <w:highlight w:val="none"/>
        </w:rPr>
      </w:pPr>
      <w:r>
        <w:rPr>
          <w:rFonts w:hint="eastAsia" w:ascii="仿宋" w:hAnsi="仿宋" w:eastAsia="仿宋" w:cs="仿宋"/>
          <w:sz w:val="24"/>
          <w:highlight w:val="none"/>
        </w:rPr>
        <w:t>时间：2025年</w:t>
      </w:r>
      <w:r>
        <w:rPr>
          <w:rFonts w:hint="eastAsia" w:ascii="仿宋" w:hAnsi="仿宋" w:eastAsia="仿宋" w:cs="仿宋"/>
          <w:sz w:val="24"/>
          <w:highlight w:val="none"/>
          <w:lang w:val="en-US" w:eastAsia="zh-CN"/>
        </w:rPr>
        <w:t>12</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日1</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点</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0分（北京时间）</w:t>
      </w:r>
    </w:p>
    <w:p w14:paraId="0F7572DF">
      <w:pPr>
        <w:spacing w:line="360" w:lineRule="auto"/>
        <w:ind w:firstLine="600" w:firstLineChars="250"/>
        <w:rPr>
          <w:rFonts w:ascii="仿宋" w:hAnsi="仿宋" w:eastAsia="仿宋" w:cs="仿宋"/>
          <w:sz w:val="24"/>
          <w:highlight w:val="none"/>
        </w:rPr>
      </w:pPr>
      <w:r>
        <w:rPr>
          <w:rFonts w:hint="eastAsia" w:ascii="仿宋" w:hAnsi="仿宋" w:eastAsia="仿宋" w:cs="仿宋"/>
          <w:sz w:val="24"/>
          <w:highlight w:val="none"/>
        </w:rPr>
        <w:t>地点：北京市政府采购电子交易平台。</w:t>
      </w:r>
    </w:p>
    <w:p w14:paraId="6C9D5FDD">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highlight w:val="none"/>
        </w:rPr>
      </w:pPr>
      <w:bookmarkStart w:id="8" w:name="_Toc24926"/>
      <w:r>
        <w:rPr>
          <w:rFonts w:hint="eastAsia" w:ascii="仿宋" w:hAnsi="仿宋" w:eastAsia="仿宋" w:cs="仿宋"/>
          <w:b/>
          <w:bCs/>
          <w:sz w:val="28"/>
          <w:szCs w:val="28"/>
          <w:highlight w:val="none"/>
        </w:rPr>
        <w:t>六、公告期限</w:t>
      </w:r>
      <w:bookmarkEnd w:id="8"/>
    </w:p>
    <w:p w14:paraId="4782E7E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自本公告发布之日起 3 个工作日。</w:t>
      </w:r>
    </w:p>
    <w:p w14:paraId="7C1630BC">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highlight w:val="none"/>
        </w:rPr>
      </w:pPr>
      <w:bookmarkStart w:id="9" w:name="_Toc22062"/>
      <w:r>
        <w:rPr>
          <w:rFonts w:hint="eastAsia" w:ascii="仿宋" w:hAnsi="仿宋" w:eastAsia="仿宋" w:cs="仿宋"/>
          <w:b/>
          <w:bCs/>
          <w:sz w:val="28"/>
          <w:szCs w:val="28"/>
          <w:highlight w:val="none"/>
        </w:rPr>
        <w:t>七、其他补充事宜</w:t>
      </w:r>
      <w:bookmarkEnd w:id="9"/>
    </w:p>
    <w:p w14:paraId="2F5B7EA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1.本项目需要落实的政府采购政策：</w:t>
      </w:r>
    </w:p>
    <w:p w14:paraId="313628A2">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1.1鼓励节能政策：在技术、服务等指标同等条件下，优先采购属于国家公布的节能品目清单中产品。</w:t>
      </w:r>
    </w:p>
    <w:p w14:paraId="29E5A62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1.2鼓励环保政策：在性能、技术、服务等指标同等条件下，优先采购国家公布的环保产品品目清单中的产品。</w:t>
      </w:r>
    </w:p>
    <w:p w14:paraId="68F129D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1.3扶持中小企业政策：本项目专门面向小微企业采购。</w:t>
      </w:r>
    </w:p>
    <w:p w14:paraId="2961457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1.4投标产品不得为进口产品。</w:t>
      </w:r>
    </w:p>
    <w:p w14:paraId="5C10691F">
      <w:pPr>
        <w:pStyle w:val="2"/>
        <w:spacing w:line="360" w:lineRule="auto"/>
        <w:ind w:firstLine="480"/>
        <w:rPr>
          <w:rFonts w:ascii="仿宋" w:hAnsi="仿宋" w:eastAsia="仿宋" w:cs="仿宋"/>
          <w:highlight w:val="none"/>
        </w:rPr>
      </w:pPr>
      <w:r>
        <w:rPr>
          <w:rFonts w:hint="eastAsia" w:ascii="仿宋" w:hAnsi="仿宋" w:eastAsia="仿宋" w:cs="仿宋"/>
          <w:highlight w:val="none"/>
        </w:rPr>
        <w:t>2.本项目采用全流程电子化采购方式，请供应商认真学习北京市政府采购电子交易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 CA 数字证书 或电子营业执照情况确认是否符合本项目电子化采购流程要求。</w:t>
      </w:r>
    </w:p>
    <w:p w14:paraId="00AA2016">
      <w:pPr>
        <w:pStyle w:val="2"/>
        <w:spacing w:line="360" w:lineRule="auto"/>
        <w:ind w:firstLine="480"/>
        <w:rPr>
          <w:rFonts w:ascii="仿宋" w:hAnsi="仿宋" w:eastAsia="仿宋" w:cs="仿宋"/>
          <w:highlight w:val="none"/>
        </w:rPr>
      </w:pPr>
      <w:r>
        <w:rPr>
          <w:rFonts w:hint="eastAsia" w:ascii="仿宋" w:hAnsi="仿宋" w:eastAsia="仿宋" w:cs="仿宋"/>
          <w:highlight w:val="none"/>
        </w:rPr>
        <w:t>CA 数字证书服务热线 010-58511086</w:t>
      </w:r>
    </w:p>
    <w:p w14:paraId="3B97BF3C">
      <w:pPr>
        <w:pStyle w:val="2"/>
        <w:spacing w:line="360" w:lineRule="auto"/>
        <w:ind w:firstLine="480"/>
        <w:rPr>
          <w:rFonts w:ascii="仿宋" w:hAnsi="仿宋" w:eastAsia="仿宋" w:cs="仿宋"/>
          <w:highlight w:val="none"/>
        </w:rPr>
      </w:pPr>
      <w:r>
        <w:rPr>
          <w:rFonts w:hint="eastAsia" w:ascii="仿宋" w:hAnsi="仿宋" w:eastAsia="仿宋" w:cs="仿宋"/>
          <w:highlight w:val="none"/>
        </w:rPr>
        <w:t>电子营业执照服务热线 400-699-7000</w:t>
      </w:r>
    </w:p>
    <w:p w14:paraId="0192B6F0">
      <w:pPr>
        <w:pStyle w:val="2"/>
        <w:spacing w:line="360" w:lineRule="auto"/>
        <w:ind w:firstLine="480"/>
        <w:rPr>
          <w:rFonts w:ascii="仿宋" w:hAnsi="仿宋" w:eastAsia="仿宋" w:cs="仿宋"/>
          <w:highlight w:val="none"/>
        </w:rPr>
      </w:pPr>
      <w:r>
        <w:rPr>
          <w:rFonts w:hint="eastAsia" w:ascii="仿宋" w:hAnsi="仿宋" w:eastAsia="仿宋" w:cs="仿宋"/>
          <w:highlight w:val="none"/>
        </w:rPr>
        <w:t>技术支持服务热线      010-86483801</w:t>
      </w:r>
    </w:p>
    <w:p w14:paraId="56A68E53">
      <w:pPr>
        <w:pStyle w:val="2"/>
        <w:spacing w:line="360" w:lineRule="auto"/>
        <w:ind w:firstLine="480"/>
        <w:rPr>
          <w:rFonts w:ascii="仿宋" w:hAnsi="仿宋" w:eastAsia="仿宋" w:cs="仿宋"/>
          <w:highlight w:val="none"/>
        </w:rPr>
      </w:pPr>
      <w:r>
        <w:rPr>
          <w:rFonts w:hint="eastAsia" w:ascii="仿宋" w:hAnsi="仿宋" w:eastAsia="仿宋" w:cs="仿宋"/>
          <w:highlight w:val="none"/>
        </w:rPr>
        <w:t>2.1 办理 CA 数字证书或电子营业执照</w:t>
      </w:r>
    </w:p>
    <w:p w14:paraId="3722009A">
      <w:pPr>
        <w:pStyle w:val="2"/>
        <w:spacing w:line="360" w:lineRule="auto"/>
        <w:ind w:firstLine="480"/>
        <w:rPr>
          <w:rFonts w:ascii="仿宋" w:hAnsi="仿宋" w:eastAsia="仿宋" w:cs="仿宋"/>
          <w:highlight w:val="none"/>
        </w:rPr>
      </w:pPr>
      <w:r>
        <w:rPr>
          <w:rFonts w:hint="eastAsia" w:ascii="仿宋" w:hAnsi="仿宋" w:eastAsia="仿宋" w:cs="仿宋"/>
          <w:highlight w:val="none"/>
        </w:rPr>
        <w:t>供应商登录北京市政府采购电子交易平台查阅 “用户指南 ”— “操作指南 ”— “市场 主体 CA 办理操作流程指引 ” / “ 电子营业执照使用指南 ”，按照程序要求办理。</w:t>
      </w:r>
    </w:p>
    <w:p w14:paraId="1BCCADD0">
      <w:pPr>
        <w:pStyle w:val="2"/>
        <w:spacing w:line="360" w:lineRule="auto"/>
        <w:ind w:firstLine="480"/>
        <w:rPr>
          <w:rFonts w:ascii="仿宋" w:hAnsi="仿宋" w:eastAsia="仿宋" w:cs="仿宋"/>
          <w:highlight w:val="none"/>
        </w:rPr>
      </w:pPr>
      <w:r>
        <w:rPr>
          <w:rFonts w:hint="eastAsia" w:ascii="仿宋" w:hAnsi="仿宋" w:eastAsia="仿宋" w:cs="仿宋"/>
          <w:highlight w:val="none"/>
        </w:rPr>
        <w:t>2.2 注册</w:t>
      </w:r>
    </w:p>
    <w:p w14:paraId="6F246AAF">
      <w:pPr>
        <w:pStyle w:val="2"/>
        <w:spacing w:line="360" w:lineRule="auto"/>
        <w:ind w:firstLine="480"/>
        <w:rPr>
          <w:rFonts w:ascii="仿宋" w:hAnsi="仿宋" w:eastAsia="仿宋" w:cs="仿宋"/>
          <w:highlight w:val="none"/>
        </w:rPr>
      </w:pPr>
      <w:r>
        <w:rPr>
          <w:rFonts w:hint="eastAsia" w:ascii="仿宋" w:hAnsi="仿宋" w:eastAsia="仿宋" w:cs="仿宋"/>
          <w:highlight w:val="none"/>
        </w:rPr>
        <w:t>供应商登录北京市政府采购电子交易平台 “用户指南 ”— “操作指南 ”— “市场主体注 册入库操作流程指引 ”进行自助注册绑定。</w:t>
      </w:r>
    </w:p>
    <w:p w14:paraId="443D8B41">
      <w:pPr>
        <w:pStyle w:val="2"/>
        <w:spacing w:line="360" w:lineRule="auto"/>
        <w:ind w:firstLine="480"/>
        <w:rPr>
          <w:rFonts w:ascii="仿宋" w:hAnsi="仿宋" w:eastAsia="仿宋" w:cs="仿宋"/>
          <w:highlight w:val="none"/>
        </w:rPr>
      </w:pPr>
      <w:r>
        <w:rPr>
          <w:rFonts w:hint="eastAsia" w:ascii="仿宋" w:hAnsi="仿宋" w:eastAsia="仿宋" w:cs="仿宋"/>
          <w:highlight w:val="none"/>
        </w:rPr>
        <w:t>2.3 驱动、客户端下载</w:t>
      </w:r>
    </w:p>
    <w:p w14:paraId="59F33466">
      <w:pPr>
        <w:pStyle w:val="2"/>
        <w:spacing w:line="360" w:lineRule="auto"/>
        <w:ind w:firstLine="480"/>
        <w:rPr>
          <w:rFonts w:ascii="仿宋" w:hAnsi="仿宋" w:eastAsia="仿宋" w:cs="仿宋"/>
          <w:highlight w:val="none"/>
        </w:rPr>
      </w:pPr>
      <w:r>
        <w:rPr>
          <w:rFonts w:hint="eastAsia" w:ascii="仿宋" w:hAnsi="仿宋" w:eastAsia="仿宋" w:cs="仿宋"/>
          <w:highlight w:val="none"/>
        </w:rPr>
        <w:t>供应商登录北京市政府采购电子交易平台 “用户指南 ”— “工具下载 ”— “招标采购系 统文件驱动安装包 ”下载相关驱动。</w:t>
      </w:r>
    </w:p>
    <w:p w14:paraId="072D7F02">
      <w:pPr>
        <w:pStyle w:val="2"/>
        <w:spacing w:line="360" w:lineRule="auto"/>
        <w:ind w:firstLine="480"/>
        <w:rPr>
          <w:rFonts w:ascii="仿宋" w:hAnsi="仿宋" w:eastAsia="仿宋" w:cs="仿宋"/>
          <w:highlight w:val="none"/>
        </w:rPr>
      </w:pPr>
      <w:r>
        <w:rPr>
          <w:rFonts w:hint="eastAsia" w:ascii="仿宋" w:hAnsi="仿宋" w:eastAsia="仿宋" w:cs="仿宋"/>
          <w:highlight w:val="none"/>
        </w:rPr>
        <w:t>供应商登录北京市政府采购电子交易平台 “用户指南 ”— “工具下载 ”— “投标文件编 制工具 ”下载相关客户端。</w:t>
      </w:r>
    </w:p>
    <w:p w14:paraId="32E36D27">
      <w:pPr>
        <w:pStyle w:val="2"/>
        <w:spacing w:line="360" w:lineRule="auto"/>
        <w:ind w:firstLine="480"/>
        <w:rPr>
          <w:rFonts w:ascii="仿宋" w:hAnsi="仿宋" w:eastAsia="仿宋" w:cs="仿宋"/>
          <w:highlight w:val="none"/>
        </w:rPr>
      </w:pPr>
      <w:r>
        <w:rPr>
          <w:rFonts w:hint="eastAsia" w:ascii="仿宋" w:hAnsi="仿宋" w:eastAsia="仿宋" w:cs="仿宋"/>
          <w:highlight w:val="none"/>
        </w:rPr>
        <w:t>2.4 获取电子竞争性磋商文件</w:t>
      </w:r>
    </w:p>
    <w:p w14:paraId="7A885D66">
      <w:pPr>
        <w:pStyle w:val="2"/>
        <w:spacing w:line="360" w:lineRule="auto"/>
        <w:ind w:firstLine="480"/>
        <w:rPr>
          <w:rFonts w:ascii="仿宋" w:hAnsi="仿宋" w:eastAsia="仿宋" w:cs="仿宋"/>
          <w:highlight w:val="none"/>
        </w:rPr>
      </w:pPr>
      <w:r>
        <w:rPr>
          <w:rFonts w:hint="eastAsia" w:ascii="仿宋" w:hAnsi="仿宋" w:eastAsia="仿宋" w:cs="仿宋"/>
          <w:highlight w:val="none"/>
        </w:rPr>
        <w:t>供应商使用 CA 数字证书或电子营业执照登录北京市政府采购电子交易平台获取电 子竞争性磋商文件。</w:t>
      </w:r>
    </w:p>
    <w:p w14:paraId="4834FC1A">
      <w:pPr>
        <w:pStyle w:val="2"/>
        <w:spacing w:line="360" w:lineRule="auto"/>
        <w:ind w:firstLine="480"/>
        <w:rPr>
          <w:rFonts w:ascii="仿宋" w:hAnsi="仿宋" w:eastAsia="仿宋" w:cs="仿宋"/>
          <w:highlight w:val="none"/>
        </w:rPr>
      </w:pPr>
      <w:r>
        <w:rPr>
          <w:rFonts w:hint="eastAsia" w:ascii="仿宋" w:hAnsi="仿宋" w:eastAsia="仿宋" w:cs="仿宋"/>
          <w:highlight w:val="none"/>
        </w:rPr>
        <w:t>供应商如计划参与多个采购包的响应，应在登录北京市政府采购电子交易平台后， 在【我的项目】栏目依次选择对应采购包 ，进入项目工作台招标/采购文件环节分别按 采购包下载采购文件电子版。未在规定期限内按上述操作获取文件的采购包，供应商无法提交相应包的电子响应文件。</w:t>
      </w:r>
    </w:p>
    <w:p w14:paraId="406610BD">
      <w:pPr>
        <w:pStyle w:val="2"/>
        <w:spacing w:line="360" w:lineRule="auto"/>
        <w:ind w:firstLine="480"/>
        <w:rPr>
          <w:rFonts w:ascii="仿宋" w:hAnsi="仿宋" w:eastAsia="仿宋" w:cs="仿宋"/>
          <w:highlight w:val="none"/>
        </w:rPr>
      </w:pPr>
      <w:r>
        <w:rPr>
          <w:rFonts w:hint="eastAsia" w:ascii="仿宋" w:hAnsi="仿宋" w:eastAsia="仿宋" w:cs="仿宋"/>
          <w:highlight w:val="none"/>
        </w:rPr>
        <w:t>2.5 编制电子响应文件</w:t>
      </w:r>
    </w:p>
    <w:p w14:paraId="48C0A563">
      <w:pPr>
        <w:pStyle w:val="2"/>
        <w:spacing w:line="360" w:lineRule="auto"/>
        <w:ind w:firstLine="480"/>
        <w:rPr>
          <w:rFonts w:ascii="仿宋" w:hAnsi="仿宋" w:eastAsia="仿宋" w:cs="仿宋"/>
          <w:highlight w:val="none"/>
        </w:rPr>
      </w:pPr>
      <w:r>
        <w:rPr>
          <w:rFonts w:hint="eastAsia" w:ascii="仿宋" w:hAnsi="仿宋" w:eastAsia="仿宋" w:cs="仿宋"/>
          <w:highlight w: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11E233C">
      <w:pPr>
        <w:pStyle w:val="2"/>
        <w:spacing w:line="360" w:lineRule="auto"/>
        <w:ind w:firstLine="480"/>
        <w:rPr>
          <w:rFonts w:ascii="仿宋" w:hAnsi="仿宋" w:eastAsia="仿宋" w:cs="仿宋"/>
          <w:highlight w:val="none"/>
        </w:rPr>
      </w:pPr>
      <w:r>
        <w:rPr>
          <w:rFonts w:hint="eastAsia" w:ascii="仿宋" w:hAnsi="仿宋" w:eastAsia="仿宋" w:cs="仿宋"/>
          <w:highlight w:val="none"/>
        </w:rPr>
        <w:t>2.6 提交电子响应文件</w:t>
      </w:r>
    </w:p>
    <w:p w14:paraId="7CD9099B">
      <w:pPr>
        <w:pStyle w:val="2"/>
        <w:spacing w:line="360" w:lineRule="auto"/>
        <w:ind w:firstLine="480"/>
        <w:rPr>
          <w:rFonts w:ascii="仿宋" w:hAnsi="仿宋" w:eastAsia="仿宋" w:cs="仿宋"/>
          <w:highlight w:val="none"/>
        </w:rPr>
      </w:pPr>
      <w:r>
        <w:rPr>
          <w:rFonts w:hint="eastAsia" w:ascii="仿宋" w:hAnsi="仿宋" w:eastAsia="仿宋" w:cs="仿宋"/>
          <w:highlight w:val="none"/>
        </w:rPr>
        <w:t>供应商应于响应文件提交截止时间前在北京市政府采购电子交易平台提交电子响 应文件，上传电子响应文件过程中请保持与互联网的连接畅通。</w:t>
      </w:r>
    </w:p>
    <w:p w14:paraId="0998718A">
      <w:pPr>
        <w:pStyle w:val="2"/>
        <w:spacing w:line="360" w:lineRule="auto"/>
        <w:ind w:firstLine="480"/>
        <w:rPr>
          <w:rFonts w:ascii="仿宋" w:hAnsi="仿宋" w:eastAsia="仿宋" w:cs="仿宋"/>
          <w:highlight w:val="none"/>
        </w:rPr>
      </w:pPr>
      <w:r>
        <w:rPr>
          <w:rFonts w:hint="eastAsia" w:ascii="仿宋" w:hAnsi="仿宋" w:eastAsia="仿宋" w:cs="仿宋"/>
          <w:highlight w:val="none"/>
        </w:rPr>
        <w:t>2.7 开启响应文件</w:t>
      </w:r>
    </w:p>
    <w:p w14:paraId="1440C50F">
      <w:pPr>
        <w:pStyle w:val="2"/>
        <w:spacing w:line="360" w:lineRule="auto"/>
        <w:ind w:firstLine="480"/>
        <w:rPr>
          <w:rFonts w:ascii="仿宋" w:hAnsi="仿宋" w:eastAsia="仿宋" w:cs="仿宋"/>
          <w:highlight w:val="none"/>
        </w:rPr>
      </w:pPr>
      <w:r>
        <w:rPr>
          <w:rFonts w:hint="eastAsia" w:ascii="仿宋" w:hAnsi="仿宋" w:eastAsia="仿宋" w:cs="仿宋"/>
          <w:highlight w:val="none"/>
        </w:rPr>
        <w:t>供应商于磋商文件规定的开启时间、在开启地点使用CA 数字证书或电子营业执照  登录北京市政府采购电子交易平台解密并开启响应文件。如因供应商问题，解密不成功，则响应无效。</w:t>
      </w:r>
    </w:p>
    <w:p w14:paraId="7A51E54B">
      <w:pPr>
        <w:ind w:firstLine="480"/>
        <w:rPr>
          <w:highlight w:val="none"/>
        </w:rPr>
      </w:pPr>
    </w:p>
    <w:p w14:paraId="5AC3FDE3">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highlight w:val="none"/>
        </w:rPr>
      </w:pPr>
      <w:bookmarkStart w:id="10" w:name="_Toc5733"/>
      <w:r>
        <w:rPr>
          <w:rFonts w:hint="eastAsia" w:ascii="仿宋" w:hAnsi="仿宋" w:eastAsia="仿宋" w:cs="仿宋"/>
          <w:b/>
          <w:bCs/>
          <w:sz w:val="28"/>
          <w:szCs w:val="28"/>
          <w:highlight w:val="none"/>
        </w:rPr>
        <w:t>八、对本次采购提出询问，请按以下方式联系</w:t>
      </w:r>
      <w:bookmarkEnd w:id="10"/>
    </w:p>
    <w:p w14:paraId="09F4D89A">
      <w:pPr>
        <w:spacing w:line="360" w:lineRule="auto"/>
        <w:ind w:firstLine="600" w:firstLineChars="250"/>
        <w:rPr>
          <w:rFonts w:ascii="仿宋" w:hAnsi="仿宋" w:eastAsia="仿宋" w:cs="仿宋"/>
          <w:sz w:val="24"/>
          <w:highlight w:val="none"/>
        </w:rPr>
      </w:pPr>
      <w:bookmarkStart w:id="11" w:name="_Toc9239"/>
      <w:bookmarkStart w:id="12" w:name="_Toc11190"/>
      <w:bookmarkStart w:id="13" w:name="_Toc28359096"/>
      <w:bookmarkStart w:id="14" w:name="_Toc12165"/>
      <w:bookmarkStart w:id="15" w:name="_Toc28359019"/>
      <w:bookmarkStart w:id="16" w:name="_Toc35393637"/>
      <w:bookmarkStart w:id="17" w:name="_Toc32627"/>
      <w:bookmarkStart w:id="18" w:name="_Toc28616"/>
      <w:bookmarkStart w:id="19" w:name="_Toc35393806"/>
      <w:bookmarkStart w:id="20" w:name="_Toc27957"/>
      <w:r>
        <w:rPr>
          <w:rFonts w:hint="eastAsia" w:ascii="仿宋" w:hAnsi="仿宋" w:eastAsia="仿宋" w:cs="仿宋"/>
          <w:sz w:val="24"/>
          <w:highlight w:val="none"/>
        </w:rPr>
        <w:t>1.采购人信息</w:t>
      </w:r>
      <w:bookmarkEnd w:id="11"/>
      <w:bookmarkEnd w:id="12"/>
      <w:bookmarkEnd w:id="13"/>
      <w:bookmarkEnd w:id="14"/>
      <w:bookmarkEnd w:id="15"/>
      <w:bookmarkEnd w:id="16"/>
      <w:bookmarkEnd w:id="17"/>
      <w:bookmarkEnd w:id="18"/>
      <w:bookmarkEnd w:id="19"/>
      <w:bookmarkEnd w:id="20"/>
    </w:p>
    <w:p w14:paraId="422023D8">
      <w:pPr>
        <w:spacing w:line="360" w:lineRule="auto"/>
        <w:ind w:firstLine="600" w:firstLineChars="250"/>
        <w:rPr>
          <w:rFonts w:ascii="仿宋" w:hAnsi="仿宋" w:eastAsia="仿宋" w:cs="仿宋"/>
          <w:sz w:val="24"/>
          <w:highlight w:val="none"/>
        </w:rPr>
      </w:pPr>
      <w:r>
        <w:rPr>
          <w:rFonts w:hint="eastAsia" w:ascii="仿宋" w:hAnsi="仿宋" w:eastAsia="仿宋" w:cs="仿宋"/>
          <w:sz w:val="24"/>
          <w:highlight w:val="none"/>
        </w:rPr>
        <w:t>名    称：</w:t>
      </w:r>
      <w:r>
        <w:rPr>
          <w:rFonts w:hint="eastAsia" w:ascii="仿宋" w:hAnsi="仿宋" w:eastAsia="仿宋" w:cs="仿宋"/>
          <w:sz w:val="24"/>
          <w:highlight w:val="none"/>
          <w:u w:val="single"/>
        </w:rPr>
        <w:t>北京奥林匹克中心区管理委员会</w:t>
      </w:r>
    </w:p>
    <w:p w14:paraId="31B0C1CA">
      <w:pPr>
        <w:spacing w:line="360" w:lineRule="auto"/>
        <w:ind w:firstLine="600" w:firstLineChars="250"/>
        <w:rPr>
          <w:rFonts w:ascii="仿宋" w:hAnsi="仿宋" w:eastAsia="仿宋" w:cs="仿宋"/>
          <w:sz w:val="24"/>
          <w:highlight w:val="none"/>
        </w:rPr>
      </w:pPr>
      <w:r>
        <w:rPr>
          <w:rFonts w:hint="eastAsia" w:ascii="仿宋" w:hAnsi="仿宋" w:eastAsia="仿宋" w:cs="仿宋"/>
          <w:sz w:val="24"/>
          <w:highlight w:val="none"/>
        </w:rPr>
        <w:t>地    址：</w:t>
      </w:r>
      <w:r>
        <w:rPr>
          <w:rFonts w:hint="eastAsia" w:ascii="仿宋" w:hAnsi="仿宋" w:eastAsia="仿宋" w:cs="仿宋"/>
          <w:sz w:val="24"/>
          <w:highlight w:val="none"/>
          <w:u w:val="single"/>
        </w:rPr>
        <w:t>北京市朝阳区北辰东路15号</w:t>
      </w:r>
    </w:p>
    <w:p w14:paraId="2D6F06D7">
      <w:pPr>
        <w:spacing w:line="360" w:lineRule="auto"/>
        <w:ind w:firstLine="600" w:firstLineChars="250"/>
        <w:rPr>
          <w:rFonts w:ascii="仿宋" w:hAnsi="仿宋" w:eastAsia="仿宋" w:cs="仿宋"/>
          <w:sz w:val="24"/>
          <w:highlight w:val="none"/>
        </w:rPr>
      </w:pPr>
      <w:r>
        <w:rPr>
          <w:rFonts w:hint="eastAsia" w:ascii="仿宋" w:hAnsi="仿宋" w:eastAsia="仿宋" w:cs="仿宋"/>
          <w:sz w:val="24"/>
          <w:highlight w:val="none"/>
        </w:rPr>
        <w:t>联系方式：</w:t>
      </w:r>
      <w:r>
        <w:rPr>
          <w:rFonts w:hint="eastAsia" w:ascii="仿宋" w:hAnsi="仿宋" w:eastAsia="仿宋" w:cs="仿宋"/>
          <w:sz w:val="24"/>
          <w:highlight w:val="none"/>
          <w:u w:val="single"/>
        </w:rPr>
        <w:t>010-84985563</w:t>
      </w:r>
    </w:p>
    <w:p w14:paraId="2F8D3F6C">
      <w:pPr>
        <w:spacing w:line="360" w:lineRule="auto"/>
        <w:ind w:firstLine="600" w:firstLineChars="250"/>
        <w:rPr>
          <w:rFonts w:ascii="仿宋" w:hAnsi="仿宋" w:eastAsia="仿宋" w:cs="仿宋"/>
          <w:sz w:val="24"/>
          <w:highlight w:val="none"/>
        </w:rPr>
      </w:pPr>
      <w:bookmarkStart w:id="21" w:name="_Toc12658"/>
      <w:bookmarkStart w:id="22" w:name="_Toc28359097"/>
      <w:bookmarkStart w:id="23" w:name="_Toc29640"/>
      <w:bookmarkStart w:id="24" w:name="_Toc35393807"/>
      <w:bookmarkStart w:id="25" w:name="_Toc31318"/>
      <w:bookmarkStart w:id="26" w:name="_Toc20933"/>
      <w:bookmarkStart w:id="27" w:name="_Toc35393638"/>
      <w:bookmarkStart w:id="28" w:name="_Toc18305"/>
      <w:bookmarkStart w:id="29" w:name="_Toc13455"/>
      <w:bookmarkStart w:id="30" w:name="_Toc28359020"/>
      <w:r>
        <w:rPr>
          <w:rFonts w:hint="eastAsia" w:ascii="仿宋" w:hAnsi="仿宋" w:eastAsia="仿宋" w:cs="仿宋"/>
          <w:sz w:val="24"/>
          <w:highlight w:val="none"/>
        </w:rPr>
        <w:t>2.采购代理机构信息</w:t>
      </w:r>
      <w:bookmarkEnd w:id="21"/>
      <w:bookmarkEnd w:id="22"/>
      <w:bookmarkEnd w:id="23"/>
      <w:bookmarkEnd w:id="24"/>
      <w:bookmarkEnd w:id="25"/>
      <w:bookmarkEnd w:id="26"/>
      <w:bookmarkEnd w:id="27"/>
      <w:bookmarkEnd w:id="28"/>
      <w:bookmarkEnd w:id="29"/>
      <w:bookmarkEnd w:id="30"/>
    </w:p>
    <w:p w14:paraId="28FA76D0">
      <w:pPr>
        <w:spacing w:line="360" w:lineRule="auto"/>
        <w:ind w:firstLine="600" w:firstLineChars="250"/>
        <w:rPr>
          <w:rFonts w:ascii="仿宋" w:hAnsi="仿宋" w:eastAsia="仿宋" w:cs="仿宋"/>
          <w:sz w:val="24"/>
          <w:highlight w:val="none"/>
        </w:rPr>
      </w:pPr>
      <w:r>
        <w:rPr>
          <w:rFonts w:hint="eastAsia" w:ascii="仿宋" w:hAnsi="仿宋" w:eastAsia="仿宋" w:cs="仿宋"/>
          <w:sz w:val="24"/>
          <w:highlight w:val="none"/>
        </w:rPr>
        <w:t>名    称：</w:t>
      </w:r>
      <w:r>
        <w:rPr>
          <w:rFonts w:hint="eastAsia" w:ascii="仿宋" w:hAnsi="仿宋" w:eastAsia="仿宋" w:cs="仿宋"/>
          <w:sz w:val="24"/>
          <w:highlight w:val="none"/>
          <w:u w:val="single"/>
        </w:rPr>
        <w:t>中技国际招标有限公司</w:t>
      </w:r>
    </w:p>
    <w:p w14:paraId="6786343E">
      <w:pPr>
        <w:spacing w:line="360" w:lineRule="auto"/>
        <w:ind w:firstLine="600" w:firstLineChars="250"/>
        <w:rPr>
          <w:rFonts w:ascii="仿宋" w:hAnsi="仿宋" w:eastAsia="仿宋" w:cs="仿宋"/>
          <w:sz w:val="24"/>
          <w:highlight w:val="none"/>
        </w:rPr>
      </w:pPr>
      <w:r>
        <w:rPr>
          <w:rFonts w:hint="eastAsia" w:ascii="仿宋" w:hAnsi="仿宋" w:eastAsia="仿宋" w:cs="仿宋"/>
          <w:sz w:val="24"/>
          <w:highlight w:val="none"/>
        </w:rPr>
        <w:t>地　　址：</w:t>
      </w:r>
      <w:r>
        <w:rPr>
          <w:rFonts w:hint="eastAsia" w:ascii="仿宋" w:hAnsi="仿宋" w:eastAsia="仿宋" w:cs="仿宋"/>
          <w:sz w:val="24"/>
          <w:highlight w:val="none"/>
          <w:u w:val="single"/>
        </w:rPr>
        <w:t>北京市丰台区西营街1号院通用时代中心C座</w:t>
      </w:r>
    </w:p>
    <w:p w14:paraId="57EC5007">
      <w:pPr>
        <w:spacing w:line="360" w:lineRule="auto"/>
        <w:ind w:firstLine="600" w:firstLineChars="250"/>
        <w:rPr>
          <w:rFonts w:ascii="仿宋" w:hAnsi="仿宋" w:eastAsia="仿宋" w:cs="仿宋"/>
          <w:sz w:val="24"/>
          <w:highlight w:val="none"/>
        </w:rPr>
      </w:pPr>
      <w:r>
        <w:rPr>
          <w:rFonts w:hint="eastAsia" w:ascii="仿宋" w:hAnsi="仿宋" w:eastAsia="仿宋" w:cs="仿宋"/>
          <w:sz w:val="24"/>
          <w:highlight w:val="none"/>
        </w:rPr>
        <w:t>联系方式：</w:t>
      </w:r>
      <w:r>
        <w:rPr>
          <w:rFonts w:hint="eastAsia" w:ascii="仿宋" w:hAnsi="仿宋" w:eastAsia="仿宋" w:cs="仿宋"/>
          <w:sz w:val="24"/>
          <w:highlight w:val="none"/>
          <w:u w:val="single"/>
        </w:rPr>
        <w:t>010-81168493</w:t>
      </w:r>
    </w:p>
    <w:p w14:paraId="51B4832D">
      <w:pPr>
        <w:spacing w:line="360" w:lineRule="auto"/>
        <w:ind w:firstLine="600" w:firstLineChars="250"/>
        <w:rPr>
          <w:rFonts w:ascii="仿宋" w:hAnsi="仿宋" w:eastAsia="仿宋" w:cs="仿宋"/>
          <w:sz w:val="24"/>
          <w:highlight w:val="none"/>
        </w:rPr>
      </w:pPr>
      <w:bookmarkStart w:id="31" w:name="_Toc7491"/>
      <w:bookmarkStart w:id="32" w:name="_Toc23979"/>
      <w:bookmarkStart w:id="33" w:name="_Toc35393808"/>
      <w:bookmarkStart w:id="34" w:name="_Toc28359021"/>
      <w:bookmarkStart w:id="35" w:name="_Toc22228"/>
      <w:bookmarkStart w:id="36" w:name="_Toc2772"/>
      <w:bookmarkStart w:id="37" w:name="_Toc35393639"/>
      <w:bookmarkStart w:id="38" w:name="_Toc7478"/>
      <w:bookmarkStart w:id="39" w:name="_Toc28359098"/>
      <w:bookmarkStart w:id="40" w:name="_Toc27204"/>
      <w:r>
        <w:rPr>
          <w:rFonts w:hint="eastAsia" w:ascii="仿宋" w:hAnsi="仿宋" w:eastAsia="仿宋" w:cs="仿宋"/>
          <w:sz w:val="24"/>
          <w:highlight w:val="none"/>
        </w:rPr>
        <w:t>3.项目联系方式</w:t>
      </w:r>
      <w:bookmarkEnd w:id="31"/>
      <w:bookmarkEnd w:id="32"/>
      <w:bookmarkEnd w:id="33"/>
      <w:bookmarkEnd w:id="34"/>
      <w:bookmarkEnd w:id="35"/>
      <w:bookmarkEnd w:id="36"/>
      <w:bookmarkEnd w:id="37"/>
      <w:bookmarkEnd w:id="38"/>
      <w:bookmarkEnd w:id="39"/>
      <w:bookmarkEnd w:id="40"/>
    </w:p>
    <w:p w14:paraId="53000B5F">
      <w:pPr>
        <w:spacing w:line="360" w:lineRule="auto"/>
        <w:ind w:firstLine="600" w:firstLineChars="250"/>
        <w:rPr>
          <w:rFonts w:ascii="仿宋" w:hAnsi="仿宋" w:eastAsia="仿宋" w:cs="仿宋"/>
          <w:sz w:val="24"/>
          <w:highlight w:val="none"/>
        </w:rPr>
      </w:pPr>
      <w:r>
        <w:rPr>
          <w:rFonts w:hint="eastAsia" w:ascii="仿宋" w:hAnsi="仿宋" w:eastAsia="仿宋" w:cs="仿宋"/>
          <w:sz w:val="24"/>
          <w:highlight w:val="none"/>
        </w:rPr>
        <w:t>项目联系人：</w:t>
      </w:r>
      <w:r>
        <w:rPr>
          <w:rFonts w:hint="eastAsia" w:ascii="仿宋" w:hAnsi="仿宋" w:eastAsia="仿宋" w:cs="仿宋"/>
          <w:sz w:val="24"/>
          <w:highlight w:val="none"/>
          <w:u w:val="single"/>
        </w:rPr>
        <w:t>陈刚、王昕</w:t>
      </w:r>
    </w:p>
    <w:p w14:paraId="634F2121">
      <w:pPr>
        <w:spacing w:line="360" w:lineRule="auto"/>
        <w:ind w:firstLine="600" w:firstLineChars="250"/>
        <w:rPr>
          <w:rFonts w:ascii="仿宋" w:hAnsi="仿宋" w:eastAsia="仿宋" w:cs="仿宋"/>
          <w:highlight w:val="none"/>
        </w:rPr>
      </w:pPr>
      <w:r>
        <w:rPr>
          <w:rFonts w:hint="eastAsia" w:ascii="仿宋" w:hAnsi="仿宋" w:eastAsia="仿宋" w:cs="仿宋"/>
          <w:sz w:val="24"/>
          <w:highlight w:val="none"/>
        </w:rPr>
        <w:t>电　　  话：</w:t>
      </w:r>
      <w:r>
        <w:rPr>
          <w:rFonts w:hint="eastAsia" w:ascii="仿宋" w:hAnsi="仿宋" w:eastAsia="仿宋" w:cs="仿宋"/>
          <w:sz w:val="24"/>
          <w:highlight w:val="none"/>
          <w:u w:val="single"/>
        </w:rPr>
        <w:t>010－81168493、81168289</w:t>
      </w:r>
    </w:p>
    <w:p w14:paraId="555ADF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D0762"/>
    <w:rsid w:val="0D353E9B"/>
    <w:rsid w:val="6E5D0762"/>
    <w:rsid w:val="733B1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2355</Words>
  <Characters>2712</Characters>
  <Lines>0</Lines>
  <Paragraphs>0</Paragraphs>
  <TotalTime>1</TotalTime>
  <ScaleCrop>false</ScaleCrop>
  <LinksUpToDate>false</LinksUpToDate>
  <CharactersWithSpaces>2824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2025-11-26T04:30:00Z</dcterms:created>
  <dc:creator>XXX</dc:creator>
  <cp:lastModifiedBy>吴家豪</cp:lastModifiedBy>
  <dcterms:modified xsi:type="dcterms:W3CDTF">2025-11-26T06:35:46Z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32D8B5DD3E9D4D0F966FBEB80741FD04_13</vt:lpwstr>
  </property>
  <property fmtid="{D5CDD505-2E9C-101B-9397-08002B2CF9AE}" pid="4" name="KSOTemplateDocerSaveRecord">
    <vt:lpwstr>eyJoZGlkIjoiODk0OTRhMzQwYTliNzVmNjk5OGY4YzAxODI1YjNkNTYiLCJ1c2VySWQiOiIyMjkxNDI4MjQifQ==</vt:lpwstr>
  </property>
</Properties>
</file>