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234F2">
      <w:pPr>
        <w:snapToGrid w:val="0"/>
        <w:spacing w:line="540" w:lineRule="exact"/>
        <w:jc w:val="center"/>
        <w:outlineLvl w:val="0"/>
        <w:rPr>
          <w:rFonts w:hint="default" w:ascii="仿宋" w:hAnsi="仿宋" w:eastAsia="仿宋" w:cs="仿宋"/>
          <w:color w:val="auto"/>
          <w:sz w:val="32"/>
          <w:szCs w:val="32"/>
          <w:highlight w:val="none"/>
          <w:lang w:val="en-US" w:eastAsia="zh-CN"/>
        </w:rPr>
      </w:pPr>
      <w:r>
        <w:rPr>
          <w:rFonts w:hint="eastAsia" w:ascii="仿宋" w:hAnsi="仿宋" w:eastAsia="仿宋" w:cs="仿宋"/>
          <w:b/>
          <w:color w:val="auto"/>
          <w:sz w:val="36"/>
          <w:szCs w:val="36"/>
          <w:highlight w:val="none"/>
        </w:rPr>
        <w:t>2026年度环卫保洁项目</w:t>
      </w:r>
      <w:r>
        <w:rPr>
          <w:rFonts w:hint="eastAsia" w:ascii="仿宋" w:hAnsi="仿宋" w:eastAsia="仿宋" w:cs="仿宋"/>
          <w:b/>
          <w:color w:val="auto"/>
          <w:sz w:val="36"/>
          <w:szCs w:val="36"/>
          <w:highlight w:val="none"/>
          <w:lang w:val="en-US" w:eastAsia="zh-CN"/>
        </w:rPr>
        <w:t>公开招标公告</w:t>
      </w:r>
    </w:p>
    <w:p w14:paraId="3F82CF04">
      <w:pPr>
        <w:pStyle w:val="2"/>
        <w:snapToGrid w:val="0"/>
        <w:spacing w:before="0" w:line="54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项目基本情况</w:t>
      </w:r>
    </w:p>
    <w:p w14:paraId="3F3E92A7">
      <w:pPr>
        <w:snapToGrid w:val="0"/>
        <w:spacing w:line="540" w:lineRule="exact"/>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11010525210200025472-XM001</w:t>
      </w:r>
    </w:p>
    <w:p w14:paraId="726E2378">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2026年度环卫保洁项目</w:t>
      </w:r>
    </w:p>
    <w:p w14:paraId="5DC64CF5">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val="en-US" w:eastAsia="zh-CN"/>
        </w:rPr>
        <w:t>1908.64</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rPr>
        <w:t>1908.64</w:t>
      </w:r>
      <w:r>
        <w:rPr>
          <w:rFonts w:hint="eastAsia" w:ascii="仿宋" w:hAnsi="仿宋" w:eastAsia="仿宋" w:cs="仿宋"/>
          <w:color w:val="auto"/>
          <w:sz w:val="24"/>
          <w:highlight w:val="none"/>
        </w:rPr>
        <w:t>万元</w:t>
      </w:r>
    </w:p>
    <w:p w14:paraId="20C4CEB9">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6"/>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86"/>
        <w:gridCol w:w="1377"/>
        <w:gridCol w:w="1377"/>
        <w:gridCol w:w="834"/>
        <w:gridCol w:w="4256"/>
      </w:tblGrid>
      <w:tr w14:paraId="379B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716D1F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6" w:type="dxa"/>
            <w:shd w:val="clear" w:color="auto" w:fill="auto"/>
            <w:vAlign w:val="center"/>
          </w:tcPr>
          <w:p w14:paraId="0CBCCC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w:t>
            </w:r>
          </w:p>
          <w:p w14:paraId="563ABF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1377" w:type="dxa"/>
            <w:shd w:val="clear" w:color="auto" w:fill="auto"/>
            <w:vAlign w:val="center"/>
          </w:tcPr>
          <w:p w14:paraId="1568567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1377" w:type="dxa"/>
            <w:shd w:val="clear" w:color="auto" w:fill="auto"/>
            <w:vAlign w:val="center"/>
          </w:tcPr>
          <w:p w14:paraId="6A824AE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834" w:type="dxa"/>
            <w:shd w:val="clear" w:color="auto" w:fill="auto"/>
            <w:vAlign w:val="center"/>
          </w:tcPr>
          <w:p w14:paraId="44448E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4256" w:type="dxa"/>
            <w:shd w:val="clear" w:color="auto" w:fill="auto"/>
            <w:vAlign w:val="center"/>
          </w:tcPr>
          <w:p w14:paraId="1478020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3147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37F72AD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1186" w:type="dxa"/>
            <w:shd w:val="clear" w:color="auto" w:fill="auto"/>
            <w:vAlign w:val="center"/>
          </w:tcPr>
          <w:p w14:paraId="1BEDC88D">
            <w:pPr>
              <w:widowControl/>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道路保洁</w:t>
            </w:r>
          </w:p>
        </w:tc>
        <w:tc>
          <w:tcPr>
            <w:tcW w:w="1377" w:type="dxa"/>
            <w:shd w:val="clear" w:color="auto" w:fill="auto"/>
            <w:vAlign w:val="center"/>
          </w:tcPr>
          <w:p w14:paraId="0848696A">
            <w:pPr>
              <w:widowControl/>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rPr>
              <w:t>1748</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3</w:t>
            </w:r>
          </w:p>
        </w:tc>
        <w:tc>
          <w:tcPr>
            <w:tcW w:w="1377" w:type="dxa"/>
            <w:shd w:val="clear" w:color="auto" w:fill="auto"/>
            <w:vAlign w:val="center"/>
          </w:tcPr>
          <w:p w14:paraId="44A85481">
            <w:pPr>
              <w:widowControl/>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rPr>
              <w:t>1748</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3</w:t>
            </w:r>
          </w:p>
        </w:tc>
        <w:tc>
          <w:tcPr>
            <w:tcW w:w="834" w:type="dxa"/>
            <w:shd w:val="clear" w:color="auto" w:fill="auto"/>
            <w:vAlign w:val="center"/>
          </w:tcPr>
          <w:p w14:paraId="4B3BA4D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256" w:type="dxa"/>
            <w:shd w:val="clear" w:color="auto" w:fill="auto"/>
            <w:vAlign w:val="center"/>
          </w:tcPr>
          <w:p w14:paraId="56A0D923">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广场、道路的清扫保洁；垃圾清运（6座固定卫生间、109座老式移动卫生间、40座新式移动卫生间、679组果皮箱、25个240L垃圾桶等）；粪便清运、消纳（6座固定卫生间、109座老式移动卫生间、40座新式移动卫生间）；40座新式移动卫生间的保洁、易耗品提供等等,详见第五章采购需求</w:t>
            </w:r>
          </w:p>
        </w:tc>
      </w:tr>
      <w:tr w14:paraId="4E2B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1" w:type="dxa"/>
            <w:shd w:val="clear" w:color="auto" w:fill="auto"/>
            <w:vAlign w:val="center"/>
          </w:tcPr>
          <w:p w14:paraId="63A75283">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6" w:type="dxa"/>
            <w:shd w:val="clear" w:color="auto" w:fill="auto"/>
            <w:vAlign w:val="center"/>
          </w:tcPr>
          <w:p w14:paraId="56E54A20">
            <w:pPr>
              <w:widowControl/>
              <w:jc w:val="center"/>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eastAsia="zh-CN"/>
              </w:rPr>
              <w:t>卫生间保洁</w:t>
            </w:r>
          </w:p>
        </w:tc>
        <w:tc>
          <w:tcPr>
            <w:tcW w:w="1377" w:type="dxa"/>
            <w:shd w:val="clear" w:color="auto" w:fill="auto"/>
            <w:vAlign w:val="center"/>
          </w:tcPr>
          <w:p w14:paraId="30D6F6F7">
            <w:pPr>
              <w:widowControl/>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eastAsia="zh-CN"/>
              </w:rPr>
              <w:t>160.34</w:t>
            </w:r>
          </w:p>
        </w:tc>
        <w:tc>
          <w:tcPr>
            <w:tcW w:w="1377" w:type="dxa"/>
            <w:shd w:val="clear" w:color="auto" w:fill="auto"/>
            <w:vAlign w:val="center"/>
          </w:tcPr>
          <w:p w14:paraId="316053A4">
            <w:pPr>
              <w:widowControl/>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eastAsia="zh-CN"/>
              </w:rPr>
              <w:t>160.34</w:t>
            </w:r>
          </w:p>
        </w:tc>
        <w:tc>
          <w:tcPr>
            <w:tcW w:w="834" w:type="dxa"/>
            <w:shd w:val="clear" w:color="auto" w:fill="auto"/>
            <w:vAlign w:val="center"/>
          </w:tcPr>
          <w:p w14:paraId="0BAA5B05">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256" w:type="dxa"/>
            <w:shd w:val="clear" w:color="auto" w:fill="auto"/>
            <w:vAlign w:val="center"/>
          </w:tcPr>
          <w:p w14:paraId="273AF0B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rPr>
              <w:t>中心区内固定卫生间6座和老式移动卫生间</w:t>
            </w:r>
            <w:r>
              <w:rPr>
                <w:rFonts w:hint="eastAsia" w:ascii="仿宋" w:hAnsi="仿宋" w:eastAsia="仿宋" w:cs="仿宋"/>
                <w:color w:val="auto"/>
                <w:kern w:val="0"/>
                <w:sz w:val="24"/>
                <w:highlight w:val="none"/>
              </w:rPr>
              <w:t>109座</w:t>
            </w:r>
            <w:r>
              <w:rPr>
                <w:rFonts w:hint="eastAsia" w:ascii="仿宋" w:hAnsi="仿宋" w:eastAsia="仿宋" w:cs="仿宋"/>
                <w:color w:val="auto"/>
                <w:kern w:val="0"/>
                <w:sz w:val="24"/>
                <w:szCs w:val="24"/>
                <w:highlight w:val="none"/>
                <w:lang w:val="en-US" w:eastAsia="zh-CN"/>
              </w:rPr>
              <w:t>的保洁、易耗品提供等,详见第五章采购需求</w:t>
            </w:r>
          </w:p>
        </w:tc>
      </w:tr>
    </w:tbl>
    <w:p w14:paraId="0D76E968">
      <w:pPr>
        <w:tabs>
          <w:tab w:val="left" w:pos="2014"/>
        </w:tabs>
        <w:snapToGrid w:val="0"/>
        <w:spacing w:line="54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年1月1日至202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年12月31日</w:t>
      </w:r>
      <w:r>
        <w:rPr>
          <w:rFonts w:hint="eastAsia" w:ascii="仿宋" w:hAnsi="仿宋" w:eastAsia="仿宋" w:cs="仿宋"/>
          <w:color w:val="auto"/>
          <w:sz w:val="24"/>
          <w:highlight w:val="none"/>
          <w:u w:val="single"/>
          <w:lang w:eastAsia="zh-CN"/>
        </w:rPr>
        <w:t>。</w:t>
      </w:r>
    </w:p>
    <w:p w14:paraId="067A9B27">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42C73C36">
      <w:pPr>
        <w:pStyle w:val="2"/>
        <w:snapToGrid w:val="0"/>
        <w:spacing w:before="0" w:line="540" w:lineRule="exact"/>
        <w:jc w:val="left"/>
        <w:rPr>
          <w:rFonts w:hint="eastAsia" w:ascii="仿宋" w:hAnsi="仿宋" w:eastAsia="仿宋" w:cs="仿宋"/>
          <w:color w:val="auto"/>
          <w:sz w:val="24"/>
          <w:szCs w:val="24"/>
          <w:highlight w:val="none"/>
        </w:rPr>
      </w:pPr>
      <w:bookmarkStart w:id="0" w:name="_Toc28359080"/>
      <w:bookmarkStart w:id="1" w:name="_Toc35393622"/>
      <w:bookmarkStart w:id="2" w:name="_Toc28359003"/>
      <w:bookmarkStart w:id="3" w:name="_Toc35393791"/>
      <w:r>
        <w:rPr>
          <w:rFonts w:hint="eastAsia" w:ascii="仿宋" w:hAnsi="仿宋" w:eastAsia="仿宋" w:cs="仿宋"/>
          <w:color w:val="auto"/>
          <w:sz w:val="24"/>
          <w:szCs w:val="24"/>
          <w:highlight w:val="none"/>
        </w:rPr>
        <w:t>二、申请人的资格要求（须同时满足）</w:t>
      </w:r>
      <w:bookmarkEnd w:id="0"/>
      <w:bookmarkEnd w:id="1"/>
      <w:bookmarkEnd w:id="2"/>
      <w:bookmarkEnd w:id="3"/>
    </w:p>
    <w:p w14:paraId="0C6BE154">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106E34E">
      <w:pPr>
        <w:snapToGrid w:val="0"/>
        <w:spacing w:line="540" w:lineRule="exact"/>
        <w:ind w:firstLine="480" w:firstLineChars="200"/>
        <w:rPr>
          <w:rFonts w:hint="eastAsia" w:ascii="仿宋" w:hAnsi="仿宋" w:eastAsia="仿宋" w:cs="仿宋"/>
          <w:color w:val="auto"/>
          <w:sz w:val="24"/>
          <w:highlight w:val="none"/>
        </w:rPr>
      </w:pPr>
      <w:bookmarkStart w:id="4" w:name="_Toc28359004"/>
      <w:bookmarkStart w:id="5" w:name="_Toc28359081"/>
      <w:r>
        <w:rPr>
          <w:rFonts w:hint="eastAsia" w:ascii="仿宋" w:hAnsi="仿宋" w:eastAsia="仿宋" w:cs="仿宋"/>
          <w:color w:val="auto"/>
          <w:sz w:val="24"/>
          <w:highlight w:val="none"/>
        </w:rPr>
        <w:t>2.落实政府采购政策需满足的资格要求：</w:t>
      </w:r>
    </w:p>
    <w:p w14:paraId="36878877">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2DC25A50">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424C33A7">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  □中小 □小微企业采购。</w:t>
      </w:r>
    </w:p>
    <w:p w14:paraId="26D4C91D">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即：提供的货物全部由符合政策要求的中小/小微企业制造、服务全部由符合政策要求的中小/小微企业承接。</w:t>
      </w:r>
    </w:p>
    <w:p w14:paraId="0A469F32">
      <w:pPr>
        <w:snapToGrid w:val="0"/>
        <w:spacing w:line="5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p>
    <w:p w14:paraId="127AA870">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 xml:space="preserve">/ </w:t>
      </w:r>
    </w:p>
    <w:p w14:paraId="252A1DC9">
      <w:pPr>
        <w:snapToGrid w:val="0"/>
        <w:spacing w:line="540" w:lineRule="exact"/>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7D2E29FD">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highlight w:val="none"/>
        </w:rPr>
      </w:pPr>
      <w:r>
        <w:rPr>
          <w:rFonts w:hint="eastAsia" w:ascii="仿宋" w:hAnsi="仿宋" w:eastAsia="仿宋" w:cs="仿宋"/>
          <w:color w:val="auto"/>
          <w:sz w:val="24"/>
          <w:highlight w:val="none"/>
        </w:rPr>
        <w:t>3.1本项目是否接受分支机构参与投标：□是   ■否；</w:t>
      </w:r>
    </w:p>
    <w:p w14:paraId="68DFCBEE">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3.2本项目是否属于政府购买服务：</w:t>
      </w:r>
    </w:p>
    <w:p w14:paraId="4C4FB385">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w:t>
      </w:r>
    </w:p>
    <w:p w14:paraId="308F7BDE">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03C86D70">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3.3其他特定资格要求：</w:t>
      </w:r>
    </w:p>
    <w:p w14:paraId="6F04F600">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703732D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3.3.2投标人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0A8E0E5F">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3.3.3投标人应符合中华人民共和国财政部令第102号《政府购买服务管理办法》的第八条：公益一类事业单位、使用事业编制且由财政拨款保障的群团组织，不作为政府购买服务的购买主体和承接主体的规定。</w:t>
      </w:r>
    </w:p>
    <w:p w14:paraId="15F25118">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3.3.4单位负责人为同一人或者存在直接控股、管理关系的不同供应商，不得参加同一合同项下的政府采购活动;</w:t>
      </w:r>
    </w:p>
    <w:p w14:paraId="537DE6C7">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3.3.5为采购项目提供整体设计、规范编制或者项目管理、监理、检测等服务的等服务的供应商，不得再参加该采购项目的其他采购活动;</w:t>
      </w:r>
    </w:p>
    <w:p w14:paraId="108597A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3.3.6投标人应获取本项目招标文件。</w:t>
      </w:r>
    </w:p>
    <w:bookmarkEnd w:id="4"/>
    <w:bookmarkEnd w:id="5"/>
    <w:p w14:paraId="4BB68DDB">
      <w:pPr>
        <w:pStyle w:val="2"/>
        <w:widowControl/>
        <w:snapToGrid w:val="0"/>
        <w:spacing w:before="0" w:line="540" w:lineRule="exact"/>
        <w:jc w:val="left"/>
        <w:rPr>
          <w:rFonts w:hint="eastAsia" w:ascii="仿宋" w:hAnsi="仿宋" w:eastAsia="仿宋" w:cs="仿宋"/>
          <w:color w:val="auto"/>
          <w:sz w:val="24"/>
          <w:szCs w:val="24"/>
          <w:highlight w:val="none"/>
        </w:rPr>
      </w:pPr>
      <w:bookmarkStart w:id="6" w:name="_Toc35393792"/>
      <w:bookmarkStart w:id="7" w:name="_Toc35393623"/>
      <w:r>
        <w:rPr>
          <w:rFonts w:hint="eastAsia" w:ascii="仿宋" w:hAnsi="仿宋" w:eastAsia="仿宋" w:cs="仿宋"/>
          <w:color w:val="auto"/>
          <w:sz w:val="24"/>
          <w:szCs w:val="24"/>
          <w:highlight w:val="none"/>
        </w:rPr>
        <w:t>三、获取招标文件</w:t>
      </w:r>
      <w:bookmarkEnd w:id="6"/>
      <w:bookmarkEnd w:id="7"/>
    </w:p>
    <w:p w14:paraId="4D9F31EB">
      <w:pPr>
        <w:adjustRightInd w:val="0"/>
        <w:snapToGrid w:val="0"/>
        <w:spacing w:line="5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lang w:eastAsia="zh-CN" w:bidi="ar"/>
        </w:rPr>
        <w:t>2025年</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20</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lang w:eastAsia="zh-CN" w:bidi="ar"/>
        </w:rPr>
        <w:t>2025年</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26</w:t>
      </w:r>
      <w:r>
        <w:rPr>
          <w:rFonts w:hint="eastAsia" w:ascii="仿宋" w:hAnsi="仿宋" w:eastAsia="仿宋" w:cs="仿宋"/>
          <w:color w:val="auto"/>
          <w:sz w:val="24"/>
          <w:highlight w:val="none"/>
          <w:lang w:bidi="ar"/>
        </w:rPr>
        <w:t>日，每天上午9:00至</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，下午1</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：00至16:00（北京时间，法定节假日除外）。</w:t>
      </w:r>
    </w:p>
    <w:p w14:paraId="5CBDAC95">
      <w:pPr>
        <w:adjustRightInd w:val="0"/>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3A8029F5">
      <w:pPr>
        <w:widowControl/>
        <w:adjustRightInd w:val="0"/>
        <w:snapToGrid w:val="0"/>
        <w:spacing w:line="540" w:lineRule="exact"/>
        <w:ind w:firstLine="480" w:firstLineChars="200"/>
        <w:jc w:val="left"/>
        <w:rPr>
          <w:rFonts w:hint="eastAsia" w:ascii="仿宋" w:hAnsi="仿宋" w:eastAsia="仿宋" w:cs="仿宋"/>
          <w:b/>
          <w:bCs/>
          <w:color w:val="auto"/>
          <w:sz w:val="24"/>
          <w:highlight w:val="none"/>
          <w:lang w:bidi="ar"/>
        </w:rPr>
      </w:pPr>
      <w:r>
        <w:rPr>
          <w:rFonts w:hint="eastAsia" w:ascii="仿宋" w:hAnsi="仿宋" w:eastAsia="仿宋" w:cs="仿宋"/>
          <w:color w:val="auto"/>
          <w:sz w:val="24"/>
          <w:highlight w:val="none"/>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color w:val="auto"/>
          <w:sz w:val="24"/>
          <w:highlight w:val="none"/>
          <w:lang w:bidi="ar"/>
        </w:rPr>
        <w:t>。</w:t>
      </w:r>
    </w:p>
    <w:p w14:paraId="4C30EAF6">
      <w:pPr>
        <w:widowControl/>
        <w:adjustRightInd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17F0DD00">
      <w:pPr>
        <w:pStyle w:val="2"/>
        <w:widowControl/>
        <w:snapToGrid w:val="0"/>
        <w:spacing w:before="0" w:line="540" w:lineRule="exact"/>
        <w:jc w:val="left"/>
        <w:rPr>
          <w:rFonts w:hint="eastAsia" w:ascii="仿宋" w:hAnsi="仿宋" w:eastAsia="仿宋" w:cs="仿宋"/>
          <w:color w:val="auto"/>
          <w:sz w:val="24"/>
          <w:szCs w:val="24"/>
          <w:highlight w:val="none"/>
        </w:rPr>
      </w:pPr>
      <w:bookmarkStart w:id="8" w:name="_Toc28359082"/>
      <w:bookmarkStart w:id="9" w:name="_Toc28359005"/>
      <w:bookmarkStart w:id="10" w:name="_Toc35393793"/>
      <w:bookmarkStart w:id="11" w:name="_Toc35393624"/>
      <w:r>
        <w:rPr>
          <w:rFonts w:hint="eastAsia" w:ascii="仿宋" w:hAnsi="仿宋" w:eastAsia="仿宋" w:cs="仿宋"/>
          <w:color w:val="auto"/>
          <w:sz w:val="24"/>
          <w:szCs w:val="24"/>
          <w:highlight w:val="none"/>
        </w:rPr>
        <w:t>四、提交投标文件</w:t>
      </w:r>
      <w:bookmarkEnd w:id="8"/>
      <w:bookmarkEnd w:id="9"/>
      <w:r>
        <w:rPr>
          <w:rFonts w:hint="eastAsia" w:ascii="仿宋" w:hAnsi="仿宋" w:eastAsia="仿宋" w:cs="仿宋"/>
          <w:color w:val="auto"/>
          <w:sz w:val="24"/>
          <w:szCs w:val="24"/>
          <w:highlight w:val="none"/>
        </w:rPr>
        <w:t>截止时间、开标时间和地点</w:t>
      </w:r>
      <w:bookmarkEnd w:id="10"/>
      <w:bookmarkEnd w:id="11"/>
    </w:p>
    <w:p w14:paraId="280484D9">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r>
        <w:rPr>
          <w:rFonts w:hint="eastAsia" w:ascii="仿宋" w:hAnsi="仿宋" w:eastAsia="仿宋" w:cs="仿宋"/>
          <w:color w:val="auto"/>
          <w:sz w:val="24"/>
          <w:highlight w:val="none"/>
          <w:lang w:eastAsia="zh-CN" w:bidi="ar"/>
        </w:rPr>
        <w:t>2025年</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10</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13</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588C0A78">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地点：</w:t>
      </w:r>
      <w:r>
        <w:rPr>
          <w:rFonts w:hint="eastAsia" w:ascii="仿宋" w:hAnsi="仿宋" w:eastAsia="仿宋" w:cs="仿宋"/>
          <w:color w:val="auto"/>
          <w:sz w:val="24"/>
          <w:highlight w:val="none"/>
          <w:lang w:val="en-US" w:eastAsia="zh-CN"/>
        </w:rPr>
        <w:t>北京市政府采购电子交易平台</w:t>
      </w:r>
      <w:r>
        <w:rPr>
          <w:rFonts w:hint="eastAsia" w:ascii="仿宋" w:hAnsi="仿宋" w:eastAsia="仿宋" w:cs="仿宋"/>
          <w:color w:val="auto"/>
          <w:sz w:val="24"/>
          <w:highlight w:val="none"/>
          <w:lang w:val="zh-TW" w:bidi="ar"/>
        </w:rPr>
        <w:t>。</w:t>
      </w:r>
    </w:p>
    <w:p w14:paraId="6E73AF11">
      <w:pPr>
        <w:pStyle w:val="2"/>
        <w:snapToGrid w:val="0"/>
        <w:spacing w:before="0" w:line="540" w:lineRule="exact"/>
        <w:jc w:val="left"/>
        <w:rPr>
          <w:rFonts w:hint="eastAsia" w:ascii="仿宋" w:hAnsi="仿宋" w:eastAsia="仿宋" w:cs="仿宋"/>
          <w:color w:val="auto"/>
          <w:sz w:val="24"/>
          <w:szCs w:val="24"/>
          <w:highlight w:val="none"/>
        </w:rPr>
      </w:pPr>
      <w:bookmarkStart w:id="12" w:name="_Toc35393794"/>
      <w:bookmarkStart w:id="13" w:name="_Toc28359084"/>
      <w:bookmarkStart w:id="14" w:name="_Toc35393625"/>
      <w:bookmarkStart w:id="15" w:name="_Toc28359007"/>
      <w:r>
        <w:rPr>
          <w:rFonts w:hint="eastAsia" w:ascii="仿宋" w:hAnsi="仿宋" w:eastAsia="仿宋" w:cs="仿宋"/>
          <w:color w:val="auto"/>
          <w:sz w:val="24"/>
          <w:szCs w:val="24"/>
          <w:highlight w:val="none"/>
        </w:rPr>
        <w:t>五、公告期限</w:t>
      </w:r>
      <w:bookmarkEnd w:id="12"/>
      <w:bookmarkEnd w:id="13"/>
      <w:bookmarkEnd w:id="14"/>
      <w:bookmarkEnd w:id="15"/>
    </w:p>
    <w:p w14:paraId="0B019EE0">
      <w:p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bookmarkStart w:id="16" w:name="_Toc35393626"/>
      <w:bookmarkStart w:id="17" w:name="_Toc35393795"/>
    </w:p>
    <w:p w14:paraId="33EE50C9">
      <w:pPr>
        <w:snapToGrid w:val="0"/>
        <w:spacing w:line="54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六、其他补充事宜</w:t>
      </w:r>
      <w:bookmarkEnd w:id="16"/>
      <w:bookmarkEnd w:id="17"/>
    </w:p>
    <w:p w14:paraId="6A88D54D">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bookmarkStart w:id="26" w:name="_GoBack"/>
      <w:r>
        <w:rPr>
          <w:rFonts w:hint="eastAsia" w:ascii="仿宋" w:hAnsi="仿宋" w:eastAsia="仿宋" w:cs="仿宋"/>
          <w:color w:val="auto"/>
          <w:sz w:val="24"/>
          <w:highlight w:val="none"/>
          <w:lang w:val="en-US" w:eastAsia="zh-CN"/>
        </w:rPr>
        <w:t>招</w:t>
      </w:r>
      <w:r>
        <w:rPr>
          <w:rFonts w:hint="eastAsia" w:ascii="仿宋" w:hAnsi="仿宋" w:eastAsia="仿宋" w:cs="仿宋"/>
          <w:color w:val="auto"/>
          <w:sz w:val="24"/>
          <w:highlight w:val="none"/>
          <w:u w:val="none"/>
          <w:lang w:val="en-US" w:eastAsia="zh-CN"/>
        </w:rPr>
        <w:t>标</w:t>
      </w:r>
      <w:r>
        <w:rPr>
          <w:rFonts w:hint="eastAsia" w:ascii="仿宋" w:hAnsi="仿宋" w:eastAsia="仿宋" w:cs="仿宋"/>
          <w:color w:val="auto"/>
          <w:sz w:val="24"/>
          <w:highlight w:val="none"/>
          <w:u w:val="none"/>
        </w:rPr>
        <w:t>编号：</w:t>
      </w:r>
      <w:r>
        <w:rPr>
          <w:rFonts w:hint="eastAsia" w:ascii="仿宋" w:hAnsi="仿宋" w:eastAsia="仿宋" w:cs="仿宋"/>
          <w:color w:val="auto"/>
          <w:sz w:val="24"/>
          <w:highlight w:val="none"/>
          <w:u w:val="none"/>
          <w:lang w:val="en-US" w:eastAsia="zh-CN"/>
        </w:rPr>
        <w:t>0701-25410706G062</w:t>
      </w:r>
    </w:p>
    <w:p w14:paraId="0F804DFD">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本项目需要落实的政府采购政策：</w:t>
      </w:r>
    </w:p>
    <w:p w14:paraId="5120308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鼓励节能、环保政策：依据《财政部发展改革委生态环境部市场监管总局关于调整优化节能产品、环境标志产品政府采购执行机制的通知（财库（2019）9号）》执行。</w:t>
      </w:r>
    </w:p>
    <w:p w14:paraId="45844FA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2.扶持中小企业政策：评审时小型和微型企业产品享受10%的价格折扣。监狱企业视同小型、微型企业。残疾人福利性单位视同小型、微型企业，不重复享受政策。</w:t>
      </w:r>
    </w:p>
    <w:p w14:paraId="2AEB2EB2">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3.本项目采购标的接受进口产品情况：本项目不适用。</w:t>
      </w:r>
    </w:p>
    <w:p w14:paraId="1F206AA0">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71D0F9A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或电子营业执照情况确认是否符合本项目电子化采购流程要求。</w:t>
      </w:r>
    </w:p>
    <w:p w14:paraId="46267DC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CA 数字证书服务热线 010-58511086</w:t>
      </w:r>
    </w:p>
    <w:p w14:paraId="2D8BEF7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电子营业执照服务热线 400-699-7000</w:t>
      </w:r>
    </w:p>
    <w:p w14:paraId="1BF974B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技术支持服务热线   010-86483801</w:t>
      </w:r>
    </w:p>
    <w:p w14:paraId="41F5237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4.1办理 CA 数字证书或电子营业执照</w:t>
      </w:r>
    </w:p>
    <w:p w14:paraId="2E2B61A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供应商登录北京市政府采购电子交易平台查阅“用户指南”—“操作指南”—“市场主体 CA 办理操作流程指引”/“电子营业执照使用指南”,按照程序要求办理。</w:t>
      </w:r>
    </w:p>
    <w:p w14:paraId="20010B33">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4.2注册</w:t>
      </w:r>
    </w:p>
    <w:p w14:paraId="0FC6D78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供应商登录北京市政府采购电子交易平台“用户指南”—“操作指南”—“市场主体注册入库操作流程指引”进行自助注册绑定。</w:t>
      </w:r>
    </w:p>
    <w:p w14:paraId="221F555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4.3驱动、客户端下载</w:t>
      </w:r>
    </w:p>
    <w:p w14:paraId="2A83E60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供应商登录北京市政府采购电子交易平台“用户指南”—“工具下载”—“招标采购系统文件驱动安装包”下载相关驱动。</w:t>
      </w:r>
    </w:p>
    <w:p w14:paraId="21D9F7C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供应商登录北京市政府采购电子交易平台“用户指南”—“工具下载”—“投标文件编制工具”下载相关客户端。</w:t>
      </w:r>
    </w:p>
    <w:p w14:paraId="431658F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4.4  获取电子招标文件</w:t>
      </w:r>
    </w:p>
    <w:p w14:paraId="57F0E96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供应商使用CA 数字证书或电子营业执照登录北京市政府采购电子交易平台获取电子招标文件。</w:t>
      </w:r>
    </w:p>
    <w:p w14:paraId="3644E532">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2F3BB8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4.5编制电子投标文件</w:t>
      </w:r>
    </w:p>
    <w:p w14:paraId="1DE28E2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6E30940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4.6 提交电子投标文件</w:t>
      </w:r>
    </w:p>
    <w:p w14:paraId="5245D6C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供应商应于投标截止时间前在北京市政府采购电子交易平台提交电子投标文件，上传电子投标文件过程中请保持与互联网的连接畅通。</w:t>
      </w:r>
    </w:p>
    <w:p w14:paraId="4314DDE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4.7电子开标</w:t>
      </w:r>
    </w:p>
    <w:p w14:paraId="5D0A2A8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highlight w:val="none"/>
          <w:lang w:val="en-US"/>
        </w:rPr>
      </w:pPr>
      <w:r>
        <w:rPr>
          <w:rFonts w:hint="eastAsia" w:ascii="仿宋" w:hAnsi="仿宋" w:eastAsia="仿宋" w:cs="仿宋"/>
          <w:color w:val="auto"/>
          <w:kern w:val="0"/>
          <w:sz w:val="24"/>
          <w:highlight w:val="none"/>
          <w:lang w:val="en-US" w:eastAsia="zh-CN"/>
        </w:rPr>
        <w:t>供应商在开标地点使用CA 数字证书或电子营业执照登录北京市政府采购电子交易平台进行电子开标。</w:t>
      </w:r>
    </w:p>
    <w:bookmarkEnd w:id="26"/>
    <w:p w14:paraId="3A47C257">
      <w:pPr>
        <w:pStyle w:val="2"/>
        <w:snapToGrid w:val="0"/>
        <w:spacing w:before="0" w:line="540" w:lineRule="exact"/>
        <w:jc w:val="left"/>
        <w:rPr>
          <w:rFonts w:hint="eastAsia" w:ascii="仿宋" w:hAnsi="仿宋" w:eastAsia="仿宋" w:cs="仿宋"/>
          <w:color w:val="auto"/>
          <w:sz w:val="24"/>
          <w:szCs w:val="24"/>
          <w:highlight w:val="none"/>
        </w:rPr>
      </w:pPr>
      <w:bookmarkStart w:id="18" w:name="_Toc35393627"/>
      <w:bookmarkStart w:id="19" w:name="_Toc28359085"/>
      <w:bookmarkStart w:id="20" w:name="_Toc35393796"/>
      <w:bookmarkStart w:id="21" w:name="_Toc28359008"/>
      <w:r>
        <w:rPr>
          <w:rFonts w:hint="eastAsia" w:ascii="仿宋" w:hAnsi="仿宋" w:eastAsia="仿宋" w:cs="仿宋"/>
          <w:color w:val="auto"/>
          <w:sz w:val="24"/>
          <w:szCs w:val="24"/>
          <w:highlight w:val="none"/>
        </w:rPr>
        <w:t>七、对本次招标提出询问，请按以下方式联系。</w:t>
      </w:r>
      <w:bookmarkEnd w:id="18"/>
      <w:bookmarkEnd w:id="19"/>
      <w:bookmarkEnd w:id="20"/>
      <w:bookmarkEnd w:id="21"/>
    </w:p>
    <w:p w14:paraId="060C8982">
      <w:pPr>
        <w:widowControl/>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5325A671">
      <w:pPr>
        <w:snapToGrid w:val="0"/>
        <w:spacing w:line="540" w:lineRule="exact"/>
        <w:ind w:firstLine="480" w:firstLineChars="200"/>
        <w:jc w:val="left"/>
        <w:rPr>
          <w:rFonts w:hint="eastAsia" w:ascii="仿宋" w:hAnsi="仿宋" w:eastAsia="仿宋" w:cs="仿宋"/>
          <w:color w:val="auto"/>
          <w:sz w:val="24"/>
          <w:highlight w:val="none"/>
          <w:lang w:val="en-US" w:eastAsia="zh-CN"/>
        </w:rPr>
      </w:pPr>
      <w:bookmarkStart w:id="22" w:name="_Toc28359086"/>
      <w:bookmarkStart w:id="23" w:name="_Toc28359009"/>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北京奥林匹克中心区管理委员会</w:t>
      </w:r>
    </w:p>
    <w:p w14:paraId="061344A9">
      <w:pPr>
        <w:snapToGrid w:val="0"/>
        <w:spacing w:line="54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地    址：</w:t>
      </w:r>
      <w:r>
        <w:rPr>
          <w:rFonts w:hint="eastAsia" w:ascii="仿宋" w:hAnsi="仿宋" w:eastAsia="仿宋" w:cs="仿宋"/>
          <w:color w:val="auto"/>
          <w:sz w:val="24"/>
          <w:szCs w:val="24"/>
          <w:highlight w:val="none"/>
          <w:u w:val="none"/>
          <w:lang w:val="en-US" w:eastAsia="zh-CN"/>
        </w:rPr>
        <w:t>北京市朝阳区北辰东路15号</w:t>
      </w:r>
    </w:p>
    <w:p w14:paraId="0ACFD06C">
      <w:pPr>
        <w:snapToGrid w:val="0"/>
        <w:spacing w:line="54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联系方式：</w:t>
      </w:r>
      <w:r>
        <w:rPr>
          <w:rFonts w:hint="eastAsia" w:ascii="仿宋" w:hAnsi="仿宋" w:eastAsia="仿宋" w:cs="仿宋"/>
          <w:color w:val="auto"/>
          <w:sz w:val="24"/>
          <w:szCs w:val="24"/>
          <w:highlight w:val="none"/>
          <w:u w:val="none"/>
          <w:lang w:val="en-US" w:eastAsia="zh-CN"/>
        </w:rPr>
        <w:t>010-84972796</w:t>
      </w:r>
    </w:p>
    <w:p w14:paraId="34AC6231">
      <w:pPr>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2"/>
      <w:bookmarkEnd w:id="23"/>
    </w:p>
    <w:p w14:paraId="5833F584">
      <w:pPr>
        <w:snapToGrid w:val="0"/>
        <w:spacing w:line="540" w:lineRule="exact"/>
        <w:ind w:firstLine="480" w:firstLineChars="200"/>
        <w:jc w:val="left"/>
        <w:rPr>
          <w:rFonts w:hint="eastAsia" w:ascii="仿宋" w:hAnsi="仿宋" w:eastAsia="仿宋" w:cs="仿宋"/>
          <w:color w:val="auto"/>
          <w:sz w:val="24"/>
          <w:highlight w:val="none"/>
        </w:rPr>
      </w:pPr>
      <w:bookmarkStart w:id="24" w:name="_Toc28359087"/>
      <w:bookmarkStart w:id="25" w:name="_Toc28359010"/>
      <w:r>
        <w:rPr>
          <w:rFonts w:hint="eastAsia" w:ascii="仿宋" w:hAnsi="仿宋" w:eastAsia="仿宋" w:cs="仿宋"/>
          <w:color w:val="auto"/>
          <w:sz w:val="24"/>
          <w:highlight w:val="none"/>
        </w:rPr>
        <w:t>名    称：中技国际招标有限公司</w:t>
      </w:r>
    </w:p>
    <w:p w14:paraId="0D1F9D5A">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址：北京市丰台区西营街1号院通用时代中心C座9层</w:t>
      </w:r>
    </w:p>
    <w:p w14:paraId="47684705">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联系方式：010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w:t>
      </w:r>
    </w:p>
    <w:p w14:paraId="7754430F">
      <w:pPr>
        <w:snapToGrid w:val="0"/>
        <w:spacing w:line="540" w:lineRule="exact"/>
        <w:ind w:firstLine="482" w:firstLineChars="200"/>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3.项目联系方式</w:t>
      </w:r>
      <w:bookmarkEnd w:id="24"/>
      <w:bookmarkEnd w:id="25"/>
    </w:p>
    <w:p w14:paraId="13CE6AFF">
      <w:pPr>
        <w:pStyle w:val="3"/>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陈刚、王昕</w:t>
      </w:r>
    </w:p>
    <w:p w14:paraId="53B75F4A">
      <w:pPr>
        <w:pStyle w:val="3"/>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highlight w:val="none"/>
        </w:rPr>
        <w:t>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8493、81168289</w:t>
      </w:r>
    </w:p>
    <w:p w14:paraId="032E5F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D0C72"/>
    <w:rsid w:val="5FFD0C72"/>
    <w:rsid w:val="7DB8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2544</Words>
  <Characters>2933</Characters>
  <Lines>0</Lines>
  <Paragraphs>0</Paragraphs>
  <TotalTime>11</TotalTime>
  <ScaleCrop>false</ScaleCrop>
  <LinksUpToDate>false</LinksUpToDate>
  <CharactersWithSpaces>2996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2025-11-19T01:54:00Z</dcterms:created>
  <dc:creator>XXX</dc:creator>
  <cp:lastModifiedBy>吴家豪</cp:lastModifiedBy>
  <dcterms:modified xsi:type="dcterms:W3CDTF">2025-11-19T02:23:53Z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12207279C50E4CE2A6B5036C1E84B934_13</vt:lpwstr>
  </property>
  <property fmtid="{D5CDD505-2E9C-101B-9397-08002B2CF9AE}" pid="4" name="KSOTemplateDocerSaveRecord">
    <vt:lpwstr>eyJoZGlkIjoiODA2NThhNjc1YmRmNzVlMzM1YjQzODRmYjhmZGMzNDUiLCJ1c2VySWQiOiIyMjkxNDI4MjQifQ==</vt:lpwstr>
  </property>
</Properties>
</file>