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rPr>
      </w:pPr>
      <w:r>
        <w:rPr>
          <w:rStyle w:val="7"/>
          <w:sz w:val="36"/>
          <w:szCs w:val="36"/>
        </w:rPr>
        <w:t>采购需求</w:t>
      </w:r>
    </w:p>
    <w:p>
      <w:pPr>
        <w:spacing w:line="360" w:lineRule="auto"/>
        <w:contextualSpacing/>
        <w:rPr>
          <w:sz w:val="24"/>
        </w:rPr>
      </w:pPr>
    </w:p>
    <w:p>
      <w:pPr>
        <w:spacing w:line="360" w:lineRule="auto"/>
        <w:jc w:val="center"/>
        <w:outlineLvl w:val="0"/>
        <w:rPr>
          <w:b/>
          <w:color w:val="auto"/>
          <w:sz w:val="36"/>
          <w:szCs w:val="36"/>
          <w:highlight w:val="none"/>
        </w:rPr>
      </w:pPr>
      <w:bookmarkStart w:id="0" w:name="_Toc18365"/>
      <w:r>
        <w:rPr>
          <w:rFonts w:hint="eastAsia" w:ascii="宋体" w:hAnsi="宋体" w:cs="宋体"/>
          <w:color w:val="auto"/>
          <w:sz w:val="24"/>
          <w:highlight w:val="none"/>
        </w:rPr>
        <w:t>北京市</w:t>
      </w:r>
      <w:r>
        <w:rPr>
          <w:rFonts w:hint="eastAsia" w:ascii="宋体" w:hAnsi="宋体" w:cs="宋体"/>
          <w:color w:val="auto"/>
          <w:sz w:val="24"/>
          <w:highlight w:val="none"/>
          <w:lang w:eastAsia="zh-CN"/>
        </w:rPr>
        <w:t>西城区</w:t>
      </w:r>
      <w:r>
        <w:rPr>
          <w:rFonts w:hint="eastAsia" w:ascii="宋体" w:hAnsi="宋体" w:cs="宋体"/>
          <w:color w:val="auto"/>
          <w:sz w:val="24"/>
          <w:highlight w:val="none"/>
        </w:rPr>
        <w:t>公共机构</w:t>
      </w:r>
      <w:r>
        <w:rPr>
          <w:rFonts w:hint="eastAsia" w:ascii="宋体" w:hAnsi="宋体" w:cs="宋体"/>
          <w:color w:val="auto"/>
          <w:sz w:val="24"/>
          <w:highlight w:val="none"/>
          <w:lang w:val="en-US" w:eastAsia="zh-CN"/>
        </w:rPr>
        <w:t>2026-2028年</w:t>
      </w:r>
      <w:r>
        <w:rPr>
          <w:rFonts w:hint="eastAsia" w:ascii="宋体" w:hAnsi="宋体" w:cs="宋体"/>
          <w:color w:val="auto"/>
          <w:sz w:val="24"/>
          <w:highlight w:val="none"/>
        </w:rPr>
        <w:t>电量集中带量采购项目</w:t>
      </w:r>
      <w:bookmarkEnd w:id="0"/>
    </w:p>
    <w:p>
      <w:pPr>
        <w:pStyle w:val="8"/>
        <w:numPr>
          <w:ilvl w:val="0"/>
          <w:numId w:val="1"/>
        </w:numPr>
        <w:spacing w:line="360" w:lineRule="auto"/>
        <w:ind w:firstLineChars="0"/>
        <w:contextualSpacing/>
        <w:rPr>
          <w:bCs/>
          <w:color w:val="auto"/>
          <w:sz w:val="24"/>
          <w:highlight w:val="none"/>
        </w:rPr>
      </w:pPr>
      <w:r>
        <w:rPr>
          <w:rFonts w:ascii="Times New Roman" w:hAnsi="Times New Roman"/>
          <w:b/>
          <w:color w:val="auto"/>
          <w:sz w:val="24"/>
          <w:szCs w:val="24"/>
          <w:highlight w:val="none"/>
        </w:rPr>
        <w:t>采购标的</w:t>
      </w:r>
    </w:p>
    <w:p>
      <w:pPr>
        <w:pStyle w:val="8"/>
        <w:numPr>
          <w:ilvl w:val="0"/>
          <w:numId w:val="0"/>
        </w:numPr>
        <w:spacing w:line="360" w:lineRule="auto"/>
        <w:ind w:leftChars="0"/>
        <w:contextualSpacing/>
        <w:rPr>
          <w:bCs/>
          <w:color w:val="auto"/>
          <w:sz w:val="24"/>
          <w:highlight w:val="none"/>
        </w:rPr>
      </w:pPr>
      <w:r>
        <w:rPr>
          <w:bCs/>
          <w:color w:val="auto"/>
          <w:sz w:val="24"/>
          <w:highlight w:val="none"/>
        </w:rPr>
        <w:t>1. 采购标的</w:t>
      </w: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4"/>
        <w:gridCol w:w="4143"/>
        <w:gridCol w:w="1337"/>
        <w:gridCol w:w="1288"/>
        <w:gridCol w:w="15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25" w:type="dxa"/>
            <w:gridSpan w:val="5"/>
            <w:tcBorders>
              <w:top w:val="nil"/>
              <w:left w:val="nil"/>
              <w:bottom w:val="nil"/>
              <w:right w:val="nil"/>
            </w:tcBorders>
            <w:noWrap w:val="0"/>
            <w:vAlign w:val="bottom"/>
          </w:tcPr>
          <w:p>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bookmarkStart w:id="1" w:name="OLE_LINK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4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预算     （万元）</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三年</w:t>
            </w:r>
            <w:r>
              <w:rPr>
                <w:rFonts w:hint="eastAsia" w:ascii="宋体" w:hAnsi="宋体" w:eastAsia="宋体" w:cs="宋体"/>
                <w:i w:val="0"/>
                <w:iCs w:val="0"/>
                <w:color w:val="auto"/>
                <w:kern w:val="0"/>
                <w:sz w:val="24"/>
                <w:szCs w:val="24"/>
                <w:highlight w:val="none"/>
                <w:u w:val="none"/>
                <w:lang w:val="en-US" w:eastAsia="zh-CN" w:bidi="ar"/>
              </w:rPr>
              <w:t>总电量（万度）</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三年总</w:t>
            </w:r>
            <w:r>
              <w:rPr>
                <w:rFonts w:hint="eastAsia" w:ascii="宋体" w:hAnsi="宋体" w:eastAsia="宋体" w:cs="宋体"/>
                <w:i w:val="0"/>
                <w:iCs w:val="0"/>
                <w:color w:val="auto"/>
                <w:kern w:val="0"/>
                <w:sz w:val="24"/>
                <w:szCs w:val="24"/>
                <w:highlight w:val="none"/>
                <w:u w:val="none"/>
                <w:lang w:val="en-US" w:eastAsia="zh-CN" w:bidi="ar"/>
              </w:rPr>
              <w:t>绿电量（万度）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北京市西城区人民政府大栅栏街道办事处（本级）</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350</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390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北京市公安局西城分局（本级）</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6942</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7800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7800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北京市西城区人民政府西长安街街道办事处（本级）</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272.4</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324</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北京市西城区人民政府新街口街道办事处（本级）</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480</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480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北京市西城区残疾人综合服务中心</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165</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165</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北京市西城区人民政府广安门外街道办事处（本级）</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171</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180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4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北京市西城区卫生健康委员会（本级）</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1830</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1830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北京市西城区人民政府广安门内街道办事处（本级）</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148.5</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135</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4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北京市西城区人民政府什刹海街道办事处（本级）</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285</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285</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4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北京市西城区人民政府陶然亭街道办事处（本级）</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270</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330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4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北京市西城区财政局（本级）</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360</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390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4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中共北京市西城区委老干部局</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39.2</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43.5</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13</w:t>
            </w:r>
          </w:p>
        </w:tc>
        <w:tc>
          <w:tcPr>
            <w:tcW w:w="4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北京市西城区青少年儿童图书馆</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170.64</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264</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14</w:t>
            </w:r>
          </w:p>
        </w:tc>
        <w:tc>
          <w:tcPr>
            <w:tcW w:w="4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北京市西城区审计局（本级）</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51</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54</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15</w:t>
            </w:r>
          </w:p>
        </w:tc>
        <w:tc>
          <w:tcPr>
            <w:tcW w:w="4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北京市西城区文化和旅游局（本级）</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96</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105</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4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北京市西城区妇幼保健计划生育服务中心（北京市西城区妇幼保健院）</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680</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495</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4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首都医科大学附属复兴医院</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2850</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2850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18</w:t>
            </w:r>
          </w:p>
        </w:tc>
        <w:tc>
          <w:tcPr>
            <w:tcW w:w="4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北京市回民医院</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819</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819</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819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19</w:t>
            </w:r>
          </w:p>
        </w:tc>
        <w:tc>
          <w:tcPr>
            <w:tcW w:w="4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北京市西城区疾控中心</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603</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603</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4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北京市西城区机关事务服务中心</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57</w:t>
            </w:r>
            <w:r>
              <w:rPr>
                <w:rFonts w:hint="eastAsia" w:ascii="宋体" w:hAnsi="宋体" w:eastAsia="宋体" w:cs="宋体"/>
                <w:i w:val="0"/>
                <w:iCs w:val="0"/>
                <w:color w:val="auto"/>
                <w:sz w:val="24"/>
                <w:szCs w:val="24"/>
                <w:highlight w:val="none"/>
                <w:u w:val="none"/>
                <w:lang w:val="en-US" w:eastAsia="zh-CN"/>
              </w:rPr>
              <w:t>00</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6333</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6333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87" w:type="dxa"/>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w:t>
            </w:r>
          </w:p>
        </w:tc>
        <w:tc>
          <w:tcPr>
            <w:tcW w:w="133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22282.74</w:t>
            </w:r>
          </w:p>
        </w:tc>
        <w:tc>
          <w:tcPr>
            <w:tcW w:w="128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23875.5</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23875.5</w:t>
            </w:r>
          </w:p>
        </w:tc>
      </w:tr>
      <w:bookmarkEnd w:id="1"/>
    </w:tbl>
    <w:p>
      <w:pPr>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本项目最高用电电压等级为 10 千伏（KV），投标人需通过合理的计算方式，对绿电价格进行科学、合理的报价。采购人不承担因其他因素产生的任何费用，投标人应综合考虑报价。</w:t>
      </w:r>
    </w:p>
    <w:p>
      <w:pPr>
        <w:spacing w:line="360" w:lineRule="auto"/>
        <w:contextualSpacing/>
        <w:rPr>
          <w:rFonts w:hint="eastAsia"/>
          <w:bCs/>
          <w:color w:val="auto"/>
          <w:sz w:val="24"/>
          <w:highlight w:val="none"/>
        </w:rPr>
      </w:pPr>
      <w:r>
        <w:rPr>
          <w:bCs/>
          <w:color w:val="auto"/>
          <w:sz w:val="24"/>
          <w:highlight w:val="none"/>
        </w:rPr>
        <w:t>2. 项目背景/项目概述</w:t>
      </w:r>
    </w:p>
    <w:p>
      <w:pPr>
        <w:spacing w:line="360" w:lineRule="auto"/>
        <w:ind w:firstLine="482"/>
        <w:contextualSpacing/>
        <w:rPr>
          <w:rFonts w:hint="eastAsia" w:eastAsia="宋体"/>
          <w:b/>
          <w:color w:val="auto"/>
          <w:sz w:val="24"/>
          <w:highlight w:val="none"/>
          <w:lang w:eastAsia="zh-CN"/>
        </w:rPr>
      </w:pPr>
      <w:r>
        <w:rPr>
          <w:rFonts w:hint="eastAsia" w:ascii="宋体" w:hAnsi="宋体" w:cs="宋体"/>
          <w:bCs/>
          <w:color w:val="auto"/>
          <w:sz w:val="24"/>
          <w:highlight w:val="none"/>
        </w:rPr>
        <w:t>为贯彻落实国家“双碳”战略目标，推动绿色能源使用，降低碳排放，</w:t>
      </w:r>
      <w:r>
        <w:rPr>
          <w:rFonts w:hint="eastAsia" w:ascii="宋体" w:hAnsi="宋体" w:cs="宋体"/>
          <w:bCs/>
          <w:color w:val="auto"/>
          <w:sz w:val="24"/>
          <w:highlight w:val="none"/>
          <w:lang w:eastAsia="zh-CN"/>
        </w:rPr>
        <w:t>西城区公共机构</w:t>
      </w:r>
      <w:r>
        <w:rPr>
          <w:rFonts w:hint="eastAsia" w:ascii="宋体" w:hAnsi="宋体" w:cs="宋体"/>
          <w:bCs/>
          <w:color w:val="auto"/>
          <w:sz w:val="24"/>
          <w:highlight w:val="none"/>
        </w:rPr>
        <w:t xml:space="preserve">拟通过公开招标方式采购绿电售电服务，确保用电来源为可再生能源，提升绿色电力使用比例。在满足我区公共机构 </w:t>
      </w:r>
      <w:r>
        <w:rPr>
          <w:rFonts w:hint="eastAsia" w:ascii="宋体" w:hAnsi="宋体" w:cs="宋体"/>
          <w:bCs/>
          <w:color w:val="auto"/>
          <w:sz w:val="24"/>
          <w:highlight w:val="none"/>
          <w:lang w:val="en-US" w:eastAsia="zh-CN"/>
        </w:rPr>
        <w:t>2026-2028</w:t>
      </w:r>
      <w:r>
        <w:rPr>
          <w:rFonts w:hint="eastAsia" w:ascii="宋体" w:hAnsi="宋体" w:cs="宋体"/>
          <w:bCs/>
          <w:color w:val="auto"/>
          <w:sz w:val="24"/>
          <w:highlight w:val="none"/>
        </w:rPr>
        <w:t xml:space="preserve"> 年用电需求的前提下，节约</w:t>
      </w:r>
      <w:r>
        <w:rPr>
          <w:rFonts w:hint="eastAsia" w:ascii="宋体" w:hAnsi="宋体" w:cs="宋体"/>
          <w:bCs/>
          <w:color w:val="auto"/>
          <w:sz w:val="24"/>
          <w:highlight w:val="none"/>
          <w:lang w:eastAsia="zh-CN"/>
        </w:rPr>
        <w:t>公共机构</w:t>
      </w:r>
      <w:r>
        <w:rPr>
          <w:rFonts w:hint="eastAsia" w:ascii="宋体" w:hAnsi="宋体" w:cs="宋体"/>
          <w:bCs/>
          <w:color w:val="auto"/>
          <w:sz w:val="24"/>
          <w:highlight w:val="none"/>
        </w:rPr>
        <w:t>购电成本，寻求供应商达成交易</w:t>
      </w:r>
      <w:r>
        <w:rPr>
          <w:rFonts w:hint="eastAsia" w:ascii="宋体" w:hAnsi="宋体" w:cs="宋体"/>
          <w:bCs/>
          <w:color w:val="auto"/>
          <w:sz w:val="24"/>
          <w:highlight w:val="none"/>
          <w:lang w:eastAsia="zh-CN"/>
        </w:rPr>
        <w:t>。</w:t>
      </w:r>
    </w:p>
    <w:p>
      <w:pPr>
        <w:pStyle w:val="8"/>
        <w:numPr>
          <w:ilvl w:val="0"/>
          <w:numId w:val="1"/>
        </w:numPr>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商务要求</w:t>
      </w:r>
    </w:p>
    <w:p>
      <w:pPr>
        <w:spacing w:line="360" w:lineRule="auto"/>
        <w:contextualSpacing/>
        <w:rPr>
          <w:i/>
          <w:color w:val="auto"/>
          <w:sz w:val="24"/>
          <w:highlight w:val="none"/>
        </w:rPr>
      </w:pPr>
      <w:r>
        <w:rPr>
          <w:color w:val="auto"/>
          <w:sz w:val="24"/>
          <w:highlight w:val="none"/>
        </w:rPr>
        <w:t>1. 交付（实施）的时间（期限）和地点（范围）</w:t>
      </w:r>
    </w:p>
    <w:p>
      <w:pPr>
        <w:spacing w:line="360" w:lineRule="auto"/>
        <w:ind w:firstLine="480" w:firstLineChars="200"/>
        <w:contextualSpacing/>
        <w:rPr>
          <w:rFonts w:hint="eastAsia" w:ascii="宋体" w:hAnsi="宋体" w:cs="宋体"/>
          <w:bCs/>
          <w:color w:val="auto"/>
          <w:sz w:val="24"/>
          <w:highlight w:val="none"/>
        </w:rPr>
      </w:pPr>
      <w:r>
        <w:rPr>
          <w:rFonts w:hint="eastAsia"/>
          <w:color w:val="auto"/>
          <w:sz w:val="24"/>
          <w:highlight w:val="none"/>
        </w:rPr>
        <w:t>服务期：</w:t>
      </w:r>
      <w:r>
        <w:rPr>
          <w:rFonts w:hint="eastAsia" w:ascii="宋体" w:hAnsi="宋体" w:cs="宋体"/>
          <w:bCs/>
          <w:color w:val="auto"/>
          <w:sz w:val="24"/>
          <w:highlight w:val="none"/>
        </w:rPr>
        <w:t>自合同签订之日起至202</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rPr>
        <w:t>年12月31日</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合同一年一签</w:t>
      </w:r>
      <w:r>
        <w:rPr>
          <w:rFonts w:hint="eastAsia" w:ascii="宋体" w:hAnsi="宋体" w:cs="宋体"/>
          <w:bCs/>
          <w:color w:val="auto"/>
          <w:sz w:val="24"/>
          <w:highlight w:val="none"/>
        </w:rPr>
        <w:t>。</w:t>
      </w:r>
    </w:p>
    <w:p>
      <w:pPr>
        <w:spacing w:line="360" w:lineRule="auto"/>
        <w:ind w:firstLine="480" w:firstLineChars="200"/>
        <w:contextualSpacing/>
        <w:rPr>
          <w:rFonts w:hint="eastAsia"/>
          <w:color w:val="auto"/>
          <w:sz w:val="24"/>
          <w:highlight w:val="none"/>
        </w:rPr>
      </w:pPr>
      <w:r>
        <w:rPr>
          <w:rFonts w:hint="eastAsia" w:ascii="宋体" w:hAnsi="宋体" w:cs="宋体"/>
          <w:bCs/>
          <w:color w:val="auto"/>
          <w:sz w:val="24"/>
          <w:highlight w:val="none"/>
        </w:rPr>
        <w:t>服务地点：</w:t>
      </w:r>
      <w:r>
        <w:rPr>
          <w:rFonts w:hint="eastAsia"/>
          <w:color w:val="auto"/>
          <w:sz w:val="24"/>
          <w:highlight w:val="none"/>
        </w:rPr>
        <w:t>指定地点</w:t>
      </w:r>
    </w:p>
    <w:p>
      <w:pPr>
        <w:spacing w:line="360" w:lineRule="auto"/>
        <w:contextualSpacing/>
        <w:rPr>
          <w:color w:val="auto"/>
          <w:sz w:val="24"/>
          <w:highlight w:val="none"/>
        </w:rPr>
      </w:pPr>
      <w:r>
        <w:rPr>
          <w:color w:val="auto"/>
          <w:sz w:val="24"/>
          <w:highlight w:val="none"/>
        </w:rPr>
        <w:t>2. 付款条件（进度和方式）</w:t>
      </w:r>
    </w:p>
    <w:p>
      <w:pPr>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费用结算依据《国家发展改革委 国家能源局关于印发〈电力中长期交易基本规则〉的通知》</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北京市城市管理委员会印发</w:t>
      </w:r>
      <w:r>
        <w:rPr>
          <w:rFonts w:hint="eastAsia" w:ascii="宋体" w:hAnsi="宋体" w:cs="宋体"/>
          <w:bCs/>
          <w:color w:val="auto"/>
          <w:sz w:val="24"/>
          <w:highlight w:val="none"/>
          <w:lang w:eastAsia="zh-CN"/>
        </w:rPr>
        <w:t>的当年度北京市</w:t>
      </w:r>
      <w:r>
        <w:rPr>
          <w:rFonts w:hint="eastAsia" w:ascii="宋体" w:hAnsi="宋体" w:cs="宋体"/>
          <w:bCs/>
          <w:color w:val="auto"/>
          <w:sz w:val="24"/>
          <w:highlight w:val="none"/>
        </w:rPr>
        <w:t>电力市场化交易方案、绿色电力交易方案等有关政策文件执行。</w:t>
      </w:r>
    </w:p>
    <w:p>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eastAsia="zh-CN"/>
        </w:rPr>
        <w:t>本项目分</w:t>
      </w:r>
      <w:r>
        <w:rPr>
          <w:rFonts w:ascii="宋体" w:hAnsi="宋体" w:cs="宋体"/>
          <w:bCs/>
          <w:color w:val="auto"/>
          <w:sz w:val="24"/>
          <w:highlight w:val="none"/>
        </w:rPr>
        <w:t>合同约定的</w:t>
      </w:r>
      <w:r>
        <w:rPr>
          <w:rFonts w:hint="eastAsia" w:cs="宋体"/>
          <w:b/>
          <w:bCs/>
          <w:color w:val="auto"/>
          <w:sz w:val="24"/>
          <w:szCs w:val="24"/>
          <w:highlight w:val="none"/>
          <w:lang w:eastAsia="zh-CN"/>
        </w:rPr>
        <w:t>常规电力价格</w:t>
      </w:r>
      <w:r>
        <w:rPr>
          <w:rFonts w:hint="eastAsia" w:cs="宋体"/>
          <w:b/>
          <w:bCs/>
          <w:color w:val="auto"/>
          <w:sz w:val="24"/>
          <w:szCs w:val="24"/>
          <w:highlight w:val="none"/>
          <w:lang w:val="en-US" w:eastAsia="zh-CN"/>
        </w:rPr>
        <w:t>P</w:t>
      </w:r>
      <w:r>
        <w:rPr>
          <w:rFonts w:hint="eastAsia" w:cs="宋体"/>
          <w:b/>
          <w:bCs/>
          <w:color w:val="auto"/>
          <w:sz w:val="24"/>
          <w:szCs w:val="24"/>
          <w:highlight w:val="none"/>
          <w:vertAlign w:val="subscript"/>
          <w:lang w:val="en-US" w:eastAsia="zh-CN"/>
        </w:rPr>
        <w:t>常</w:t>
      </w:r>
      <w:r>
        <w:rPr>
          <w:rFonts w:hint="eastAsia" w:cs="宋体"/>
          <w:b/>
          <w:bCs/>
          <w:color w:val="auto"/>
          <w:sz w:val="24"/>
          <w:szCs w:val="24"/>
          <w:highlight w:val="none"/>
          <w:lang w:val="en-US" w:eastAsia="zh-CN"/>
        </w:rPr>
        <w:t>、绿色电力价格P</w:t>
      </w:r>
      <w:r>
        <w:rPr>
          <w:rFonts w:hint="eastAsia" w:cs="宋体"/>
          <w:b/>
          <w:bCs/>
          <w:color w:val="auto"/>
          <w:sz w:val="24"/>
          <w:szCs w:val="24"/>
          <w:highlight w:val="none"/>
          <w:vertAlign w:val="subscript"/>
          <w:lang w:val="en-US" w:eastAsia="zh-CN"/>
        </w:rPr>
        <w:t>绿</w:t>
      </w:r>
      <w:r>
        <w:rPr>
          <w:rFonts w:hint="eastAsia" w:cs="宋体"/>
          <w:b/>
          <w:bCs/>
          <w:color w:val="auto"/>
          <w:sz w:val="24"/>
          <w:szCs w:val="24"/>
          <w:highlight w:val="none"/>
          <w:lang w:val="en-US" w:eastAsia="zh-CN"/>
        </w:rPr>
        <w:t>、</w:t>
      </w:r>
      <w:r>
        <w:rPr>
          <w:rFonts w:hint="eastAsia" w:cs="宋体"/>
          <w:b/>
          <w:bCs/>
          <w:color w:val="auto"/>
          <w:sz w:val="24"/>
          <w:szCs w:val="24"/>
          <w:highlight w:val="none"/>
          <w:lang w:eastAsia="zh-CN"/>
        </w:rPr>
        <w:t>绿色电力零售合同封顶总价</w:t>
      </w:r>
      <w:r>
        <w:rPr>
          <w:rFonts w:hint="eastAsia" w:ascii="Times New Roman" w:hAnsi="Times New Roman" w:eastAsia="宋体" w:cs="宋体"/>
          <w:b/>
          <w:bCs/>
          <w:color w:val="auto"/>
          <w:sz w:val="24"/>
          <w:szCs w:val="24"/>
          <w:highlight w:val="none"/>
          <w:lang w:val="en-US" w:eastAsia="zh-CN"/>
        </w:rPr>
        <w:t>P</w:t>
      </w:r>
      <w:r>
        <w:rPr>
          <w:rFonts w:hint="eastAsia" w:ascii="宋体" w:hAnsi="宋体" w:cs="宋体"/>
          <w:b/>
          <w:bCs/>
          <w:color w:val="auto"/>
          <w:sz w:val="24"/>
          <w:highlight w:val="none"/>
          <w:vertAlign w:val="subscript"/>
        </w:rPr>
        <w:t>绿封总</w:t>
      </w:r>
      <w:r>
        <w:rPr>
          <w:rFonts w:ascii="宋体" w:hAnsi="宋体" w:cs="宋体"/>
          <w:bCs/>
          <w:color w:val="auto"/>
          <w:sz w:val="24"/>
          <w:highlight w:val="none"/>
        </w:rPr>
        <w:t>非用户最终到户价格。用电到户价格由电能量价格（以此作为平段价格参与峰谷浮动）、绿色电力环境价值、北京电网输配电价、上网环节线损费用、系统运行费用、政府性基金及附加、新增损益等构成。</w:t>
      </w:r>
      <w:r>
        <w:rPr>
          <w:rFonts w:hint="eastAsia" w:ascii="宋体" w:hAnsi="宋体" w:cs="宋体"/>
          <w:bCs/>
          <w:color w:val="auto"/>
          <w:sz w:val="24"/>
          <w:highlight w:val="none"/>
        </w:rPr>
        <w:t>采购人</w:t>
      </w:r>
      <w:r>
        <w:rPr>
          <w:rFonts w:ascii="宋体" w:hAnsi="宋体" w:cs="宋体"/>
          <w:bCs/>
          <w:color w:val="auto"/>
          <w:sz w:val="24"/>
          <w:highlight w:val="none"/>
        </w:rPr>
        <w:t>向国网缴纳电费，国网北京市电力公司按照首都电力交易中心核算数据向发电企业、</w:t>
      </w:r>
      <w:r>
        <w:rPr>
          <w:rFonts w:hint="eastAsia" w:ascii="宋体" w:hAnsi="宋体" w:cs="宋体"/>
          <w:bCs/>
          <w:color w:val="auto"/>
          <w:sz w:val="24"/>
          <w:highlight w:val="none"/>
          <w:lang w:eastAsia="zh-CN"/>
        </w:rPr>
        <w:t>中标人</w:t>
      </w:r>
      <w:r>
        <w:rPr>
          <w:rFonts w:ascii="宋体" w:hAnsi="宋体" w:cs="宋体"/>
          <w:bCs/>
          <w:color w:val="auto"/>
          <w:sz w:val="24"/>
          <w:highlight w:val="none"/>
        </w:rPr>
        <w:t>支付费用。</w:t>
      </w:r>
    </w:p>
    <w:p>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rPr>
        <w:t>如采购人用电超出</w:t>
      </w:r>
      <w:r>
        <w:rPr>
          <w:rFonts w:hint="eastAsia" w:ascii="宋体" w:hAnsi="宋体" w:cs="宋体"/>
          <w:bCs/>
          <w:color w:val="auto"/>
          <w:sz w:val="24"/>
          <w:highlight w:val="none"/>
          <w:lang w:eastAsia="zh-CN"/>
        </w:rPr>
        <w:t>分</w:t>
      </w:r>
      <w:r>
        <w:rPr>
          <w:rFonts w:hint="eastAsia" w:ascii="宋体" w:hAnsi="宋体" w:cs="宋体"/>
          <w:bCs/>
          <w:color w:val="auto"/>
          <w:sz w:val="24"/>
          <w:highlight w:val="none"/>
        </w:rPr>
        <w:t>合同</w:t>
      </w:r>
      <w:r>
        <w:rPr>
          <w:rFonts w:hint="eastAsia" w:ascii="宋体" w:hAnsi="宋体" w:cs="宋体"/>
          <w:bCs/>
          <w:color w:val="auto"/>
          <w:sz w:val="24"/>
          <w:highlight w:val="none"/>
          <w:lang w:eastAsia="zh-CN"/>
        </w:rPr>
        <w:t>约定</w:t>
      </w:r>
      <w:r>
        <w:rPr>
          <w:rFonts w:hint="eastAsia" w:ascii="宋体" w:hAnsi="宋体" w:cs="宋体"/>
          <w:bCs/>
          <w:color w:val="auto"/>
          <w:sz w:val="24"/>
          <w:highlight w:val="none"/>
        </w:rPr>
        <w:t>电量，超出部分费用依据北京市城市管理委员会印发</w:t>
      </w:r>
      <w:r>
        <w:rPr>
          <w:rFonts w:hint="eastAsia" w:ascii="宋体" w:hAnsi="宋体" w:cs="宋体"/>
          <w:bCs/>
          <w:color w:val="auto"/>
          <w:sz w:val="24"/>
          <w:highlight w:val="none"/>
          <w:lang w:eastAsia="zh-CN"/>
        </w:rPr>
        <w:t>的当年度</w:t>
      </w:r>
      <w:r>
        <w:rPr>
          <w:rFonts w:hint="eastAsia" w:ascii="宋体" w:hAnsi="宋体" w:cs="宋体"/>
          <w:bCs/>
          <w:color w:val="auto"/>
          <w:sz w:val="24"/>
          <w:highlight w:val="none"/>
        </w:rPr>
        <w:t>北京市电力市场化交易方案、绿色电力交易方案</w:t>
      </w:r>
      <w:r>
        <w:rPr>
          <w:rFonts w:hint="eastAsia" w:ascii="宋体" w:hAnsi="宋体" w:cs="宋体"/>
          <w:bCs/>
          <w:color w:val="auto"/>
          <w:sz w:val="24"/>
          <w:highlight w:val="none"/>
          <w:lang w:eastAsia="zh-CN"/>
        </w:rPr>
        <w:t>和分合同约定价格</w:t>
      </w:r>
      <w:r>
        <w:rPr>
          <w:rFonts w:hint="eastAsia" w:ascii="宋体" w:hAnsi="宋体" w:cs="宋体"/>
          <w:bCs/>
          <w:color w:val="auto"/>
          <w:sz w:val="24"/>
          <w:highlight w:val="none"/>
        </w:rPr>
        <w:t>结算。</w:t>
      </w:r>
    </w:p>
    <w:p>
      <w:pPr>
        <w:numPr>
          <w:ilvl w:val="0"/>
          <w:numId w:val="2"/>
        </w:numPr>
        <w:spacing w:line="360" w:lineRule="auto"/>
        <w:contextualSpacing/>
        <w:rPr>
          <w:rFonts w:hint="eastAsia"/>
          <w:color w:val="auto"/>
          <w:sz w:val="24"/>
          <w:highlight w:val="none"/>
          <w:lang w:eastAsia="zh-CN"/>
        </w:rPr>
      </w:pPr>
      <w:r>
        <w:rPr>
          <w:rFonts w:hint="eastAsia"/>
          <w:color w:val="auto"/>
          <w:sz w:val="24"/>
          <w:highlight w:val="none"/>
          <w:lang w:eastAsia="zh-CN"/>
        </w:rPr>
        <w:t>类似业绩</w:t>
      </w:r>
    </w:p>
    <w:p>
      <w:pPr>
        <w:spacing w:line="360" w:lineRule="auto"/>
        <w:ind w:firstLine="480" w:firstLineChars="200"/>
        <w:contextualSpacing/>
        <w:rPr>
          <w:rFonts w:hint="eastAsia"/>
          <w:color w:val="auto"/>
          <w:sz w:val="24"/>
          <w:highlight w:val="none"/>
        </w:rPr>
      </w:pPr>
      <w:r>
        <w:rPr>
          <w:rFonts w:hint="eastAsia"/>
          <w:color w:val="auto"/>
          <w:sz w:val="24"/>
          <w:highlight w:val="none"/>
          <w:lang w:val="en-US" w:eastAsia="zh-CN"/>
        </w:rPr>
        <w:t>投标人需提供自2023年1月1日至</w:t>
      </w:r>
      <w:r>
        <w:rPr>
          <w:rFonts w:hint="eastAsia" w:ascii="宋体" w:hAnsi="宋体" w:cs="宋体"/>
          <w:b w:val="0"/>
          <w:bCs w:val="0"/>
          <w:color w:val="auto"/>
          <w:sz w:val="24"/>
          <w:szCs w:val="24"/>
          <w:highlight w:val="none"/>
        </w:rPr>
        <w:t>2025年8月31日</w:t>
      </w:r>
      <w:r>
        <w:rPr>
          <w:rFonts w:hint="eastAsia"/>
          <w:color w:val="auto"/>
          <w:sz w:val="24"/>
          <w:highlight w:val="none"/>
          <w:lang w:val="en-US" w:eastAsia="zh-CN"/>
        </w:rPr>
        <w:t>为公共机构提供绿电售电服务的类似项目案例。</w:t>
      </w:r>
    </w:p>
    <w:p>
      <w:pPr>
        <w:spacing w:line="360" w:lineRule="auto"/>
        <w:ind w:firstLine="480" w:firstLineChars="200"/>
        <w:contextualSpacing/>
        <w:rPr>
          <w:rFonts w:hint="eastAsia"/>
          <w:color w:val="auto"/>
          <w:sz w:val="24"/>
          <w:highlight w:val="none"/>
        </w:rPr>
      </w:pPr>
      <w:r>
        <w:rPr>
          <w:rFonts w:hint="eastAsia"/>
          <w:color w:val="auto"/>
          <w:sz w:val="24"/>
          <w:highlight w:val="none"/>
        </w:rPr>
        <w:t>公共机构</w:t>
      </w:r>
      <w:r>
        <w:rPr>
          <w:rFonts w:hint="eastAsia"/>
          <w:color w:val="auto"/>
          <w:sz w:val="24"/>
          <w:highlight w:val="none"/>
          <w:lang w:eastAsia="zh-CN"/>
        </w:rPr>
        <w:t>是指</w:t>
      </w:r>
      <w:r>
        <w:rPr>
          <w:rFonts w:hint="eastAsia"/>
          <w:color w:val="auto"/>
          <w:sz w:val="24"/>
          <w:highlight w:val="none"/>
        </w:rPr>
        <w:t>全部或者部分使用财政性资金的国家机关、事业单位和团体组织，如党政机关、学校、医院等，不</w:t>
      </w:r>
      <w:r>
        <w:rPr>
          <w:rFonts w:hint="eastAsia"/>
          <w:color w:val="auto"/>
          <w:sz w:val="24"/>
          <w:highlight w:val="none"/>
          <w:lang w:eastAsia="zh-CN"/>
        </w:rPr>
        <w:t>包</w:t>
      </w:r>
      <w:r>
        <w:rPr>
          <w:rFonts w:hint="eastAsia"/>
          <w:color w:val="auto"/>
          <w:sz w:val="24"/>
          <w:highlight w:val="none"/>
        </w:rPr>
        <w:t>含国企。</w:t>
      </w:r>
    </w:p>
    <w:p>
      <w:pPr>
        <w:spacing w:line="360" w:lineRule="auto"/>
        <w:ind w:firstLine="480" w:firstLineChars="200"/>
        <w:contextualSpacing/>
        <w:rPr>
          <w:rFonts w:hint="eastAsia"/>
          <w:color w:val="auto"/>
          <w:sz w:val="24"/>
          <w:highlight w:val="none"/>
        </w:rPr>
      </w:pPr>
      <w:r>
        <w:rPr>
          <w:rFonts w:hint="eastAsia"/>
          <w:color w:val="auto"/>
          <w:sz w:val="24"/>
          <w:highlight w:val="none"/>
        </w:rPr>
        <w:t>投标人需提供案例采购合同复印件（至少应包括合同首页、内容页、签字盖章页）以及该案例相关电量交易结算单</w:t>
      </w:r>
      <w:r>
        <w:rPr>
          <w:rFonts w:hint="eastAsia"/>
          <w:color w:val="auto"/>
          <w:sz w:val="24"/>
          <w:highlight w:val="none"/>
          <w:lang w:val="en-US" w:eastAsia="zh-CN"/>
        </w:rPr>
        <w:t>据</w:t>
      </w:r>
      <w:r>
        <w:rPr>
          <w:rFonts w:hint="eastAsia"/>
          <w:color w:val="auto"/>
          <w:sz w:val="24"/>
          <w:highlight w:val="none"/>
        </w:rPr>
        <w:t>作为业绩证明材料，如未提供业绩证明材料或提供的材料不齐全的，业绩将不予认可。</w:t>
      </w:r>
    </w:p>
    <w:p>
      <w:pPr>
        <w:spacing w:line="360" w:lineRule="auto"/>
        <w:contextualSpacing/>
        <w:rPr>
          <w:rFonts w:ascii="Times New Roman" w:hAnsi="Times New Roman" w:cs="Times New Roman"/>
          <w:color w:val="auto"/>
          <w:sz w:val="24"/>
          <w:highlight w:val="none"/>
        </w:rPr>
      </w:pPr>
      <w:r>
        <w:rPr>
          <w:rFonts w:ascii="Times New Roman" w:hAnsi="Times New Roman" w:cs="Times New Roman"/>
          <w:color w:val="auto"/>
          <w:sz w:val="24"/>
          <w:highlight w:val="none"/>
        </w:rPr>
        <w:t>4. 售后服务（质保期）</w:t>
      </w:r>
    </w:p>
    <w:p>
      <w:pPr>
        <w:spacing w:line="360" w:lineRule="auto"/>
        <w:ind w:firstLine="480" w:firstLineChars="200"/>
        <w:contextualSpacing/>
        <w:rPr>
          <w:rFonts w:hint="eastAsia" w:ascii="Times New Roman" w:hAnsi="Times New Roman" w:eastAsia="宋体" w:cs="Times New Roman"/>
          <w:color w:val="auto"/>
          <w:sz w:val="24"/>
          <w:highlight w:val="none"/>
        </w:rPr>
      </w:pPr>
      <w:r>
        <w:rPr>
          <w:rFonts w:hint="eastAsia" w:ascii="Times New Roman" w:hAnsi="Times New Roman" w:cs="Times New Roman"/>
          <w:color w:val="auto"/>
          <w:sz w:val="24"/>
          <w:highlight w:val="none"/>
          <w:lang w:eastAsia="zh-CN"/>
        </w:rPr>
        <w:t>投标人需提供售后服务方案，包含但不限于</w:t>
      </w:r>
      <w:r>
        <w:rPr>
          <w:rFonts w:hint="eastAsia" w:ascii="宋体" w:hAnsi="宋体" w:cs="宋体"/>
          <w:color w:val="auto"/>
          <w:sz w:val="24"/>
          <w:szCs w:val="24"/>
          <w:highlight w:val="none"/>
          <w:lang w:eastAsia="zh-CN"/>
        </w:rPr>
        <w:t>电力安全监测服务（协助电力用户及时发现设备潜在故障，提供维修建议）</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合理用电咨询</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用电数据分析</w:t>
      </w:r>
      <w:r>
        <w:rPr>
          <w:rFonts w:hint="eastAsia" w:ascii="宋体" w:hAnsi="宋体" w:cs="宋体"/>
          <w:color w:val="auto"/>
          <w:sz w:val="24"/>
          <w:szCs w:val="24"/>
          <w:highlight w:val="none"/>
        </w:rPr>
        <w:t>、碳资产管理</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电力相关培训（为电力用户提供电力计量、用电安全等知识培训）</w:t>
      </w:r>
      <w:r>
        <w:rPr>
          <w:rFonts w:hint="eastAsia" w:ascii="宋体" w:hAnsi="宋体" w:cs="宋体"/>
          <w:color w:val="auto"/>
          <w:sz w:val="24"/>
          <w:szCs w:val="24"/>
          <w:highlight w:val="none"/>
          <w:lang w:val="en-US" w:eastAsia="zh-CN"/>
        </w:rPr>
        <w:t>、提供单一制改两部制咨询</w:t>
      </w:r>
      <w:r>
        <w:rPr>
          <w:rFonts w:hint="eastAsia" w:ascii="Times New Roman" w:hAnsi="Times New Roman" w:eastAsia="宋体" w:cs="Times New Roman"/>
          <w:color w:val="auto"/>
          <w:sz w:val="24"/>
          <w:highlight w:val="none"/>
          <w:lang w:eastAsia="zh-CN"/>
        </w:rPr>
        <w:t>等内容，并提供可提供相关服务的佐证材料。</w:t>
      </w:r>
    </w:p>
    <w:p>
      <w:pPr>
        <w:spacing w:line="360" w:lineRule="auto"/>
        <w:contextualSpacing/>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rPr>
        <w:t xml:space="preserve">5. </w:t>
      </w:r>
      <w:r>
        <w:rPr>
          <w:rFonts w:hint="eastAsia" w:ascii="宋体" w:hAnsi="宋体" w:cs="宋体"/>
          <w:color w:val="auto"/>
          <w:sz w:val="24"/>
          <w:highlight w:val="none"/>
        </w:rPr>
        <w:t>服务团队及核心人员要求</w:t>
      </w:r>
    </w:p>
    <w:p>
      <w:pPr>
        <w:spacing w:line="360" w:lineRule="auto"/>
        <w:ind w:firstLine="480" w:firstLineChars="200"/>
        <w:contextualSpacing/>
        <w:rPr>
          <w:rFonts w:hint="eastAsia" w:ascii="宋体" w:hAnsi="宋体" w:eastAsia="宋体" w:cs="宋体"/>
          <w:color w:val="auto"/>
          <w:sz w:val="24"/>
          <w:highlight w:val="none"/>
        </w:rPr>
      </w:pPr>
      <w:r>
        <w:rPr>
          <w:rFonts w:hint="eastAsia" w:ascii="Times New Roman" w:hAnsi="Times New Roman" w:eastAsia="宋体" w:cs="Times New Roman"/>
          <w:color w:val="auto"/>
          <w:sz w:val="24"/>
          <w:highlight w:val="none"/>
        </w:rPr>
        <w:t>由于</w:t>
      </w:r>
      <w:r>
        <w:rPr>
          <w:rFonts w:hint="eastAsia" w:ascii="宋体" w:hAnsi="宋体" w:cs="宋体"/>
          <w:color w:val="auto"/>
          <w:sz w:val="24"/>
          <w:highlight w:val="none"/>
        </w:rPr>
        <w:t>本项目涉及单位较多，交付地点分布广，对服务团队的</w:t>
      </w:r>
      <w:r>
        <w:rPr>
          <w:rFonts w:hint="eastAsia" w:ascii="宋体" w:hAnsi="宋体" w:cs="宋体"/>
          <w:color w:val="auto"/>
          <w:sz w:val="24"/>
          <w:highlight w:val="none"/>
          <w:lang w:eastAsia="zh-CN"/>
        </w:rPr>
        <w:t>专业性</w:t>
      </w:r>
      <w:r>
        <w:rPr>
          <w:rFonts w:hint="eastAsia" w:ascii="宋体" w:hAnsi="宋体" w:cs="宋体"/>
          <w:color w:val="auto"/>
          <w:sz w:val="24"/>
          <w:highlight w:val="none"/>
        </w:rPr>
        <w:t>和</w:t>
      </w:r>
      <w:r>
        <w:rPr>
          <w:rFonts w:hint="eastAsia" w:ascii="宋体" w:hAnsi="宋体" w:cs="宋体"/>
          <w:color w:val="auto"/>
          <w:sz w:val="24"/>
          <w:highlight w:val="none"/>
          <w:lang w:eastAsia="zh-CN"/>
        </w:rPr>
        <w:t>人员保障</w:t>
      </w:r>
      <w:r>
        <w:rPr>
          <w:rFonts w:hint="eastAsia" w:ascii="宋体" w:hAnsi="宋体" w:cs="宋体"/>
          <w:color w:val="auto"/>
          <w:sz w:val="24"/>
          <w:highlight w:val="none"/>
        </w:rPr>
        <w:t>有较高要求。投标人需组建专业的服务团队，需为本项目配备足够的实施服务人员，提供本项目团队组织</w:t>
      </w:r>
      <w:r>
        <w:rPr>
          <w:rFonts w:hint="eastAsia" w:ascii="宋体" w:hAnsi="宋体" w:eastAsia="宋体" w:cs="宋体"/>
          <w:color w:val="auto"/>
          <w:sz w:val="24"/>
          <w:highlight w:val="none"/>
        </w:rPr>
        <w:t>架构方案，团队人员满足以下条件：</w:t>
      </w:r>
    </w:p>
    <w:p>
      <w:pPr>
        <w:spacing w:line="360" w:lineRule="auto"/>
        <w:ind w:firstLine="480" w:firstLineChars="200"/>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投标人项目负责人需具有电气</w:t>
      </w:r>
      <w:r>
        <w:rPr>
          <w:rFonts w:hint="eastAsia" w:ascii="宋体" w:hAnsi="宋体" w:eastAsia="宋体" w:cs="宋体"/>
          <w:color w:val="auto"/>
          <w:sz w:val="24"/>
          <w:highlight w:val="none"/>
          <w:lang w:val="en-US" w:eastAsia="zh-CN"/>
        </w:rPr>
        <w:t>或财务相关</w:t>
      </w:r>
      <w:r>
        <w:rPr>
          <w:rFonts w:hint="eastAsia" w:ascii="宋体" w:hAnsi="宋体" w:eastAsia="宋体" w:cs="宋体"/>
          <w:color w:val="auto"/>
          <w:sz w:val="24"/>
          <w:highlight w:val="none"/>
          <w:lang w:eastAsia="zh-CN"/>
        </w:rPr>
        <w:t>高级职称。</w:t>
      </w:r>
    </w:p>
    <w:p>
      <w:pPr>
        <w:spacing w:line="360" w:lineRule="auto"/>
        <w:ind w:firstLine="480" w:firstLineChars="2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投标人配备的技术人员需具有电气</w:t>
      </w:r>
      <w:r>
        <w:rPr>
          <w:rFonts w:hint="eastAsia" w:ascii="宋体" w:hAnsi="宋体" w:eastAsia="宋体" w:cs="宋体"/>
          <w:color w:val="auto"/>
          <w:sz w:val="24"/>
          <w:highlight w:val="none"/>
          <w:lang w:val="en-US" w:eastAsia="zh-CN"/>
        </w:rPr>
        <w:t>或财务相关中级及以上职称（不包含项目负责人）。</w:t>
      </w:r>
    </w:p>
    <w:p>
      <w:pPr>
        <w:spacing w:line="360" w:lineRule="auto"/>
        <w:ind w:firstLine="480" w:firstLineChars="2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投标人需配备5名及以上团队人员（包含项目负责人、技术人员、普通工作人员）。</w:t>
      </w:r>
    </w:p>
    <w:p>
      <w:pPr>
        <w:spacing w:line="360" w:lineRule="auto"/>
        <w:ind w:firstLine="480" w:firstLineChars="200"/>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投标人需提供项目负责人、技术人员的职称证书复印件及近</w:t>
      </w:r>
      <w:r>
        <w:rPr>
          <w:rFonts w:hint="eastAsia" w:ascii="宋体" w:hAnsi="宋体" w:eastAsia="宋体" w:cs="宋体"/>
          <w:color w:val="auto"/>
          <w:sz w:val="24"/>
          <w:highlight w:val="none"/>
          <w:lang w:val="en-US" w:eastAsia="zh-CN"/>
        </w:rPr>
        <w:t>两年内连续</w:t>
      </w:r>
      <w:r>
        <w:rPr>
          <w:rFonts w:hint="eastAsia" w:ascii="宋体" w:hAnsi="宋体" w:eastAsia="宋体" w:cs="宋体"/>
          <w:color w:val="auto"/>
          <w:sz w:val="24"/>
          <w:highlight w:val="none"/>
          <w:lang w:eastAsia="zh-CN"/>
        </w:rPr>
        <w:t>在投标单位的</w:t>
      </w:r>
      <w:r>
        <w:rPr>
          <w:rFonts w:hint="eastAsia" w:ascii="宋体" w:hAnsi="宋体" w:eastAsia="宋体" w:cs="宋体"/>
          <w:color w:val="auto"/>
          <w:sz w:val="24"/>
          <w:highlight w:val="none"/>
          <w:lang w:val="en-US" w:eastAsia="zh-CN"/>
        </w:rPr>
        <w:t>社保</w:t>
      </w:r>
      <w:r>
        <w:rPr>
          <w:rFonts w:hint="eastAsia" w:ascii="宋体" w:hAnsi="宋体" w:eastAsia="宋体" w:cs="宋体"/>
          <w:color w:val="auto"/>
          <w:sz w:val="24"/>
          <w:highlight w:val="none"/>
          <w:lang w:eastAsia="zh-CN"/>
        </w:rPr>
        <w:t>证明。</w:t>
      </w:r>
    </w:p>
    <w:p>
      <w:pPr>
        <w:spacing w:line="360" w:lineRule="auto"/>
        <w:ind w:firstLine="480" w:firstLineChars="200"/>
        <w:contextualSpacing/>
        <w:rPr>
          <w:color w:val="auto"/>
          <w:highlight w:val="none"/>
        </w:rPr>
      </w:pPr>
      <w:r>
        <w:rPr>
          <w:rFonts w:hint="eastAsia" w:ascii="宋体" w:hAnsi="宋体" w:eastAsia="宋体" w:cs="宋体"/>
          <w:color w:val="auto"/>
          <w:sz w:val="24"/>
          <w:highlight w:val="none"/>
          <w:lang w:eastAsia="zh-CN"/>
        </w:rPr>
        <w:t>投标人为本项目配备的团队人员</w:t>
      </w:r>
      <w:r>
        <w:rPr>
          <w:rFonts w:hint="eastAsia" w:ascii="宋体" w:hAnsi="宋体" w:eastAsia="宋体" w:cs="宋体"/>
          <w:color w:val="auto"/>
          <w:sz w:val="24"/>
          <w:highlight w:val="none"/>
          <w:lang w:val="en-US" w:eastAsia="zh-CN"/>
        </w:rPr>
        <w:t>（包含项目负责人、技术人员、普通工作人员）</w:t>
      </w:r>
      <w:r>
        <w:rPr>
          <w:rFonts w:hint="eastAsia" w:ascii="宋体" w:hAnsi="宋体" w:eastAsia="宋体" w:cs="宋体"/>
          <w:color w:val="auto"/>
          <w:sz w:val="24"/>
          <w:highlight w:val="none"/>
          <w:lang w:eastAsia="zh-CN"/>
        </w:rPr>
        <w:t>均不得重复。</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6"/>
        <w:gridCol w:w="3180"/>
        <w:gridCol w:w="3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8" w:type="dxa"/>
            <w:gridSpan w:val="3"/>
            <w:noWrap w:val="0"/>
            <w:vAlign w:val="center"/>
          </w:tcPr>
          <w:p>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投标人为所投项目配备团队人员信息表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6" w:type="dxa"/>
            <w:noWrap w:val="0"/>
            <w:vAlign w:val="center"/>
          </w:tcPr>
          <w:p>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项目负责人</w:t>
            </w:r>
          </w:p>
        </w:tc>
        <w:tc>
          <w:tcPr>
            <w:tcW w:w="3180" w:type="dxa"/>
            <w:noWrap w:val="0"/>
            <w:vAlign w:val="center"/>
          </w:tcPr>
          <w:p>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技术人员</w:t>
            </w:r>
          </w:p>
        </w:tc>
        <w:tc>
          <w:tcPr>
            <w:tcW w:w="3342" w:type="dxa"/>
            <w:noWrap w:val="0"/>
            <w:vAlign w:val="center"/>
          </w:tcPr>
          <w:p>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普通工作人员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786" w:type="dxa"/>
            <w:noWrap w:val="0"/>
            <w:vAlign w:val="center"/>
          </w:tcPr>
          <w:p>
            <w:pPr>
              <w:spacing w:line="360" w:lineRule="auto"/>
              <w:contextualSpacing/>
              <w:jc w:val="center"/>
              <w:rPr>
                <w:rFonts w:hint="eastAsia"/>
                <w:color w:val="auto"/>
                <w:highlight w:val="none"/>
                <w:vertAlign w:val="baseline"/>
                <w:lang w:eastAsia="zh-CN"/>
              </w:rPr>
            </w:pPr>
          </w:p>
        </w:tc>
        <w:tc>
          <w:tcPr>
            <w:tcW w:w="3180" w:type="dxa"/>
            <w:noWrap w:val="0"/>
            <w:vAlign w:val="center"/>
          </w:tcPr>
          <w:p>
            <w:pPr>
              <w:spacing w:line="360" w:lineRule="auto"/>
              <w:contextualSpacing/>
              <w:jc w:val="center"/>
              <w:rPr>
                <w:rFonts w:hint="eastAsia"/>
                <w:color w:val="auto"/>
                <w:highlight w:val="none"/>
                <w:vertAlign w:val="baseline"/>
                <w:lang w:eastAsia="zh-CN"/>
              </w:rPr>
            </w:pPr>
          </w:p>
        </w:tc>
        <w:tc>
          <w:tcPr>
            <w:tcW w:w="3342" w:type="dxa"/>
            <w:noWrap w:val="0"/>
            <w:vAlign w:val="center"/>
          </w:tcPr>
          <w:p>
            <w:pPr>
              <w:spacing w:line="360" w:lineRule="auto"/>
              <w:contextualSpacing/>
              <w:jc w:val="center"/>
              <w:rPr>
                <w:rFonts w:hint="eastAsia"/>
                <w:color w:val="auto"/>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786" w:type="dxa"/>
            <w:noWrap w:val="0"/>
            <w:vAlign w:val="center"/>
          </w:tcPr>
          <w:p>
            <w:pPr>
              <w:spacing w:line="360" w:lineRule="auto"/>
              <w:contextualSpacing/>
              <w:jc w:val="center"/>
              <w:rPr>
                <w:rFonts w:hint="eastAsia"/>
                <w:color w:val="auto"/>
                <w:highlight w:val="none"/>
                <w:vertAlign w:val="baseline"/>
                <w:lang w:eastAsia="zh-CN"/>
              </w:rPr>
            </w:pPr>
          </w:p>
        </w:tc>
        <w:tc>
          <w:tcPr>
            <w:tcW w:w="3180" w:type="dxa"/>
            <w:noWrap w:val="0"/>
            <w:vAlign w:val="center"/>
          </w:tcPr>
          <w:p>
            <w:pPr>
              <w:spacing w:line="360" w:lineRule="auto"/>
              <w:contextualSpacing/>
              <w:jc w:val="center"/>
              <w:rPr>
                <w:rFonts w:hint="eastAsia"/>
                <w:color w:val="auto"/>
                <w:highlight w:val="none"/>
                <w:vertAlign w:val="baseline"/>
                <w:lang w:eastAsia="zh-CN"/>
              </w:rPr>
            </w:pPr>
          </w:p>
        </w:tc>
        <w:tc>
          <w:tcPr>
            <w:tcW w:w="3342" w:type="dxa"/>
            <w:noWrap w:val="0"/>
            <w:vAlign w:val="center"/>
          </w:tcPr>
          <w:p>
            <w:pPr>
              <w:spacing w:line="360" w:lineRule="auto"/>
              <w:contextualSpacing/>
              <w:jc w:val="center"/>
              <w:rPr>
                <w:rFonts w:hint="eastAsia"/>
                <w:color w:val="auto"/>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786" w:type="dxa"/>
            <w:noWrap w:val="0"/>
            <w:vAlign w:val="center"/>
          </w:tcPr>
          <w:p>
            <w:pPr>
              <w:spacing w:line="360" w:lineRule="auto"/>
              <w:contextualSpacing/>
              <w:jc w:val="center"/>
              <w:rPr>
                <w:rFonts w:hint="eastAsia"/>
                <w:color w:val="auto"/>
                <w:highlight w:val="none"/>
                <w:vertAlign w:val="baseline"/>
                <w:lang w:eastAsia="zh-CN"/>
              </w:rPr>
            </w:pPr>
          </w:p>
        </w:tc>
        <w:tc>
          <w:tcPr>
            <w:tcW w:w="3180" w:type="dxa"/>
            <w:noWrap w:val="0"/>
            <w:vAlign w:val="center"/>
          </w:tcPr>
          <w:p>
            <w:pPr>
              <w:spacing w:line="360" w:lineRule="auto"/>
              <w:contextualSpacing/>
              <w:jc w:val="center"/>
              <w:rPr>
                <w:rFonts w:hint="eastAsia"/>
                <w:color w:val="auto"/>
                <w:highlight w:val="none"/>
                <w:vertAlign w:val="baseline"/>
                <w:lang w:eastAsia="zh-CN"/>
              </w:rPr>
            </w:pPr>
          </w:p>
        </w:tc>
        <w:tc>
          <w:tcPr>
            <w:tcW w:w="3342" w:type="dxa"/>
            <w:noWrap w:val="0"/>
            <w:vAlign w:val="center"/>
          </w:tcPr>
          <w:p>
            <w:pPr>
              <w:spacing w:line="360" w:lineRule="auto"/>
              <w:contextualSpacing/>
              <w:jc w:val="center"/>
              <w:rPr>
                <w:rFonts w:hint="eastAsia"/>
                <w:color w:val="auto"/>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786" w:type="dxa"/>
            <w:noWrap w:val="0"/>
            <w:vAlign w:val="center"/>
          </w:tcPr>
          <w:p>
            <w:pPr>
              <w:spacing w:line="360" w:lineRule="auto"/>
              <w:contextualSpacing/>
              <w:jc w:val="center"/>
              <w:rPr>
                <w:rFonts w:hint="eastAsia"/>
                <w:color w:val="auto"/>
                <w:highlight w:val="none"/>
                <w:vertAlign w:val="baseline"/>
                <w:lang w:eastAsia="zh-CN"/>
              </w:rPr>
            </w:pPr>
          </w:p>
        </w:tc>
        <w:tc>
          <w:tcPr>
            <w:tcW w:w="3180" w:type="dxa"/>
            <w:noWrap w:val="0"/>
            <w:vAlign w:val="center"/>
          </w:tcPr>
          <w:p>
            <w:pPr>
              <w:spacing w:line="360" w:lineRule="auto"/>
              <w:contextualSpacing/>
              <w:jc w:val="center"/>
              <w:rPr>
                <w:rFonts w:hint="eastAsia"/>
                <w:color w:val="auto"/>
                <w:highlight w:val="none"/>
                <w:vertAlign w:val="baseline"/>
                <w:lang w:eastAsia="zh-CN"/>
              </w:rPr>
            </w:pPr>
          </w:p>
        </w:tc>
        <w:tc>
          <w:tcPr>
            <w:tcW w:w="3342" w:type="dxa"/>
            <w:noWrap w:val="0"/>
            <w:vAlign w:val="center"/>
          </w:tcPr>
          <w:p>
            <w:pPr>
              <w:spacing w:line="360" w:lineRule="auto"/>
              <w:contextualSpacing/>
              <w:jc w:val="center"/>
              <w:rPr>
                <w:rFonts w:hint="eastAsia"/>
                <w:color w:val="auto"/>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786" w:type="dxa"/>
            <w:noWrap w:val="0"/>
            <w:vAlign w:val="center"/>
          </w:tcPr>
          <w:p>
            <w:pPr>
              <w:spacing w:line="360" w:lineRule="auto"/>
              <w:contextualSpacing/>
              <w:jc w:val="center"/>
              <w:rPr>
                <w:rFonts w:hint="eastAsia"/>
                <w:color w:val="auto"/>
                <w:highlight w:val="none"/>
                <w:vertAlign w:val="baseline"/>
                <w:lang w:eastAsia="zh-CN"/>
              </w:rPr>
            </w:pPr>
          </w:p>
        </w:tc>
        <w:tc>
          <w:tcPr>
            <w:tcW w:w="3180" w:type="dxa"/>
            <w:noWrap w:val="0"/>
            <w:vAlign w:val="center"/>
          </w:tcPr>
          <w:p>
            <w:pPr>
              <w:spacing w:line="360" w:lineRule="auto"/>
              <w:contextualSpacing/>
              <w:jc w:val="center"/>
              <w:rPr>
                <w:rFonts w:hint="eastAsia"/>
                <w:color w:val="auto"/>
                <w:highlight w:val="none"/>
                <w:vertAlign w:val="baseline"/>
                <w:lang w:eastAsia="zh-CN"/>
              </w:rPr>
            </w:pPr>
          </w:p>
        </w:tc>
        <w:tc>
          <w:tcPr>
            <w:tcW w:w="3342" w:type="dxa"/>
            <w:noWrap w:val="0"/>
            <w:vAlign w:val="center"/>
          </w:tcPr>
          <w:p>
            <w:pPr>
              <w:spacing w:line="360" w:lineRule="auto"/>
              <w:contextualSpacing/>
              <w:jc w:val="center"/>
              <w:rPr>
                <w:rFonts w:hint="eastAsia"/>
                <w:color w:val="auto"/>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8" w:type="dxa"/>
            <w:gridSpan w:val="3"/>
            <w:noWrap w:val="0"/>
            <w:vAlign w:val="center"/>
          </w:tcPr>
          <w:p>
            <w:pPr>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备注：</w:t>
            </w:r>
          </w:p>
          <w:p>
            <w:pPr>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投标人</w:t>
            </w:r>
            <w:r>
              <w:rPr>
                <w:rFonts w:hint="eastAsia" w:ascii="宋体" w:hAnsi="宋体" w:eastAsia="宋体" w:cs="宋体"/>
                <w:b/>
                <w:bCs/>
                <w:color w:val="auto"/>
                <w:szCs w:val="21"/>
                <w:highlight w:val="none"/>
                <w:lang w:eastAsia="zh-CN"/>
              </w:rPr>
              <w:t>为本项目配备人员不得重复，如重复则在评审标准中人员资质、团队人员配置方案项均不得分。</w:t>
            </w:r>
          </w:p>
          <w:p>
            <w:pPr>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lang w:eastAsia="zh-CN"/>
              </w:rPr>
              <w:t>投标人需提供项目负责人、技术人员的职称证书复印件及近</w:t>
            </w:r>
            <w:r>
              <w:rPr>
                <w:rFonts w:hint="eastAsia" w:ascii="宋体" w:hAnsi="宋体" w:cs="宋体"/>
                <w:b/>
                <w:bCs/>
                <w:color w:val="auto"/>
                <w:szCs w:val="21"/>
                <w:highlight w:val="none"/>
                <w:lang w:val="en-US" w:eastAsia="zh-CN"/>
              </w:rPr>
              <w:t>两年内连续</w:t>
            </w:r>
            <w:r>
              <w:rPr>
                <w:rFonts w:hint="eastAsia" w:ascii="宋体" w:hAnsi="宋体" w:eastAsia="宋体" w:cs="宋体"/>
                <w:b/>
                <w:bCs/>
                <w:color w:val="auto"/>
                <w:szCs w:val="21"/>
                <w:highlight w:val="none"/>
                <w:lang w:eastAsia="zh-CN"/>
              </w:rPr>
              <w:t>在投标单位的</w:t>
            </w:r>
            <w:r>
              <w:rPr>
                <w:rFonts w:hint="eastAsia" w:ascii="宋体" w:hAnsi="宋体" w:cs="宋体"/>
                <w:b/>
                <w:bCs/>
                <w:color w:val="auto"/>
                <w:szCs w:val="21"/>
                <w:highlight w:val="none"/>
                <w:lang w:val="en-US" w:eastAsia="zh-CN"/>
              </w:rPr>
              <w:t>社保</w:t>
            </w:r>
            <w:r>
              <w:rPr>
                <w:rFonts w:hint="eastAsia" w:ascii="宋体" w:hAnsi="宋体" w:eastAsia="宋体" w:cs="宋体"/>
                <w:b/>
                <w:bCs/>
                <w:color w:val="auto"/>
                <w:szCs w:val="21"/>
                <w:highlight w:val="none"/>
                <w:lang w:eastAsia="zh-CN"/>
              </w:rPr>
              <w:t>证明。</w:t>
            </w:r>
          </w:p>
          <w:p>
            <w:pPr>
              <w:spacing w:line="276" w:lineRule="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w:t>
            </w:r>
            <w:r>
              <w:rPr>
                <w:rFonts w:hint="eastAsia"/>
                <w:b/>
                <w:bCs/>
                <w:color w:val="auto"/>
                <w:highlight w:val="none"/>
                <w:lang w:eastAsia="zh-CN"/>
              </w:rPr>
              <w:t>投标人需提供加盖投标人公章的承诺函，承诺已填报所投全部人员名单，如有虚假，后果自负。</w:t>
            </w:r>
          </w:p>
        </w:tc>
      </w:tr>
    </w:tbl>
    <w:p>
      <w:pPr>
        <w:spacing w:line="360" w:lineRule="auto"/>
        <w:ind w:firstLine="420" w:firstLineChars="200"/>
        <w:contextualSpacing/>
        <w:rPr>
          <w:rFonts w:hint="eastAsia"/>
          <w:color w:val="auto"/>
          <w:highlight w:val="none"/>
          <w:lang w:val="en-US" w:eastAsia="zh-CN"/>
        </w:rPr>
      </w:pPr>
    </w:p>
    <w:p>
      <w:pPr>
        <w:spacing w:line="360" w:lineRule="auto"/>
        <w:ind w:firstLine="420" w:firstLineChars="200"/>
        <w:contextualSpacing/>
        <w:rPr>
          <w:rFonts w:hint="default"/>
          <w:color w:val="auto"/>
          <w:highlight w:val="none"/>
          <w:lang w:val="en-US" w:eastAsia="zh-CN"/>
        </w:rPr>
      </w:pPr>
      <w:r>
        <w:rPr>
          <w:rFonts w:hint="eastAsia"/>
          <w:color w:val="auto"/>
          <w:highlight w:val="none"/>
          <w:lang w:val="en-US" w:eastAsia="zh-CN"/>
        </w:rPr>
        <w:t>6.</w:t>
      </w:r>
      <w:r>
        <w:rPr>
          <w:rFonts w:hint="eastAsia" w:ascii="宋体" w:hAnsi="宋体" w:cs="宋体"/>
          <w:color w:val="auto"/>
          <w:sz w:val="24"/>
          <w:szCs w:val="24"/>
          <w:highlight w:val="none"/>
          <w:lang w:val="en-US" w:eastAsia="zh-CN"/>
        </w:rPr>
        <w:t>信息系统要求：投标人需要拥有可接入电力交易平台的售电公司技术支持系统，自主研发的电力交易及负荷管理平台相关系统，对于购买或租赁平台的还需提供购买或租赁合同。</w:t>
      </w:r>
    </w:p>
    <w:p>
      <w:pPr>
        <w:pStyle w:val="8"/>
        <w:numPr>
          <w:ilvl w:val="0"/>
          <w:numId w:val="1"/>
        </w:numPr>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技术要求</w:t>
      </w:r>
    </w:p>
    <w:p>
      <w:pPr>
        <w:spacing w:line="360" w:lineRule="auto"/>
        <w:contextualSpacing/>
        <w:rPr>
          <w:color w:val="auto"/>
          <w:sz w:val="24"/>
          <w:highlight w:val="none"/>
        </w:rPr>
      </w:pPr>
      <w:r>
        <w:rPr>
          <w:color w:val="auto"/>
          <w:sz w:val="24"/>
          <w:highlight w:val="none"/>
        </w:rPr>
        <w:t>1. 基本要求</w:t>
      </w:r>
    </w:p>
    <w:p>
      <w:pPr>
        <w:spacing w:line="360" w:lineRule="auto"/>
        <w:ind w:firstLine="480" w:firstLineChars="200"/>
        <w:contextualSpacing/>
        <w:rPr>
          <w:color w:val="auto"/>
          <w:sz w:val="24"/>
          <w:highlight w:val="none"/>
        </w:rPr>
      </w:pPr>
      <w:r>
        <w:rPr>
          <w:color w:val="auto"/>
          <w:sz w:val="24"/>
          <w:highlight w:val="none"/>
        </w:rPr>
        <w:t>1.1 采购标的需实现的功能或者目标</w:t>
      </w:r>
    </w:p>
    <w:p>
      <w:pPr>
        <w:spacing w:line="360" w:lineRule="auto"/>
        <w:ind w:firstLine="480" w:firstLineChars="200"/>
        <w:contextualSpacing/>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为采购人提供</w:t>
      </w:r>
      <w:r>
        <w:rPr>
          <w:rFonts w:hint="eastAsia" w:ascii="宋体" w:hAnsi="宋体" w:cs="宋体"/>
          <w:bCs/>
          <w:color w:val="auto"/>
          <w:sz w:val="24"/>
          <w:highlight w:val="none"/>
          <w:lang w:eastAsia="zh-CN"/>
        </w:rPr>
        <w:t>预估</w:t>
      </w:r>
      <w:r>
        <w:rPr>
          <w:rFonts w:hint="eastAsia" w:ascii="宋体" w:hAnsi="宋体" w:eastAsia="宋体" w:cs="宋体"/>
          <w:i w:val="0"/>
          <w:iCs w:val="0"/>
          <w:color w:val="auto"/>
          <w:sz w:val="24"/>
          <w:szCs w:val="24"/>
          <w:highlight w:val="none"/>
          <w:u w:val="none"/>
          <w:lang w:val="en-US" w:eastAsia="zh-CN"/>
        </w:rPr>
        <w:t>23875.5</w:t>
      </w:r>
      <w:r>
        <w:rPr>
          <w:rFonts w:hint="eastAsia" w:ascii="宋体" w:hAnsi="宋体" w:cs="宋体"/>
          <w:i w:val="0"/>
          <w:iCs w:val="0"/>
          <w:color w:val="auto"/>
          <w:sz w:val="24"/>
          <w:szCs w:val="24"/>
          <w:highlight w:val="none"/>
          <w:u w:val="none"/>
          <w:lang w:val="en-US" w:eastAsia="zh-CN"/>
        </w:rPr>
        <w:t>万</w:t>
      </w:r>
      <w:r>
        <w:rPr>
          <w:rFonts w:hint="eastAsia" w:ascii="宋体" w:hAnsi="宋体" w:cs="宋体"/>
          <w:bCs/>
          <w:color w:val="auto"/>
          <w:sz w:val="24"/>
          <w:highlight w:val="none"/>
        </w:rPr>
        <w:t>千瓦时（具体以实际使用电量为准）电量，其中绿电不低于</w:t>
      </w:r>
      <w:r>
        <w:rPr>
          <w:rFonts w:hint="eastAsia" w:ascii="宋体" w:hAnsi="宋体" w:eastAsia="宋体" w:cs="宋体"/>
          <w:i w:val="0"/>
          <w:iCs w:val="0"/>
          <w:color w:val="auto"/>
          <w:sz w:val="24"/>
          <w:szCs w:val="24"/>
          <w:highlight w:val="none"/>
          <w:u w:val="none"/>
          <w:lang w:val="en-US" w:eastAsia="zh-CN"/>
        </w:rPr>
        <w:t>23875.5</w:t>
      </w:r>
      <w:r>
        <w:rPr>
          <w:rFonts w:hint="eastAsia" w:ascii="宋体" w:hAnsi="宋体" w:cs="宋体"/>
          <w:i w:val="0"/>
          <w:iCs w:val="0"/>
          <w:color w:val="auto"/>
          <w:sz w:val="24"/>
          <w:szCs w:val="24"/>
          <w:highlight w:val="none"/>
          <w:u w:val="none"/>
          <w:lang w:val="en-US" w:eastAsia="zh-CN"/>
        </w:rPr>
        <w:t>万</w:t>
      </w:r>
      <w:r>
        <w:rPr>
          <w:rFonts w:hint="eastAsia" w:ascii="宋体" w:hAnsi="宋体" w:cs="宋体"/>
          <w:bCs/>
          <w:color w:val="auto"/>
          <w:sz w:val="24"/>
          <w:highlight w:val="none"/>
        </w:rPr>
        <w:t>千瓦时</w:t>
      </w:r>
      <w:r>
        <w:rPr>
          <w:rFonts w:hint="eastAsia" w:ascii="宋体" w:hAnsi="宋体" w:eastAsia="宋体" w:cs="宋体"/>
          <w:bCs/>
          <w:color w:val="auto"/>
          <w:sz w:val="24"/>
          <w:highlight w:val="none"/>
        </w:rPr>
        <w:t>。</w:t>
      </w:r>
    </w:p>
    <w:p>
      <w:pPr>
        <w:spacing w:line="360" w:lineRule="auto"/>
        <w:ind w:firstLine="480" w:firstLineChars="200"/>
        <w:contextualSpacing/>
        <w:rPr>
          <w:color w:val="auto"/>
          <w:sz w:val="24"/>
          <w:highlight w:val="none"/>
        </w:rPr>
      </w:pPr>
      <w:r>
        <w:rPr>
          <w:color w:val="auto"/>
          <w:sz w:val="24"/>
          <w:highlight w:val="none"/>
        </w:rPr>
        <w:t>1.2 需执行的国家相关标准、行业标准、地方标准或者其他标准、规范</w:t>
      </w:r>
    </w:p>
    <w:p>
      <w:pPr>
        <w:spacing w:line="360" w:lineRule="auto"/>
        <w:contextualSpacing/>
        <w:rPr>
          <w:rFonts w:hint="eastAsia" w:ascii="宋体" w:hAnsi="宋体" w:cs="宋体"/>
          <w:bCs/>
          <w:color w:val="auto"/>
          <w:sz w:val="24"/>
          <w:highlight w:val="none"/>
        </w:rPr>
      </w:pPr>
      <w:r>
        <w:rPr>
          <w:rFonts w:hint="eastAsia" w:ascii="宋体" w:hAnsi="宋体" w:cs="宋体"/>
          <w:bCs/>
          <w:color w:val="auto"/>
          <w:sz w:val="24"/>
          <w:highlight w:val="none"/>
        </w:rPr>
        <w:t>《国家发展改革委 国家能源局关于印发〈电力中长期交易基本规则〉的通知》、北京市城市管理委员会印发的当年度北京市电力市场化交易方案、绿色电力交易方案等。</w:t>
      </w:r>
    </w:p>
    <w:p>
      <w:pPr>
        <w:spacing w:line="360" w:lineRule="auto"/>
        <w:contextualSpacing/>
        <w:rPr>
          <w:color w:val="auto"/>
          <w:sz w:val="24"/>
          <w:highlight w:val="none"/>
        </w:rPr>
      </w:pPr>
      <w:r>
        <w:rPr>
          <w:color w:val="auto"/>
          <w:sz w:val="24"/>
          <w:highlight w:val="none"/>
        </w:rPr>
        <w:t>2. 服务内容及要求/货物技术要求</w:t>
      </w:r>
    </w:p>
    <w:p>
      <w:pPr>
        <w:widowControl/>
        <w:spacing w:line="360" w:lineRule="auto"/>
        <w:ind w:firstLine="480" w:firstLineChars="200"/>
        <w:contextualSpacing/>
        <w:rPr>
          <w:color w:val="auto"/>
          <w:sz w:val="24"/>
          <w:highlight w:val="none"/>
        </w:rPr>
      </w:pPr>
      <w:r>
        <w:rPr>
          <w:color w:val="auto"/>
          <w:sz w:val="24"/>
          <w:highlight w:val="none"/>
        </w:rPr>
        <w:t>2.1采购标的需满足的性能、材料、结构、外观、质量、安全、技术规格、物理特性等要求</w:t>
      </w:r>
    </w:p>
    <w:p>
      <w:pPr>
        <w:widowControl/>
        <w:spacing w:line="360" w:lineRule="auto"/>
        <w:ind w:firstLine="480" w:firstLineChars="200"/>
        <w:contextualSpacing/>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采购人年用电量预估</w:t>
      </w:r>
      <w:r>
        <w:rPr>
          <w:rFonts w:hint="eastAsia" w:ascii="宋体" w:hAnsi="宋体" w:eastAsia="宋体" w:cs="宋体"/>
          <w:i w:val="0"/>
          <w:iCs w:val="0"/>
          <w:color w:val="auto"/>
          <w:sz w:val="24"/>
          <w:szCs w:val="24"/>
          <w:highlight w:val="none"/>
          <w:u w:val="none"/>
          <w:lang w:val="en-US" w:eastAsia="zh-CN"/>
        </w:rPr>
        <w:t>23875.5</w:t>
      </w:r>
      <w:r>
        <w:rPr>
          <w:rFonts w:hint="eastAsia" w:ascii="宋体" w:hAnsi="宋体" w:cs="宋体"/>
          <w:i w:val="0"/>
          <w:iCs w:val="0"/>
          <w:color w:val="auto"/>
          <w:sz w:val="24"/>
          <w:szCs w:val="24"/>
          <w:highlight w:val="none"/>
          <w:u w:val="none"/>
          <w:lang w:val="en-US" w:eastAsia="zh-CN"/>
        </w:rPr>
        <w:t>万</w:t>
      </w:r>
      <w:r>
        <w:rPr>
          <w:rFonts w:hint="eastAsia" w:ascii="宋体" w:hAnsi="宋体" w:cs="宋体"/>
          <w:bCs/>
          <w:color w:val="auto"/>
          <w:sz w:val="24"/>
          <w:highlight w:val="none"/>
        </w:rPr>
        <w:t>千瓦时（具体以实际使用电量为准），投标人承诺为采购人提供不低于</w:t>
      </w:r>
      <w:r>
        <w:rPr>
          <w:rFonts w:hint="eastAsia" w:ascii="宋体" w:hAnsi="宋体" w:eastAsia="宋体" w:cs="宋体"/>
          <w:i w:val="0"/>
          <w:iCs w:val="0"/>
          <w:color w:val="auto"/>
          <w:sz w:val="24"/>
          <w:szCs w:val="24"/>
          <w:highlight w:val="none"/>
          <w:u w:val="none"/>
          <w:lang w:val="en-US" w:eastAsia="zh-CN"/>
        </w:rPr>
        <w:t>23875.5</w:t>
      </w:r>
      <w:r>
        <w:rPr>
          <w:rFonts w:hint="eastAsia" w:ascii="宋体" w:hAnsi="宋体" w:cs="宋体"/>
          <w:i w:val="0"/>
          <w:iCs w:val="0"/>
          <w:color w:val="auto"/>
          <w:sz w:val="24"/>
          <w:szCs w:val="24"/>
          <w:highlight w:val="none"/>
          <w:u w:val="none"/>
          <w:lang w:val="en-US" w:eastAsia="zh-CN"/>
        </w:rPr>
        <w:t>万</w:t>
      </w:r>
      <w:r>
        <w:rPr>
          <w:rFonts w:hint="eastAsia" w:ascii="宋体" w:hAnsi="宋体" w:cs="宋体"/>
          <w:bCs/>
          <w:color w:val="auto"/>
          <w:sz w:val="24"/>
          <w:highlight w:val="none"/>
        </w:rPr>
        <w:t>千瓦时的绿</w:t>
      </w:r>
      <w:r>
        <w:rPr>
          <w:rFonts w:hint="eastAsia" w:ascii="宋体" w:hAnsi="宋体" w:eastAsia="宋体" w:cs="宋体"/>
          <w:bCs/>
          <w:color w:val="auto"/>
          <w:sz w:val="24"/>
          <w:highlight w:val="none"/>
        </w:rPr>
        <w:t>电</w:t>
      </w:r>
      <w:r>
        <w:rPr>
          <w:rFonts w:hint="eastAsia" w:ascii="宋体" w:hAnsi="宋体" w:eastAsia="宋体" w:cs="宋体"/>
          <w:bCs/>
          <w:color w:val="auto"/>
          <w:sz w:val="24"/>
          <w:highlight w:val="none"/>
          <w:lang w:eastAsia="zh-CN"/>
        </w:rPr>
        <w:t>。</w:t>
      </w:r>
    </w:p>
    <w:p>
      <w:pPr>
        <w:spacing w:line="360" w:lineRule="auto"/>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eastAsia="zh-CN"/>
        </w:rPr>
        <w:t>如因中标人原因导致履约期内采购人绿电实际使用比例未达到合同约定绿电比例，且绿电比例偏差≥</w:t>
      </w:r>
      <w:r>
        <w:rPr>
          <w:rFonts w:hint="eastAsia" w:ascii="宋体" w:hAnsi="宋体" w:cs="宋体"/>
          <w:b/>
          <w:bCs/>
          <w:color w:val="auto"/>
          <w:sz w:val="24"/>
          <w:highlight w:val="none"/>
          <w:lang w:val="en-US" w:eastAsia="zh-CN"/>
        </w:rPr>
        <w:t>10%时，中标人应按绿电偏差电量每千瓦时0.03元价格向采购人支付违约赔偿。</w:t>
      </w:r>
    </w:p>
    <w:p>
      <w:pPr>
        <w:spacing w:line="360" w:lineRule="auto"/>
        <w:ind w:firstLine="482" w:firstLineChars="200"/>
        <w:rPr>
          <w:rFonts w:hint="eastAsia"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eastAsia="zh-CN"/>
        </w:rPr>
        <w:t>绿电实际使用比例</w:t>
      </w:r>
      <w:r>
        <w:rPr>
          <w:rFonts w:hint="eastAsia" w:ascii="宋体" w:hAnsi="宋体" w:cs="宋体"/>
          <w:b/>
          <w:bCs/>
          <w:strike w:val="0"/>
          <w:dstrike w:val="0"/>
          <w:color w:val="auto"/>
          <w:sz w:val="24"/>
          <w:highlight w:val="none"/>
          <w:lang w:val="en-US" w:eastAsia="zh-CN"/>
        </w:rPr>
        <w:t>=实际用绿电量/实际总用电量</w:t>
      </w:r>
    </w:p>
    <w:p>
      <w:pPr>
        <w:spacing w:line="360" w:lineRule="auto"/>
        <w:ind w:firstLine="482" w:firstLineChars="200"/>
        <w:rPr>
          <w:rFonts w:hint="eastAsia"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val="en-US" w:eastAsia="zh-CN"/>
        </w:rPr>
        <w:t>合同约定绿电比例=合同约定绿电量/合同约定总用电量</w:t>
      </w:r>
    </w:p>
    <w:p>
      <w:pPr>
        <w:spacing w:line="360" w:lineRule="auto"/>
        <w:ind w:firstLine="482" w:firstLineChars="200"/>
        <w:rPr>
          <w:rFonts w:hint="default"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val="en-US" w:eastAsia="zh-CN"/>
        </w:rPr>
        <w:t>绿电比例偏差=（合同约定绿电比例-</w:t>
      </w:r>
      <w:r>
        <w:rPr>
          <w:rFonts w:hint="eastAsia" w:ascii="宋体" w:hAnsi="宋体" w:cs="宋体"/>
          <w:b/>
          <w:bCs/>
          <w:strike w:val="0"/>
          <w:dstrike w:val="0"/>
          <w:color w:val="auto"/>
          <w:sz w:val="24"/>
          <w:highlight w:val="none"/>
          <w:lang w:eastAsia="zh-CN"/>
        </w:rPr>
        <w:t>绿电实际使用比例</w:t>
      </w:r>
      <w:r>
        <w:rPr>
          <w:rFonts w:hint="eastAsia" w:ascii="宋体" w:hAnsi="宋体" w:cs="宋体"/>
          <w:b/>
          <w:bCs/>
          <w:strike w:val="0"/>
          <w:dstrike w:val="0"/>
          <w:color w:val="auto"/>
          <w:sz w:val="24"/>
          <w:highlight w:val="none"/>
          <w:lang w:val="en-US" w:eastAsia="zh-CN"/>
        </w:rPr>
        <w:t>）/合同约定绿电比例</w:t>
      </w:r>
    </w:p>
    <w:p>
      <w:pPr>
        <w:spacing w:line="360" w:lineRule="auto"/>
        <w:ind w:firstLine="482" w:firstLineChars="200"/>
        <w:rPr>
          <w:rFonts w:hint="default" w:ascii="宋体" w:hAnsi="宋体" w:cs="宋体"/>
          <w:b/>
          <w:bCs/>
          <w:strike w:val="0"/>
          <w:dstrike w:val="0"/>
          <w:color w:val="auto"/>
          <w:sz w:val="24"/>
          <w:highlight w:val="none"/>
          <w:lang w:val="en-US" w:eastAsia="zh-CN"/>
        </w:rPr>
      </w:pPr>
      <w:r>
        <w:rPr>
          <w:rFonts w:hint="eastAsia" w:ascii="宋体" w:hAnsi="宋体" w:cs="宋体"/>
          <w:b/>
          <w:bCs/>
          <w:color w:val="auto"/>
          <w:sz w:val="24"/>
          <w:highlight w:val="none"/>
          <w:lang w:val="en-US" w:eastAsia="zh-CN"/>
        </w:rPr>
        <w:t>绿电偏差电量=实际总用电量×</w:t>
      </w:r>
      <w:r>
        <w:rPr>
          <w:rFonts w:hint="eastAsia" w:ascii="宋体" w:hAnsi="宋体" w:cs="宋体"/>
          <w:b/>
          <w:bCs/>
          <w:strike w:val="0"/>
          <w:dstrike w:val="0"/>
          <w:color w:val="auto"/>
          <w:sz w:val="24"/>
          <w:highlight w:val="none"/>
          <w:lang w:val="en-US" w:eastAsia="zh-CN"/>
        </w:rPr>
        <w:t>合同约定绿电比例-实际用绿电量</w:t>
      </w:r>
    </w:p>
    <w:p>
      <w:pPr>
        <w:pStyle w:val="8"/>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2.2采购标的需满足的服务标准、期限、效率等要求</w:t>
      </w:r>
    </w:p>
    <w:p>
      <w:pPr>
        <w:pStyle w:val="8"/>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1</w:t>
      </w:r>
      <w:r>
        <w:rPr>
          <w:rFonts w:hint="eastAsia" w:ascii="Times New Roman" w:hAnsi="Times New Roman" w:cs="Times New Roman"/>
          <w:color w:val="auto"/>
          <w:sz w:val="24"/>
          <w:szCs w:val="24"/>
          <w:highlight w:val="none"/>
          <w:lang w:val="en-US" w:eastAsia="zh-CN"/>
        </w:rPr>
        <w:t>中标人</w:t>
      </w:r>
      <w:r>
        <w:rPr>
          <w:rFonts w:hint="eastAsia" w:ascii="Times New Roman" w:hAnsi="Times New Roman" w:eastAsia="宋体" w:cs="Times New Roman"/>
          <w:color w:val="auto"/>
          <w:sz w:val="24"/>
          <w:szCs w:val="24"/>
          <w:highlight w:val="none"/>
        </w:rPr>
        <w:t>拥有专业交易团队，同时按国家有关法律，规定和技术规范，为采购人提供电力交易服务，参与电力市场交易并按规定结算。</w:t>
      </w:r>
    </w:p>
    <w:p>
      <w:pPr>
        <w:pStyle w:val="8"/>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2中标人每月提供电费及用电报告。</w:t>
      </w:r>
    </w:p>
    <w:p>
      <w:pPr>
        <w:pStyle w:val="8"/>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3投标人需具备稳定的绿电供应能力，确保供电</w:t>
      </w:r>
      <w:r>
        <w:rPr>
          <w:rFonts w:hint="eastAsia" w:ascii="Times New Roman" w:hAnsi="Times New Roman" w:cs="Times New Roman"/>
          <w:color w:val="auto"/>
          <w:sz w:val="24"/>
          <w:szCs w:val="24"/>
          <w:highlight w:val="none"/>
          <w:lang w:val="en-US" w:eastAsia="zh-CN"/>
        </w:rPr>
        <w:t>电量</w:t>
      </w:r>
      <w:r>
        <w:rPr>
          <w:rFonts w:hint="eastAsia" w:ascii="Times New Roman" w:hAnsi="Times New Roman" w:eastAsia="宋体" w:cs="Times New Roman"/>
          <w:color w:val="auto"/>
          <w:sz w:val="24"/>
          <w:szCs w:val="24"/>
          <w:highlight w:val="none"/>
        </w:rPr>
        <w:t>的连续性和稳定性。</w:t>
      </w:r>
    </w:p>
    <w:p>
      <w:pPr>
        <w:pStyle w:val="8"/>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4投标人</w:t>
      </w:r>
      <w:r>
        <w:rPr>
          <w:rFonts w:hint="eastAsia" w:ascii="Times New Roman" w:hAnsi="Times New Roman" w:cs="Times New Roman"/>
          <w:color w:val="auto"/>
          <w:sz w:val="24"/>
          <w:szCs w:val="24"/>
          <w:highlight w:val="none"/>
          <w:lang w:val="en-US" w:eastAsia="zh-CN"/>
        </w:rPr>
        <w:t>中标后</w:t>
      </w:r>
      <w:r>
        <w:rPr>
          <w:rFonts w:hint="eastAsia" w:ascii="Times New Roman" w:hAnsi="Times New Roman" w:eastAsia="宋体" w:cs="Times New Roman"/>
          <w:color w:val="auto"/>
          <w:sz w:val="24"/>
          <w:szCs w:val="24"/>
          <w:highlight w:val="none"/>
        </w:rPr>
        <w:t>需提供详细的绿电来源证明，确保电力的可追溯性。</w:t>
      </w:r>
    </w:p>
    <w:p>
      <w:pPr>
        <w:pStyle w:val="8"/>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2.2.5投标人需提供</w:t>
      </w:r>
      <w:r>
        <w:rPr>
          <w:rFonts w:hint="eastAsia" w:ascii="Times New Roman" w:hAnsi="Times New Roman" w:eastAsia="宋体" w:cs="Times New Roman"/>
          <w:color w:val="auto"/>
          <w:sz w:val="24"/>
          <w:szCs w:val="24"/>
          <w:highlight w:val="none"/>
        </w:rPr>
        <w:t>协助公共机构入市方案</w:t>
      </w:r>
      <w:r>
        <w:rPr>
          <w:rFonts w:hint="eastAsia" w:ascii="Times New Roman" w:hAnsi="Times New Roman" w:eastAsia="宋体" w:cs="Times New Roman"/>
          <w:color w:val="auto"/>
          <w:sz w:val="24"/>
          <w:szCs w:val="24"/>
          <w:highlight w:val="none"/>
          <w:lang w:eastAsia="zh-CN"/>
        </w:rPr>
        <w:t>，包含公共机构用电情况进行调查，协助预估用电量方案、协助公共机构完善入市手续方案、协助公共机构在属地供电部门登记备案</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为</w:t>
      </w:r>
      <w:r>
        <w:rPr>
          <w:rFonts w:hint="eastAsia" w:ascii="Times New Roman" w:hAnsi="Times New Roman" w:eastAsia="宋体" w:cs="Times New Roman"/>
          <w:color w:val="auto"/>
          <w:sz w:val="24"/>
          <w:szCs w:val="24"/>
          <w:highlight w:val="none"/>
          <w:lang w:eastAsia="zh-CN"/>
        </w:rPr>
        <w:t>公共机构办理电力交易平台数字证书（密钥）等措施。</w:t>
      </w:r>
    </w:p>
    <w:p>
      <w:pPr>
        <w:pStyle w:val="8"/>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2.2.6投标人需提供</w:t>
      </w:r>
      <w:r>
        <w:rPr>
          <w:rFonts w:hint="eastAsia" w:ascii="Times New Roman" w:hAnsi="Times New Roman" w:eastAsia="宋体" w:cs="Times New Roman"/>
          <w:color w:val="auto"/>
          <w:sz w:val="24"/>
          <w:szCs w:val="24"/>
          <w:highlight w:val="none"/>
        </w:rPr>
        <w:t>公共机构电量交易服务方案</w:t>
      </w:r>
      <w:r>
        <w:rPr>
          <w:rFonts w:hint="eastAsia" w:ascii="Times New Roman" w:hAnsi="Times New Roman" w:eastAsia="宋体" w:cs="Times New Roman"/>
          <w:color w:val="auto"/>
          <w:sz w:val="24"/>
          <w:szCs w:val="24"/>
          <w:highlight w:val="none"/>
          <w:lang w:eastAsia="zh-CN"/>
        </w:rPr>
        <w:t>，包含但不限于为公共机构提供常规电力售电服务方案、为公共机构提供满足采购需求比例的绿色电力售电服务方案、如绿电量未达约定目标的补偿方案。</w:t>
      </w:r>
    </w:p>
    <w:p>
      <w:pPr>
        <w:pStyle w:val="8"/>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2.2.7投标人需提供</w:t>
      </w:r>
      <w:r>
        <w:rPr>
          <w:rFonts w:hint="eastAsia" w:ascii="Times New Roman" w:hAnsi="Times New Roman" w:eastAsia="宋体" w:cs="Times New Roman"/>
          <w:color w:val="auto"/>
          <w:sz w:val="24"/>
          <w:szCs w:val="24"/>
          <w:highlight w:val="none"/>
          <w:lang w:eastAsia="zh-CN"/>
        </w:rPr>
        <w:t>团队人员管理方案，包含但不限于</w:t>
      </w:r>
      <w:r>
        <w:rPr>
          <w:rFonts w:hint="eastAsia" w:ascii="Times New Roman" w:hAnsi="Times New Roman" w:eastAsia="宋体" w:cs="Times New Roman"/>
          <w:color w:val="auto"/>
          <w:sz w:val="24"/>
          <w:szCs w:val="24"/>
          <w:highlight w:val="none"/>
        </w:rPr>
        <w:t>合理制定团队人员分工、人员变动</w:t>
      </w:r>
      <w:r>
        <w:rPr>
          <w:rFonts w:hint="eastAsia" w:ascii="Times New Roman" w:hAnsi="Times New Roman" w:eastAsia="宋体" w:cs="Times New Roman"/>
          <w:color w:val="auto"/>
          <w:sz w:val="24"/>
          <w:szCs w:val="24"/>
          <w:highlight w:val="none"/>
          <w:lang w:eastAsia="zh-CN"/>
        </w:rPr>
        <w:t>及</w:t>
      </w:r>
      <w:r>
        <w:rPr>
          <w:rFonts w:hint="eastAsia" w:ascii="Times New Roman" w:hAnsi="Times New Roman" w:eastAsia="宋体" w:cs="Times New Roman"/>
          <w:color w:val="auto"/>
          <w:sz w:val="24"/>
          <w:szCs w:val="24"/>
          <w:highlight w:val="none"/>
        </w:rPr>
        <w:t>保密等工作预案</w:t>
      </w:r>
      <w:r>
        <w:rPr>
          <w:rFonts w:hint="eastAsia" w:ascii="Times New Roman" w:hAnsi="Times New Roman" w:eastAsia="宋体" w:cs="Times New Roman"/>
          <w:color w:val="auto"/>
          <w:sz w:val="24"/>
          <w:szCs w:val="24"/>
          <w:highlight w:val="none"/>
          <w:lang w:eastAsia="zh-CN"/>
        </w:rPr>
        <w:t>。</w:t>
      </w:r>
    </w:p>
    <w:p>
      <w:pPr>
        <w:pStyle w:val="8"/>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2.2.8投标人需提供</w:t>
      </w:r>
      <w:r>
        <w:rPr>
          <w:rFonts w:hint="eastAsia" w:ascii="Times New Roman" w:hAnsi="Times New Roman" w:eastAsia="宋体" w:cs="Times New Roman"/>
          <w:color w:val="auto"/>
          <w:sz w:val="24"/>
          <w:szCs w:val="24"/>
          <w:highlight w:val="none"/>
        </w:rPr>
        <w:t>应急事件响应方案</w:t>
      </w:r>
      <w:r>
        <w:rPr>
          <w:rFonts w:hint="eastAsia" w:ascii="Times New Roman" w:hAnsi="Times New Roman" w:eastAsia="宋体" w:cs="Times New Roman"/>
          <w:color w:val="auto"/>
          <w:sz w:val="24"/>
          <w:szCs w:val="24"/>
          <w:highlight w:val="none"/>
          <w:lang w:eastAsia="zh-CN"/>
        </w:rPr>
        <w:t>，包含但不限于</w:t>
      </w:r>
      <w:r>
        <w:rPr>
          <w:rFonts w:hint="eastAsia" w:ascii="Times New Roman" w:hAnsi="Times New Roman" w:eastAsia="宋体" w:cs="Times New Roman"/>
          <w:color w:val="auto"/>
          <w:sz w:val="24"/>
          <w:szCs w:val="24"/>
          <w:highlight w:val="none"/>
        </w:rPr>
        <w:t>因</w:t>
      </w:r>
      <w:r>
        <w:rPr>
          <w:rFonts w:hint="eastAsia" w:ascii="Times New Roman" w:hAnsi="Times New Roman" w:eastAsia="宋体" w:cs="Times New Roman"/>
          <w:color w:val="auto"/>
          <w:sz w:val="24"/>
          <w:szCs w:val="24"/>
          <w:highlight w:val="none"/>
          <w:lang w:eastAsia="zh-CN"/>
        </w:rPr>
        <w:t>投标人</w:t>
      </w:r>
      <w:r>
        <w:rPr>
          <w:rFonts w:hint="eastAsia" w:ascii="Times New Roman" w:hAnsi="Times New Roman" w:eastAsia="宋体" w:cs="Times New Roman"/>
          <w:color w:val="auto"/>
          <w:sz w:val="24"/>
          <w:szCs w:val="24"/>
          <w:highlight w:val="none"/>
        </w:rPr>
        <w:t>原因影响供电</w:t>
      </w:r>
      <w:r>
        <w:rPr>
          <w:rFonts w:hint="eastAsia" w:ascii="Times New Roman" w:hAnsi="Times New Roman" w:eastAsia="宋体" w:cs="Times New Roman"/>
          <w:color w:val="auto"/>
          <w:sz w:val="24"/>
          <w:szCs w:val="24"/>
          <w:highlight w:val="none"/>
          <w:lang w:eastAsia="zh-CN"/>
        </w:rPr>
        <w:t>时处置措施</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无法按合同约定提供足量绿电时处理预案</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预估用电量出现较大变化时应急预案。</w:t>
      </w:r>
    </w:p>
    <w:p>
      <w:pPr>
        <w:widowControl/>
        <w:spacing w:line="360" w:lineRule="auto"/>
        <w:ind w:firstLine="480" w:firstLineChars="200"/>
        <w:contextualSpacing/>
        <w:rPr>
          <w:color w:val="auto"/>
          <w:sz w:val="24"/>
          <w:highlight w:val="none"/>
        </w:rPr>
      </w:pPr>
      <w:r>
        <w:rPr>
          <w:color w:val="auto"/>
          <w:sz w:val="24"/>
          <w:highlight w:val="none"/>
        </w:rPr>
        <w:t>2.3为落实政府采购政策需满足的要求</w:t>
      </w:r>
    </w:p>
    <w:p>
      <w:pPr>
        <w:widowControl/>
        <w:spacing w:line="360" w:lineRule="auto"/>
        <w:ind w:firstLine="480" w:firstLineChars="200"/>
        <w:contextualSpacing/>
        <w:rPr>
          <w:rFonts w:hint="eastAsia"/>
          <w:color w:val="auto"/>
          <w:sz w:val="24"/>
          <w:highlight w:val="none"/>
        </w:rPr>
      </w:pPr>
      <w:r>
        <w:rPr>
          <w:rFonts w:hint="eastAsia"/>
          <w:color w:val="auto"/>
          <w:sz w:val="24"/>
          <w:highlight w:val="none"/>
        </w:rPr>
        <w:t>无</w:t>
      </w:r>
    </w:p>
    <w:p>
      <w:pPr>
        <w:widowControl/>
        <w:spacing w:line="360" w:lineRule="auto"/>
        <w:ind w:firstLine="480" w:firstLineChars="200"/>
        <w:contextualSpacing/>
        <w:rPr>
          <w:color w:val="auto"/>
          <w:sz w:val="24"/>
          <w:highlight w:val="none"/>
        </w:rPr>
      </w:pPr>
      <w:r>
        <w:rPr>
          <w:color w:val="auto"/>
          <w:sz w:val="24"/>
          <w:highlight w:val="none"/>
        </w:rPr>
        <w:t>2.4采购标的的其他技术、服务等要求</w:t>
      </w:r>
    </w:p>
    <w:p>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1</w:t>
      </w:r>
      <w:r>
        <w:rPr>
          <w:rFonts w:ascii="宋体" w:hAnsi="宋体" w:cs="宋体"/>
          <w:bCs/>
          <w:color w:val="auto"/>
          <w:sz w:val="24"/>
          <w:highlight w:val="none"/>
        </w:rPr>
        <w:t>中标人需根据</w:t>
      </w:r>
      <w:r>
        <w:rPr>
          <w:rFonts w:hint="eastAsia" w:ascii="宋体" w:hAnsi="宋体" w:cs="宋体"/>
          <w:bCs/>
          <w:color w:val="auto"/>
          <w:sz w:val="24"/>
          <w:highlight w:val="none"/>
        </w:rPr>
        <w:t>采购人</w:t>
      </w:r>
      <w:r>
        <w:rPr>
          <w:rFonts w:ascii="宋体" w:hAnsi="宋体" w:cs="宋体"/>
          <w:bCs/>
          <w:color w:val="auto"/>
          <w:sz w:val="24"/>
          <w:highlight w:val="none"/>
        </w:rPr>
        <w:t>用电状态及耗能情况，提出优化用能合理建议，提供经济性分析和制定节能方案</w:t>
      </w:r>
      <w:r>
        <w:rPr>
          <w:rFonts w:hint="eastAsia" w:ascii="宋体" w:hAnsi="宋体" w:cs="宋体"/>
          <w:bCs/>
          <w:color w:val="auto"/>
          <w:sz w:val="24"/>
          <w:highlight w:val="none"/>
        </w:rPr>
        <w:t>。</w:t>
      </w:r>
    </w:p>
    <w:p>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2</w:t>
      </w:r>
      <w:r>
        <w:rPr>
          <w:rFonts w:ascii="宋体" w:hAnsi="宋体" w:cs="宋体"/>
          <w:bCs/>
          <w:color w:val="auto"/>
          <w:sz w:val="24"/>
          <w:highlight w:val="none"/>
        </w:rPr>
        <w:t>中标人向</w:t>
      </w:r>
      <w:r>
        <w:rPr>
          <w:rFonts w:hint="eastAsia" w:ascii="宋体" w:hAnsi="宋体" w:cs="宋体"/>
          <w:bCs/>
          <w:color w:val="auto"/>
          <w:sz w:val="24"/>
          <w:highlight w:val="none"/>
        </w:rPr>
        <w:t>采购人</w:t>
      </w:r>
      <w:r>
        <w:rPr>
          <w:rFonts w:ascii="宋体" w:hAnsi="宋体" w:cs="宋体"/>
          <w:bCs/>
          <w:color w:val="auto"/>
          <w:sz w:val="24"/>
          <w:highlight w:val="none"/>
        </w:rPr>
        <w:t>提供交易规则、电价政策、电费补贴等政策咨询服务</w:t>
      </w:r>
      <w:r>
        <w:rPr>
          <w:rFonts w:hint="eastAsia" w:ascii="宋体" w:hAnsi="宋体" w:cs="宋体"/>
          <w:bCs/>
          <w:color w:val="auto"/>
          <w:sz w:val="24"/>
          <w:highlight w:val="none"/>
        </w:rPr>
        <w:t>。</w:t>
      </w:r>
    </w:p>
    <w:p>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3</w:t>
      </w:r>
      <w:r>
        <w:rPr>
          <w:rFonts w:ascii="宋体" w:hAnsi="宋体" w:cs="宋体"/>
          <w:bCs/>
          <w:color w:val="auto"/>
          <w:sz w:val="24"/>
          <w:highlight w:val="none"/>
        </w:rPr>
        <w:t>中标人派遣电</w:t>
      </w:r>
      <w:r>
        <w:rPr>
          <w:rFonts w:hint="eastAsia" w:ascii="宋体" w:hAnsi="宋体" w:cs="宋体"/>
          <w:bCs/>
          <w:color w:val="auto"/>
          <w:sz w:val="24"/>
          <w:highlight w:val="none"/>
          <w:lang w:val="en-US" w:eastAsia="zh-CN"/>
        </w:rPr>
        <w:t>气</w:t>
      </w:r>
      <w:r>
        <w:rPr>
          <w:rFonts w:ascii="宋体" w:hAnsi="宋体" w:cs="宋体"/>
          <w:bCs/>
          <w:color w:val="auto"/>
          <w:sz w:val="24"/>
          <w:highlight w:val="none"/>
        </w:rPr>
        <w:t>工程师到</w:t>
      </w:r>
      <w:r>
        <w:rPr>
          <w:rFonts w:hint="eastAsia" w:ascii="宋体" w:hAnsi="宋体" w:cs="宋体"/>
          <w:bCs/>
          <w:color w:val="auto"/>
          <w:sz w:val="24"/>
          <w:highlight w:val="none"/>
        </w:rPr>
        <w:t>采购人</w:t>
      </w:r>
      <w:r>
        <w:rPr>
          <w:rFonts w:ascii="宋体" w:hAnsi="宋体" w:cs="宋体"/>
          <w:bCs/>
          <w:color w:val="auto"/>
          <w:sz w:val="24"/>
          <w:highlight w:val="none"/>
        </w:rPr>
        <w:t>单位了解用电设备，协助</w:t>
      </w:r>
      <w:r>
        <w:rPr>
          <w:rFonts w:hint="eastAsia" w:ascii="宋体" w:hAnsi="宋体" w:cs="宋体"/>
          <w:bCs/>
          <w:color w:val="auto"/>
          <w:sz w:val="24"/>
          <w:highlight w:val="none"/>
        </w:rPr>
        <w:t>采购人</w:t>
      </w:r>
      <w:r>
        <w:rPr>
          <w:rFonts w:ascii="宋体" w:hAnsi="宋体" w:cs="宋体"/>
          <w:bCs/>
          <w:color w:val="auto"/>
          <w:sz w:val="24"/>
          <w:highlight w:val="none"/>
        </w:rPr>
        <w:t>做好电量预测。</w:t>
      </w:r>
    </w:p>
    <w:p>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4</w:t>
      </w:r>
      <w:r>
        <w:rPr>
          <w:rFonts w:ascii="宋体" w:hAnsi="宋体" w:cs="宋体"/>
          <w:bCs/>
          <w:color w:val="auto"/>
          <w:sz w:val="24"/>
          <w:highlight w:val="none"/>
        </w:rPr>
        <w:t>约定的分月零售合同电量作为基础参考电量，实际以双方最终确认的数据为准。双方应就申报交易电量进行密切沟通，</w:t>
      </w:r>
      <w:r>
        <w:rPr>
          <w:rFonts w:hint="eastAsia" w:ascii="宋体" w:hAnsi="宋体" w:cs="宋体"/>
          <w:bCs/>
          <w:color w:val="auto"/>
          <w:sz w:val="24"/>
          <w:highlight w:val="none"/>
          <w:lang w:eastAsia="zh-CN"/>
        </w:rPr>
        <w:t>采购人</w:t>
      </w:r>
      <w:r>
        <w:rPr>
          <w:rFonts w:ascii="宋体" w:hAnsi="宋体" w:cs="宋体"/>
          <w:bCs/>
          <w:color w:val="auto"/>
          <w:sz w:val="24"/>
          <w:highlight w:val="none"/>
        </w:rPr>
        <w:t>应对次月用电情况进行详尽评估后在月度交易开始前按</w:t>
      </w:r>
      <w:r>
        <w:rPr>
          <w:rFonts w:hint="eastAsia" w:ascii="宋体" w:hAnsi="宋体" w:cs="宋体"/>
          <w:bCs/>
          <w:color w:val="auto"/>
          <w:sz w:val="24"/>
          <w:highlight w:val="none"/>
          <w:lang w:eastAsia="zh-CN"/>
        </w:rPr>
        <w:t>中标人</w:t>
      </w:r>
      <w:r>
        <w:rPr>
          <w:rFonts w:ascii="宋体" w:hAnsi="宋体" w:cs="宋体"/>
          <w:bCs/>
          <w:color w:val="auto"/>
          <w:sz w:val="24"/>
          <w:highlight w:val="none"/>
        </w:rPr>
        <w:t>要求时限向</w:t>
      </w:r>
      <w:r>
        <w:rPr>
          <w:rFonts w:hint="eastAsia" w:ascii="宋体" w:hAnsi="宋体" w:cs="宋体"/>
          <w:bCs/>
          <w:color w:val="auto"/>
          <w:sz w:val="24"/>
          <w:highlight w:val="none"/>
          <w:lang w:eastAsia="zh-CN"/>
        </w:rPr>
        <w:t>中标人</w:t>
      </w:r>
      <w:r>
        <w:rPr>
          <w:rFonts w:ascii="宋体" w:hAnsi="宋体" w:cs="宋体"/>
          <w:bCs/>
          <w:color w:val="auto"/>
          <w:sz w:val="24"/>
          <w:highlight w:val="none"/>
        </w:rPr>
        <w:t>申报次月用电量。</w:t>
      </w:r>
    </w:p>
    <w:p>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5</w:t>
      </w:r>
      <w:r>
        <w:rPr>
          <w:rFonts w:ascii="宋体" w:hAnsi="宋体" w:cs="宋体"/>
          <w:bCs/>
          <w:color w:val="auto"/>
          <w:sz w:val="24"/>
          <w:highlight w:val="none"/>
        </w:rPr>
        <w:t>偏差考核全部由中标人承担</w:t>
      </w:r>
      <w:r>
        <w:rPr>
          <w:rFonts w:hint="eastAsia" w:ascii="宋体" w:hAnsi="宋体" w:cs="宋体"/>
          <w:bCs/>
          <w:color w:val="auto"/>
          <w:sz w:val="24"/>
          <w:highlight w:val="none"/>
          <w:lang w:eastAsia="zh-CN"/>
        </w:rPr>
        <w:t>，售电公司向零售用户分享比例为100%</w:t>
      </w:r>
      <w:r>
        <w:rPr>
          <w:rFonts w:ascii="宋体" w:hAnsi="宋体" w:cs="宋体"/>
          <w:bCs/>
          <w:color w:val="auto"/>
          <w:sz w:val="24"/>
          <w:highlight w:val="none"/>
        </w:rPr>
        <w:t>。</w:t>
      </w:r>
    </w:p>
    <w:p>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6</w:t>
      </w:r>
      <w:r>
        <w:rPr>
          <w:rFonts w:ascii="宋体" w:hAnsi="宋体" w:cs="宋体"/>
          <w:bCs/>
          <w:color w:val="auto"/>
          <w:sz w:val="24"/>
          <w:highlight w:val="none"/>
        </w:rPr>
        <w:t>投标人需提供用电数据分析服务，定期向</w:t>
      </w:r>
      <w:r>
        <w:rPr>
          <w:rFonts w:hint="eastAsia" w:ascii="宋体" w:hAnsi="宋体" w:cs="宋体"/>
          <w:bCs/>
          <w:color w:val="auto"/>
          <w:sz w:val="24"/>
          <w:highlight w:val="none"/>
        </w:rPr>
        <w:t>采购人</w:t>
      </w:r>
      <w:r>
        <w:rPr>
          <w:rFonts w:ascii="宋体" w:hAnsi="宋体" w:cs="宋体"/>
          <w:bCs/>
          <w:color w:val="auto"/>
          <w:sz w:val="24"/>
          <w:highlight w:val="none"/>
        </w:rPr>
        <w:t>提供用电报告，包括用电量、绿电比例、碳排放减少量等。</w:t>
      </w:r>
    </w:p>
    <w:p>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7</w:t>
      </w:r>
      <w:r>
        <w:rPr>
          <w:rFonts w:ascii="宋体" w:hAnsi="宋体" w:cs="宋体"/>
          <w:bCs/>
          <w:color w:val="auto"/>
          <w:sz w:val="24"/>
          <w:highlight w:val="none"/>
        </w:rPr>
        <w:t>投标人需具备完善的售后服务体系，能够及时响应</w:t>
      </w:r>
      <w:r>
        <w:rPr>
          <w:rFonts w:hint="eastAsia" w:ascii="宋体" w:hAnsi="宋体" w:cs="宋体"/>
          <w:bCs/>
          <w:color w:val="auto"/>
          <w:sz w:val="24"/>
          <w:highlight w:val="none"/>
        </w:rPr>
        <w:t>采购人</w:t>
      </w:r>
      <w:r>
        <w:rPr>
          <w:rFonts w:ascii="宋体" w:hAnsi="宋体" w:cs="宋体"/>
          <w:bCs/>
          <w:color w:val="auto"/>
          <w:sz w:val="24"/>
          <w:highlight w:val="none"/>
        </w:rPr>
        <w:t>的用电需求及问题。</w:t>
      </w:r>
    </w:p>
    <w:p>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8</w:t>
      </w:r>
      <w:r>
        <w:rPr>
          <w:rFonts w:ascii="宋体" w:hAnsi="宋体" w:cs="宋体"/>
          <w:bCs/>
          <w:color w:val="auto"/>
          <w:sz w:val="24"/>
          <w:highlight w:val="none"/>
        </w:rPr>
        <w:t>绿电结算每度奖励归</w:t>
      </w:r>
      <w:r>
        <w:rPr>
          <w:rFonts w:hint="eastAsia" w:ascii="宋体" w:hAnsi="宋体" w:cs="宋体"/>
          <w:bCs/>
          <w:color w:val="auto"/>
          <w:sz w:val="24"/>
          <w:highlight w:val="none"/>
          <w:lang w:val="en-US" w:eastAsia="zh-CN"/>
        </w:rPr>
        <w:t>合同甲方</w:t>
      </w:r>
      <w:r>
        <w:rPr>
          <w:rFonts w:hint="eastAsia" w:ascii="宋体" w:hAnsi="宋体" w:cs="宋体"/>
          <w:bCs/>
          <w:color w:val="auto"/>
          <w:sz w:val="24"/>
          <w:highlight w:val="none"/>
        </w:rPr>
        <w:t>。</w:t>
      </w:r>
    </w:p>
    <w:p>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9</w:t>
      </w:r>
      <w:r>
        <w:rPr>
          <w:rFonts w:ascii="宋体" w:hAnsi="宋体" w:cs="宋体"/>
          <w:bCs/>
          <w:color w:val="auto"/>
          <w:sz w:val="24"/>
          <w:highlight w:val="none"/>
        </w:rPr>
        <w:t>中标人必须高度重视安全生产。服务期间由于管理不善、服务人员操作不规范、聘用不符合要求人员等因素造成的安全事故，均由</w:t>
      </w:r>
      <w:r>
        <w:rPr>
          <w:rFonts w:hint="eastAsia" w:ascii="宋体" w:hAnsi="宋体" w:cs="宋体"/>
          <w:bCs/>
          <w:color w:val="auto"/>
          <w:sz w:val="24"/>
          <w:highlight w:val="none"/>
        </w:rPr>
        <w:t>中标人</w:t>
      </w:r>
      <w:r>
        <w:rPr>
          <w:rFonts w:ascii="宋体" w:hAnsi="宋体" w:cs="宋体"/>
          <w:bCs/>
          <w:color w:val="auto"/>
          <w:sz w:val="24"/>
          <w:highlight w:val="none"/>
        </w:rPr>
        <w:t>承担一切责任和损失。</w:t>
      </w:r>
    </w:p>
    <w:p>
      <w:pPr>
        <w:spacing w:line="360" w:lineRule="auto"/>
        <w:contextualSpacing/>
        <w:rPr>
          <w:color w:val="auto"/>
          <w:sz w:val="24"/>
          <w:highlight w:val="none"/>
        </w:rPr>
      </w:pPr>
      <w:r>
        <w:rPr>
          <w:rFonts w:hint="eastAsia"/>
          <w:color w:val="auto"/>
          <w:sz w:val="24"/>
          <w:highlight w:val="none"/>
          <w:lang w:val="en-US" w:eastAsia="zh-CN"/>
        </w:rPr>
        <w:t>3</w:t>
      </w:r>
      <w:r>
        <w:rPr>
          <w:color w:val="auto"/>
          <w:sz w:val="24"/>
          <w:highlight w:val="none"/>
        </w:rPr>
        <w:t>. 其他要求</w:t>
      </w:r>
    </w:p>
    <w:p>
      <w:pPr>
        <w:spacing w:line="360" w:lineRule="auto"/>
        <w:ind w:firstLine="480" w:firstLineChars="200"/>
        <w:jc w:val="both"/>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val="en-US" w:eastAsia="zh-CN"/>
        </w:rPr>
        <w:t>3.1常规电力价格P常不能超过0.41122元/千瓦时，绿色电力价格P绿不能超过0.41357元/千瓦时，绿色电力零售合同封顶总价不能超过0.41867元/千瓦时，</w:t>
      </w:r>
      <w:r>
        <w:rPr>
          <w:rFonts w:hint="eastAsia" w:ascii="宋体" w:hAnsi="宋体" w:eastAsia="宋体" w:cs="宋体"/>
          <w:b/>
          <w:bCs/>
          <w:color w:val="auto"/>
          <w:sz w:val="24"/>
          <w:highlight w:val="none"/>
          <w:lang w:val="en-US" w:eastAsia="zh-CN"/>
        </w:rPr>
        <w:t>超出报价范围的报价将按无效投标处理。</w:t>
      </w:r>
    </w:p>
    <w:p>
      <w:pPr>
        <w:spacing w:line="360" w:lineRule="auto"/>
        <w:ind w:firstLine="482" w:firstLineChars="200"/>
        <w:jc w:val="both"/>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3.2如常规电力价格P常和绿色电力价格P绿低于0.28784元/千瓦时，在结算时将按照0.28784元/千瓦时价格进行结算。</w:t>
      </w:r>
    </w:p>
    <w:p>
      <w:pPr>
        <w:spacing w:line="360" w:lineRule="auto"/>
        <w:ind w:firstLine="480" w:firstLineChars="20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3.3合同约定的零售价格非用户最终到户价格。用电到户价格由电能量价格（以此作为平段价格参与峰谷浮动）、绿色电力环境价值、北京电网输配电价、上网环节线损费用、系统运行费用、政府性基金及附加、新增损益等构成。收款方为国家电网，</w:t>
      </w:r>
      <w:r>
        <w:rPr>
          <w:rFonts w:hint="eastAsia" w:ascii="宋体" w:hAnsi="宋体" w:eastAsia="宋体" w:cs="宋体"/>
          <w:b/>
          <w:bCs/>
          <w:color w:val="auto"/>
          <w:sz w:val="24"/>
          <w:highlight w:val="none"/>
          <w:lang w:val="en-US" w:eastAsia="zh-CN"/>
        </w:rPr>
        <w:t>采购人向国网缴纳电费，国网北京市电力公司按照首都电力交易中心核算数据向发电企业、中标人支付费用。</w:t>
      </w:r>
      <w:r>
        <w:rPr>
          <w:rFonts w:hint="eastAsia" w:ascii="宋体" w:hAnsi="宋体" w:eastAsia="宋体" w:cs="宋体"/>
          <w:color w:val="auto"/>
          <w:sz w:val="24"/>
          <w:highlight w:val="none"/>
          <w:lang w:val="en-US" w:eastAsia="zh-CN"/>
        </w:rPr>
        <w:t>本项目最终结算金额不得超出预算22282.74万元。</w:t>
      </w:r>
    </w:p>
    <w:p>
      <w:pPr>
        <w:spacing w:line="360" w:lineRule="auto"/>
        <w:ind w:firstLine="480" w:firstLineChars="200"/>
        <w:jc w:val="both"/>
        <w:rPr>
          <w:rFonts w:hint="eastAsia" w:ascii="宋体" w:hAnsi="宋体" w:cs="宋体"/>
          <w:bCs/>
          <w:color w:val="auto"/>
          <w:sz w:val="24"/>
          <w:highlight w:val="none"/>
          <w:lang w:eastAsia="zh-CN"/>
        </w:rPr>
      </w:pPr>
      <w:r>
        <w:rPr>
          <w:rFonts w:hint="eastAsia" w:ascii="宋体" w:hAnsi="宋体" w:cs="宋体"/>
          <w:color w:val="auto"/>
          <w:sz w:val="24"/>
          <w:highlight w:val="none"/>
          <w:lang w:val="en-US" w:eastAsia="zh-CN"/>
        </w:rPr>
        <w:t>3.4投标人应按要求报出</w:t>
      </w:r>
      <w:r>
        <w:rPr>
          <w:rFonts w:hint="eastAsia" w:ascii="宋体" w:hAnsi="宋体" w:cs="宋体"/>
          <w:bCs/>
          <w:color w:val="auto"/>
          <w:sz w:val="24"/>
          <w:highlight w:val="none"/>
        </w:rPr>
        <w:t>常规电力价格</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绿色电力价格</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绿色电力零售合同封顶总价</w:t>
      </w:r>
      <w:r>
        <w:rPr>
          <w:rFonts w:hint="eastAsia" w:ascii="宋体" w:hAnsi="宋体" w:cs="宋体"/>
          <w:bCs/>
          <w:color w:val="auto"/>
          <w:sz w:val="24"/>
          <w:highlight w:val="none"/>
          <w:lang w:eastAsia="zh-CN"/>
        </w:rPr>
        <w:t>，按照以下公式计算并报出评审价格：</w:t>
      </w:r>
    </w:p>
    <w:p>
      <w:pPr>
        <w:spacing w:line="360" w:lineRule="auto"/>
        <w:ind w:firstLine="480" w:firstLineChars="20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Cs/>
          <w:color w:val="auto"/>
          <w:sz w:val="24"/>
          <w:highlight w:val="none"/>
          <w:lang w:val="en-US" w:eastAsia="zh-CN"/>
        </w:rPr>
        <w:t>评审价格=</w:t>
      </w:r>
      <w:r>
        <w:rPr>
          <w:rFonts w:hint="eastAsia" w:ascii="宋体" w:hAnsi="宋体" w:eastAsia="宋体" w:cs="宋体"/>
          <w:b w:val="0"/>
          <w:bCs w:val="0"/>
          <w:color w:val="auto"/>
          <w:kern w:val="2"/>
          <w:sz w:val="24"/>
          <w:szCs w:val="24"/>
          <w:highlight w:val="none"/>
          <w:lang w:val="en-US" w:eastAsia="zh-CN" w:bidi="ar-SA"/>
        </w:rPr>
        <w:t>常规电力价格P</w:t>
      </w:r>
      <w:r>
        <w:rPr>
          <w:rFonts w:hint="eastAsia" w:ascii="宋体" w:hAnsi="宋体" w:eastAsia="宋体" w:cs="宋体"/>
          <w:b w:val="0"/>
          <w:bCs w:val="0"/>
          <w:color w:val="auto"/>
          <w:kern w:val="2"/>
          <w:sz w:val="24"/>
          <w:szCs w:val="24"/>
          <w:highlight w:val="none"/>
          <w:vertAlign w:val="subscript"/>
          <w:lang w:val="en-US" w:eastAsia="zh-CN" w:bidi="ar-SA"/>
        </w:rPr>
        <w:t>常</w:t>
      </w:r>
      <w:r>
        <w:rPr>
          <w:rFonts w:hint="eastAsia" w:ascii="宋体" w:hAnsi="宋体" w:eastAsia="宋体" w:cs="宋体"/>
          <w:b w:val="0"/>
          <w:bCs w:val="0"/>
          <w:color w:val="auto"/>
          <w:kern w:val="2"/>
          <w:sz w:val="24"/>
          <w:szCs w:val="24"/>
          <w:highlight w:val="none"/>
          <w:lang w:val="en-US" w:eastAsia="zh-CN" w:bidi="ar-SA"/>
        </w:rPr>
        <w:t>×0.1+绿色电力价格P</w:t>
      </w:r>
      <w:r>
        <w:rPr>
          <w:rFonts w:hint="eastAsia" w:ascii="宋体" w:hAnsi="宋体" w:eastAsia="宋体" w:cs="宋体"/>
          <w:b w:val="0"/>
          <w:bCs w:val="0"/>
          <w:color w:val="auto"/>
          <w:kern w:val="2"/>
          <w:sz w:val="24"/>
          <w:szCs w:val="24"/>
          <w:highlight w:val="none"/>
          <w:vertAlign w:val="subscript"/>
          <w:lang w:val="en-US" w:eastAsia="zh-CN" w:bidi="ar-SA"/>
        </w:rPr>
        <w:t>绿</w:t>
      </w:r>
      <w:r>
        <w:rPr>
          <w:rFonts w:hint="eastAsia" w:ascii="宋体" w:hAnsi="宋体" w:eastAsia="宋体" w:cs="宋体"/>
          <w:b w:val="0"/>
          <w:bCs w:val="0"/>
          <w:color w:val="auto"/>
          <w:kern w:val="2"/>
          <w:sz w:val="24"/>
          <w:szCs w:val="24"/>
          <w:highlight w:val="none"/>
          <w:lang w:val="en-US" w:eastAsia="zh-CN" w:bidi="ar-SA"/>
        </w:rPr>
        <w:t>×0.45+绿色电力零售合同封顶总价P</w:t>
      </w:r>
      <w:r>
        <w:rPr>
          <w:rFonts w:hint="eastAsia" w:ascii="宋体" w:hAnsi="宋体" w:eastAsia="宋体" w:cs="宋体"/>
          <w:b w:val="0"/>
          <w:bCs w:val="0"/>
          <w:color w:val="auto"/>
          <w:kern w:val="2"/>
          <w:sz w:val="24"/>
          <w:szCs w:val="24"/>
          <w:highlight w:val="none"/>
          <w:vertAlign w:val="subscript"/>
          <w:lang w:val="en-US" w:eastAsia="zh-CN" w:bidi="ar-SA"/>
        </w:rPr>
        <w:t>绿封总</w:t>
      </w:r>
      <w:r>
        <w:rPr>
          <w:rFonts w:hint="eastAsia" w:ascii="宋体" w:hAnsi="宋体" w:eastAsia="宋体" w:cs="宋体"/>
          <w:b w:val="0"/>
          <w:bCs w:val="0"/>
          <w:color w:val="auto"/>
          <w:kern w:val="2"/>
          <w:sz w:val="24"/>
          <w:szCs w:val="24"/>
          <w:highlight w:val="none"/>
          <w:lang w:val="en-US" w:eastAsia="zh-CN" w:bidi="ar-SA"/>
        </w:rPr>
        <w:t>×0.45。</w:t>
      </w:r>
    </w:p>
    <w:p>
      <w:pPr>
        <w:spacing w:line="360" w:lineRule="auto"/>
        <w:ind w:firstLine="480" w:firstLineChars="200"/>
        <w:jc w:val="both"/>
        <w:rPr>
          <w:rFonts w:hint="eastAsia" w:ascii="宋体" w:hAnsi="宋体" w:cs="宋体"/>
          <w:bCs/>
          <w:color w:val="auto"/>
          <w:sz w:val="24"/>
          <w:highlight w:val="none"/>
          <w:lang w:eastAsia="zh-CN"/>
        </w:rPr>
      </w:pPr>
      <w:r>
        <w:rPr>
          <w:rFonts w:hint="eastAsia" w:ascii="宋体" w:hAnsi="宋体" w:cs="宋体"/>
          <w:bCs/>
          <w:color w:val="auto"/>
          <w:sz w:val="24"/>
          <w:highlight w:val="none"/>
          <w:lang w:val="en-US" w:eastAsia="zh-CN"/>
        </w:rPr>
        <w:t>评审价格仅用于计算价格得分，最后发生金额以实际发生量为准。</w:t>
      </w:r>
    </w:p>
    <w:p>
      <w:pPr>
        <w:spacing w:line="360" w:lineRule="auto"/>
        <w:ind w:firstLine="480" w:firstLineChars="200"/>
        <w:jc w:val="both"/>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3.5 中标价格如高于北京市公共机构2026-2028年电量集中带量采购项目招标价格，中标人同意按照北京市公共机构集采同期价格进行调整。明确：如中标人为北京市公共机构2026-2028年电量集中带量采购项目中标单位，则按照同期中标价格调整；如中标人未中标北京市公共机构2026-2028年电量集中带量采购项目，按照同期公示中价格均价调整，双方为此签订补充协议。</w:t>
      </w:r>
    </w:p>
    <w:p>
      <w:pPr>
        <w:spacing w:line="360" w:lineRule="auto"/>
        <w:ind w:firstLine="480" w:firstLineChars="200"/>
        <w:jc w:val="both"/>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3.6在国家电力政策、市场电价下调及采购人办公区变化等情况发生时，中标人需要协助采购人办理相关电力手续，并依据合同签署补充协议。若中标人不配合，采购人有权终止合同并重新招标。</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BFE07E"/>
    <w:multiLevelType w:val="multilevel"/>
    <w:tmpl w:val="EBBFE07E"/>
    <w:lvl w:ilvl="0" w:tentative="0">
      <w:start w:val="3"/>
      <w:numFmt w:val="decimal"/>
      <w:suff w:val="space"/>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865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table" w:styleId="5">
    <w:name w:val="Table Grid"/>
    <w:basedOn w:val="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标题 1 Char"/>
    <w:link w:val="3"/>
    <w:uiPriority w:val="0"/>
    <w:rPr>
      <w:b/>
      <w:kern w:val="44"/>
      <w:sz w:val="44"/>
    </w:rPr>
  </w:style>
  <w:style w:type="paragraph" w:styleId="8">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2025-12-22T05:45:53Z</dcterms:created>
  <dc:creator>admin</dc:creator>
  <cp:lastModifiedBy>NTKO</cp:lastModifiedBy>
  <dcterms:modified xsi:type="dcterms:W3CDTF">2025-12-22T05:46:10Z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