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BEA47B">
      <w:pPr>
        <w:pageBreakBefore w:val="0"/>
        <w:wordWrap/>
        <w:topLinePunct w:val="0"/>
        <w:bidi w:val="0"/>
        <w:snapToGrid w:val="0"/>
        <w:spacing w:line="360" w:lineRule="auto"/>
        <w:jc w:val="center"/>
        <w:outlineLvl w:val="0"/>
        <w:rPr>
          <w:b/>
          <w:sz w:val="36"/>
          <w:szCs w:val="36"/>
          <w:highlight w:val="none"/>
        </w:rPr>
      </w:pPr>
      <w:bookmarkStart w:id="0" w:name="_Toc119569274"/>
      <w:r>
        <w:rPr>
          <w:rFonts w:hint="eastAsia"/>
          <w:b/>
          <w:sz w:val="36"/>
          <w:szCs w:val="36"/>
          <w:highlight w:val="none"/>
        </w:rPr>
        <w:t>第五章   采购需求</w:t>
      </w:r>
      <w:bookmarkEnd w:id="0"/>
    </w:p>
    <w:p w14:paraId="32A5ED3F">
      <w:pPr>
        <w:pageBreakBefore w:val="0"/>
        <w:wordWrap/>
        <w:topLinePunct w:val="0"/>
        <w:bidi w:val="0"/>
        <w:snapToGrid w:val="0"/>
        <w:spacing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说明：</w:t>
      </w:r>
    </w:p>
    <w:p w14:paraId="1F84D8B4">
      <w:pPr>
        <w:pageBreakBefore w:val="0"/>
        <w:wordWrap/>
        <w:topLinePunct w:val="0"/>
        <w:bidi w:val="0"/>
        <w:snapToGrid w:val="0"/>
        <w:spacing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1.当采购项目涉及政务信息系统时，采购需求应当符合《政务信息系统政府采购管理暂行办法》（</w:t>
      </w:r>
      <w:bookmarkStart w:id="1" w:name="_GoBack"/>
      <w:bookmarkEnd w:id="1"/>
      <w:r>
        <w:rPr>
          <w:rFonts w:hint="eastAsia" w:ascii="黑体" w:hAnsi="黑体" w:eastAsia="黑体" w:cs="黑体"/>
          <w:sz w:val="30"/>
          <w:szCs w:val="30"/>
          <w:highlight w:val="none"/>
        </w:rPr>
        <w:t>财库〔2017〕210 号）的相关要求。</w:t>
      </w:r>
    </w:p>
    <w:p w14:paraId="03659E31">
      <w:pPr>
        <w:pageBreakBefore w:val="0"/>
        <w:wordWrap/>
        <w:topLinePunct w:val="0"/>
        <w:bidi w:val="0"/>
        <w:snapToGrid w:val="0"/>
        <w:spacing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2.采购人及采购代理机构应关注财政部门会同有关部门制定发布的需求标准，结合具体应用场景，根据对应《需求标准》确定采购需求。</w:t>
      </w:r>
    </w:p>
    <w:p w14:paraId="71B5C23B">
      <w:pPr>
        <w:pageBreakBefore w:val="0"/>
        <w:wordWrap/>
        <w:topLinePunct w:val="0"/>
        <w:bidi w:val="0"/>
        <w:snapToGrid w:val="0"/>
        <w:spacing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已发布的需求标准如下：</w:t>
      </w:r>
    </w:p>
    <w:p w14:paraId="6829FA0B">
      <w:pPr>
        <w:pageBreakBefore w:val="0"/>
        <w:wordWrap/>
        <w:topLinePunct w:val="0"/>
        <w:bidi w:val="0"/>
        <w:snapToGrid w:val="0"/>
        <w:spacing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《关于印发〈商品包装政府采购需求标准（试行）〉、〈快递包装政府采购需求标准（试</w:t>
      </w:r>
    </w:p>
    <w:p w14:paraId="4BEADD47">
      <w:pPr>
        <w:pageBreakBefore w:val="0"/>
        <w:wordWrap/>
        <w:topLinePunct w:val="0"/>
        <w:bidi w:val="0"/>
        <w:snapToGrid w:val="0"/>
        <w:spacing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行）〉的通知》（财办库﹝2020﹞123 号））</w:t>
      </w:r>
    </w:p>
    <w:p w14:paraId="629ABE51">
      <w:pPr>
        <w:pageBreakBefore w:val="0"/>
        <w:wordWrap/>
        <w:topLinePunct w:val="0"/>
        <w:bidi w:val="0"/>
        <w:snapToGrid w:val="0"/>
        <w:spacing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《绿色数据中心政府采购需求标准（试行）》（财库〔2023〕7 号）</w:t>
      </w:r>
    </w:p>
    <w:p w14:paraId="682AA993">
      <w:pPr>
        <w:pageBreakBefore w:val="0"/>
        <w:wordWrap/>
        <w:topLinePunct w:val="0"/>
        <w:bidi w:val="0"/>
        <w:snapToGrid w:val="0"/>
        <w:spacing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《台式计算机政府采购需求标准（2023 年版）》（财库〔2023〕29 号）</w:t>
      </w:r>
    </w:p>
    <w:p w14:paraId="3DEF4789">
      <w:pPr>
        <w:pageBreakBefore w:val="0"/>
        <w:wordWrap/>
        <w:topLinePunct w:val="0"/>
        <w:bidi w:val="0"/>
        <w:snapToGrid w:val="0"/>
        <w:spacing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《便携式计算机政府采购需求标准（2023 年版）》（财库〔2023〕30 号）</w:t>
      </w:r>
    </w:p>
    <w:p w14:paraId="008F2FFB">
      <w:pPr>
        <w:pageBreakBefore w:val="0"/>
        <w:wordWrap/>
        <w:topLinePunct w:val="0"/>
        <w:bidi w:val="0"/>
        <w:snapToGrid w:val="0"/>
        <w:spacing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《一体式计算机政府采购需求标准（2023 年版）》（财库〔2023〕31 号）</w:t>
      </w:r>
    </w:p>
    <w:p w14:paraId="79E37967">
      <w:pPr>
        <w:pageBreakBefore w:val="0"/>
        <w:wordWrap/>
        <w:topLinePunct w:val="0"/>
        <w:bidi w:val="0"/>
        <w:snapToGrid w:val="0"/>
        <w:spacing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《工作站政府采购需求标准（2023 年版）》（财库〔2023〕32 号）</w:t>
      </w:r>
    </w:p>
    <w:p w14:paraId="2EE4993C">
      <w:pPr>
        <w:pageBreakBefore w:val="0"/>
        <w:wordWrap/>
        <w:topLinePunct w:val="0"/>
        <w:bidi w:val="0"/>
        <w:snapToGrid w:val="0"/>
        <w:spacing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《通用服务器政府采购需求标准（2023 年版）》（财库〔2023〕33 号）</w:t>
      </w:r>
    </w:p>
    <w:p w14:paraId="71D053F8">
      <w:pPr>
        <w:pageBreakBefore w:val="0"/>
        <w:wordWrap/>
        <w:topLinePunct w:val="0"/>
        <w:bidi w:val="0"/>
        <w:snapToGrid w:val="0"/>
        <w:spacing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《操作系统政府采购需求标准（2023 年版）》（财库〔2023〕34 号）</w:t>
      </w:r>
    </w:p>
    <w:p w14:paraId="540A778D">
      <w:pPr>
        <w:pageBreakBefore w:val="0"/>
        <w:wordWrap/>
        <w:topLinePunct w:val="0"/>
        <w:bidi w:val="0"/>
        <w:snapToGrid w:val="0"/>
        <w:spacing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《数据库政府采购需求标准（2023 年版）》（财库〔2023〕35 号）</w:t>
      </w:r>
    </w:p>
    <w:p w14:paraId="4F2D2D47">
      <w:pPr>
        <w:pageBreakBefore w:val="0"/>
        <w:wordWrap/>
        <w:topLinePunct w:val="0"/>
        <w:bidi w:val="0"/>
        <w:snapToGrid w:val="0"/>
        <w:spacing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《物业管理服务政府采购需求标准（办公场所类）（试行）》（财办库〔2024〕113 号）</w:t>
      </w:r>
    </w:p>
    <w:p w14:paraId="399815B1">
      <w:pPr>
        <w:pStyle w:val="6"/>
        <w:pageBreakBefore w:val="0"/>
        <w:wordWrap/>
        <w:topLinePunct w:val="0"/>
        <w:bidi w:val="0"/>
        <w:snapToGrid w:val="0"/>
        <w:spacing w:line="360" w:lineRule="auto"/>
        <w:ind w:firstLine="0" w:firstLineChars="0"/>
        <w:contextualSpacing/>
        <w:rPr>
          <w:rFonts w:hint="eastAsia" w:ascii="黑体" w:hAnsi="黑体" w:eastAsia="黑体" w:cs="黑体"/>
          <w:sz w:val="30"/>
          <w:szCs w:val="30"/>
          <w:highlight w:val="none"/>
        </w:rPr>
      </w:pPr>
      <w:r>
        <w:rPr>
          <w:rFonts w:hint="eastAsia" w:ascii="黑体" w:hAnsi="黑体" w:eastAsia="黑体" w:cs="黑体"/>
          <w:sz w:val="30"/>
          <w:szCs w:val="30"/>
          <w:highlight w:val="none"/>
        </w:rPr>
        <w:t>如有更新或增加，以财政部门发布为准。</w:t>
      </w:r>
    </w:p>
    <w:p w14:paraId="3B5E89A1">
      <w:pPr>
        <w:pStyle w:val="6"/>
        <w:pageBreakBefore w:val="0"/>
        <w:wordWrap/>
        <w:topLinePunct w:val="0"/>
        <w:bidi w:val="0"/>
        <w:snapToGrid w:val="0"/>
        <w:spacing w:line="360" w:lineRule="auto"/>
        <w:ind w:firstLine="0" w:firstLineChars="0"/>
        <w:contextualSpacing/>
        <w:rPr>
          <w:rFonts w:hint="eastAsia" w:ascii="仿宋" w:hAnsi="仿宋" w:eastAsia="仿宋" w:cs="仿宋"/>
          <w:b/>
          <w:sz w:val="24"/>
          <w:szCs w:val="24"/>
          <w:highlight w:val="none"/>
        </w:rPr>
      </w:pPr>
    </w:p>
    <w:p w14:paraId="329933D7">
      <w:pPr>
        <w:pageBreakBefore w:val="0"/>
        <w:wordWrap/>
        <w:topLinePunct w:val="0"/>
        <w:bidi w:val="0"/>
        <w:snapToGrid w:val="0"/>
        <w:spacing w:line="360" w:lineRule="auto"/>
        <w:rPr>
          <w:rFonts w:hint="eastAsia" w:ascii="仿宋" w:hAnsi="仿宋" w:eastAsia="仿宋" w:cs="仿宋"/>
          <w:b/>
          <w:sz w:val="24"/>
          <w:highlight w:val="none"/>
        </w:rPr>
      </w:pPr>
      <w:r>
        <w:rPr>
          <w:rFonts w:hint="eastAsia" w:ascii="仿宋" w:hAnsi="仿宋" w:eastAsia="仿宋" w:cs="仿宋"/>
          <w:b/>
          <w:sz w:val="24"/>
          <w:highlight w:val="none"/>
        </w:rPr>
        <w:br w:type="page"/>
      </w:r>
    </w:p>
    <w:p w14:paraId="1AB56270">
      <w:pPr>
        <w:keepNext w:val="0"/>
        <w:keepLines w:val="0"/>
        <w:pageBreakBefore w:val="0"/>
        <w:tabs>
          <w:tab w:val="left" w:pos="900"/>
        </w:tabs>
        <w:kinsoku/>
        <w:wordWrap/>
        <w:overflowPunct/>
        <w:topLinePunct w:val="0"/>
        <w:autoSpaceDE/>
        <w:autoSpaceDN/>
        <w:bidi w:val="0"/>
        <w:adjustRightInd/>
        <w:snapToGrid w:val="0"/>
        <w:spacing w:beforeAutospacing="0" w:afterAutospacing="0" w:line="360" w:lineRule="auto"/>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一、采购标的需实现的功能或者目标，以及为落实政府采购政策需满足的要求：</w:t>
      </w:r>
    </w:p>
    <w:p w14:paraId="3823E0AE">
      <w:pPr>
        <w:keepNext w:val="0"/>
        <w:keepLines w:val="0"/>
        <w:pageBreakBefore w:val="0"/>
        <w:tabs>
          <w:tab w:val="left" w:pos="900"/>
        </w:tabs>
        <w:kinsoku/>
        <w:wordWrap/>
        <w:overflowPunct/>
        <w:topLinePunct w:val="0"/>
        <w:autoSpaceDE/>
        <w:autoSpaceDN/>
        <w:bidi w:val="0"/>
        <w:adjustRightInd/>
        <w:snapToGrid w:val="0"/>
        <w:spacing w:beforeAutospacing="0" w:afterAutospacing="0" w:line="360" w:lineRule="auto"/>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（一）采购标的需实现的功能或者目标</w:t>
      </w:r>
    </w:p>
    <w:p w14:paraId="3D425D3A">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本次招标所涉及购买辅助工作人员劳务派遣服务是指自协议采购服务资格期限内，</w:t>
      </w:r>
      <w:r>
        <w:rPr>
          <w:rFonts w:hint="eastAsia" w:ascii="仿宋_GB2312" w:hAnsi="仿宋_GB2312" w:eastAsia="仿宋_GB2312" w:cs="仿宋_GB2312"/>
          <w:color w:val="000000"/>
          <w:sz w:val="28"/>
          <w:szCs w:val="28"/>
          <w:highlight w:val="none"/>
        </w:rPr>
        <w:t>北京市朝阳区</w:t>
      </w:r>
      <w:r>
        <w:rPr>
          <w:rFonts w:hint="eastAsia" w:ascii="仿宋_GB2312" w:hAnsi="仿宋_GB2312" w:eastAsia="仿宋_GB2312" w:cs="仿宋_GB2312"/>
          <w:color w:val="000000"/>
          <w:sz w:val="28"/>
          <w:szCs w:val="28"/>
          <w:highlight w:val="none"/>
          <w:lang w:val="en-US" w:eastAsia="zh-CN"/>
        </w:rPr>
        <w:t>紧急医疗救援中心</w:t>
      </w:r>
      <w:r>
        <w:rPr>
          <w:rFonts w:hint="eastAsia" w:ascii="仿宋_GB2312" w:hAnsi="仿宋_GB2312" w:eastAsia="仿宋_GB2312" w:cs="仿宋_GB2312"/>
          <w:sz w:val="28"/>
          <w:szCs w:val="28"/>
          <w:highlight w:val="none"/>
        </w:rPr>
        <w:t>因工作需要，通过购买社会服务方式向具有特定资质的中标人购买的劳务派遣服务。</w:t>
      </w:r>
    </w:p>
    <w:p w14:paraId="26C88085">
      <w:pPr>
        <w:keepNext w:val="0"/>
        <w:keepLines w:val="0"/>
        <w:pageBreakBefore w:val="0"/>
        <w:tabs>
          <w:tab w:val="left" w:pos="900"/>
        </w:tabs>
        <w:kinsoku/>
        <w:wordWrap/>
        <w:overflowPunct/>
        <w:topLinePunct w:val="0"/>
        <w:autoSpaceDE/>
        <w:autoSpaceDN/>
        <w:bidi w:val="0"/>
        <w:adjustRightInd/>
        <w:snapToGrid w:val="0"/>
        <w:spacing w:beforeAutospacing="0" w:afterAutospacing="0" w:line="360" w:lineRule="auto"/>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（二）为落实政府采购政策需满足的要求</w:t>
      </w:r>
    </w:p>
    <w:p w14:paraId="03718206">
      <w:pPr>
        <w:keepNext w:val="0"/>
        <w:keepLines w:val="0"/>
        <w:pageBreakBefore w:val="0"/>
        <w:numPr>
          <w:ilvl w:val="0"/>
          <w:numId w:val="1"/>
        </w:numPr>
        <w:tabs>
          <w:tab w:val="left" w:pos="900"/>
        </w:tabs>
        <w:kinsoku/>
        <w:wordWrap/>
        <w:overflowPunct/>
        <w:topLinePunct w:val="0"/>
        <w:autoSpaceDE/>
        <w:autoSpaceDN/>
        <w:bidi w:val="0"/>
        <w:adjustRightInd/>
        <w:snapToGrid w:val="0"/>
        <w:spacing w:beforeAutospacing="0" w:afterAutospacing="0" w:line="360" w:lineRule="auto"/>
        <w:ind w:left="630" w:leftChars="0" w:firstLine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促进中小企业发展政策：根据《政府采购促进中小企业发展暂行办法》规定，本项目投标人提供的货物全部由符合政策要求的</w:t>
      </w:r>
      <w:r>
        <w:rPr>
          <w:rFonts w:hint="eastAsia" w:ascii="仿宋_GB2312" w:hAnsi="仿宋_GB2312" w:eastAsia="仿宋_GB2312" w:cs="仿宋_GB2312"/>
          <w:sz w:val="28"/>
          <w:szCs w:val="28"/>
          <w:highlight w:val="none"/>
          <w:lang w:val="en-US" w:eastAsia="zh-CN"/>
        </w:rPr>
        <w:t>小微</w:t>
      </w:r>
      <w:r>
        <w:rPr>
          <w:rFonts w:hint="eastAsia" w:ascii="仿宋_GB2312" w:hAnsi="仿宋_GB2312" w:eastAsia="仿宋_GB2312" w:cs="仿宋_GB2312"/>
          <w:sz w:val="28"/>
          <w:szCs w:val="28"/>
          <w:highlight w:val="none"/>
        </w:rPr>
        <w:t>企业制造、服务全部由符合政策要求的</w:t>
      </w:r>
      <w:r>
        <w:rPr>
          <w:rFonts w:hint="eastAsia" w:ascii="仿宋_GB2312" w:hAnsi="仿宋_GB2312" w:eastAsia="仿宋_GB2312" w:cs="仿宋_GB2312"/>
          <w:sz w:val="28"/>
          <w:szCs w:val="28"/>
          <w:highlight w:val="none"/>
          <w:lang w:val="en-US" w:eastAsia="zh-CN"/>
        </w:rPr>
        <w:t>小微</w:t>
      </w:r>
      <w:r>
        <w:rPr>
          <w:rFonts w:hint="eastAsia" w:ascii="仿宋_GB2312" w:hAnsi="仿宋_GB2312" w:eastAsia="仿宋_GB2312" w:cs="仿宋_GB2312"/>
          <w:sz w:val="28"/>
          <w:szCs w:val="28"/>
          <w:highlight w:val="none"/>
        </w:rPr>
        <w:t>企业承接，</w:t>
      </w:r>
      <w:r>
        <w:rPr>
          <w:rFonts w:hint="eastAsia" w:ascii="仿宋_GB2312" w:hAnsi="仿宋_GB2312" w:eastAsia="仿宋_GB2312" w:cs="仿宋_GB2312"/>
          <w:b/>
          <w:sz w:val="28"/>
          <w:szCs w:val="28"/>
          <w:highlight w:val="none"/>
        </w:rPr>
        <w:t>投标人应出具招标文件要求的《中小企业声明函》给予证明，否则评标时不予认可</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b/>
          <w:sz w:val="28"/>
          <w:szCs w:val="28"/>
          <w:highlight w:val="none"/>
        </w:rPr>
        <w:t>投标人应对提交的中小企业声明函的真实性负责，</w:t>
      </w:r>
      <w:r>
        <w:rPr>
          <w:rFonts w:hint="eastAsia" w:ascii="仿宋_GB2312" w:hAnsi="仿宋_GB2312" w:eastAsia="仿宋_GB2312" w:cs="仿宋_GB2312"/>
          <w:sz w:val="28"/>
          <w:szCs w:val="28"/>
          <w:highlight w:val="none"/>
        </w:rPr>
        <w:t>提交的中小企业声明函不真实的，应承担相应的法律责任。</w:t>
      </w:r>
    </w:p>
    <w:p w14:paraId="3160AD0F">
      <w:pPr>
        <w:keepNext w:val="0"/>
        <w:keepLines w:val="0"/>
        <w:pageBreakBefore w:val="0"/>
        <w:numPr>
          <w:ilvl w:val="0"/>
          <w:numId w:val="1"/>
        </w:numPr>
        <w:tabs>
          <w:tab w:val="left" w:pos="900"/>
        </w:tabs>
        <w:kinsoku/>
        <w:wordWrap/>
        <w:overflowPunct/>
        <w:topLinePunct w:val="0"/>
        <w:autoSpaceDE/>
        <w:autoSpaceDN/>
        <w:bidi w:val="0"/>
        <w:adjustRightInd/>
        <w:snapToGrid w:val="0"/>
        <w:spacing w:beforeAutospacing="0" w:afterAutospacing="0" w:line="360" w:lineRule="auto"/>
        <w:ind w:left="630" w:leftChars="0" w:firstLine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监狱企业扶持政策：</w:t>
      </w:r>
      <w:r>
        <w:rPr>
          <w:rFonts w:hint="eastAsia" w:ascii="仿宋_GB2312" w:hAnsi="仿宋_GB2312" w:eastAsia="仿宋_GB2312" w:cs="仿宋_GB2312"/>
          <w:iCs/>
          <w:sz w:val="28"/>
          <w:szCs w:val="28"/>
          <w:highlight w:val="none"/>
        </w:rPr>
        <w:t>投标人如为监狱企业将视同为小型或微型企业，</w:t>
      </w:r>
      <w:r>
        <w:rPr>
          <w:rFonts w:hint="eastAsia" w:ascii="仿宋_GB2312" w:hAnsi="仿宋_GB2312" w:eastAsia="仿宋_GB2312" w:cs="仿宋_GB2312"/>
          <w:sz w:val="28"/>
          <w:szCs w:val="28"/>
          <w:highlight w:val="none"/>
        </w:rPr>
        <w:t>且所投产品为小型或微型企业生产的，</w:t>
      </w:r>
      <w:r>
        <w:rPr>
          <w:rFonts w:hint="eastAsia" w:ascii="仿宋_GB2312" w:hAnsi="仿宋_GB2312" w:eastAsia="仿宋_GB2312" w:cs="仿宋_GB2312"/>
          <w:iCs/>
          <w:sz w:val="28"/>
          <w:szCs w:val="28"/>
          <w:highlight w:val="none"/>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Pr>
          <w:rFonts w:hint="eastAsia" w:ascii="仿宋_GB2312" w:hAnsi="仿宋_GB2312" w:eastAsia="仿宋_GB2312" w:cs="仿宋_GB2312"/>
          <w:sz w:val="28"/>
          <w:szCs w:val="28"/>
          <w:highlight w:val="none"/>
        </w:rPr>
        <w:t>。</w:t>
      </w:r>
    </w:p>
    <w:p w14:paraId="06AE6236">
      <w:pPr>
        <w:keepNext w:val="0"/>
        <w:keepLines w:val="0"/>
        <w:pageBreakBefore w:val="0"/>
        <w:numPr>
          <w:ilvl w:val="0"/>
          <w:numId w:val="1"/>
        </w:numPr>
        <w:tabs>
          <w:tab w:val="left" w:pos="900"/>
        </w:tabs>
        <w:kinsoku/>
        <w:wordWrap/>
        <w:overflowPunct/>
        <w:topLinePunct w:val="0"/>
        <w:autoSpaceDE/>
        <w:autoSpaceDN/>
        <w:bidi w:val="0"/>
        <w:adjustRightInd/>
        <w:snapToGrid w:val="0"/>
        <w:spacing w:beforeAutospacing="0" w:afterAutospacing="0" w:line="360" w:lineRule="auto"/>
        <w:ind w:left="630" w:leftChars="0" w:firstLine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14:paraId="4D6A632A">
      <w:pPr>
        <w:keepNext w:val="0"/>
        <w:keepLines w:val="0"/>
        <w:pageBreakBefore w:val="0"/>
        <w:numPr>
          <w:ilvl w:val="0"/>
          <w:numId w:val="1"/>
        </w:numPr>
        <w:tabs>
          <w:tab w:val="left" w:pos="900"/>
        </w:tabs>
        <w:kinsoku/>
        <w:wordWrap/>
        <w:overflowPunct/>
        <w:topLinePunct w:val="0"/>
        <w:autoSpaceDE/>
        <w:autoSpaceDN/>
        <w:bidi w:val="0"/>
        <w:adjustRightInd/>
        <w:snapToGrid w:val="0"/>
        <w:spacing w:beforeAutospacing="0" w:afterAutospacing="0" w:line="360" w:lineRule="auto"/>
        <w:ind w:left="630" w:leftChars="0" w:firstLine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鼓励节能政策：投标人的</w:t>
      </w:r>
      <w:r>
        <w:rPr>
          <w:rFonts w:hint="eastAsia" w:ascii="仿宋_GB2312" w:hAnsi="仿宋_GB2312" w:eastAsia="仿宋_GB2312" w:cs="仿宋_GB2312"/>
          <w:kern w:val="0"/>
          <w:sz w:val="28"/>
          <w:szCs w:val="28"/>
          <w:highlight w:val="none"/>
        </w:rPr>
        <w:t>投标产品属于财政部、发展改革委公布的“节能产品政府采购品目清单”范围的</w:t>
      </w:r>
      <w:r>
        <w:rPr>
          <w:rFonts w:hint="eastAsia" w:ascii="仿宋_GB2312" w:hAnsi="仿宋_GB2312" w:eastAsia="仿宋_GB2312" w:cs="仿宋_GB2312"/>
          <w:sz w:val="28"/>
          <w:szCs w:val="28"/>
          <w:highlight w:val="none"/>
        </w:rPr>
        <w:t>，投标人需提供</w:t>
      </w:r>
      <w:r>
        <w:rPr>
          <w:rFonts w:hint="eastAsia" w:ascii="仿宋_GB2312" w:hAnsi="仿宋_GB2312" w:eastAsia="仿宋_GB2312" w:cs="仿宋_GB2312"/>
          <w:kern w:val="0"/>
          <w:sz w:val="28"/>
          <w:szCs w:val="28"/>
          <w:highlight w:val="none"/>
        </w:rPr>
        <w:t>国家确定的</w:t>
      </w:r>
      <w:r>
        <w:rPr>
          <w:rFonts w:hint="eastAsia" w:ascii="仿宋_GB2312" w:hAnsi="仿宋_GB2312" w:eastAsia="仿宋_GB2312" w:cs="仿宋_GB2312"/>
          <w:sz w:val="28"/>
          <w:szCs w:val="28"/>
          <w:highlight w:val="none"/>
        </w:rPr>
        <w:t>认证机构出具的、处于有效期之内的节能产品认证证书。</w:t>
      </w:r>
      <w:r>
        <w:rPr>
          <w:rFonts w:hint="eastAsia" w:ascii="仿宋_GB2312" w:hAnsi="仿宋_GB2312" w:eastAsia="仿宋_GB2312" w:cs="仿宋_GB2312"/>
          <w:kern w:val="0"/>
          <w:sz w:val="28"/>
          <w:szCs w:val="28"/>
          <w:highlight w:val="none"/>
        </w:rPr>
        <w:t>国家确定的</w:t>
      </w:r>
      <w:r>
        <w:rPr>
          <w:rFonts w:hint="eastAsia" w:ascii="仿宋_GB2312" w:hAnsi="仿宋_GB2312" w:eastAsia="仿宋_GB2312" w:cs="仿宋_GB2312"/>
          <w:sz w:val="28"/>
          <w:szCs w:val="28"/>
          <w:highlight w:val="none"/>
        </w:rPr>
        <w:t>认证机构和节能产品获证产品信息可从市场监管总局组建的节能产品、环境标志产品认证结果信息发布平台或中国政府采购网（www.ccgp.gov.cn）建立的认证结果信息发布平台链接中查询下载。</w:t>
      </w:r>
    </w:p>
    <w:p w14:paraId="64E0674F">
      <w:pPr>
        <w:keepNext w:val="0"/>
        <w:keepLines w:val="0"/>
        <w:pageBreakBefore w:val="0"/>
        <w:numPr>
          <w:ilvl w:val="0"/>
          <w:numId w:val="1"/>
        </w:numPr>
        <w:tabs>
          <w:tab w:val="left" w:pos="900"/>
        </w:tabs>
        <w:kinsoku/>
        <w:wordWrap/>
        <w:overflowPunct/>
        <w:topLinePunct w:val="0"/>
        <w:autoSpaceDE/>
        <w:autoSpaceDN/>
        <w:bidi w:val="0"/>
        <w:adjustRightInd/>
        <w:snapToGrid w:val="0"/>
        <w:spacing w:beforeAutospacing="0" w:afterAutospacing="0" w:line="360" w:lineRule="auto"/>
        <w:ind w:left="630" w:leftChars="0" w:firstLine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鼓励环保政策：投标人的</w:t>
      </w:r>
      <w:r>
        <w:rPr>
          <w:rFonts w:hint="eastAsia" w:ascii="仿宋_GB2312" w:hAnsi="仿宋_GB2312" w:eastAsia="仿宋_GB2312" w:cs="仿宋_GB2312"/>
          <w:kern w:val="0"/>
          <w:sz w:val="28"/>
          <w:szCs w:val="28"/>
          <w:highlight w:val="none"/>
        </w:rPr>
        <w:t>投标产品属于财政部、生态环境部公布的“环境标志产品政府采购品目清单”范围的</w:t>
      </w:r>
      <w:r>
        <w:rPr>
          <w:rFonts w:hint="eastAsia" w:ascii="仿宋_GB2312" w:hAnsi="仿宋_GB2312" w:eastAsia="仿宋_GB2312" w:cs="仿宋_GB2312"/>
          <w:sz w:val="28"/>
          <w:szCs w:val="28"/>
          <w:highlight w:val="none"/>
        </w:rPr>
        <w:t>，投标人需提供</w:t>
      </w:r>
      <w:r>
        <w:rPr>
          <w:rFonts w:hint="eastAsia" w:ascii="仿宋_GB2312" w:hAnsi="仿宋_GB2312" w:eastAsia="仿宋_GB2312" w:cs="仿宋_GB2312"/>
          <w:kern w:val="0"/>
          <w:sz w:val="28"/>
          <w:szCs w:val="28"/>
          <w:highlight w:val="none"/>
        </w:rPr>
        <w:t>国家确定的</w:t>
      </w:r>
      <w:r>
        <w:rPr>
          <w:rFonts w:hint="eastAsia" w:ascii="仿宋_GB2312" w:hAnsi="仿宋_GB2312" w:eastAsia="仿宋_GB2312" w:cs="仿宋_GB2312"/>
          <w:sz w:val="28"/>
          <w:szCs w:val="28"/>
          <w:highlight w:val="none"/>
        </w:rPr>
        <w:t>认证机构出具的、处于有效期之内的</w:t>
      </w:r>
      <w:r>
        <w:rPr>
          <w:rFonts w:hint="eastAsia" w:ascii="仿宋_GB2312" w:hAnsi="仿宋_GB2312" w:eastAsia="仿宋_GB2312" w:cs="仿宋_GB2312"/>
          <w:kern w:val="0"/>
          <w:sz w:val="28"/>
          <w:szCs w:val="28"/>
          <w:highlight w:val="none"/>
        </w:rPr>
        <w:t>环境标志</w:t>
      </w:r>
      <w:r>
        <w:rPr>
          <w:rFonts w:hint="eastAsia" w:ascii="仿宋_GB2312" w:hAnsi="仿宋_GB2312" w:eastAsia="仿宋_GB2312" w:cs="仿宋_GB2312"/>
          <w:sz w:val="28"/>
          <w:szCs w:val="28"/>
          <w:highlight w:val="none"/>
        </w:rPr>
        <w:t>产品认证证书。</w:t>
      </w:r>
      <w:r>
        <w:rPr>
          <w:rFonts w:hint="eastAsia" w:ascii="仿宋_GB2312" w:hAnsi="仿宋_GB2312" w:eastAsia="仿宋_GB2312" w:cs="仿宋_GB2312"/>
          <w:kern w:val="0"/>
          <w:sz w:val="28"/>
          <w:szCs w:val="28"/>
          <w:highlight w:val="none"/>
        </w:rPr>
        <w:t>国家确定的</w:t>
      </w:r>
      <w:r>
        <w:rPr>
          <w:rFonts w:hint="eastAsia" w:ascii="仿宋_GB2312" w:hAnsi="仿宋_GB2312" w:eastAsia="仿宋_GB2312" w:cs="仿宋_GB2312"/>
          <w:sz w:val="28"/>
          <w:szCs w:val="28"/>
          <w:highlight w:val="none"/>
        </w:rPr>
        <w:t>认证机构和</w:t>
      </w:r>
      <w:r>
        <w:rPr>
          <w:rFonts w:hint="eastAsia" w:ascii="仿宋_GB2312" w:hAnsi="仿宋_GB2312" w:eastAsia="仿宋_GB2312" w:cs="仿宋_GB2312"/>
          <w:kern w:val="0"/>
          <w:sz w:val="28"/>
          <w:szCs w:val="28"/>
          <w:highlight w:val="none"/>
        </w:rPr>
        <w:t>环境标志</w:t>
      </w:r>
      <w:r>
        <w:rPr>
          <w:rFonts w:hint="eastAsia" w:ascii="仿宋_GB2312" w:hAnsi="仿宋_GB2312" w:eastAsia="仿宋_GB2312" w:cs="仿宋_GB2312"/>
          <w:sz w:val="28"/>
          <w:szCs w:val="28"/>
          <w:highlight w:val="none"/>
        </w:rPr>
        <w:t>产品获证产品信息可从市场监管总局组建的节能产品、环境标志产品认证结果信息发布平台或中国政府采购网（www.ccgp.gov.cn）建立的认证结果信息发布平台链接中查询下载。</w:t>
      </w:r>
    </w:p>
    <w:p w14:paraId="6A7A39E4">
      <w:pPr>
        <w:keepNext w:val="0"/>
        <w:keepLines w:val="0"/>
        <w:pageBreakBefore w:val="0"/>
        <w:tabs>
          <w:tab w:val="left" w:pos="900"/>
        </w:tabs>
        <w:kinsoku/>
        <w:wordWrap/>
        <w:overflowPunct/>
        <w:topLinePunct w:val="0"/>
        <w:autoSpaceDE/>
        <w:autoSpaceDN/>
        <w:bidi w:val="0"/>
        <w:adjustRightInd/>
        <w:snapToGrid w:val="0"/>
        <w:spacing w:beforeAutospacing="0" w:afterAutospacing="0" w:line="360" w:lineRule="auto"/>
        <w:textAlignment w:val="auto"/>
        <w:rPr>
          <w:rFonts w:hint="default" w:ascii="仿宋_GB2312" w:hAnsi="仿宋_GB2312" w:eastAsia="仿宋_GB2312" w:cs="仿宋_GB2312"/>
          <w:sz w:val="28"/>
          <w:szCs w:val="28"/>
          <w:highlight w:val="none"/>
          <w:u w:val="single"/>
          <w:lang w:val="en-US" w:eastAsia="zh-CN"/>
        </w:rPr>
      </w:pPr>
      <w:r>
        <w:rPr>
          <w:rFonts w:hint="eastAsia" w:ascii="仿宋_GB2312" w:hAnsi="仿宋_GB2312" w:eastAsia="仿宋_GB2312" w:cs="仿宋_GB2312"/>
          <w:b/>
          <w:sz w:val="28"/>
          <w:szCs w:val="28"/>
          <w:highlight w:val="none"/>
        </w:rPr>
        <w:t>二、采购标的需执行的国家相关标准、行业标准、地方标准或者其他标准、规范：</w:t>
      </w:r>
      <w:r>
        <w:rPr>
          <w:rFonts w:hint="eastAsia" w:ascii="仿宋_GB2312" w:hAnsi="仿宋_GB2312" w:eastAsia="仿宋_GB2312" w:cs="仿宋_GB2312"/>
          <w:b/>
          <w:sz w:val="28"/>
          <w:szCs w:val="28"/>
          <w:highlight w:val="none"/>
          <w:lang w:val="en-US" w:eastAsia="zh-CN"/>
        </w:rPr>
        <w:t>按照国家和北京市相关规定执行。</w:t>
      </w:r>
    </w:p>
    <w:p w14:paraId="58939F5B">
      <w:pPr>
        <w:keepNext w:val="0"/>
        <w:keepLines w:val="0"/>
        <w:pageBreakBefore w:val="0"/>
        <w:tabs>
          <w:tab w:val="left" w:pos="900"/>
        </w:tabs>
        <w:kinsoku/>
        <w:wordWrap/>
        <w:overflowPunct/>
        <w:topLinePunct w:val="0"/>
        <w:autoSpaceDE/>
        <w:autoSpaceDN/>
        <w:bidi w:val="0"/>
        <w:adjustRightInd/>
        <w:snapToGrid w:val="0"/>
        <w:spacing w:beforeAutospacing="0" w:afterAutospacing="0" w:line="360" w:lineRule="auto"/>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三、采购标的的数量、采购项目交付或者实施的时间和地点：</w:t>
      </w:r>
    </w:p>
    <w:p w14:paraId="5768D80B">
      <w:pPr>
        <w:keepNext w:val="0"/>
        <w:keepLines w:val="0"/>
        <w:pageBreakBefore w:val="0"/>
        <w:kinsoku/>
        <w:wordWrap/>
        <w:overflowPunct/>
        <w:topLinePunct w:val="0"/>
        <w:autoSpaceDE/>
        <w:autoSpaceDN/>
        <w:bidi w:val="0"/>
        <w:adjustRightInd/>
        <w:snapToGrid w:val="0"/>
        <w:spacing w:beforeAutospacing="0" w:afterAutospacing="0" w:line="360" w:lineRule="auto"/>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（一）采购标的的数量 </w:t>
      </w:r>
    </w:p>
    <w:tbl>
      <w:tblPr>
        <w:tblStyle w:val="4"/>
        <w:tblW w:w="4998"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45"/>
        <w:gridCol w:w="3146"/>
        <w:gridCol w:w="2785"/>
        <w:gridCol w:w="1543"/>
      </w:tblGrid>
      <w:tr w14:paraId="03078F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2" w:hRule="atLeast"/>
          <w:jc w:val="center"/>
        </w:trPr>
        <w:tc>
          <w:tcPr>
            <w:tcW w:w="613" w:type="pct"/>
            <w:shd w:val="clear" w:color="auto" w:fill="auto"/>
            <w:vAlign w:val="center"/>
          </w:tcPr>
          <w:p w14:paraId="7C7DD90F">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包号</w:t>
            </w:r>
          </w:p>
        </w:tc>
        <w:tc>
          <w:tcPr>
            <w:tcW w:w="1846" w:type="pct"/>
            <w:tcBorders>
              <w:right w:val="single" w:color="auto" w:sz="4" w:space="0"/>
            </w:tcBorders>
            <w:shd w:val="clear" w:color="000000" w:fill="FFFFFF"/>
            <w:vAlign w:val="center"/>
          </w:tcPr>
          <w:p w14:paraId="7C4C44BB">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包名称</w:t>
            </w:r>
          </w:p>
        </w:tc>
        <w:tc>
          <w:tcPr>
            <w:tcW w:w="1634" w:type="pct"/>
            <w:tcBorders>
              <w:right w:val="single" w:color="auto" w:sz="4" w:space="0"/>
            </w:tcBorders>
            <w:shd w:val="clear" w:color="000000" w:fill="FFFFFF"/>
            <w:vAlign w:val="center"/>
          </w:tcPr>
          <w:p w14:paraId="661FE0FA">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仿宋" w:hAnsi="仿宋" w:eastAsia="仿宋" w:cs="仿宋"/>
                <w:b/>
                <w:bCs/>
                <w:kern w:val="0"/>
                <w:sz w:val="28"/>
                <w:szCs w:val="28"/>
                <w:highlight w:val="none"/>
                <w:lang w:eastAsia="zh-CN"/>
              </w:rPr>
            </w:pPr>
            <w:r>
              <w:rPr>
                <w:rFonts w:hint="eastAsia" w:ascii="仿宋" w:hAnsi="仿宋" w:eastAsia="仿宋" w:cs="仿宋"/>
                <w:b/>
                <w:bCs/>
                <w:kern w:val="0"/>
                <w:sz w:val="28"/>
                <w:szCs w:val="28"/>
                <w:highlight w:val="none"/>
              </w:rPr>
              <w:t>采购标的</w:t>
            </w:r>
            <w:r>
              <w:rPr>
                <w:rFonts w:hint="eastAsia" w:ascii="仿宋" w:hAnsi="仿宋" w:eastAsia="仿宋" w:cs="仿宋"/>
                <w:b/>
                <w:bCs/>
                <w:kern w:val="0"/>
                <w:sz w:val="28"/>
                <w:szCs w:val="28"/>
                <w:highlight w:val="none"/>
                <w:lang w:val="en-US" w:eastAsia="zh-CN"/>
              </w:rPr>
              <w:t>内容</w:t>
            </w:r>
          </w:p>
        </w:tc>
        <w:tc>
          <w:tcPr>
            <w:tcW w:w="905" w:type="pct"/>
            <w:vAlign w:val="center"/>
          </w:tcPr>
          <w:p w14:paraId="6E49C0DF">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lang w:val="en-US" w:eastAsia="zh-CN"/>
              </w:rPr>
              <w:t>人员</w:t>
            </w:r>
            <w:r>
              <w:rPr>
                <w:rFonts w:hint="eastAsia" w:ascii="仿宋" w:hAnsi="仿宋" w:eastAsia="仿宋" w:cs="仿宋"/>
                <w:b/>
                <w:bCs/>
                <w:kern w:val="0"/>
                <w:sz w:val="28"/>
                <w:szCs w:val="28"/>
                <w:highlight w:val="none"/>
              </w:rPr>
              <w:t>数量</w:t>
            </w:r>
          </w:p>
        </w:tc>
      </w:tr>
      <w:tr w14:paraId="267EEC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4" w:hRule="atLeast"/>
          <w:jc w:val="center"/>
        </w:trPr>
        <w:tc>
          <w:tcPr>
            <w:tcW w:w="613" w:type="pct"/>
            <w:shd w:val="clear" w:color="auto" w:fill="auto"/>
            <w:vAlign w:val="center"/>
          </w:tcPr>
          <w:p w14:paraId="7CA87F38">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highlight w:val="none"/>
                <w:lang w:val="en-US" w:eastAsia="zh-CN"/>
              </w:rPr>
              <w:t>1</w:t>
            </w:r>
          </w:p>
        </w:tc>
        <w:tc>
          <w:tcPr>
            <w:tcW w:w="1846" w:type="pct"/>
            <w:tcBorders>
              <w:right w:val="single" w:color="auto" w:sz="4" w:space="0"/>
            </w:tcBorders>
            <w:shd w:val="clear" w:color="000000" w:fill="FFFFFF"/>
            <w:vAlign w:val="center"/>
          </w:tcPr>
          <w:p w14:paraId="2FC5EE47">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公共事务协管</w:t>
            </w:r>
          </w:p>
        </w:tc>
        <w:tc>
          <w:tcPr>
            <w:tcW w:w="1634" w:type="pct"/>
            <w:tcBorders>
              <w:right w:val="single" w:color="auto" w:sz="4" w:space="0"/>
            </w:tcBorders>
            <w:shd w:val="clear" w:color="000000" w:fill="FFFFFF"/>
            <w:vAlign w:val="center"/>
          </w:tcPr>
          <w:p w14:paraId="1361D64B">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医疗救护员</w:t>
            </w:r>
          </w:p>
        </w:tc>
        <w:tc>
          <w:tcPr>
            <w:tcW w:w="905" w:type="pct"/>
            <w:vAlign w:val="center"/>
          </w:tcPr>
          <w:p w14:paraId="6D49BA0A">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lang w:val="en-US" w:eastAsia="zh-CN"/>
              </w:rPr>
              <w:t>36</w:t>
            </w:r>
            <w:r>
              <w:rPr>
                <w:rFonts w:hint="eastAsia" w:ascii="仿宋" w:hAnsi="仿宋" w:eastAsia="仿宋" w:cs="仿宋"/>
                <w:kern w:val="0"/>
                <w:sz w:val="28"/>
                <w:szCs w:val="28"/>
                <w:highlight w:val="none"/>
              </w:rPr>
              <w:t>人</w:t>
            </w:r>
          </w:p>
        </w:tc>
      </w:tr>
    </w:tbl>
    <w:p w14:paraId="3AEFC2B4">
      <w:pPr>
        <w:keepNext w:val="0"/>
        <w:keepLines w:val="0"/>
        <w:pageBreakBefore w:val="0"/>
        <w:tabs>
          <w:tab w:val="left" w:pos="900"/>
        </w:tabs>
        <w:kinsoku/>
        <w:wordWrap/>
        <w:overflowPunct/>
        <w:topLinePunct w:val="0"/>
        <w:autoSpaceDE/>
        <w:autoSpaceDN/>
        <w:bidi w:val="0"/>
        <w:adjustRightInd/>
        <w:snapToGrid w:val="0"/>
        <w:spacing w:beforeAutospacing="0" w:afterAutospacing="0" w:line="360" w:lineRule="auto"/>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（二）采购项目交付或者实施的时间和地点</w:t>
      </w:r>
    </w:p>
    <w:p w14:paraId="243537ED">
      <w:pPr>
        <w:keepNext w:val="0"/>
        <w:keepLines w:val="0"/>
        <w:pageBreakBefore w:val="0"/>
        <w:numPr>
          <w:ilvl w:val="0"/>
          <w:numId w:val="2"/>
        </w:numPr>
        <w:tabs>
          <w:tab w:val="left" w:pos="900"/>
        </w:tabs>
        <w:kinsoku/>
        <w:wordWrap/>
        <w:overflowPunct/>
        <w:topLinePunct w:val="0"/>
        <w:autoSpaceDE/>
        <w:autoSpaceDN/>
        <w:bidi w:val="0"/>
        <w:adjustRightInd/>
        <w:snapToGrid w:val="0"/>
        <w:spacing w:beforeAutospacing="0" w:afterAutospacing="0" w:line="360" w:lineRule="auto"/>
        <w:ind w:left="0" w:leftChars="0"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项目（标的）实施的时间：自合同签订之日起12个月；按照财库〔2014〕37号文件的规定，本项目采购需求具有相对固定性、延续性且价格变化幅度小，在年度预算能保障的前提下，本项目合同服务期结束后，根据劳务派遣公司上一年度工作考评结果，通过后可续签下一年，续签最多不超过两次。</w:t>
      </w:r>
    </w:p>
    <w:p w14:paraId="2D546F7D">
      <w:pPr>
        <w:keepNext w:val="0"/>
        <w:keepLines w:val="0"/>
        <w:pageBreakBefore w:val="0"/>
        <w:numPr>
          <w:ilvl w:val="0"/>
          <w:numId w:val="2"/>
        </w:numPr>
        <w:tabs>
          <w:tab w:val="left" w:pos="900"/>
        </w:tabs>
        <w:kinsoku/>
        <w:wordWrap/>
        <w:overflowPunct/>
        <w:topLinePunct w:val="0"/>
        <w:autoSpaceDE/>
        <w:autoSpaceDN/>
        <w:bidi w:val="0"/>
        <w:adjustRightInd/>
        <w:snapToGrid w:val="0"/>
        <w:spacing w:beforeAutospacing="0" w:afterAutospacing="0" w:line="36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采购项目（标的）</w:t>
      </w:r>
      <w:r>
        <w:rPr>
          <w:rFonts w:hint="eastAsia" w:ascii="仿宋" w:hAnsi="仿宋" w:eastAsia="仿宋" w:cs="仿宋"/>
          <w:sz w:val="28"/>
          <w:szCs w:val="28"/>
          <w:highlight w:val="none"/>
          <w:lang w:val="en-US" w:eastAsia="zh-CN"/>
        </w:rPr>
        <w:t>实施地点：采购人指定地点。</w:t>
      </w:r>
    </w:p>
    <w:p w14:paraId="5F1814AF">
      <w:pPr>
        <w:keepNext w:val="0"/>
        <w:keepLines w:val="0"/>
        <w:pageBreakBefore w:val="0"/>
        <w:tabs>
          <w:tab w:val="left" w:pos="900"/>
        </w:tabs>
        <w:kinsoku/>
        <w:wordWrap/>
        <w:overflowPunct/>
        <w:topLinePunct w:val="0"/>
        <w:autoSpaceDE/>
        <w:autoSpaceDN/>
        <w:bidi w:val="0"/>
        <w:adjustRightInd/>
        <w:snapToGrid w:val="0"/>
        <w:spacing w:beforeAutospacing="0" w:afterAutospacing="0" w:line="360" w:lineRule="auto"/>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四、采购标的需满足的服务标准、期限、效率等要求</w:t>
      </w:r>
    </w:p>
    <w:p w14:paraId="037FF881">
      <w:pPr>
        <w:keepNext w:val="0"/>
        <w:keepLines w:val="0"/>
        <w:pageBreakBefore w:val="0"/>
        <w:tabs>
          <w:tab w:val="left" w:pos="900"/>
        </w:tabs>
        <w:kinsoku/>
        <w:wordWrap/>
        <w:overflowPunct/>
        <w:topLinePunct w:val="0"/>
        <w:autoSpaceDE/>
        <w:autoSpaceDN/>
        <w:bidi w:val="0"/>
        <w:adjustRightInd/>
        <w:snapToGrid w:val="0"/>
        <w:spacing w:beforeAutospacing="0" w:afterAutospacing="0" w:line="360" w:lineRule="auto"/>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（一）采购标的需满足的服务期限要求</w:t>
      </w:r>
    </w:p>
    <w:p w14:paraId="4F040213">
      <w:pPr>
        <w:keepNext w:val="0"/>
        <w:keepLines w:val="0"/>
        <w:pageBreakBefore w:val="0"/>
        <w:kinsoku/>
        <w:wordWrap/>
        <w:overflowPunct/>
        <w:topLinePunct w:val="0"/>
        <w:autoSpaceDE/>
        <w:autoSpaceDN/>
        <w:bidi w:val="0"/>
        <w:adjustRightInd/>
        <w:snapToGrid w:val="0"/>
        <w:spacing w:beforeAutospacing="0" w:afterAutospacing="0" w:line="360" w:lineRule="auto"/>
        <w:ind w:firstLine="66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自合同签订之日起12个月；按照财库〔2014〕37号文件的规定，本项目采购需求具有相对固定性、延续性且价格变化幅度小，在年度预算能保障的前提下，本项目合同服务期结束后，根据劳务派遣公司上一年度工作考评结果，通过后可续签下一年，续签最多不超过两次。</w:t>
      </w:r>
    </w:p>
    <w:p w14:paraId="4D33F6CF">
      <w:pPr>
        <w:keepNext w:val="0"/>
        <w:keepLines w:val="0"/>
        <w:pageBreakBefore w:val="0"/>
        <w:kinsoku/>
        <w:wordWrap/>
        <w:overflowPunct/>
        <w:topLinePunct w:val="0"/>
        <w:autoSpaceDE/>
        <w:autoSpaceDN/>
        <w:bidi w:val="0"/>
        <w:adjustRightInd/>
        <w:snapToGrid w:val="0"/>
        <w:spacing w:beforeAutospacing="0" w:afterAutospacing="0" w:line="360" w:lineRule="auto"/>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五、采购标的需满足的质量、安全、技术规格、物理特性等要求：</w:t>
      </w:r>
    </w:p>
    <w:p w14:paraId="44FC4DCB">
      <w:pPr>
        <w:keepNext w:val="0"/>
        <w:keepLines w:val="0"/>
        <w:pageBreakBefore w:val="0"/>
        <w:kinsoku/>
        <w:wordWrap/>
        <w:overflowPunct/>
        <w:topLinePunct w:val="0"/>
        <w:autoSpaceDE/>
        <w:autoSpaceDN/>
        <w:bidi w:val="0"/>
        <w:adjustRightInd/>
        <w:snapToGrid w:val="0"/>
        <w:spacing w:beforeAutospacing="0" w:afterAutospacing="0" w:line="360" w:lineRule="auto"/>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（一）采购内容</w:t>
      </w:r>
    </w:p>
    <w:p w14:paraId="68BC565E">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color w:val="000000"/>
          <w:sz w:val="28"/>
          <w:szCs w:val="28"/>
          <w:highlight w:val="none"/>
          <w:lang w:eastAsia="zh-CN"/>
        </w:rPr>
        <w:t>朝阳区编办核定的区救援中心36名劳务派遣编制人数。</w:t>
      </w:r>
    </w:p>
    <w:p w14:paraId="493D9D4F">
      <w:pPr>
        <w:keepNext w:val="0"/>
        <w:keepLines w:val="0"/>
        <w:pageBreakBefore w:val="0"/>
        <w:kinsoku/>
        <w:wordWrap/>
        <w:overflowPunct/>
        <w:topLinePunct w:val="0"/>
        <w:autoSpaceDE/>
        <w:autoSpaceDN/>
        <w:bidi w:val="0"/>
        <w:adjustRightInd/>
        <w:snapToGrid w:val="0"/>
        <w:spacing w:beforeAutospacing="0" w:afterAutospacing="0" w:line="360" w:lineRule="auto"/>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（二）采购数量</w:t>
      </w:r>
    </w:p>
    <w:p w14:paraId="42F24947">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劳务派遣</w:t>
      </w:r>
      <w:r>
        <w:rPr>
          <w:rFonts w:hint="eastAsia" w:ascii="仿宋" w:hAnsi="仿宋" w:eastAsia="仿宋" w:cs="仿宋"/>
          <w:sz w:val="28"/>
          <w:szCs w:val="28"/>
          <w:highlight w:val="none"/>
          <w:lang w:val="en-US" w:eastAsia="zh-CN"/>
        </w:rPr>
        <w:t>公司</w:t>
      </w:r>
      <w:r>
        <w:rPr>
          <w:rFonts w:hint="eastAsia" w:ascii="仿宋" w:hAnsi="仿宋" w:eastAsia="仿宋" w:cs="仿宋"/>
          <w:sz w:val="28"/>
          <w:szCs w:val="28"/>
          <w:highlight w:val="none"/>
        </w:rPr>
        <w:t>一家。</w:t>
      </w:r>
    </w:p>
    <w:p w14:paraId="39667B93">
      <w:pPr>
        <w:keepNext w:val="0"/>
        <w:keepLines w:val="0"/>
        <w:pageBreakBefore w:val="0"/>
        <w:kinsoku/>
        <w:wordWrap/>
        <w:overflowPunct/>
        <w:topLinePunct w:val="0"/>
        <w:autoSpaceDE/>
        <w:autoSpaceDN/>
        <w:bidi w:val="0"/>
        <w:adjustRightInd/>
        <w:snapToGrid w:val="0"/>
        <w:spacing w:beforeAutospacing="0" w:afterAutospacing="0" w:line="360" w:lineRule="auto"/>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（三）服务期限</w:t>
      </w:r>
    </w:p>
    <w:p w14:paraId="74D51CB9">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自合同签订之日起12个月；按照财库〔2014〕37号文件的规定，本项目采购需求具有相对固定性、延续性且价格变化幅度小，在年度预算能保障的前提下，本项目合同服务期结束后，根据劳务派遣公司上一年度工作考评结果，通过后可续签下一年，续签最多不超过两次。</w:t>
      </w:r>
    </w:p>
    <w:p w14:paraId="7D1EF99B">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360" w:lineRule="auto"/>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（四）项目预算要求</w:t>
      </w:r>
    </w:p>
    <w:p w14:paraId="6304B77A">
      <w:pPr>
        <w:keepNext w:val="0"/>
        <w:keepLines w:val="0"/>
        <w:pageBreakBefore w:val="0"/>
        <w:numPr>
          <w:ilvl w:val="0"/>
          <w:numId w:val="3"/>
        </w:numPr>
        <w:tabs>
          <w:tab w:val="left" w:pos="900"/>
        </w:tabs>
        <w:kinsoku/>
        <w:wordWrap/>
        <w:overflowPunct/>
        <w:topLinePunct w:val="0"/>
        <w:autoSpaceDE/>
        <w:autoSpaceDN/>
        <w:bidi w:val="0"/>
        <w:adjustRightInd/>
        <w:snapToGrid w:val="0"/>
        <w:spacing w:beforeAutospacing="0" w:afterAutospacing="0" w:line="360" w:lineRule="auto"/>
        <w:ind w:left="0" w:leftChars="0" w:firstLine="560" w:firstLineChars="2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项目预算总金额：378.7776万元，以2025年财政代编预算金额为该项目基础预算金额，如合同期内遇国家相关政策调整工资及保险基数，以调整后的标准执行。</w:t>
      </w:r>
    </w:p>
    <w:p w14:paraId="6F2F3308">
      <w:pPr>
        <w:keepNext w:val="0"/>
        <w:keepLines w:val="0"/>
        <w:pageBreakBefore w:val="0"/>
        <w:numPr>
          <w:ilvl w:val="0"/>
          <w:numId w:val="3"/>
        </w:numPr>
        <w:tabs>
          <w:tab w:val="left" w:pos="900"/>
        </w:tabs>
        <w:kinsoku/>
        <w:wordWrap/>
        <w:overflowPunct/>
        <w:topLinePunct w:val="0"/>
        <w:autoSpaceDE/>
        <w:autoSpaceDN/>
        <w:bidi w:val="0"/>
        <w:adjustRightInd/>
        <w:snapToGrid w:val="0"/>
        <w:spacing w:beforeAutospacing="0" w:afterAutospacing="0" w:line="360" w:lineRule="auto"/>
        <w:ind w:left="0" w:leftChars="0" w:firstLine="560" w:firstLineChars="2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项目预算资金性质：财政预算项目资金</w:t>
      </w:r>
    </w:p>
    <w:p w14:paraId="7CB4BA19">
      <w:pPr>
        <w:keepNext w:val="0"/>
        <w:keepLines w:val="0"/>
        <w:pageBreakBefore w:val="0"/>
        <w:numPr>
          <w:ilvl w:val="0"/>
          <w:numId w:val="3"/>
        </w:numPr>
        <w:tabs>
          <w:tab w:val="left" w:pos="900"/>
        </w:tabs>
        <w:kinsoku/>
        <w:wordWrap/>
        <w:overflowPunct/>
        <w:topLinePunct w:val="0"/>
        <w:autoSpaceDE/>
        <w:autoSpaceDN/>
        <w:bidi w:val="0"/>
        <w:adjustRightInd/>
        <w:snapToGrid w:val="0"/>
        <w:spacing w:beforeAutospacing="0" w:afterAutospacing="0" w:line="360" w:lineRule="auto"/>
        <w:ind w:left="0" w:leftChars="0" w:firstLine="560" w:firstLineChars="200"/>
        <w:textAlignment w:val="auto"/>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项目预算明细：劳务派遣人员人均年预算经费为105,216元，每月依据区救援中心提供的相关资料、按照国家和北京市有关规定如实为劳务派遣人员缴纳社会保险和住房公积金。</w:t>
      </w:r>
    </w:p>
    <w:p w14:paraId="25AFE71E">
      <w:pPr>
        <w:keepNext w:val="0"/>
        <w:keepLines w:val="0"/>
        <w:pageBreakBefore w:val="0"/>
        <w:numPr>
          <w:ilvl w:val="0"/>
          <w:numId w:val="3"/>
        </w:numPr>
        <w:tabs>
          <w:tab w:val="left" w:pos="900"/>
        </w:tabs>
        <w:kinsoku/>
        <w:wordWrap/>
        <w:overflowPunct/>
        <w:topLinePunct w:val="0"/>
        <w:autoSpaceDE/>
        <w:autoSpaceDN/>
        <w:bidi w:val="0"/>
        <w:adjustRightInd/>
        <w:snapToGrid w:val="0"/>
        <w:spacing w:beforeAutospacing="0" w:afterAutospacing="0" w:line="360" w:lineRule="auto"/>
        <w:ind w:left="0" w:leftChars="0" w:firstLine="560" w:firstLineChars="200"/>
        <w:textAlignment w:val="auto"/>
        <w:rPr>
          <w:rFonts w:hint="default" w:ascii="仿宋" w:hAnsi="仿宋" w:eastAsia="仿宋" w:cs="仿宋"/>
          <w:color w:val="000000"/>
          <w:sz w:val="28"/>
          <w:szCs w:val="28"/>
          <w:highlight w:val="none"/>
          <w:lang w:val="en-US" w:eastAsia="zh-CN"/>
        </w:rPr>
      </w:pPr>
      <w:r>
        <w:rPr>
          <w:rFonts w:hint="eastAsia" w:ascii="仿宋" w:hAnsi="仿宋" w:eastAsia="仿宋" w:cs="仿宋"/>
          <w:b w:val="0"/>
          <w:bCs w:val="0"/>
          <w:sz w:val="28"/>
          <w:szCs w:val="28"/>
          <w:highlight w:val="none"/>
        </w:rPr>
        <w:t>★</w:t>
      </w:r>
      <w:r>
        <w:rPr>
          <w:rFonts w:hint="eastAsia" w:ascii="仿宋" w:hAnsi="仿宋" w:eastAsia="仿宋" w:cs="仿宋"/>
          <w:color w:val="000000"/>
          <w:sz w:val="28"/>
          <w:szCs w:val="28"/>
          <w:highlight w:val="none"/>
          <w:lang w:val="en-US" w:eastAsia="zh-CN"/>
        </w:rPr>
        <w:t>从区救援中心收取劳务派遣人员的工资、社会保险、住房公积金、管理服务费等费用后，不得从中克扣或拖欠，并确保劳务派遣人员工资不低于北京市最低工资标准，且社会保险缴费基数不低于北京市最低社会保险工资标准。</w:t>
      </w:r>
      <w:r>
        <w:rPr>
          <w:rFonts w:hint="eastAsia" w:ascii="仿宋" w:hAnsi="仿宋" w:eastAsia="仿宋" w:cs="仿宋"/>
          <w:b/>
          <w:bCs/>
          <w:color w:val="000000"/>
          <w:sz w:val="28"/>
          <w:szCs w:val="28"/>
          <w:highlight w:val="none"/>
          <w:lang w:val="en-US" w:eastAsia="zh-CN"/>
        </w:rPr>
        <w:t>提供承诺函，</w:t>
      </w:r>
      <w:r>
        <w:rPr>
          <w:rFonts w:hint="eastAsia" w:ascii="仿宋" w:hAnsi="仿宋" w:eastAsia="仿宋" w:cs="仿宋"/>
          <w:b/>
          <w:bCs/>
          <w:sz w:val="28"/>
          <w:szCs w:val="28"/>
          <w:highlight w:val="none"/>
        </w:rPr>
        <w:t>承诺书格式由投标人自拟，投标人的法定代表人或经其正式授权的代表在承诺书上签署姓名并加盖单位公章。</w:t>
      </w:r>
    </w:p>
    <w:p w14:paraId="2D685C4A">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360" w:lineRule="auto"/>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五</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服务内容要求（包括但不限于）</w:t>
      </w:r>
    </w:p>
    <w:p w14:paraId="6C2E80D8">
      <w:pPr>
        <w:keepNext w:val="0"/>
        <w:keepLines w:val="0"/>
        <w:pageBreakBefore w:val="0"/>
        <w:numPr>
          <w:ilvl w:val="0"/>
          <w:numId w:val="4"/>
        </w:numPr>
        <w:tabs>
          <w:tab w:val="left" w:pos="900"/>
        </w:tabs>
        <w:kinsoku/>
        <w:wordWrap/>
        <w:overflowPunct/>
        <w:topLinePunct w:val="0"/>
        <w:autoSpaceDE/>
        <w:autoSpaceDN/>
        <w:bidi w:val="0"/>
        <w:adjustRightInd/>
        <w:snapToGrid w:val="0"/>
        <w:spacing w:beforeAutospacing="0" w:afterAutospacing="0" w:line="360" w:lineRule="auto"/>
        <w:ind w:left="0" w:leftChars="0" w:firstLine="560" w:firstLineChars="20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中标的劳务派遣公司，为区救援中心医疗救护员岗位提供36名劳务派遣人员，依法提供劳务派遣服务，包括但不限于负担劳务派遣人员相关管理、工资发放、缴纳个人所得税、社会保险缴费、住房公积金等工作，劳务派遣人员需符合区救援中心对于医疗救护员岗位的准入标准。</w:t>
      </w:r>
    </w:p>
    <w:p w14:paraId="3A6170AB">
      <w:pPr>
        <w:keepNext w:val="0"/>
        <w:keepLines w:val="0"/>
        <w:pageBreakBefore w:val="0"/>
        <w:numPr>
          <w:ilvl w:val="0"/>
          <w:numId w:val="4"/>
        </w:numPr>
        <w:tabs>
          <w:tab w:val="left" w:pos="900"/>
        </w:tabs>
        <w:kinsoku/>
        <w:wordWrap/>
        <w:overflowPunct/>
        <w:topLinePunct w:val="0"/>
        <w:autoSpaceDE/>
        <w:autoSpaceDN/>
        <w:bidi w:val="0"/>
        <w:adjustRightInd/>
        <w:snapToGrid w:val="0"/>
        <w:spacing w:beforeAutospacing="0" w:afterAutospacing="0" w:line="360" w:lineRule="auto"/>
        <w:ind w:left="0" w:leftChars="0" w:firstLine="560" w:firstLineChars="20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劳务派遣人员预算费用年标准额度为财政代编预算的标准金额，包括了每名劳务派遣人员的工资、社会保险缴费、住房公积金、综合管理费用等，年终由于政策调标等原因追加的预算金额不包含在年预算标准额度内。</w:t>
      </w:r>
    </w:p>
    <w:p w14:paraId="0824B41D">
      <w:pPr>
        <w:keepNext w:val="0"/>
        <w:keepLines w:val="0"/>
        <w:pageBreakBefore w:val="0"/>
        <w:numPr>
          <w:ilvl w:val="0"/>
          <w:numId w:val="4"/>
        </w:numPr>
        <w:tabs>
          <w:tab w:val="left" w:pos="900"/>
        </w:tabs>
        <w:kinsoku/>
        <w:wordWrap/>
        <w:overflowPunct/>
        <w:topLinePunct w:val="0"/>
        <w:autoSpaceDE/>
        <w:autoSpaceDN/>
        <w:bidi w:val="0"/>
        <w:adjustRightInd/>
        <w:snapToGrid w:val="0"/>
        <w:spacing w:beforeAutospacing="0" w:afterAutospacing="0" w:line="360" w:lineRule="auto"/>
        <w:ind w:left="0" w:leftChars="0" w:firstLine="560" w:firstLineChars="20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区救援中心对劳务派遣公司进行日常服务质量管理，按照中标单价以及劳务派遣公司实际派遣人数以及对劳务派遣人员的考核结果向劳务派遣公司支付费用；如果要发放由于政策调标追加的预算金额，区救援中心要先向劳务派遣公司支付，劳务派遣公司负责再支付给劳务派遣人员；劳务派遣公司除每月的综合管理费用外，不再收取其他费用。</w:t>
      </w:r>
    </w:p>
    <w:p w14:paraId="00D8A6CD">
      <w:pPr>
        <w:keepNext w:val="0"/>
        <w:keepLines w:val="0"/>
        <w:pageBreakBefore w:val="0"/>
        <w:numPr>
          <w:ilvl w:val="0"/>
          <w:numId w:val="4"/>
        </w:numPr>
        <w:tabs>
          <w:tab w:val="left" w:pos="900"/>
        </w:tabs>
        <w:kinsoku/>
        <w:wordWrap/>
        <w:overflowPunct/>
        <w:topLinePunct w:val="0"/>
        <w:autoSpaceDE/>
        <w:autoSpaceDN/>
        <w:bidi w:val="0"/>
        <w:adjustRightInd/>
        <w:snapToGrid w:val="0"/>
        <w:spacing w:beforeAutospacing="0" w:afterAutospacing="0" w:line="360" w:lineRule="auto"/>
        <w:ind w:left="0" w:leftChars="0" w:firstLine="560" w:firstLineChars="20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★劳务派遣公司需要在投标文件中提供承诺书，承诺项目服务期间每月从每名劳务派遣人员费用中扣取的综合管理费不得超过100元/人/月。</w:t>
      </w:r>
      <w:r>
        <w:rPr>
          <w:rFonts w:hint="eastAsia" w:ascii="仿宋" w:hAnsi="仿宋" w:eastAsia="仿宋" w:cs="仿宋"/>
          <w:b/>
          <w:bCs/>
          <w:sz w:val="28"/>
          <w:szCs w:val="28"/>
          <w:highlight w:val="none"/>
        </w:rPr>
        <w:t>承诺书格式由投标人自拟，投标人的法定代表人或经其正式授权的代表在承诺书上签署姓名并加盖单位公章。</w:t>
      </w:r>
    </w:p>
    <w:p w14:paraId="2B638E5A">
      <w:pPr>
        <w:keepNext w:val="0"/>
        <w:keepLines w:val="0"/>
        <w:pageBreakBefore w:val="0"/>
        <w:numPr>
          <w:ilvl w:val="0"/>
          <w:numId w:val="4"/>
        </w:numPr>
        <w:tabs>
          <w:tab w:val="left" w:pos="900"/>
        </w:tabs>
        <w:kinsoku/>
        <w:wordWrap/>
        <w:overflowPunct/>
        <w:topLinePunct w:val="0"/>
        <w:autoSpaceDE/>
        <w:autoSpaceDN/>
        <w:bidi w:val="0"/>
        <w:adjustRightInd/>
        <w:snapToGrid w:val="0"/>
        <w:spacing w:beforeAutospacing="0" w:afterAutospacing="0" w:line="360" w:lineRule="auto"/>
        <w:ind w:left="0" w:leftChars="0" w:firstLine="560" w:firstLineChars="20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“36名劳务派遣人员”仅适用于本项目在公开招标中核定投标、中标价，本项目的所需劳务派遣人员实际数量以合同签订后实际用工情况为准。</w:t>
      </w:r>
    </w:p>
    <w:p w14:paraId="5E898DED">
      <w:pPr>
        <w:keepNext w:val="0"/>
        <w:keepLines w:val="0"/>
        <w:pageBreakBefore w:val="0"/>
        <w:numPr>
          <w:ilvl w:val="0"/>
          <w:numId w:val="4"/>
        </w:numPr>
        <w:tabs>
          <w:tab w:val="left" w:pos="900"/>
        </w:tabs>
        <w:kinsoku/>
        <w:wordWrap/>
        <w:overflowPunct/>
        <w:topLinePunct w:val="0"/>
        <w:autoSpaceDE/>
        <w:autoSpaceDN/>
        <w:bidi w:val="0"/>
        <w:adjustRightInd/>
        <w:snapToGrid w:val="0"/>
        <w:spacing w:beforeAutospacing="0" w:afterAutospacing="0" w:line="360" w:lineRule="auto"/>
        <w:ind w:left="0" w:leftChars="0" w:firstLine="560" w:firstLineChars="20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劳务派遣公司应当及时与劳务派遣人员个人签订劳动合同，按时发放工资，足额缴纳社保，做好岗前培训。</w:t>
      </w:r>
    </w:p>
    <w:p w14:paraId="5C599308">
      <w:pPr>
        <w:keepNext w:val="0"/>
        <w:keepLines w:val="0"/>
        <w:pageBreakBefore w:val="0"/>
        <w:numPr>
          <w:ilvl w:val="0"/>
          <w:numId w:val="4"/>
        </w:numPr>
        <w:tabs>
          <w:tab w:val="left" w:pos="900"/>
        </w:tabs>
        <w:kinsoku/>
        <w:wordWrap/>
        <w:overflowPunct/>
        <w:topLinePunct w:val="0"/>
        <w:autoSpaceDE/>
        <w:autoSpaceDN/>
        <w:bidi w:val="0"/>
        <w:adjustRightInd/>
        <w:snapToGrid w:val="0"/>
        <w:spacing w:beforeAutospacing="0" w:afterAutospacing="0" w:line="360" w:lineRule="auto"/>
        <w:ind w:left="0" w:leftChars="0" w:firstLine="560" w:firstLineChars="20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劳务派遣公司不得挪用已下拨的资金，资金进出账目清晰，建立各单位进出资金与人员变动明细台帐。</w:t>
      </w:r>
    </w:p>
    <w:p w14:paraId="4A7765F6">
      <w:pPr>
        <w:keepNext w:val="0"/>
        <w:keepLines w:val="0"/>
        <w:pageBreakBefore w:val="0"/>
        <w:numPr>
          <w:ilvl w:val="0"/>
          <w:numId w:val="4"/>
        </w:numPr>
        <w:tabs>
          <w:tab w:val="left" w:pos="900"/>
        </w:tabs>
        <w:kinsoku/>
        <w:wordWrap/>
        <w:overflowPunct/>
        <w:topLinePunct w:val="0"/>
        <w:autoSpaceDE/>
        <w:autoSpaceDN/>
        <w:bidi w:val="0"/>
        <w:adjustRightInd/>
        <w:snapToGrid w:val="0"/>
        <w:spacing w:beforeAutospacing="0" w:afterAutospacing="0" w:line="360" w:lineRule="auto"/>
        <w:ind w:left="0" w:leftChars="0" w:firstLine="560" w:firstLineChars="20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劳务派遣公司应当在每月发放工资前向区救援中心报送发放工资人员名单。</w:t>
      </w:r>
    </w:p>
    <w:p w14:paraId="74623108">
      <w:pPr>
        <w:keepNext w:val="0"/>
        <w:keepLines w:val="0"/>
        <w:pageBreakBefore w:val="0"/>
        <w:numPr>
          <w:ilvl w:val="0"/>
          <w:numId w:val="4"/>
        </w:numPr>
        <w:tabs>
          <w:tab w:val="left" w:pos="900"/>
        </w:tabs>
        <w:kinsoku/>
        <w:wordWrap/>
        <w:overflowPunct/>
        <w:topLinePunct w:val="0"/>
        <w:autoSpaceDE/>
        <w:autoSpaceDN/>
        <w:bidi w:val="0"/>
        <w:adjustRightInd/>
        <w:snapToGrid w:val="0"/>
        <w:spacing w:beforeAutospacing="0" w:afterAutospacing="0" w:line="360" w:lineRule="auto"/>
        <w:ind w:left="0" w:leftChars="0" w:firstLine="560" w:firstLineChars="20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劳务派遣公司应当在每月发放工资后向区救援中心报送当月发放工资明细表，核对工资发放明细。</w:t>
      </w:r>
    </w:p>
    <w:p w14:paraId="117BEA2D">
      <w:pPr>
        <w:keepNext w:val="0"/>
        <w:keepLines w:val="0"/>
        <w:pageBreakBefore w:val="0"/>
        <w:numPr>
          <w:ilvl w:val="0"/>
          <w:numId w:val="4"/>
        </w:numPr>
        <w:tabs>
          <w:tab w:val="left" w:pos="900"/>
        </w:tabs>
        <w:kinsoku/>
        <w:wordWrap/>
        <w:overflowPunct/>
        <w:topLinePunct w:val="0"/>
        <w:autoSpaceDE/>
        <w:autoSpaceDN/>
        <w:bidi w:val="0"/>
        <w:adjustRightInd/>
        <w:snapToGrid w:val="0"/>
        <w:spacing w:beforeAutospacing="0" w:afterAutospacing="0" w:line="360" w:lineRule="auto"/>
        <w:ind w:left="0" w:leftChars="0" w:firstLine="560" w:firstLineChars="20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劳务派遣公司应当及时与区救援中心核对人员数量及工资发放情况。</w:t>
      </w:r>
    </w:p>
    <w:p w14:paraId="2ECA9025">
      <w:pPr>
        <w:keepNext w:val="0"/>
        <w:keepLines w:val="0"/>
        <w:pageBreakBefore w:val="0"/>
        <w:numPr>
          <w:ilvl w:val="0"/>
          <w:numId w:val="4"/>
        </w:numPr>
        <w:tabs>
          <w:tab w:val="left" w:pos="900"/>
        </w:tabs>
        <w:kinsoku/>
        <w:wordWrap/>
        <w:overflowPunct/>
        <w:topLinePunct w:val="0"/>
        <w:autoSpaceDE/>
        <w:autoSpaceDN/>
        <w:bidi w:val="0"/>
        <w:adjustRightInd/>
        <w:snapToGrid w:val="0"/>
        <w:spacing w:beforeAutospacing="0" w:afterAutospacing="0" w:line="360" w:lineRule="auto"/>
        <w:ind w:left="0" w:leftChars="0" w:firstLine="560" w:firstLineChars="20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劳务派遣公司应当根据用工单位用工需求，及时增减人员，并完成相关手续。</w:t>
      </w:r>
    </w:p>
    <w:p w14:paraId="2A13A135">
      <w:pPr>
        <w:keepNext w:val="0"/>
        <w:keepLines w:val="0"/>
        <w:pageBreakBefore w:val="0"/>
        <w:numPr>
          <w:ilvl w:val="0"/>
          <w:numId w:val="4"/>
        </w:numPr>
        <w:tabs>
          <w:tab w:val="left" w:pos="900"/>
        </w:tabs>
        <w:kinsoku/>
        <w:wordWrap/>
        <w:overflowPunct/>
        <w:topLinePunct w:val="0"/>
        <w:autoSpaceDE/>
        <w:autoSpaceDN/>
        <w:bidi w:val="0"/>
        <w:adjustRightInd/>
        <w:snapToGrid w:val="0"/>
        <w:spacing w:beforeAutospacing="0" w:afterAutospacing="0" w:line="360" w:lineRule="auto"/>
        <w:ind w:left="0" w:leftChars="0" w:firstLine="560" w:firstLineChars="20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劳务派遣公司需具备质量管理体系、环境管理体系、职业健康安全管理体系认证资质。</w:t>
      </w:r>
    </w:p>
    <w:p w14:paraId="7598EE5D">
      <w:pPr>
        <w:keepNext w:val="0"/>
        <w:keepLines w:val="0"/>
        <w:pageBreakBefore w:val="0"/>
        <w:numPr>
          <w:ilvl w:val="0"/>
          <w:numId w:val="4"/>
        </w:numPr>
        <w:tabs>
          <w:tab w:val="left" w:pos="900"/>
        </w:tabs>
        <w:kinsoku/>
        <w:wordWrap/>
        <w:overflowPunct/>
        <w:topLinePunct w:val="0"/>
        <w:autoSpaceDE/>
        <w:autoSpaceDN/>
        <w:bidi w:val="0"/>
        <w:adjustRightInd/>
        <w:snapToGrid w:val="0"/>
        <w:spacing w:beforeAutospacing="0" w:afterAutospacing="0" w:line="360" w:lineRule="auto"/>
        <w:ind w:left="0" w:leftChars="0" w:firstLine="560" w:firstLineChars="20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劳务派遣公司需具备有效的人力资源服务机构等级证书及专项管理服务人员，管理服务人员需持有人力资源管理行业职业证书，具备丰富管理经验、职责分工明确。</w:t>
      </w:r>
    </w:p>
    <w:p w14:paraId="66841A07">
      <w:pPr>
        <w:keepNext w:val="0"/>
        <w:keepLines w:val="0"/>
        <w:pageBreakBefore w:val="0"/>
        <w:numPr>
          <w:ilvl w:val="0"/>
          <w:numId w:val="4"/>
        </w:numPr>
        <w:tabs>
          <w:tab w:val="left" w:pos="900"/>
        </w:tabs>
        <w:kinsoku/>
        <w:wordWrap/>
        <w:overflowPunct/>
        <w:topLinePunct w:val="0"/>
        <w:autoSpaceDE/>
        <w:autoSpaceDN/>
        <w:bidi w:val="0"/>
        <w:adjustRightInd/>
        <w:snapToGrid w:val="0"/>
        <w:spacing w:beforeAutospacing="0" w:afterAutospacing="0" w:line="360" w:lineRule="auto"/>
        <w:ind w:left="0" w:leftChars="0" w:firstLine="560" w:firstLineChars="20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劳务派遣公司需针对本项目制定明确的实施方案、工作流程、管理制度、人员培训方案、应急预案等内容，确保充分保障本项目稳定、高效实施。</w:t>
      </w:r>
    </w:p>
    <w:p w14:paraId="29D3FBA8">
      <w:pPr>
        <w:keepNext w:val="0"/>
        <w:keepLines w:val="0"/>
        <w:pageBreakBefore w:val="0"/>
        <w:numPr>
          <w:ilvl w:val="0"/>
          <w:numId w:val="4"/>
        </w:numPr>
        <w:tabs>
          <w:tab w:val="left" w:pos="900"/>
        </w:tabs>
        <w:kinsoku/>
        <w:wordWrap/>
        <w:overflowPunct/>
        <w:topLinePunct w:val="0"/>
        <w:autoSpaceDE/>
        <w:autoSpaceDN/>
        <w:bidi w:val="0"/>
        <w:adjustRightInd/>
        <w:snapToGrid w:val="0"/>
        <w:spacing w:beforeAutospacing="0" w:afterAutospacing="0" w:line="360" w:lineRule="auto"/>
        <w:ind w:left="0" w:leftChars="0" w:firstLine="560" w:firstLineChars="20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岗位职责：承担《院前医疗急救管理办法》第三章第二十条医疗救护员可以从事的相关辅助医疗救护工作以外，同时兼任急救驾驶员和担架员的工作。</w:t>
      </w:r>
    </w:p>
    <w:p w14:paraId="3E398AA3">
      <w:pPr>
        <w:keepNext w:val="0"/>
        <w:keepLines w:val="0"/>
        <w:pageBreakBefore w:val="0"/>
        <w:numPr>
          <w:ilvl w:val="0"/>
          <w:numId w:val="4"/>
        </w:numPr>
        <w:tabs>
          <w:tab w:val="left" w:pos="900"/>
        </w:tabs>
        <w:kinsoku/>
        <w:wordWrap/>
        <w:overflowPunct/>
        <w:topLinePunct w:val="0"/>
        <w:autoSpaceDE/>
        <w:autoSpaceDN/>
        <w:bidi w:val="0"/>
        <w:adjustRightInd/>
        <w:snapToGrid w:val="0"/>
        <w:spacing w:beforeAutospacing="0" w:afterAutospacing="0" w:line="360" w:lineRule="auto"/>
        <w:ind w:left="0" w:leftChars="0" w:firstLine="560" w:firstLineChars="20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准入条件：男；准驾车型B以上（含B）；持北京市核发的中华人民共和国机动车驾驶证；有红十字会急救员证；具备院前急救工号；党员</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退伍军人优先。</w:t>
      </w:r>
    </w:p>
    <w:p w14:paraId="08E2FF7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AEBAFC"/>
    <w:multiLevelType w:val="singleLevel"/>
    <w:tmpl w:val="8AAEBAFC"/>
    <w:lvl w:ilvl="0" w:tentative="0">
      <w:start w:val="1"/>
      <w:numFmt w:val="decimal"/>
      <w:suff w:val="nothing"/>
      <w:lvlText w:val="%1．"/>
      <w:lvlJc w:val="left"/>
      <w:pPr>
        <w:ind w:left="0" w:firstLine="400"/>
      </w:pPr>
      <w:rPr>
        <w:rFonts w:hint="default"/>
        <w:sz w:val="28"/>
        <w:szCs w:val="28"/>
      </w:rPr>
    </w:lvl>
  </w:abstractNum>
  <w:abstractNum w:abstractNumId="1">
    <w:nsid w:val="BC992281"/>
    <w:multiLevelType w:val="singleLevel"/>
    <w:tmpl w:val="BC992281"/>
    <w:lvl w:ilvl="0" w:tentative="0">
      <w:start w:val="1"/>
      <w:numFmt w:val="decimal"/>
      <w:suff w:val="nothing"/>
      <w:lvlText w:val="%1．"/>
      <w:lvlJc w:val="left"/>
      <w:pPr>
        <w:ind w:left="0" w:firstLine="400"/>
      </w:pPr>
      <w:rPr>
        <w:rFonts w:hint="default"/>
        <w:b w:val="0"/>
        <w:bCs w:val="0"/>
        <w:sz w:val="28"/>
        <w:szCs w:val="28"/>
      </w:rPr>
    </w:lvl>
  </w:abstractNum>
  <w:abstractNum w:abstractNumId="2">
    <w:nsid w:val="D5AD1C54"/>
    <w:multiLevelType w:val="singleLevel"/>
    <w:tmpl w:val="D5AD1C54"/>
    <w:lvl w:ilvl="0" w:tentative="0">
      <w:start w:val="1"/>
      <w:numFmt w:val="decimal"/>
      <w:suff w:val="nothing"/>
      <w:lvlText w:val="%1．"/>
      <w:lvlJc w:val="left"/>
      <w:pPr>
        <w:ind w:left="0" w:firstLine="400"/>
      </w:pPr>
      <w:rPr>
        <w:rFonts w:hint="default"/>
        <w:sz w:val="28"/>
        <w:szCs w:val="28"/>
      </w:rPr>
    </w:lvl>
  </w:abstractNum>
  <w:abstractNum w:abstractNumId="3">
    <w:nsid w:val="1BFC38A0"/>
    <w:multiLevelType w:val="multilevel"/>
    <w:tmpl w:val="1BFC38A0"/>
    <w:lvl w:ilvl="0" w:tentative="0">
      <w:start w:val="1"/>
      <w:numFmt w:val="decimal"/>
      <w:lvlText w:val="%1."/>
      <w:lvlJc w:val="left"/>
      <w:pPr>
        <w:tabs>
          <w:tab w:val="left" w:pos="420"/>
        </w:tabs>
        <w:ind w:left="630" w:hanging="420"/>
      </w:pPr>
      <w:rPr>
        <w:rFonts w:hint="default"/>
        <w:sz w:val="28"/>
        <w:szCs w:val="28"/>
      </w:rPr>
    </w:lvl>
    <w:lvl w:ilvl="1" w:tentative="0">
      <w:start w:val="1"/>
      <w:numFmt w:val="lowerLetter"/>
      <w:lvlText w:val="%2)"/>
      <w:lvlJc w:val="left"/>
      <w:pPr>
        <w:tabs>
          <w:tab w:val="left" w:pos="840"/>
        </w:tabs>
        <w:ind w:left="1050" w:hanging="420"/>
      </w:pPr>
    </w:lvl>
    <w:lvl w:ilvl="2" w:tentative="0">
      <w:start w:val="1"/>
      <w:numFmt w:val="lowerRoman"/>
      <w:lvlText w:val="%3."/>
      <w:lvlJc w:val="right"/>
      <w:pPr>
        <w:tabs>
          <w:tab w:val="left" w:pos="1260"/>
        </w:tabs>
        <w:ind w:left="1470" w:hanging="420"/>
      </w:pPr>
    </w:lvl>
    <w:lvl w:ilvl="3" w:tentative="0">
      <w:start w:val="1"/>
      <w:numFmt w:val="decimal"/>
      <w:lvlText w:val="%4."/>
      <w:lvlJc w:val="left"/>
      <w:pPr>
        <w:tabs>
          <w:tab w:val="left" w:pos="1680"/>
        </w:tabs>
        <w:ind w:left="1890" w:hanging="420"/>
      </w:pPr>
    </w:lvl>
    <w:lvl w:ilvl="4" w:tentative="0">
      <w:start w:val="1"/>
      <w:numFmt w:val="lowerLetter"/>
      <w:lvlText w:val="%5)"/>
      <w:lvlJc w:val="left"/>
      <w:pPr>
        <w:tabs>
          <w:tab w:val="left" w:pos="2100"/>
        </w:tabs>
        <w:ind w:left="2310" w:hanging="420"/>
      </w:pPr>
    </w:lvl>
    <w:lvl w:ilvl="5" w:tentative="0">
      <w:start w:val="1"/>
      <w:numFmt w:val="lowerRoman"/>
      <w:lvlText w:val="%6."/>
      <w:lvlJc w:val="right"/>
      <w:pPr>
        <w:tabs>
          <w:tab w:val="left" w:pos="2520"/>
        </w:tabs>
        <w:ind w:left="2730" w:hanging="420"/>
      </w:pPr>
    </w:lvl>
    <w:lvl w:ilvl="6" w:tentative="0">
      <w:start w:val="1"/>
      <w:numFmt w:val="decimal"/>
      <w:lvlText w:val="%7."/>
      <w:lvlJc w:val="left"/>
      <w:pPr>
        <w:tabs>
          <w:tab w:val="left" w:pos="2940"/>
        </w:tabs>
        <w:ind w:left="3150" w:hanging="420"/>
      </w:pPr>
    </w:lvl>
    <w:lvl w:ilvl="7" w:tentative="0">
      <w:start w:val="1"/>
      <w:numFmt w:val="lowerLetter"/>
      <w:lvlText w:val="%8)"/>
      <w:lvlJc w:val="left"/>
      <w:pPr>
        <w:tabs>
          <w:tab w:val="left" w:pos="3360"/>
        </w:tabs>
        <w:ind w:left="3570" w:hanging="420"/>
      </w:pPr>
    </w:lvl>
    <w:lvl w:ilvl="8" w:tentative="0">
      <w:start w:val="1"/>
      <w:numFmt w:val="lowerRoman"/>
      <w:lvlText w:val="%9."/>
      <w:lvlJc w:val="right"/>
      <w:pPr>
        <w:tabs>
          <w:tab w:val="left" w:pos="3780"/>
        </w:tabs>
        <w:ind w:left="399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8A6123"/>
    <w:rsid w:val="298A61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480" w:lineRule="exact"/>
      <w:ind w:left="420" w:leftChars="200" w:firstLine="420" w:firstLineChars="200"/>
    </w:pPr>
    <w:rPr>
      <w:szCs w:val="20"/>
    </w:rPr>
  </w:style>
  <w:style w:type="paragraph" w:styleId="3">
    <w:name w:val="Body Text Indent"/>
    <w:basedOn w:val="1"/>
    <w:qFormat/>
    <w:uiPriority w:val="0"/>
    <w:pPr>
      <w:spacing w:line="360" w:lineRule="auto"/>
      <w:ind w:firstLine="570"/>
    </w:pPr>
    <w:rPr>
      <w:sz w:val="24"/>
    </w:rPr>
  </w:style>
  <w:style w:type="paragraph" w:customStyle="1" w:styleId="6">
    <w:name w:val="列出段落1"/>
    <w:basedOn w:val="1"/>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2025-12-23T02:42:00Z</dcterms:created>
  <dc:creator>亚希Edison</dc:creator>
  <cp:lastModifiedBy>亚希Edison</cp:lastModifiedBy>
  <dcterms:modified xsi:type="dcterms:W3CDTF">2025-12-23T02:42:44Z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9FFC6FB473CC42589A13F6C68E4356A7_11</vt:lpwstr>
  </property>
  <property fmtid="{D5CDD505-2E9C-101B-9397-08002B2CF9AE}" pid="4" name="KSOTemplateDocerSaveRecord">
    <vt:lpwstr>eyJoZGlkIjoiNDY0MzQwNDM3NzMyOTAwZGViMTFjZmY0M2U4NTllMzgiLCJ1c2VySWQiOiIyNjk3ODg1OTAifQ==</vt:lpwstr>
  </property>
</Properties>
</file>