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2026年天宫院街道社区卫生服务中心物业管理项目</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2025年12月15日至2025年12月19日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2026年1月5日上午9:30</w:t>
      </w:r>
      <w:r>
        <w:rPr>
          <w:rFonts w:hint="eastAsia" w:ascii="仿宋_GB2312" w:hAnsi="仿宋_GB2312" w:eastAsia="仿宋_GB2312" w:cs="仿宋_GB2312"/>
          <w:color w:val="auto"/>
          <w:sz w:val="24"/>
          <w:szCs w:val="28"/>
          <w:highlight w:val="none"/>
        </w:rPr>
        <w:t>（北京时间）前递交投标文件。</w:t>
      </w:r>
    </w:p>
    <w:p w14:paraId="45FA3F7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28359002"/>
      <w:bookmarkStart w:id="1" w:name="_Toc28359079"/>
      <w:bookmarkStart w:id="2" w:name="_Toc35393790"/>
      <w:bookmarkStart w:id="3" w:name="_Toc35393621"/>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11011525210200029702-XM001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2026年天宫院街道社区卫生服务中心物业管理项目</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131.28</w:t>
      </w:r>
      <w:r>
        <w:rPr>
          <w:rFonts w:hint="eastAsia" w:ascii="仿宋_GB2312" w:hAnsi="仿宋_GB2312" w:eastAsia="仿宋_GB2312" w:cs="仿宋_GB2312"/>
          <w:color w:val="auto"/>
          <w:sz w:val="24"/>
          <w:szCs w:val="24"/>
          <w:highlight w:val="none"/>
          <w:u w:val="none"/>
          <w:lang w:val="en-US" w:eastAsia="zh-CN"/>
        </w:rPr>
        <w:t>万元</w:t>
      </w:r>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合同履行期限：自2026年2月1日起至2027年1月3</w:t>
      </w:r>
      <w:r>
        <w:rPr>
          <w:rFonts w:hint="eastAsia" w:ascii="仿宋_GB2312" w:hAnsi="仿宋_GB2312" w:eastAsia="仿宋_GB2312" w:cs="仿宋_GB2312"/>
          <w:color w:val="auto"/>
          <w:sz w:val="24"/>
          <w:szCs w:val="28"/>
          <w:highlight w:val="none"/>
          <w:lang w:val="en-US" w:eastAsia="zh-CN"/>
        </w:rPr>
        <w:t>1</w:t>
      </w:r>
      <w:r>
        <w:rPr>
          <w:rFonts w:hint="eastAsia" w:ascii="仿宋_GB2312" w:hAnsi="仿宋_GB2312" w:eastAsia="仿宋_GB2312" w:cs="仿宋_GB2312"/>
          <w:color w:val="auto"/>
          <w:sz w:val="24"/>
          <w:szCs w:val="28"/>
          <w:highlight w:val="none"/>
        </w:rPr>
        <w:t>日止</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791"/>
      <w:bookmarkStart w:id="6" w:name="_Toc28359003"/>
      <w:bookmarkStart w:id="7" w:name="_Toc28359080"/>
      <w:bookmarkStart w:id="8" w:name="_Toc35393622"/>
      <w:r>
        <w:rPr>
          <w:rFonts w:hint="eastAsia" w:ascii="仿宋_GB2312" w:hAnsi="仿宋_GB2312" w:eastAsia="仿宋_GB2312" w:cs="仿宋_GB2312"/>
          <w:color w:val="auto"/>
          <w:sz w:val="24"/>
          <w:szCs w:val="28"/>
          <w:highlight w:val="none"/>
          <w:lang w:eastAsia="zh-CN"/>
        </w:rPr>
        <w:t>。</w:t>
      </w:r>
    </w:p>
    <w:p w14:paraId="59AF488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bookmarkStart w:id="13" w:name="OLE_LINK4"/>
      <w:r>
        <w:rPr>
          <w:rFonts w:hint="eastAsia" w:ascii="仿宋_GB2312" w:hAnsi="仿宋_GB2312" w:eastAsia="仿宋_GB2312" w:cs="仿宋_GB2312"/>
          <w:spacing w:val="9"/>
          <w:sz w:val="24"/>
          <w:szCs w:val="24"/>
          <w:highlight w:val="none"/>
        </w:rPr>
        <w:t>□</w:t>
      </w:r>
      <w:bookmarkEnd w:id="13"/>
      <w:r>
        <w:rPr>
          <w:rFonts w:hint="eastAsia" w:ascii="仿宋_GB2312" w:hAnsi="仿宋_GB2312" w:eastAsia="仿宋_GB2312" w:cs="仿宋_GB2312"/>
          <w:spacing w:val="9"/>
          <w:sz w:val="24"/>
          <w:szCs w:val="24"/>
          <w:highlight w:val="none"/>
        </w:rPr>
        <w:t xml:space="preserve">中小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highlight w:val="none"/>
        </w:rPr>
        <w:t>。</w:t>
      </w:r>
    </w:p>
    <w:p w14:paraId="037F8262">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5" w:firstLineChars="173"/>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5"/>
          <w:sz w:val="24"/>
          <w:szCs w:val="24"/>
          <w:highlight w:val="none"/>
        </w:rPr>
        <w:t>否</w:t>
      </w:r>
    </w:p>
    <w:p w14:paraId="43DA5471">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60" w:firstLineChars="200"/>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5"/>
          <w:kern w:val="2"/>
          <w:sz w:val="24"/>
          <w:szCs w:val="24"/>
          <w:highlight w:val="none"/>
          <w:lang w:eastAsia="zh-CN"/>
        </w:rPr>
        <w:t xml:space="preserve">3.2 </w:t>
      </w:r>
      <w:r>
        <w:rPr>
          <w:rFonts w:hint="eastAsia" w:ascii="仿宋_GB2312" w:hAnsi="仿宋_GB2312" w:eastAsia="仿宋_GB2312" w:cs="仿宋_GB2312"/>
          <w:spacing w:val="1"/>
          <w:sz w:val="24"/>
          <w:szCs w:val="24"/>
          <w:highlight w:val="none"/>
        </w:rPr>
        <w:t>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2025年12月15日至2025年12月19日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4" w:name="_Toc28359005"/>
      <w:bookmarkStart w:id="15" w:name="_Toc28359082"/>
      <w:bookmarkStart w:id="16" w:name="_Toc35393793"/>
      <w:bookmarkStart w:id="17" w:name="_Toc35393624"/>
      <w:r>
        <w:rPr>
          <w:rFonts w:hint="eastAsia" w:ascii="黑体" w:hAnsi="黑体" w:eastAsia="仿宋" w:cs="宋体"/>
          <w:b w:val="0"/>
          <w:color w:val="auto"/>
          <w:sz w:val="24"/>
          <w:szCs w:val="28"/>
          <w:highlight w:val="none"/>
        </w:rPr>
        <w:t>四、提交投标文件</w:t>
      </w:r>
      <w:bookmarkEnd w:id="14"/>
      <w:bookmarkEnd w:id="15"/>
      <w:r>
        <w:rPr>
          <w:rFonts w:hint="eastAsia" w:ascii="黑体" w:hAnsi="黑体" w:eastAsia="仿宋" w:cs="宋体"/>
          <w:b w:val="0"/>
          <w:color w:val="auto"/>
          <w:sz w:val="24"/>
          <w:szCs w:val="28"/>
          <w:highlight w:val="none"/>
        </w:rPr>
        <w:t>截止时间、开标时间和地点</w:t>
      </w:r>
      <w:bookmarkEnd w:id="16"/>
      <w:bookmarkEnd w:id="17"/>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2026年1月5日上午9:30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2026年1月5日上午9:30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8" w:name="_Toc28359084"/>
      <w:bookmarkStart w:id="19" w:name="_Toc28359007"/>
      <w:bookmarkStart w:id="20" w:name="_Toc35393794"/>
      <w:bookmarkStart w:id="21" w:name="_Toc35393625"/>
      <w:r>
        <w:rPr>
          <w:rFonts w:hint="eastAsia" w:ascii="仿宋" w:hAnsi="仿宋" w:eastAsia="仿宋" w:cs="Times New Roman"/>
          <w:b w:val="0"/>
          <w:bCs w:val="0"/>
          <w:color w:val="auto"/>
          <w:sz w:val="24"/>
          <w:szCs w:val="28"/>
          <w:highlight w:val="none"/>
        </w:rPr>
        <w:t>五、公告期限</w:t>
      </w:r>
      <w:bookmarkEnd w:id="18"/>
      <w:bookmarkEnd w:id="19"/>
      <w:bookmarkEnd w:id="20"/>
      <w:bookmarkEnd w:id="21"/>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2" w:name="_Toc35393795"/>
      <w:bookmarkStart w:id="23" w:name="_Toc35393626"/>
      <w:r>
        <w:rPr>
          <w:rFonts w:hint="eastAsia" w:ascii="黑体" w:hAnsi="黑体" w:eastAsia="仿宋" w:cs="宋体"/>
          <w:b w:val="0"/>
          <w:color w:val="auto"/>
          <w:sz w:val="24"/>
          <w:szCs w:val="28"/>
          <w:highlight w:val="none"/>
        </w:rPr>
        <w:t>六、其他补充事宜</w:t>
      </w:r>
      <w:bookmarkEnd w:id="22"/>
      <w:bookmarkEnd w:id="23"/>
    </w:p>
    <w:p w14:paraId="2E9E18DA">
      <w:pPr>
        <w:pStyle w:val="10"/>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0"/>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0"/>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0"/>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lang w:val="en-US" w:eastAsia="zh-CN"/>
        </w:rPr>
        <w:t>2</w:t>
      </w:r>
      <w:r>
        <w:rPr>
          <w:rFonts w:hint="eastAsia" w:ascii="仿宋_GB2312" w:hAnsi="仿宋_GB2312" w:eastAsia="仿宋_GB2312" w:cs="仿宋_GB2312"/>
          <w:spacing w:val="5"/>
          <w:sz w:val="24"/>
          <w:szCs w:val="24"/>
          <w:highlight w:val="none"/>
        </w:rPr>
        <w:t>.3</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驱动、客户端下载</w:t>
      </w:r>
    </w:p>
    <w:p w14:paraId="0AA40DBC">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“工具下载”—“招标采购系统文件驱动安装包”下载相关驱动。</w:t>
      </w:r>
    </w:p>
    <w:p w14:paraId="13F15655">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“工具下载”—“投标文件编制工具”下载相关客户端。</w:t>
      </w:r>
    </w:p>
    <w:p w14:paraId="710D32F6">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0"/>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0"/>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0"/>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2026年1月5日上午9点30分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4" w:name="_Toc28359008"/>
      <w:bookmarkStart w:id="25" w:name="_Toc35393627"/>
      <w:bookmarkStart w:id="26" w:name="_Toc28359085"/>
      <w:bookmarkStart w:id="27" w:name="_Toc35393796"/>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4"/>
      <w:bookmarkEnd w:id="25"/>
      <w:bookmarkEnd w:id="26"/>
      <w:bookmarkEnd w:id="27"/>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名称：北京市大兴区天宫院街道社区卫生服务中心</w:t>
      </w:r>
    </w:p>
    <w:p w14:paraId="37F284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地址：北京市大兴区天宫院街道大庄巷7号院</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联系人：张老师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联系方式：010-69264838</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6"/>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5年12月12日</w:t>
      </w:r>
    </w:p>
    <w:p w14:paraId="5DFECA2C">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r>
        <w:rPr>
          <w:rFonts w:hint="eastAsia" w:ascii="仿宋" w:hAnsi="仿宋" w:eastAsia="仿宋"/>
          <w:color w:val="auto"/>
          <w:sz w:val="28"/>
          <w:szCs w:val="28"/>
          <w:highlight w:val="none"/>
          <w:lang w:val="en-US" w:eastAsia="zh-CN"/>
        </w:rPr>
        <w:t>附件：</w:t>
      </w:r>
      <w:bookmarkStart w:id="28" w:name="_GoBack"/>
      <w:bookmarkEnd w:id="28"/>
    </w:p>
    <w:p w14:paraId="68A5B71F">
      <w:pPr>
        <w:pStyle w:val="2"/>
        <w:pageBreakBefore w:val="0"/>
        <w:widowControl/>
        <w:numPr>
          <w:ilvl w:val="0"/>
          <w:numId w:val="0"/>
        </w:numPr>
        <w:wordWrap/>
        <w:overflowPunct/>
        <w:topLinePunct w:val="0"/>
        <w:bidi w:val="0"/>
        <w:adjustRightInd w:val="0"/>
        <w:spacing w:before="0" w:after="0" w:line="360" w:lineRule="auto"/>
        <w:ind w:left="0" w:leftChars="0" w:firstLine="0" w:firstLineChars="0"/>
        <w:jc w:val="left"/>
        <w:rPr>
          <w:rFonts w:hint="eastAsia" w:ascii="仿宋" w:hAnsi="仿宋" w:eastAsia="仿宋" w:cs="仿宋"/>
          <w:b/>
          <w:bCs/>
          <w:color w:val="auto"/>
          <w:sz w:val="28"/>
          <w:szCs w:val="28"/>
        </w:rPr>
      </w:pPr>
      <w:r>
        <w:rPr>
          <w:rFonts w:hint="eastAsia" w:ascii="仿宋" w:hAnsi="仿宋" w:eastAsia="仿宋" w:cs="仿宋"/>
          <w:b/>
          <w:bCs/>
          <w:color w:val="auto"/>
          <w:kern w:val="44"/>
          <w:sz w:val="28"/>
          <w:szCs w:val="28"/>
          <w:lang w:bidi="ar-SA"/>
        </w:rPr>
        <w:t>一、</w:t>
      </w:r>
      <w:r>
        <w:rPr>
          <w:rFonts w:hint="eastAsia" w:ascii="仿宋" w:hAnsi="仿宋" w:eastAsia="仿宋" w:cs="仿宋"/>
          <w:b/>
          <w:bCs/>
          <w:color w:val="auto"/>
          <w:sz w:val="28"/>
          <w:szCs w:val="28"/>
        </w:rPr>
        <w:t>采购清单</w:t>
      </w:r>
    </w:p>
    <w:tbl>
      <w:tblPr>
        <w:tblStyle w:val="23"/>
        <w:tblW w:w="4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613"/>
        <w:gridCol w:w="1182"/>
        <w:gridCol w:w="1186"/>
        <w:gridCol w:w="2062"/>
      </w:tblGrid>
      <w:tr w14:paraId="36EF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287AB1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663" w:type="pct"/>
            <w:vAlign w:val="center"/>
          </w:tcPr>
          <w:p w14:paraId="27AA2B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货物或服务名称</w:t>
            </w:r>
          </w:p>
        </w:tc>
        <w:tc>
          <w:tcPr>
            <w:tcW w:w="752" w:type="pct"/>
            <w:vAlign w:val="center"/>
          </w:tcPr>
          <w:p w14:paraId="270F75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755" w:type="pct"/>
            <w:vAlign w:val="center"/>
          </w:tcPr>
          <w:p w14:paraId="160221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单位</w:t>
            </w:r>
          </w:p>
        </w:tc>
        <w:tc>
          <w:tcPr>
            <w:tcW w:w="1312" w:type="pct"/>
            <w:vAlign w:val="center"/>
          </w:tcPr>
          <w:p w14:paraId="723C68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备注</w:t>
            </w:r>
          </w:p>
        </w:tc>
      </w:tr>
      <w:tr w14:paraId="695D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397CC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63" w:type="pct"/>
            <w:vAlign w:val="center"/>
          </w:tcPr>
          <w:p w14:paraId="088564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kern w:val="0"/>
                <w:sz w:val="24"/>
                <w:szCs w:val="24"/>
                <w:u w:val="none"/>
                <w:lang w:val="en-US" w:eastAsia="zh-CN"/>
              </w:rPr>
              <w:t>物业经理</w:t>
            </w:r>
          </w:p>
        </w:tc>
        <w:tc>
          <w:tcPr>
            <w:tcW w:w="752" w:type="pct"/>
            <w:vAlign w:val="center"/>
          </w:tcPr>
          <w:p w14:paraId="2C2083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kern w:val="0"/>
                <w:sz w:val="24"/>
                <w:szCs w:val="24"/>
                <w:u w:val="none"/>
                <w:lang w:val="en-US" w:eastAsia="zh-CN"/>
              </w:rPr>
              <w:t>1</w:t>
            </w:r>
          </w:p>
        </w:tc>
        <w:tc>
          <w:tcPr>
            <w:tcW w:w="755" w:type="pct"/>
            <w:vAlign w:val="center"/>
          </w:tcPr>
          <w:p w14:paraId="3652CA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5B5B88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50岁以下</w:t>
            </w:r>
          </w:p>
        </w:tc>
      </w:tr>
      <w:tr w14:paraId="7B6F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47392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63" w:type="pct"/>
            <w:vAlign w:val="center"/>
          </w:tcPr>
          <w:p w14:paraId="271D6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高级电工</w:t>
            </w:r>
          </w:p>
        </w:tc>
        <w:tc>
          <w:tcPr>
            <w:tcW w:w="752" w:type="pct"/>
            <w:vAlign w:val="center"/>
          </w:tcPr>
          <w:p w14:paraId="4A14E5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2</w:t>
            </w:r>
          </w:p>
        </w:tc>
        <w:tc>
          <w:tcPr>
            <w:tcW w:w="755" w:type="pct"/>
            <w:vAlign w:val="center"/>
          </w:tcPr>
          <w:p w14:paraId="275970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7AEF34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50岁以下</w:t>
            </w:r>
          </w:p>
        </w:tc>
      </w:tr>
      <w:tr w14:paraId="2208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773D20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63" w:type="pct"/>
            <w:vAlign w:val="center"/>
          </w:tcPr>
          <w:p w14:paraId="435BDE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锅炉工、空调维修工</w:t>
            </w:r>
          </w:p>
        </w:tc>
        <w:tc>
          <w:tcPr>
            <w:tcW w:w="752" w:type="pct"/>
            <w:vAlign w:val="center"/>
          </w:tcPr>
          <w:p w14:paraId="77E5D6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1</w:t>
            </w:r>
          </w:p>
        </w:tc>
        <w:tc>
          <w:tcPr>
            <w:tcW w:w="755" w:type="pct"/>
            <w:vAlign w:val="center"/>
          </w:tcPr>
          <w:p w14:paraId="6D599F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59F605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55岁以下</w:t>
            </w:r>
          </w:p>
        </w:tc>
      </w:tr>
      <w:tr w14:paraId="3A4C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348484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663" w:type="pct"/>
            <w:vAlign w:val="center"/>
          </w:tcPr>
          <w:p w14:paraId="3E3901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中控人员</w:t>
            </w:r>
          </w:p>
        </w:tc>
        <w:tc>
          <w:tcPr>
            <w:tcW w:w="752" w:type="pct"/>
            <w:vAlign w:val="center"/>
          </w:tcPr>
          <w:p w14:paraId="108E2B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6</w:t>
            </w:r>
          </w:p>
        </w:tc>
        <w:tc>
          <w:tcPr>
            <w:tcW w:w="755" w:type="pct"/>
            <w:vAlign w:val="center"/>
          </w:tcPr>
          <w:p w14:paraId="116960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6C2841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50岁以下</w:t>
            </w:r>
          </w:p>
        </w:tc>
      </w:tr>
      <w:tr w14:paraId="76F9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66A825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663" w:type="pct"/>
            <w:vAlign w:val="center"/>
          </w:tcPr>
          <w:p w14:paraId="05CBF9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保洁人员</w:t>
            </w:r>
          </w:p>
        </w:tc>
        <w:tc>
          <w:tcPr>
            <w:tcW w:w="752" w:type="pct"/>
            <w:vAlign w:val="center"/>
          </w:tcPr>
          <w:p w14:paraId="2B72F3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7</w:t>
            </w:r>
          </w:p>
        </w:tc>
        <w:tc>
          <w:tcPr>
            <w:tcW w:w="755" w:type="pct"/>
            <w:vAlign w:val="center"/>
          </w:tcPr>
          <w:p w14:paraId="671025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357CFC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50岁以下</w:t>
            </w:r>
          </w:p>
        </w:tc>
      </w:tr>
      <w:tr w14:paraId="616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EE550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663" w:type="pct"/>
            <w:vAlign w:val="center"/>
          </w:tcPr>
          <w:p w14:paraId="561282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女安检</w:t>
            </w:r>
          </w:p>
        </w:tc>
        <w:tc>
          <w:tcPr>
            <w:tcW w:w="752" w:type="pct"/>
            <w:vAlign w:val="center"/>
          </w:tcPr>
          <w:p w14:paraId="61C400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b w:val="0"/>
                <w:bCs w:val="0"/>
                <w:i w:val="0"/>
                <w:color w:val="auto"/>
                <w:sz w:val="24"/>
                <w:szCs w:val="24"/>
                <w:u w:val="none"/>
                <w:lang w:val="en-US" w:eastAsia="zh-CN"/>
              </w:rPr>
              <w:t>2</w:t>
            </w:r>
          </w:p>
        </w:tc>
        <w:tc>
          <w:tcPr>
            <w:tcW w:w="755" w:type="pct"/>
            <w:vAlign w:val="center"/>
          </w:tcPr>
          <w:p w14:paraId="32D47F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w:t>
            </w:r>
          </w:p>
        </w:tc>
        <w:tc>
          <w:tcPr>
            <w:tcW w:w="1312" w:type="pct"/>
            <w:vAlign w:val="center"/>
          </w:tcPr>
          <w:p w14:paraId="35C8C5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40岁以下</w:t>
            </w:r>
          </w:p>
        </w:tc>
      </w:tr>
    </w:tbl>
    <w:p w14:paraId="0778BCE9">
      <w:pPr>
        <w:pStyle w:val="10"/>
        <w:pageBreakBefore w:val="0"/>
        <w:wordWrap/>
        <w:overflowPunct/>
        <w:topLinePunct w:val="0"/>
        <w:bidi w:val="0"/>
        <w:adjustRightInd w:val="0"/>
        <w:spacing w:before="0" w:after="0" w:afterLines="0" w:line="360" w:lineRule="auto"/>
        <w:ind w:left="0" w:leftChars="0" w:firstLine="240" w:firstLineChars="100"/>
        <w:jc w:val="left"/>
        <w:rPr>
          <w:rFonts w:hint="eastAsia" w:ascii="仿宋" w:hAnsi="仿宋" w:eastAsia="仿宋" w:cs="仿宋"/>
          <w:b w:val="0"/>
          <w:color w:val="auto"/>
          <w:sz w:val="24"/>
          <w:szCs w:val="24"/>
        </w:rPr>
      </w:pPr>
      <w:r>
        <w:rPr>
          <w:rFonts w:hint="eastAsia" w:ascii="仿宋" w:hAnsi="仿宋" w:eastAsia="仿宋" w:cs="仿宋"/>
          <w:b w:val="0"/>
          <w:bCs/>
          <w:color w:val="auto"/>
          <w:sz w:val="24"/>
          <w:szCs w:val="24"/>
        </w:rPr>
        <w:t>项目预算金额：</w:t>
      </w:r>
      <w:r>
        <w:rPr>
          <w:rFonts w:hint="eastAsia" w:ascii="仿宋" w:hAnsi="仿宋" w:eastAsia="仿宋" w:cs="仿宋"/>
          <w:b w:val="0"/>
          <w:color w:val="auto"/>
          <w:sz w:val="24"/>
          <w:szCs w:val="24"/>
        </w:rPr>
        <w:t>131.28万元</w:t>
      </w:r>
    </w:p>
    <w:p w14:paraId="26666627">
      <w:pPr>
        <w:pStyle w:val="10"/>
        <w:pageBreakBefore w:val="0"/>
        <w:widowControl/>
        <w:wordWrap/>
        <w:overflowPunct/>
        <w:topLinePunct w:val="0"/>
        <w:bidi w:val="0"/>
        <w:adjustRightInd w:val="0"/>
        <w:spacing w:before="0" w:after="0" w:afterLines="0" w:line="360" w:lineRule="auto"/>
        <w:ind w:left="0" w:leftChars="0" w:firstLine="240" w:firstLineChars="100"/>
        <w:jc w:val="left"/>
        <w:rPr>
          <w:rFonts w:hint="eastAsia" w:ascii="仿宋" w:hAnsi="仿宋" w:eastAsia="仿宋" w:cs="仿宋"/>
          <w:color w:val="auto"/>
          <w:sz w:val="24"/>
          <w:szCs w:val="24"/>
        </w:rPr>
      </w:pPr>
      <w:r>
        <w:rPr>
          <w:rFonts w:hint="eastAsia" w:ascii="仿宋" w:hAnsi="仿宋" w:eastAsia="仿宋" w:cs="仿宋"/>
          <w:b w:val="0"/>
          <w:bCs/>
          <w:color w:val="auto"/>
          <w:sz w:val="24"/>
          <w:szCs w:val="24"/>
        </w:rPr>
        <w:t>合同履行期限：</w:t>
      </w:r>
      <w:r>
        <w:rPr>
          <w:rFonts w:hint="eastAsia" w:ascii="仿宋" w:hAnsi="仿宋" w:eastAsia="仿宋" w:cs="仿宋"/>
          <w:b w:val="0"/>
          <w:color w:val="auto"/>
          <w:sz w:val="24"/>
          <w:szCs w:val="24"/>
        </w:rPr>
        <w:t>自2026年2月1日起至2027年1月3</w:t>
      </w:r>
      <w:r>
        <w:rPr>
          <w:rFonts w:hint="eastAsia" w:ascii="仿宋" w:hAnsi="仿宋" w:eastAsia="仿宋" w:cs="仿宋"/>
          <w:b w:val="0"/>
          <w:color w:val="auto"/>
          <w:sz w:val="24"/>
          <w:szCs w:val="24"/>
          <w:lang w:val="en-US" w:eastAsia="zh-CN"/>
        </w:rPr>
        <w:t>1</w:t>
      </w:r>
      <w:r>
        <w:rPr>
          <w:rFonts w:hint="eastAsia" w:ascii="仿宋" w:hAnsi="仿宋" w:eastAsia="仿宋" w:cs="仿宋"/>
          <w:b w:val="0"/>
          <w:color w:val="auto"/>
          <w:sz w:val="24"/>
          <w:szCs w:val="24"/>
        </w:rPr>
        <w:t>日止。合同期限1年。</w:t>
      </w:r>
    </w:p>
    <w:p w14:paraId="3132D983">
      <w:pPr>
        <w:pStyle w:val="2"/>
        <w:pageBreakBefore w:val="0"/>
        <w:widowControl/>
        <w:numPr>
          <w:ilvl w:val="0"/>
          <w:numId w:val="0"/>
        </w:numPr>
        <w:wordWrap/>
        <w:overflowPunct/>
        <w:topLinePunct w:val="0"/>
        <w:bidi w:val="0"/>
        <w:adjustRightInd w:val="0"/>
        <w:spacing w:before="0" w:after="0" w:line="360" w:lineRule="auto"/>
        <w:ind w:left="0" w:leftChars="0" w:firstLine="0" w:firstLineChars="0"/>
        <w:jc w:val="left"/>
        <w:rPr>
          <w:rFonts w:hint="eastAsia" w:ascii="仿宋" w:hAnsi="仿宋" w:eastAsia="仿宋" w:cs="仿宋"/>
          <w:b/>
          <w:bCs/>
          <w:color w:val="auto"/>
          <w:sz w:val="28"/>
          <w:szCs w:val="28"/>
        </w:rPr>
      </w:pPr>
      <w:r>
        <w:rPr>
          <w:rFonts w:hint="eastAsia" w:ascii="仿宋" w:hAnsi="仿宋" w:eastAsia="仿宋" w:cs="仿宋"/>
          <w:b/>
          <w:bCs/>
          <w:color w:val="auto"/>
          <w:kern w:val="44"/>
          <w:sz w:val="28"/>
          <w:szCs w:val="28"/>
          <w:lang w:bidi="ar-SA"/>
        </w:rPr>
        <w:t>二、</w:t>
      </w:r>
      <w:r>
        <w:rPr>
          <w:rFonts w:hint="eastAsia" w:ascii="仿宋" w:hAnsi="仿宋" w:eastAsia="仿宋" w:cs="仿宋"/>
          <w:b/>
          <w:bCs/>
          <w:color w:val="auto"/>
          <w:sz w:val="28"/>
          <w:szCs w:val="28"/>
        </w:rPr>
        <w:t>项目背景或简况</w:t>
      </w:r>
    </w:p>
    <w:p w14:paraId="748049A1">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color w:val="auto"/>
          <w:sz w:val="24"/>
          <w:szCs w:val="24"/>
        </w:rPr>
      </w:pPr>
      <w:r>
        <w:rPr>
          <w:rFonts w:hint="eastAsia" w:ascii="仿宋" w:hAnsi="仿宋" w:eastAsia="仿宋" w:cs="仿宋"/>
          <w:b w:val="0"/>
          <w:color w:val="auto"/>
          <w:sz w:val="24"/>
          <w:szCs w:val="24"/>
        </w:rPr>
        <w:t>大兴区天宫院街道社区卫生服务中心位于北京市大兴区天宫院街道大庄巷7号院。本项目占地面积6522平方米，建筑面积平方5223米，地上4层、地下1层，电梯2部，现有全科、中医、儿科、口轻等医疗科室，有中央空调、燃气锅炉供暖、污水设备实施等。现招聘保洁、高级电工、中控值守、女安检员等。</w:t>
      </w:r>
    </w:p>
    <w:p w14:paraId="23990A3F">
      <w:pPr>
        <w:pStyle w:val="2"/>
        <w:pageBreakBefore w:val="0"/>
        <w:widowControl/>
        <w:numPr>
          <w:ilvl w:val="0"/>
          <w:numId w:val="0"/>
        </w:numPr>
        <w:wordWrap/>
        <w:overflowPunct/>
        <w:topLinePunct w:val="0"/>
        <w:bidi w:val="0"/>
        <w:adjustRightInd w:val="0"/>
        <w:spacing w:before="0" w:after="0" w:line="360" w:lineRule="auto"/>
        <w:ind w:left="0" w:leftChars="0" w:firstLine="0" w:firstLineChars="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kern w:val="44"/>
          <w:sz w:val="28"/>
          <w:szCs w:val="28"/>
          <w:lang w:bidi="ar-SA"/>
        </w:rPr>
        <w:t>三、</w:t>
      </w:r>
      <w:r>
        <w:rPr>
          <w:rFonts w:hint="eastAsia" w:ascii="仿宋" w:hAnsi="仿宋" w:eastAsia="仿宋" w:cs="仿宋"/>
          <w:b/>
          <w:bCs/>
          <w:color w:val="auto"/>
          <w:sz w:val="28"/>
          <w:szCs w:val="28"/>
          <w:lang w:val="en-US" w:eastAsia="zh-CN"/>
        </w:rPr>
        <w:t>技术参数要求</w:t>
      </w:r>
    </w:p>
    <w:p w14:paraId="2597F5C3">
      <w:pPr>
        <w:pStyle w:val="4"/>
        <w:pageBreakBefore w:val="0"/>
        <w:widowControl/>
        <w:numPr>
          <w:ilvl w:val="0"/>
          <w:numId w:val="0"/>
        </w:numPr>
        <w:wordWrap/>
        <w:overflowPunct/>
        <w:topLinePunct w:val="0"/>
        <w:bidi w:val="0"/>
        <w:adjustRightInd w:val="0"/>
        <w:spacing w:before="0" w:line="360" w:lineRule="auto"/>
        <w:ind w:firstLine="241" w:firstLineChars="100"/>
        <w:jc w:val="left"/>
        <w:rPr>
          <w:rFonts w:hint="eastAsia" w:ascii="仿宋" w:hAnsi="仿宋" w:eastAsia="仿宋" w:cs="仿宋"/>
          <w:b/>
          <w:bCs/>
          <w:color w:val="auto"/>
          <w:sz w:val="24"/>
          <w:szCs w:val="24"/>
          <w:u w:val="none"/>
        </w:rPr>
      </w:pPr>
      <w:r>
        <w:rPr>
          <w:rFonts w:hint="eastAsia" w:ascii="仿宋" w:hAnsi="仿宋" w:eastAsia="仿宋" w:cs="仿宋"/>
          <w:b/>
          <w:bCs/>
          <w:color w:val="auto"/>
          <w:kern w:val="2"/>
          <w:sz w:val="24"/>
          <w:szCs w:val="24"/>
          <w:u w:val="none"/>
          <w:lang w:val="en-US" w:eastAsia="zh-CN" w:bidi="ar-SA"/>
        </w:rPr>
        <w:t>1</w:t>
      </w:r>
      <w:r>
        <w:rPr>
          <w:rFonts w:hint="default" w:ascii="仿宋" w:hAnsi="仿宋" w:eastAsia="仿宋" w:cs="仿宋"/>
          <w:b/>
          <w:bCs/>
          <w:color w:val="auto"/>
          <w:kern w:val="2"/>
          <w:sz w:val="24"/>
          <w:szCs w:val="24"/>
          <w:u w:val="none"/>
          <w:lang w:bidi="ar-SA"/>
        </w:rPr>
        <w:t>.</w:t>
      </w:r>
      <w:r>
        <w:rPr>
          <w:rFonts w:hint="eastAsia" w:ascii="仿宋" w:hAnsi="仿宋" w:eastAsia="仿宋" w:cs="仿宋"/>
          <w:b/>
          <w:bCs/>
          <w:color w:val="auto"/>
          <w:sz w:val="24"/>
          <w:szCs w:val="24"/>
          <w:u w:val="none"/>
        </w:rPr>
        <w:t>保洁服务：</w:t>
      </w:r>
    </w:p>
    <w:p w14:paraId="3C3D4B43">
      <w:pPr>
        <w:ind w:firstLine="480" w:firstLineChars="200"/>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服务内容</w:t>
      </w:r>
    </w:p>
    <w:p w14:paraId="7E25B0B3">
      <w:pPr>
        <w:pStyle w:val="10"/>
        <w:pageBreakBefore w:val="0"/>
        <w:widowControl/>
        <w:numPr>
          <w:ilvl w:val="0"/>
          <w:numId w:val="0"/>
        </w:numPr>
        <w:wordWrap/>
        <w:overflowPunct/>
        <w:topLinePunct w:val="0"/>
        <w:bidi w:val="0"/>
        <w:adjustRightInd w:val="0"/>
        <w:spacing w:before="0" w:after="0" w:afterLines="0" w:line="360" w:lineRule="auto"/>
        <w:ind w:firstLine="480" w:firstLineChars="200"/>
        <w:jc w:val="left"/>
        <w:rPr>
          <w:rFonts w:hint="eastAsia" w:ascii="仿宋" w:hAnsi="仿宋" w:eastAsia="仿宋" w:cs="仿宋"/>
          <w:b w:val="0"/>
          <w:color w:val="auto"/>
          <w:sz w:val="24"/>
          <w:szCs w:val="24"/>
        </w:rPr>
      </w:pPr>
      <w:r>
        <w:rPr>
          <w:rFonts w:hint="default" w:ascii="仿宋" w:hAnsi="仿宋" w:eastAsia="仿宋" w:cs="仿宋"/>
          <w:b w:val="0"/>
          <w:color w:val="auto"/>
          <w:kern w:val="2"/>
          <w:sz w:val="24"/>
          <w:szCs w:val="24"/>
          <w:lang w:bidi="ar-SA"/>
        </w:rPr>
        <w:t>（1）</w:t>
      </w:r>
      <w:r>
        <w:rPr>
          <w:rFonts w:hint="eastAsia" w:ascii="仿宋" w:hAnsi="仿宋" w:eastAsia="仿宋" w:cs="仿宋"/>
          <w:b w:val="0"/>
          <w:color w:val="auto"/>
          <w:sz w:val="24"/>
          <w:szCs w:val="24"/>
        </w:rPr>
        <w:t>清理楼内的所有垃圾，对垃圾进行分类回收，收集及清理所有垃圾箱、花槽内的垃圾，清洁所有扶手：栏杆及玻璃表面，拖擦地、台表面，清洁所有楼梯、走廊，扫净及洗刷大厅入口地台及梯级：擦净入口大厅内墙壁表面、所有玻璃门窗及设施，清扫会议室门窗、玻璃、桌椅等。</w:t>
      </w:r>
    </w:p>
    <w:p w14:paraId="62EE11BC">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地面光亮无水渍、污迹、无杂物，楼梯、走廊、指示牌、门牌、地角线、墙壁、柱子、顶板无尘、无污物：垃圾桶内垃圾不超过2／3，并摆放整齐，外观干净：大厅入口地台、梯级、墙壁表面、所有玻璃门窗及设施无尘土，墙面光亮、无污迹、水迹，会议室干净整洁。保证无鼠害、无蚊虫、无蟑螂。</w:t>
      </w:r>
    </w:p>
    <w:p w14:paraId="5A557EC4">
      <w:pPr>
        <w:pStyle w:val="10"/>
        <w:pageBreakBefore w:val="0"/>
        <w:widowControl/>
        <w:numPr>
          <w:ilvl w:val="0"/>
          <w:numId w:val="0"/>
        </w:numPr>
        <w:wordWrap/>
        <w:overflowPunct/>
        <w:topLinePunct w:val="0"/>
        <w:bidi w:val="0"/>
        <w:adjustRightInd w:val="0"/>
        <w:spacing w:before="0" w:after="0" w:afterLines="0" w:line="360" w:lineRule="auto"/>
        <w:ind w:left="0" w:leftChars="0" w:firstLine="480" w:firstLineChars="0"/>
        <w:jc w:val="left"/>
        <w:rPr>
          <w:rFonts w:hint="eastAsia" w:ascii="仿宋" w:hAnsi="仿宋" w:eastAsia="仿宋" w:cs="仿宋"/>
          <w:b w:val="0"/>
          <w:color w:val="auto"/>
          <w:sz w:val="24"/>
          <w:szCs w:val="24"/>
        </w:rPr>
      </w:pPr>
      <w:r>
        <w:rPr>
          <w:rFonts w:hint="default" w:ascii="仿宋" w:hAnsi="仿宋" w:eastAsia="仿宋" w:cs="仿宋"/>
          <w:b w:val="0"/>
          <w:color w:val="auto"/>
          <w:kern w:val="2"/>
          <w:sz w:val="24"/>
          <w:szCs w:val="24"/>
          <w:lang w:bidi="ar-SA"/>
        </w:rPr>
        <w:t>（2）</w:t>
      </w:r>
      <w:r>
        <w:rPr>
          <w:rFonts w:hint="eastAsia" w:ascii="仿宋" w:hAnsi="仿宋" w:eastAsia="仿宋" w:cs="仿宋"/>
          <w:b w:val="0"/>
          <w:color w:val="auto"/>
          <w:sz w:val="24"/>
          <w:szCs w:val="24"/>
        </w:rPr>
        <w:t>清洗楼内卫生间保洁，擦净所有门、天花板，抹、冲及洗净所有洗手间设备：擦净所有洗手间镜面，擦净地台表面，清理卫生桶脏物。清洁卫生洁具等。</w:t>
      </w:r>
    </w:p>
    <w:p w14:paraId="23DF3904">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门、窗、天花、墙壁、隔板无尘、无污迹、无杂物；玻璃、镜面明亮无水迹；地面墙角无尘、无污迹、无杂物、无蛛网、无水迹；面池、龙头、弯管、马桶座、盖、水箱、无污迹、无杂物，电镀件明亮；便池无尘、无污迹、无杂物；空气清新、无异味；墩布间干净、整洁、无杂物，物品码放整齐、不囤积。</w:t>
      </w:r>
    </w:p>
    <w:p w14:paraId="53AD80AF">
      <w:pPr>
        <w:pStyle w:val="10"/>
        <w:pageBreakBefore w:val="0"/>
        <w:widowControl/>
        <w:numPr>
          <w:ilvl w:val="0"/>
          <w:numId w:val="0"/>
        </w:numPr>
        <w:wordWrap/>
        <w:overflowPunct/>
        <w:topLinePunct w:val="0"/>
        <w:bidi w:val="0"/>
        <w:adjustRightInd w:val="0"/>
        <w:spacing w:before="0" w:after="0" w:afterLines="0" w:line="360" w:lineRule="auto"/>
        <w:ind w:left="0" w:leftChars="0" w:firstLine="480" w:firstLineChars="0"/>
        <w:jc w:val="left"/>
        <w:rPr>
          <w:rFonts w:hint="eastAsia" w:ascii="仿宋" w:hAnsi="仿宋" w:eastAsia="仿宋" w:cs="仿宋"/>
          <w:b w:val="0"/>
          <w:color w:val="auto"/>
          <w:sz w:val="24"/>
          <w:szCs w:val="24"/>
        </w:rPr>
      </w:pPr>
      <w:r>
        <w:rPr>
          <w:rFonts w:hint="default" w:ascii="仿宋" w:hAnsi="仿宋" w:eastAsia="仿宋" w:cs="仿宋"/>
          <w:b w:val="0"/>
          <w:color w:val="auto"/>
          <w:kern w:val="2"/>
          <w:sz w:val="24"/>
          <w:szCs w:val="24"/>
          <w:lang w:bidi="ar-SA"/>
        </w:rPr>
        <w:t>（3）</w:t>
      </w:r>
      <w:r>
        <w:rPr>
          <w:rFonts w:hint="eastAsia" w:ascii="仿宋" w:hAnsi="仿宋" w:eastAsia="仿宋" w:cs="仿宋"/>
          <w:b w:val="0"/>
          <w:color w:val="auto"/>
          <w:sz w:val="24"/>
          <w:szCs w:val="24"/>
        </w:rPr>
        <w:t>电梯间保洁，扫净及清擦电梯门表面；擦拭电梯内壁、门及指示；电梯天花板表面除尘；电梯门缝吸尘；擦净电梯照明系统；</w:t>
      </w:r>
    </w:p>
    <w:p w14:paraId="2092543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服务标准：电梯门表面、轿厢内壁、指示牌无尘土、印迹，表面光亮；电梯天花板、门缝无尘土；槽底清洁，无杂物；</w:t>
      </w:r>
    </w:p>
    <w:p w14:paraId="17C4F00A">
      <w:pPr>
        <w:pStyle w:val="10"/>
        <w:pageBreakBefore w:val="0"/>
        <w:widowControl/>
        <w:numPr>
          <w:ilvl w:val="0"/>
          <w:numId w:val="0"/>
        </w:numPr>
        <w:wordWrap/>
        <w:overflowPunct/>
        <w:topLinePunct w:val="0"/>
        <w:bidi w:val="0"/>
        <w:adjustRightInd w:val="0"/>
        <w:spacing w:before="0" w:after="0" w:afterLines="0" w:line="360" w:lineRule="auto"/>
        <w:ind w:left="0" w:leftChars="0" w:firstLine="480" w:firstLineChars="0"/>
        <w:jc w:val="left"/>
        <w:rPr>
          <w:rFonts w:hint="eastAsia" w:ascii="仿宋" w:hAnsi="仿宋" w:eastAsia="仿宋" w:cs="仿宋"/>
          <w:b w:val="0"/>
          <w:color w:val="auto"/>
          <w:sz w:val="24"/>
          <w:szCs w:val="24"/>
        </w:rPr>
      </w:pPr>
      <w:r>
        <w:rPr>
          <w:rFonts w:hint="default" w:ascii="仿宋" w:hAnsi="仿宋" w:eastAsia="仿宋" w:cs="仿宋"/>
          <w:b w:val="0"/>
          <w:color w:val="auto"/>
          <w:kern w:val="2"/>
          <w:sz w:val="24"/>
          <w:szCs w:val="24"/>
          <w:lang w:bidi="ar-SA"/>
        </w:rPr>
        <w:t>（4）</w:t>
      </w:r>
      <w:r>
        <w:rPr>
          <w:rFonts w:hint="eastAsia" w:ascii="仿宋" w:hAnsi="仿宋" w:eastAsia="仿宋" w:cs="仿宋"/>
          <w:b w:val="0"/>
          <w:color w:val="auto"/>
          <w:sz w:val="24"/>
          <w:szCs w:val="24"/>
        </w:rPr>
        <w:t>院内保洁，室外垃圾桶的清洁、集运；围栏的清洁；全楼垃圾清运；庭院地面清洁，绿植管理；冬季清扫积雪。</w:t>
      </w:r>
    </w:p>
    <w:p w14:paraId="1148A84E">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服务标准：庭院地面清洁无废弃物；保洁重点是烟头、废纸、杂物等，随时捡拾入桶；垃圾清运及时，垃圾站消毒，无蚊蝇滋生；扫雪及时，地面无积雪，符合市扫雪办要求。定期清扫院内卫生，修剪绿植花草。</w:t>
      </w:r>
    </w:p>
    <w:p w14:paraId="55AB542A">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2</w:t>
      </w:r>
      <w:r>
        <w:rPr>
          <w:rFonts w:hint="default" w:ascii="仿宋" w:hAnsi="仿宋" w:eastAsia="仿宋" w:cs="仿宋"/>
          <w:b/>
          <w:bCs/>
          <w:color w:val="auto"/>
          <w:kern w:val="2"/>
          <w:sz w:val="24"/>
          <w:szCs w:val="24"/>
          <w:lang w:bidi="ar-SA"/>
        </w:rPr>
        <w:t>.</w:t>
      </w:r>
      <w:r>
        <w:rPr>
          <w:rFonts w:hint="eastAsia" w:ascii="仿宋" w:hAnsi="仿宋" w:eastAsia="仿宋" w:cs="仿宋"/>
          <w:b/>
          <w:bCs/>
          <w:color w:val="auto"/>
          <w:sz w:val="24"/>
          <w:szCs w:val="24"/>
        </w:rPr>
        <w:t>高级电工：</w:t>
      </w:r>
    </w:p>
    <w:p w14:paraId="77FE2876">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给排水系统服务</w:t>
      </w:r>
    </w:p>
    <w:p w14:paraId="5AD73C63">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服务内容：</w:t>
      </w:r>
    </w:p>
    <w:p w14:paraId="07373B93">
      <w:pPr>
        <w:pStyle w:val="10"/>
        <w:pageBreakBefore w:val="0"/>
        <w:widowControl/>
        <w:wordWrap/>
        <w:overflowPunct/>
        <w:topLinePunct w:val="0"/>
        <w:bidi w:val="0"/>
        <w:adjustRightInd w:val="0"/>
        <w:spacing w:before="0" w:after="0" w:afterLines="0" w:line="360" w:lineRule="auto"/>
        <w:ind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（1）坚守岗位，密切注视给排水系统运行情况；</w:t>
      </w:r>
    </w:p>
    <w:p w14:paraId="01A05653">
      <w:pPr>
        <w:pStyle w:val="10"/>
        <w:pageBreakBefore w:val="0"/>
        <w:widowControl/>
        <w:wordWrap/>
        <w:overflowPunct/>
        <w:topLinePunct w:val="0"/>
        <w:bidi w:val="0"/>
        <w:adjustRightInd w:val="0"/>
        <w:spacing w:before="0" w:after="0" w:afterLines="0" w:line="360" w:lineRule="auto"/>
        <w:ind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（2）加强巡视检查，及时对排水系统各种设备出现的故障上报；</w:t>
      </w:r>
    </w:p>
    <w:p w14:paraId="2B07E5FB">
      <w:pPr>
        <w:pStyle w:val="10"/>
        <w:pageBreakBefore w:val="0"/>
        <w:widowControl/>
        <w:wordWrap/>
        <w:overflowPunct/>
        <w:topLinePunct w:val="0"/>
        <w:bidi w:val="0"/>
        <w:adjustRightInd w:val="0"/>
        <w:spacing w:before="0" w:after="0" w:afterLines="0" w:line="360" w:lineRule="auto"/>
        <w:ind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（3）定期对排水管道进行清通，清除污垢。</w:t>
      </w:r>
    </w:p>
    <w:p w14:paraId="56F5859C">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服务标准：</w:t>
      </w:r>
    </w:p>
    <w:p w14:paraId="6521102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（1）加强日常检查巡视，保证给排水系统正常运行使用；</w:t>
      </w:r>
    </w:p>
    <w:p w14:paraId="6DD4508F">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（2）加强巡视检查，防止跑、冒、滴、漏，保证设备设施完好；</w:t>
      </w:r>
    </w:p>
    <w:p w14:paraId="04C4ED56">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（3）保持室内外排水系统通畅；</w:t>
      </w:r>
    </w:p>
    <w:p w14:paraId="4A1A84B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（4）设备出现故障时，巡视人员应在10分钟内到达现场，</w:t>
      </w:r>
      <w:r>
        <w:rPr>
          <w:rFonts w:hint="eastAsia" w:ascii="仿宋" w:hAnsi="仿宋" w:eastAsia="仿宋" w:cs="仿宋"/>
          <w:b w:val="0"/>
          <w:color w:val="auto"/>
          <w:sz w:val="24"/>
          <w:szCs w:val="24"/>
        </w:rPr>
        <w:t>设备零维修合格率达到100％</w:t>
      </w:r>
      <w:r>
        <w:rPr>
          <w:rFonts w:hint="eastAsia" w:ascii="仿宋" w:hAnsi="仿宋" w:eastAsia="仿宋" w:cs="仿宋"/>
          <w:b w:val="0"/>
          <w:bCs w:val="0"/>
          <w:color w:val="auto"/>
          <w:kern w:val="2"/>
          <w:sz w:val="24"/>
          <w:szCs w:val="24"/>
          <w:lang w:val="en-US" w:eastAsia="zh-CN" w:bidi="ar-SA"/>
        </w:rPr>
        <w:t>；</w:t>
      </w:r>
    </w:p>
    <w:p w14:paraId="5A842DFF">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（5）做好节约用水工作。</w:t>
      </w:r>
    </w:p>
    <w:p w14:paraId="0CAFD141">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供电系统服务</w:t>
      </w:r>
    </w:p>
    <w:p w14:paraId="6EE7A5F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服务内容：</w:t>
      </w:r>
    </w:p>
    <w:p w14:paraId="3EC1BB8C">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（1）对办公楼供电系统的低压电器设备、电气照明装置等设备进行日常管理和巡视检查；</w:t>
      </w:r>
    </w:p>
    <w:p w14:paraId="070C19A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（2）建立各项设备档案；</w:t>
      </w:r>
    </w:p>
    <w:p w14:paraId="18D0835C">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（3）建立、落实配送电运行制度、电气和配电室管理制度、巡视检查制度等；</w:t>
      </w:r>
    </w:p>
    <w:p w14:paraId="510038D7">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（4）及时上报故障，保证供电设施完好；</w:t>
      </w:r>
    </w:p>
    <w:p w14:paraId="6AC3535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（5）建立节电措施。</w:t>
      </w:r>
    </w:p>
    <w:p w14:paraId="25888B4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w:t>
      </w:r>
    </w:p>
    <w:p w14:paraId="46758339">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（1）统筹规划，做到合理、节约用电；</w:t>
      </w:r>
    </w:p>
    <w:p w14:paraId="32A814B4">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（2）供电运行和巡检人员必须持证上岗；</w:t>
      </w:r>
    </w:p>
    <w:p w14:paraId="5FBFD031">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（3）加强日常巡视检修，公共使用的照明、指示灯具线路、开关要保证完好；</w:t>
      </w:r>
    </w:p>
    <w:p w14:paraId="3A706BA1">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（4）设备出现故障时，巡视检查人员应在10分钟内到达现场，设备零维修合格率达到100％；</w:t>
      </w:r>
    </w:p>
    <w:p w14:paraId="1EECDA28">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（5）严格执行用电安全规范，确保用电安全。</w:t>
      </w:r>
    </w:p>
    <w:p w14:paraId="7B3FEEBA">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电梯系统服务</w:t>
      </w:r>
    </w:p>
    <w:p w14:paraId="51CFBA6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服务内容：</w:t>
      </w:r>
    </w:p>
    <w:p w14:paraId="71B7558C">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（1）建立电梯安全管理制度</w:t>
      </w:r>
      <w:r>
        <w:rPr>
          <w:rFonts w:hint="eastAsia" w:ascii="仿宋" w:hAnsi="仿宋" w:eastAsia="仿宋" w:cs="仿宋"/>
          <w:b w:val="0"/>
          <w:color w:val="auto"/>
          <w:sz w:val="24"/>
          <w:szCs w:val="24"/>
          <w:lang w:eastAsia="zh-CN"/>
        </w:rPr>
        <w:t>；</w:t>
      </w:r>
    </w:p>
    <w:p w14:paraId="4C49958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（2）定期对机房设备、轿厢设备进行日常巡视检查；</w:t>
      </w:r>
    </w:p>
    <w:p w14:paraId="6BAEEC66">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（3）确保电梯按规定时间运行；</w:t>
      </w:r>
    </w:p>
    <w:p w14:paraId="76D8B52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w:t>
      </w:r>
      <w:r>
        <w:rPr>
          <w:rFonts w:hint="eastAsia" w:ascii="仿宋" w:hAnsi="仿宋" w:eastAsia="仿宋" w:cs="仿宋"/>
          <w:b w:val="0"/>
          <w:color w:val="auto"/>
          <w:sz w:val="24"/>
          <w:szCs w:val="24"/>
          <w:lang w:val="en-US" w:eastAsia="zh-CN"/>
        </w:rPr>
        <w:t>确保</w:t>
      </w:r>
      <w:r>
        <w:rPr>
          <w:rFonts w:hint="eastAsia" w:ascii="仿宋" w:hAnsi="仿宋" w:eastAsia="仿宋" w:cs="仿宋"/>
          <w:b w:val="0"/>
          <w:color w:val="auto"/>
          <w:sz w:val="24"/>
          <w:szCs w:val="24"/>
        </w:rPr>
        <w:t>安全设施齐全有效</w:t>
      </w:r>
      <w:r>
        <w:rPr>
          <w:rFonts w:hint="eastAsia" w:ascii="仿宋" w:hAnsi="仿宋" w:eastAsia="仿宋" w:cs="仿宋"/>
          <w:b w:val="0"/>
          <w:color w:val="auto"/>
          <w:sz w:val="24"/>
          <w:szCs w:val="24"/>
          <w:lang w:eastAsia="zh-CN"/>
        </w:rPr>
        <w:t>；</w:t>
      </w:r>
    </w:p>
    <w:p w14:paraId="7ADCF43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（5）轿厢、井道保持清洁；  </w:t>
      </w:r>
    </w:p>
    <w:p w14:paraId="4FDE49D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w:t>
      </w:r>
    </w:p>
    <w:p w14:paraId="31DDF5E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（1）严格执行国家有关特种设备管理规定和安全规程，确保设备运行安全；</w:t>
      </w:r>
    </w:p>
    <w:p w14:paraId="369F60A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r>
        <w:rPr>
          <w:rFonts w:hint="eastAsia" w:ascii="仿宋" w:hAnsi="仿宋" w:eastAsia="仿宋" w:cs="仿宋"/>
          <w:b w:val="0"/>
          <w:color w:val="auto"/>
          <w:sz w:val="24"/>
          <w:szCs w:val="24"/>
          <w:lang w:val="en-US" w:eastAsia="zh-CN"/>
        </w:rPr>
        <w:t>确保电梯内的求救警钟始终处于正常工作状态</w:t>
      </w:r>
      <w:r>
        <w:rPr>
          <w:rFonts w:hint="eastAsia" w:ascii="仿宋" w:hAnsi="仿宋" w:eastAsia="仿宋" w:cs="仿宋"/>
          <w:b w:val="0"/>
          <w:color w:val="auto"/>
          <w:sz w:val="24"/>
          <w:szCs w:val="24"/>
        </w:rPr>
        <w:t>；</w:t>
      </w:r>
    </w:p>
    <w:p w14:paraId="762E33C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r>
        <w:rPr>
          <w:rFonts w:hint="eastAsia" w:ascii="仿宋" w:hAnsi="仿宋" w:eastAsia="仿宋" w:cs="仿宋"/>
          <w:b w:val="0"/>
          <w:color w:val="auto"/>
          <w:sz w:val="24"/>
          <w:szCs w:val="24"/>
          <w:lang w:val="en-US" w:eastAsia="zh-CN"/>
        </w:rPr>
        <w:t>确保电梯</w:t>
      </w:r>
      <w:r>
        <w:rPr>
          <w:rFonts w:hint="eastAsia" w:ascii="仿宋" w:hAnsi="仿宋" w:eastAsia="仿宋" w:cs="仿宋"/>
          <w:b w:val="0"/>
          <w:color w:val="auto"/>
          <w:sz w:val="24"/>
          <w:szCs w:val="24"/>
        </w:rPr>
        <w:t>通风、照明及其他附属设施完好；</w:t>
      </w:r>
    </w:p>
    <w:p w14:paraId="3A415DB7">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（4）因故障停梯，接到报修后应立即联系维保公司到达现场抢修，及时排除故障。</w:t>
      </w:r>
    </w:p>
    <w:p w14:paraId="5DB3F70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（5）</w:t>
      </w:r>
      <w:r>
        <w:rPr>
          <w:rFonts w:hint="eastAsia" w:ascii="仿宋" w:hAnsi="仿宋" w:eastAsia="仿宋" w:cs="仿宋"/>
          <w:b w:val="0"/>
          <w:bCs w:val="0"/>
          <w:color w:val="auto"/>
          <w:kern w:val="2"/>
          <w:sz w:val="24"/>
          <w:szCs w:val="24"/>
          <w:lang w:val="en-US" w:eastAsia="zh-CN" w:bidi="ar-SA"/>
        </w:rPr>
        <w:t>电梯轿厢内部干净整洁、装饰应平整、光滑，无尖锐凸起，防止乘客刮伤。井道内应定期清理灰尘和杂物，确保电梯运行平稳，无异常噪音</w:t>
      </w:r>
      <w:r>
        <w:rPr>
          <w:rFonts w:hint="eastAsia" w:ascii="仿宋" w:hAnsi="仿宋" w:eastAsia="仿宋" w:cs="仿宋"/>
          <w:b w:val="0"/>
          <w:color w:val="auto"/>
          <w:sz w:val="24"/>
          <w:szCs w:val="24"/>
        </w:rPr>
        <w:t>。</w:t>
      </w:r>
    </w:p>
    <w:p w14:paraId="7EDCE9C2">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燃气取暖锅炉、空调系统维修：</w:t>
      </w:r>
    </w:p>
    <w:p w14:paraId="0C35ECF2">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服务内容：</w:t>
      </w:r>
    </w:p>
    <w:p w14:paraId="3529E0BF">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（1）负责中央空调运行期间的设备设施巡视检查工作；每年2次对出风口进行消毒清洗擦拭。确保正常运行。</w:t>
      </w:r>
    </w:p>
    <w:p w14:paraId="7C70CBD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（2）负责供暖季的燃气锅炉运行管理（必须持证上岗）；负责管道维修维护，确保达到供暖要求。</w:t>
      </w:r>
    </w:p>
    <w:p w14:paraId="65906527">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w:t>
      </w:r>
    </w:p>
    <w:p w14:paraId="4696EA31">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（1）建立空调、锅炉运行管理制度和安全操作规程；</w:t>
      </w:r>
    </w:p>
    <w:p w14:paraId="39C07FA7">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（2）保证空调、锅炉系统安全运行和正常使用；</w:t>
      </w:r>
    </w:p>
    <w:p w14:paraId="63A99BF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（3）日常运行中无滴漏水现象；</w:t>
      </w:r>
    </w:p>
    <w:p w14:paraId="5FD3D2B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（4）定期检修养护空调设备、锅炉等设备设施，确保设备设施处于良好状态；</w:t>
      </w:r>
    </w:p>
    <w:p w14:paraId="379235B9">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（5）空调系统出现运行故障后，巡视检查人员应及时到达现场，并做好记录。</w:t>
      </w:r>
    </w:p>
    <w:p w14:paraId="7010041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（6）确保燃气锅炉的正常运转，及时维修维护管道设施等。</w:t>
      </w:r>
    </w:p>
    <w:p w14:paraId="1C576251">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val="0"/>
          <w:color w:val="auto"/>
          <w:sz w:val="24"/>
          <w:szCs w:val="24"/>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中控值守：</w:t>
      </w:r>
    </w:p>
    <w:p w14:paraId="2F7943F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（1）负责中控室24小时双人持证上岗值守（必须持中级证书以上）；</w:t>
      </w:r>
    </w:p>
    <w:p w14:paraId="62E8C7BF">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（2）了解掌握中控室内各种报警设备设施：</w:t>
      </w:r>
    </w:p>
    <w:p w14:paraId="00A2C7E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（3）做好各种报警及交接班记录：</w:t>
      </w:r>
    </w:p>
    <w:p w14:paraId="106D78E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服务标准：坚守岗位，严禁睡岗，发现问题及时通知相关人员处理。</w:t>
      </w:r>
    </w:p>
    <w:p w14:paraId="18B5DE97">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女安检员：</w:t>
      </w:r>
    </w:p>
    <w:p w14:paraId="6B6A3A48">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（1）负责人员的安全检测工作，严防禁带物品入院；</w:t>
      </w:r>
    </w:p>
    <w:p w14:paraId="2BE4B246">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（2）按照规定要求值班值守，经常巡视检查，及时消除安全隐患；</w:t>
      </w:r>
    </w:p>
    <w:p w14:paraId="2DA15153">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（3）必须持证上岗，文明用语；</w:t>
      </w:r>
    </w:p>
    <w:p w14:paraId="5B8F2A57">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（4）做好重大活动节日的安全保卫工作；</w:t>
      </w:r>
    </w:p>
    <w:p w14:paraId="3A0A84EE">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服务标准：能及时发现和处理各种安全和事故隐患，确保不发生安全方面的问题，能迅速有效处置突发事件；</w:t>
      </w:r>
    </w:p>
    <w:p w14:paraId="0691EAB2">
      <w:pPr>
        <w:pStyle w:val="10"/>
        <w:pageBreakBefore w:val="0"/>
        <w:widowControl/>
        <w:wordWrap/>
        <w:overflowPunct/>
        <w:topLinePunct w:val="0"/>
        <w:bidi w:val="0"/>
        <w:adjustRightInd w:val="0"/>
        <w:spacing w:before="0" w:after="0" w:afterLines="0" w:line="360" w:lineRule="auto"/>
        <w:ind w:left="0" w:leftChars="0" w:firstLine="241" w:firstLineChars="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.物业经理：</w:t>
      </w:r>
    </w:p>
    <w:p w14:paraId="4C6A6DF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（1）年龄在50岁以下，具有两年以上的物业管理经验。</w:t>
      </w:r>
    </w:p>
    <w:p w14:paraId="52DC0180">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（2）能较快熟悉甲方工作要点，擅长使用电脑等设备，有较好的沟通及协调能力及有效处理各类突发事件，能及时与甲方汇报沟通各项事宜，</w:t>
      </w:r>
    </w:p>
    <w:p w14:paraId="3D71669F">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（3）遵守甲方制定的各项规章制度。</w:t>
      </w:r>
    </w:p>
    <w:p w14:paraId="7F565C84">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lang w:val="en-US" w:eastAsia="zh-CN"/>
        </w:rPr>
        <w:t>服务标准：</w:t>
      </w:r>
      <w:r>
        <w:rPr>
          <w:rFonts w:hint="eastAsia" w:ascii="仿宋" w:hAnsi="仿宋" w:eastAsia="仿宋" w:cs="仿宋"/>
          <w:b w:val="0"/>
          <w:color w:val="auto"/>
          <w:sz w:val="24"/>
          <w:szCs w:val="24"/>
        </w:rPr>
        <w:t>定期召开员工的培训工作，及时向甲方及公安机关报备招录人员信息。详细记录各项安全检查、巡查台账，组织员工督导配合各类监测维保工作，配合甲方迎接上级主管部门的各项检查及临时交办的其他工作。</w:t>
      </w:r>
    </w:p>
    <w:p w14:paraId="7C361A6F">
      <w:pPr>
        <w:spacing w:line="480" w:lineRule="exact"/>
        <w:ind w:left="0" w:leftChars="0" w:right="-99" w:rightChars="-47" w:firstLine="241" w:firstLineChars="100"/>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lang w:val="en-US" w:eastAsia="zh-CN"/>
        </w:rPr>
        <w:t>7.</w:t>
      </w:r>
      <w:r>
        <w:rPr>
          <w:rFonts w:hint="eastAsia" w:ascii="仿宋_GB2312" w:hAnsi="仿宋_GB2312" w:eastAsia="仿宋_GB2312" w:cs="仿宋_GB2312"/>
          <w:b/>
          <w:bCs/>
          <w:color w:val="auto"/>
          <w:sz w:val="24"/>
        </w:rPr>
        <w:t>紧急响应、应急预案</w:t>
      </w:r>
    </w:p>
    <w:p w14:paraId="79227AFB">
      <w:pPr>
        <w:spacing w:line="480" w:lineRule="exact"/>
        <w:ind w:left="0" w:leftChars="0" w:right="-99" w:rightChars="-47" w:firstLine="420" w:firstLineChars="17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投标人应建立一套完善的紧急响应机制，</w:t>
      </w:r>
      <w:r>
        <w:rPr>
          <w:rFonts w:hint="eastAsia" w:ascii="仿宋_GB2312" w:hAnsi="仿宋_GB2312" w:eastAsia="仿宋_GB2312" w:cs="仿宋_GB2312"/>
          <w:color w:val="auto"/>
          <w:sz w:val="24"/>
          <w:lang w:val="en-US" w:eastAsia="zh-CN"/>
        </w:rPr>
        <w:t>包</w:t>
      </w:r>
      <w:r>
        <w:rPr>
          <w:rFonts w:hint="eastAsia" w:ascii="仿宋_GB2312" w:hAnsi="仿宋_GB2312" w:eastAsia="仿宋_GB2312" w:cs="仿宋_GB2312"/>
          <w:color w:val="auto"/>
          <w:sz w:val="24"/>
        </w:rPr>
        <w:t>括但不限于以下内容：</w:t>
      </w:r>
    </w:p>
    <w:p w14:paraId="67109A16">
      <w:pPr>
        <w:spacing w:line="480" w:lineRule="exact"/>
        <w:ind w:left="412" w:leftChars="196" w:right="-99" w:rightChars="-47" w:firstLine="227"/>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（1）组织架构与职责分工：明确紧急响应的负责人、各相关部门及岗位的职责，确保在紧急情况下能够迅速形成合力，共同应对。</w:t>
      </w:r>
    </w:p>
    <w:p w14:paraId="6C84141A">
      <w:pPr>
        <w:spacing w:line="480" w:lineRule="exact"/>
        <w:ind w:left="412" w:leftChars="196" w:right="-99" w:rightChars="-47" w:firstLine="227"/>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（2）通讯与信息报告：建立紧急通讯渠道，确保在紧急情况下能够迅速传递信息。同时，制定信息报告制度，明确紧急信息的报告流程、内容和时限，以便及时向上级部门或相关单位报告。</w:t>
      </w:r>
    </w:p>
    <w:p w14:paraId="1D15F4B0">
      <w:pPr>
        <w:spacing w:line="480" w:lineRule="exact"/>
        <w:ind w:left="412" w:leftChars="196" w:right="-99" w:rightChars="-47" w:firstLine="227"/>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（3）应急资源储备：储备必要的应急物资，确保在紧急情况下能够迅速投入使用，满足应急处置的需要。</w:t>
      </w:r>
    </w:p>
    <w:p w14:paraId="25C2B1BE">
      <w:pPr>
        <w:spacing w:line="480" w:lineRule="exact"/>
        <w:ind w:left="0" w:leftChars="0" w:right="-99" w:rightChars="-47" w:firstLine="420" w:firstLineChars="17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投标人应针对可能发生的突发事件，制定详细的应急预案</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包括但不限于以下内容：</w:t>
      </w:r>
    </w:p>
    <w:p w14:paraId="035038EB">
      <w:pPr>
        <w:spacing w:line="480" w:lineRule="exact"/>
        <w:ind w:left="412" w:leftChars="196" w:right="-99" w:rightChars="-47" w:firstLine="227"/>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（1）应急响应流程：明确突发事件发生后，从发现、报告、处置到总结的全过程。</w:t>
      </w:r>
    </w:p>
    <w:p w14:paraId="44E21B62">
      <w:pPr>
        <w:spacing w:line="480" w:lineRule="exact"/>
        <w:ind w:left="412" w:leftChars="196" w:right="-99" w:rightChars="-47" w:firstLine="227"/>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color w:val="auto"/>
          <w:sz w:val="24"/>
        </w:rPr>
        <w:t>（2）应急处置措施：针对不同类型的突发事件，制定具体的应急处置措施，确保在紧急情况下能够迅速、有效地应对。</w:t>
      </w:r>
    </w:p>
    <w:p w14:paraId="7504028F">
      <w:pPr>
        <w:spacing w:line="480" w:lineRule="exact"/>
        <w:ind w:left="0" w:leftChars="0" w:right="-99" w:rightChars="-47" w:firstLine="241" w:firstLineChars="1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8.</w:t>
      </w:r>
      <w:r>
        <w:rPr>
          <w:rFonts w:hint="eastAsia" w:ascii="仿宋_GB2312" w:hAnsi="仿宋_GB2312" w:eastAsia="仿宋_GB2312" w:cs="仿宋_GB2312"/>
          <w:b/>
          <w:bCs/>
          <w:color w:val="auto"/>
          <w:sz w:val="24"/>
        </w:rPr>
        <w:t>节能、垃圾分类管理措施</w:t>
      </w:r>
    </w:p>
    <w:p w14:paraId="493450E7">
      <w:pPr>
        <w:spacing w:line="480" w:lineRule="exact"/>
        <w:ind w:left="0" w:leftChars="0" w:right="-99" w:rightChars="-47" w:firstLine="480" w:firstLineChars="200"/>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1.节能管理：每日在工作区域内开展巡查，夏季空调≥26℃、冬季≤20℃；非使用时段关闭公共区域空调、排风扇及照明；杜绝“白昼灯”“长明灯”。</w:t>
      </w:r>
    </w:p>
    <w:p w14:paraId="3D2BC0B4">
      <w:pPr>
        <w:spacing w:line="480" w:lineRule="exact"/>
        <w:ind w:left="0" w:leftChars="0" w:right="-99" w:rightChars="-47" w:firstLine="480" w:firstLineChars="200"/>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2.节水管理：开展保洁服务时注意及时关闭水龙头，并及时报修损坏用水设施设备，杜绝长流水行为。</w:t>
      </w:r>
    </w:p>
    <w:p w14:paraId="6688BF4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_GB2312" w:hAnsi="仿宋_GB2312" w:eastAsia="仿宋_GB2312" w:cs="仿宋_GB2312"/>
          <w:b w:val="0"/>
          <w:bCs w:val="0"/>
          <w:color w:val="auto"/>
          <w:sz w:val="24"/>
          <w:lang w:val="en-US" w:eastAsia="zh-CN"/>
        </w:rPr>
        <w:t>3.生活垃圾分类：按照《北京市生活垃圾管理条例》及医疗的相关管理规定，对保洁人员定期进行培训，负责日常垃圾分类处理及医疗垃圾收纳处理。</w:t>
      </w:r>
    </w:p>
    <w:p w14:paraId="7969C7EA">
      <w:pPr>
        <w:pStyle w:val="10"/>
        <w:pageBreakBefore w:val="0"/>
        <w:widowControl/>
        <w:wordWrap/>
        <w:overflowPunct/>
        <w:topLinePunct w:val="0"/>
        <w:bidi w:val="0"/>
        <w:adjustRightInd w:val="0"/>
        <w:spacing w:before="0" w:after="0" w:afterLines="0" w:line="360" w:lineRule="auto"/>
        <w:ind w:left="0" w:leftChars="0" w:firstLine="0" w:firstLineChars="0"/>
        <w:jc w:val="left"/>
        <w:rPr>
          <w:rFonts w:hint="eastAsia" w:ascii="仿宋" w:hAnsi="仿宋" w:eastAsia="仿宋" w:cs="仿宋"/>
          <w:b w:val="0"/>
          <w:color w:val="auto"/>
          <w:sz w:val="24"/>
          <w:szCs w:val="24"/>
        </w:rPr>
      </w:pPr>
      <w:r>
        <w:rPr>
          <w:rFonts w:hint="eastAsia" w:ascii="仿宋" w:hAnsi="仿宋" w:eastAsia="仿宋" w:cs="仿宋"/>
          <w:b/>
          <w:bCs/>
          <w:color w:val="auto"/>
          <w:sz w:val="24"/>
          <w:szCs w:val="24"/>
        </w:rPr>
        <w:t>四、售后服务及培训要求</w:t>
      </w:r>
    </w:p>
    <w:p w14:paraId="443EB75D">
      <w:pPr>
        <w:pStyle w:val="10"/>
        <w:pageBreakBefore w:val="0"/>
        <w:widowControl/>
        <w:wordWrap/>
        <w:overflowPunct/>
        <w:topLinePunct w:val="0"/>
        <w:bidi w:val="0"/>
        <w:adjustRightInd w:val="0"/>
        <w:spacing w:before="0" w:after="0" w:afterLines="0" w:line="360" w:lineRule="auto"/>
        <w:ind w:left="0" w:leftChars="0" w:firstLine="240" w:firstLineChars="1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1.售后服务：</w:t>
      </w:r>
    </w:p>
    <w:p w14:paraId="06A50B54">
      <w:pPr>
        <w:pStyle w:val="10"/>
        <w:pageBreakBefore w:val="0"/>
        <w:widowControl/>
        <w:wordWrap/>
        <w:overflowPunct/>
        <w:topLinePunct w:val="0"/>
        <w:bidi w:val="0"/>
        <w:adjustRightInd w:val="0"/>
        <w:spacing w:before="0" w:after="0" w:afterLines="0" w:line="360" w:lineRule="auto"/>
        <w:ind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（1）根据采购人要求保洁、电工维修、中控、安检及管理人员完成相关工作。</w:t>
      </w:r>
    </w:p>
    <w:p w14:paraId="68EB9329">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（2）根据有关法律法规，制定相关物业管理服务制度。</w:t>
      </w:r>
    </w:p>
    <w:p w14:paraId="1EB8B7DA">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（3）发现不良行为及时制止并报告采购人相关部门。</w:t>
      </w:r>
    </w:p>
    <w:p w14:paraId="1D0204ED">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（4）未经采购人同意不得将本服务转让给第三方。</w:t>
      </w:r>
    </w:p>
    <w:p w14:paraId="4F088415">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（5）中标人人员在工作期间，因公发生的意外事故，由中标人负责解决并承担全部责任。</w:t>
      </w:r>
    </w:p>
    <w:p w14:paraId="5838FD38">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（6）中标人在工作中所需工具及物料由中标人自理（医疗废物处理所需除外），且应符合国家质量和安全标准的合格产品。</w:t>
      </w:r>
    </w:p>
    <w:p w14:paraId="566AEA0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（7）遵守采购人管理制度，明确安全管理负责制，对本项目的内部管理安全负总责。接受采购人的日常监督检查，对违反者根据规章制度进行处理。</w:t>
      </w:r>
    </w:p>
    <w:p w14:paraId="2D8A5929">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（8）如因中标方过错造成任何人员或财产损失的，由中标方负责赔偿。如遇不可抗力造成的事故的，中标方不承担责任。</w:t>
      </w:r>
    </w:p>
    <w:p w14:paraId="419EA3D1">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（9）中标方人员的各类费用由中标方根据国家各项政策标准支付，采购人不承担合同金额约定以外的相关人员费用。</w:t>
      </w:r>
    </w:p>
    <w:p w14:paraId="4A79726B">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（10）中标方需保证在岗人员必须符合约定人数，保证节假日服务正常运转。</w:t>
      </w:r>
    </w:p>
    <w:p w14:paraId="6B910A24">
      <w:pPr>
        <w:pStyle w:val="10"/>
        <w:pageBreakBefore w:val="0"/>
        <w:widowControl/>
        <w:wordWrap/>
        <w:overflowPunct/>
        <w:topLinePunct w:val="0"/>
        <w:bidi w:val="0"/>
        <w:adjustRightInd w:val="0"/>
        <w:spacing w:before="0" w:after="0" w:afterLines="0" w:line="360" w:lineRule="auto"/>
        <w:ind w:left="0" w:leftChars="0" w:firstLine="480" w:firstLineChars="2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（11）中标方要严格遵守、执行本采购人服务项目中所涉及到的国家相关的法律、法规。</w:t>
      </w:r>
    </w:p>
    <w:p w14:paraId="6B3F331E">
      <w:pPr>
        <w:pStyle w:val="10"/>
        <w:pageBreakBefore w:val="0"/>
        <w:widowControl/>
        <w:wordWrap/>
        <w:overflowPunct/>
        <w:topLinePunct w:val="0"/>
        <w:bidi w:val="0"/>
        <w:adjustRightInd w:val="0"/>
        <w:spacing w:before="0" w:after="0" w:afterLines="0" w:line="360" w:lineRule="auto"/>
        <w:ind w:left="0" w:leftChars="0" w:firstLine="240" w:firstLineChars="100"/>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2.培训要求</w:t>
      </w:r>
    </w:p>
    <w:p w14:paraId="3A6381DC">
      <w:pPr>
        <w:widowControl/>
        <w:spacing w:beforeLines="0" w:line="360" w:lineRule="auto"/>
        <w:ind w:left="0" w:leftChars="0" w:firstLine="480" w:firstLineChars="200"/>
        <w:jc w:val="left"/>
        <w:rPr>
          <w:rFonts w:hint="eastAsia" w:ascii="仿宋_GB2312" w:hAnsi="仿宋_GB2312" w:eastAsia="仿宋_GB2312" w:cs="仿宋_GB2312"/>
          <w:color w:val="auto"/>
          <w:spacing w:val="-1"/>
          <w:sz w:val="24"/>
          <w:szCs w:val="24"/>
          <w:highlight w:val="none"/>
        </w:rPr>
      </w:pPr>
      <w:r>
        <w:rPr>
          <w:rFonts w:hint="eastAsia" w:ascii="仿宋" w:hAnsi="仿宋" w:eastAsia="仿宋" w:cs="仿宋"/>
          <w:b w:val="0"/>
          <w:color w:val="auto"/>
          <w:sz w:val="24"/>
          <w:szCs w:val="24"/>
        </w:rPr>
        <w:t>管理人员持证上岗率达 100%；特殊工种持证上岗率达 100%；员工培训合格率达100%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500EA"/>
    <w:rsid w:val="098A355E"/>
    <w:rsid w:val="098F6BCE"/>
    <w:rsid w:val="09C011D3"/>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E21939"/>
    <w:rsid w:val="10685515"/>
    <w:rsid w:val="10B574E7"/>
    <w:rsid w:val="10CE52D7"/>
    <w:rsid w:val="115C15F3"/>
    <w:rsid w:val="117D68B3"/>
    <w:rsid w:val="11C750BC"/>
    <w:rsid w:val="11D279F6"/>
    <w:rsid w:val="11DD1597"/>
    <w:rsid w:val="127E5268"/>
    <w:rsid w:val="12B65795"/>
    <w:rsid w:val="13397399"/>
    <w:rsid w:val="13B50C74"/>
    <w:rsid w:val="13C86069"/>
    <w:rsid w:val="14E54849"/>
    <w:rsid w:val="152D09DB"/>
    <w:rsid w:val="157727D1"/>
    <w:rsid w:val="15EF0AA4"/>
    <w:rsid w:val="160F159D"/>
    <w:rsid w:val="162B0FD3"/>
    <w:rsid w:val="16634D9E"/>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C1200"/>
    <w:rsid w:val="31E41CE9"/>
    <w:rsid w:val="32241814"/>
    <w:rsid w:val="328913F9"/>
    <w:rsid w:val="33077BF7"/>
    <w:rsid w:val="334E6E9B"/>
    <w:rsid w:val="33E740EE"/>
    <w:rsid w:val="340737ED"/>
    <w:rsid w:val="3492329A"/>
    <w:rsid w:val="35255689"/>
    <w:rsid w:val="361B3C28"/>
    <w:rsid w:val="368E2AE7"/>
    <w:rsid w:val="36B6623F"/>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EBC0120"/>
    <w:rsid w:val="3EEC19A5"/>
    <w:rsid w:val="3EF82024"/>
    <w:rsid w:val="3EFC70DD"/>
    <w:rsid w:val="3F1F3324"/>
    <w:rsid w:val="3F3C0F93"/>
    <w:rsid w:val="3F4C7572"/>
    <w:rsid w:val="3F5E60B7"/>
    <w:rsid w:val="3F6D7CAD"/>
    <w:rsid w:val="3FCD0370"/>
    <w:rsid w:val="3FF379A5"/>
    <w:rsid w:val="40131301"/>
    <w:rsid w:val="404B6F42"/>
    <w:rsid w:val="406950B0"/>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84A8D"/>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F57F4"/>
    <w:rsid w:val="54E33B68"/>
    <w:rsid w:val="552F5475"/>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A0172F4"/>
    <w:rsid w:val="5B1B0B32"/>
    <w:rsid w:val="5B535721"/>
    <w:rsid w:val="5BE44B85"/>
    <w:rsid w:val="5C0B0C27"/>
    <w:rsid w:val="5C351665"/>
    <w:rsid w:val="5C58107B"/>
    <w:rsid w:val="5C962627"/>
    <w:rsid w:val="5CED2442"/>
    <w:rsid w:val="5D1C1E4E"/>
    <w:rsid w:val="5E425869"/>
    <w:rsid w:val="5E85563A"/>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022CC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7E777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nhideWhenUsed/>
    <w:qFormat/>
    <w:uiPriority w:val="99"/>
    <w:pPr>
      <w:jc w:val="left"/>
    </w:pPr>
  </w:style>
  <w:style w:type="paragraph" w:styleId="10">
    <w:name w:val="Body Text"/>
    <w:basedOn w:val="1"/>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5">
    <w:name w:val="Plain Text"/>
    <w:basedOn w:val="1"/>
    <w:next w:val="1"/>
    <w:link w:val="35"/>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2">
    <w:name w:val="Body Text First Indent 2"/>
    <w:basedOn w:val="11"/>
    <w:unhideWhenUsed/>
    <w:qFormat/>
    <w:uiPriority w:val="99"/>
    <w:pPr>
      <w:ind w:firstLine="420" w:firstLineChars="2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29">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5"/>
    <w:link w:val="2"/>
    <w:qFormat/>
    <w:uiPriority w:val="9"/>
    <w:rPr>
      <w:rFonts w:ascii="Times New Roman" w:hAnsi="Times New Roman" w:eastAsia="宋体" w:cs="Times New Roman"/>
      <w:b/>
      <w:bCs/>
      <w:kern w:val="44"/>
      <w:sz w:val="44"/>
      <w:szCs w:val="44"/>
    </w:rPr>
  </w:style>
  <w:style w:type="character" w:customStyle="1" w:styleId="33">
    <w:name w:val="标题 2 字符"/>
    <w:basedOn w:val="25"/>
    <w:link w:val="3"/>
    <w:qFormat/>
    <w:uiPriority w:val="0"/>
    <w:rPr>
      <w:rFonts w:ascii="Arial" w:hAnsi="Arial" w:eastAsia="黑体" w:cs="Arial"/>
      <w:b/>
      <w:bCs/>
      <w:sz w:val="32"/>
      <w:szCs w:val="32"/>
    </w:rPr>
  </w:style>
  <w:style w:type="character" w:customStyle="1" w:styleId="34">
    <w:name w:val="纯文本 字符"/>
    <w:basedOn w:val="25"/>
    <w:semiHidden/>
    <w:qFormat/>
    <w:uiPriority w:val="99"/>
    <w:rPr>
      <w:rFonts w:ascii="等线" w:hAnsi="Courier New" w:cs="Courier New"/>
      <w:szCs w:val="21"/>
    </w:rPr>
  </w:style>
  <w:style w:type="character" w:customStyle="1" w:styleId="35">
    <w:name w:val="纯文本 字符1"/>
    <w:basedOn w:val="25"/>
    <w:link w:val="15"/>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1"/>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5"/>
    <w:qFormat/>
    <w:uiPriority w:val="0"/>
    <w:rPr>
      <w:rFonts w:hint="eastAsia" w:ascii="宋体" w:hAnsi="宋体" w:eastAsia="宋体" w:cs="宋体"/>
      <w:color w:val="FF0000"/>
      <w:sz w:val="20"/>
      <w:szCs w:val="20"/>
      <w:u w:val="none"/>
    </w:rPr>
  </w:style>
  <w:style w:type="character" w:customStyle="1" w:styleId="45">
    <w:name w:val="font21"/>
    <w:basedOn w:val="25"/>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5"/>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5749</Words>
  <Characters>6116</Characters>
  <Lines>235</Lines>
  <Paragraphs>66</Paragraphs>
  <TotalTime>0</TotalTime>
  <ScaleCrop>false</ScaleCrop>
  <LinksUpToDate>false</LinksUpToDate>
  <CharactersWithSpaces>6257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2025-12-11T07:29:38Z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37C5D8BE163E40A2815DE1BEA82B66B4_13</vt:lpwstr>
  </property>
  <property fmtid="{D5CDD505-2E9C-101B-9397-08002B2CF9AE}" pid="4" name="KSOTemplateDocerSaveRecord">
    <vt:lpwstr>eyJoZGlkIjoiZWRlODUwMmJhZDlhZTYzN2Q1ODczNTk0NjE0MjY4MDEiLCJ1c2VySWQiOiIyMTc4NjczMzkifQ==</vt:lpwstr>
  </property>
</Properties>
</file>