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991B7">
      <w:pPr>
        <w:pStyle w:val="2"/>
        <w:pageBreakBefore w:val="0"/>
        <w:bidi w:val="0"/>
        <w:snapToGrid w:val="0"/>
        <w:spacing w:before="0" w:after="0" w:line="360" w:lineRule="auto"/>
        <w:ind w:right="31" w:rightChars="15"/>
        <w:rPr>
          <w:sz w:val="24"/>
          <w:highlight w:val="none"/>
        </w:rPr>
      </w:pPr>
      <w:bookmarkStart w:id="0" w:name="_Toc8793"/>
      <w:bookmarkStart w:id="1" w:name="_Toc7243"/>
      <w:bookmarkStart w:id="2" w:name="_Toc27550"/>
      <w:bookmarkStart w:id="3" w:name="_Toc3108"/>
      <w:r>
        <w:rPr>
          <w:snapToGrid w:val="0"/>
          <w:kern w:val="0"/>
          <w:highlight w:val="none"/>
        </w:rPr>
        <w:t>第五章采购需求</w:t>
      </w:r>
      <w:bookmarkEnd w:id="0"/>
      <w:bookmarkEnd w:id="1"/>
      <w:bookmarkEnd w:id="2"/>
      <w:bookmarkEnd w:id="3"/>
    </w:p>
    <w:p w14:paraId="1A5D56CF">
      <w:pPr>
        <w:keepNext w:val="0"/>
        <w:keepLines w:val="0"/>
        <w:pageBreakBefore w:val="0"/>
        <w:kinsoku/>
        <w:wordWrap/>
        <w:overflowPunct/>
        <w:topLinePunct w:val="0"/>
        <w:bidi w:val="0"/>
        <w:snapToGrid/>
        <w:spacing w:line="360" w:lineRule="auto"/>
        <w:outlineLvl w:val="1"/>
        <w:rPr>
          <w:rFonts w:hint="eastAsia" w:ascii="宋体" w:hAnsi="宋体" w:eastAsia="宋体" w:cs="宋体"/>
          <w:b/>
          <w:bCs/>
          <w:color w:val="000000"/>
          <w:sz w:val="24"/>
          <w:szCs w:val="24"/>
          <w:highlight w:val="none"/>
        </w:rPr>
      </w:pPr>
      <w:bookmarkStart w:id="4" w:name="_Toc31496"/>
      <w:bookmarkStart w:id="5" w:name="_Toc380763703"/>
      <w:bookmarkStart w:id="6" w:name="_Toc444783475"/>
      <w:r>
        <w:rPr>
          <w:rFonts w:hint="eastAsia" w:ascii="宋体" w:hAnsi="宋体" w:eastAsia="宋体" w:cs="宋体"/>
          <w:b/>
          <w:bCs/>
          <w:color w:val="000000"/>
          <w:sz w:val="24"/>
          <w:szCs w:val="24"/>
          <w:highlight w:val="none"/>
        </w:rPr>
        <w:t>一、项目概况</w:t>
      </w:r>
      <w:bookmarkEnd w:id="4"/>
      <w:bookmarkEnd w:id="5"/>
      <w:bookmarkEnd w:id="6"/>
    </w:p>
    <w:p w14:paraId="294169E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cs="宋体"/>
          <w:color w:val="000000"/>
          <w:sz w:val="24"/>
          <w:szCs w:val="24"/>
          <w:highlight w:val="none"/>
          <w:lang w:eastAsia="zh-CN"/>
        </w:rPr>
        <w:t>门头沟区生活垃圾转运站及环卫车辆中心工程配套设备项目</w:t>
      </w:r>
      <w:r>
        <w:rPr>
          <w:rFonts w:hint="eastAsia" w:ascii="宋体" w:hAnsi="宋体" w:eastAsia="宋体" w:cs="宋体"/>
          <w:color w:val="000000"/>
          <w:sz w:val="24"/>
          <w:szCs w:val="24"/>
          <w:highlight w:val="none"/>
        </w:rPr>
        <w:t>。</w:t>
      </w:r>
    </w:p>
    <w:p w14:paraId="6A4098C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建设单位：北京市门头沟区环境卫生服务中心</w:t>
      </w:r>
    </w:p>
    <w:p w14:paraId="0D2F378F">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建设地点：门头沟新城07街区MC00-0007-0044、0045、0050地块内，南侧为规划黑一路西延，北侧为规划辛房街，西侧为规划西辛房路，东侧为规划北后街。用地性质为U22环卫设施用地，用地面积36867.12平方米。</w:t>
      </w:r>
    </w:p>
    <w:p w14:paraId="0C43C181">
      <w:pPr>
        <w:keepNext w:val="0"/>
        <w:keepLines w:val="0"/>
        <w:pageBreakBefore w:val="0"/>
        <w:kinsoku/>
        <w:wordWrap/>
        <w:overflowPunct/>
        <w:topLinePunct w:val="0"/>
        <w:bidi w:val="0"/>
        <w:snapToGrid/>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drawing>
          <wp:inline distT="0" distB="0" distL="0" distR="0">
            <wp:extent cx="1673860" cy="1918970"/>
            <wp:effectExtent l="0" t="0" r="2540" b="5080"/>
            <wp:docPr id="1026" name="图片 1" descr="项目所在地"/>
            <wp:cNvGraphicFramePr/>
            <a:graphic xmlns:a="http://schemas.openxmlformats.org/drawingml/2006/main">
              <a:graphicData uri="http://schemas.openxmlformats.org/drawingml/2006/picture">
                <pic:pic xmlns:pic="http://schemas.openxmlformats.org/drawingml/2006/picture">
                  <pic:nvPicPr>
                    <pic:cNvPr id="1026" name="图片 1" descr="项目所在地"/>
                    <pic:cNvPicPr/>
                  </pic:nvPicPr>
                  <pic:blipFill>
                    <a:blip r:embed="rId4" cstate="print"/>
                    <a:srcRect/>
                    <a:stretch>
                      <a:fillRect/>
                    </a:stretch>
                  </pic:blipFill>
                  <pic:spPr>
                    <a:xfrm>
                      <a:off x="0" y="0"/>
                      <a:ext cx="1674494" cy="1918970"/>
                    </a:xfrm>
                    <a:prstGeom prst="rect">
                      <a:avLst/>
                    </a:prstGeom>
                    <a:ln>
                      <a:noFill/>
                    </a:ln>
                  </pic:spPr>
                </pic:pic>
              </a:graphicData>
            </a:graphic>
          </wp:inline>
        </w:drawing>
      </w:r>
      <w:r>
        <w:rPr>
          <w:rFonts w:hint="eastAsia" w:ascii="宋体" w:hAnsi="宋体" w:eastAsia="宋体" w:cs="宋体"/>
          <w:sz w:val="24"/>
          <w:szCs w:val="24"/>
          <w:highlight w:val="none"/>
        </w:rPr>
        <w:drawing>
          <wp:inline distT="0" distB="0" distL="0" distR="0">
            <wp:extent cx="3439160" cy="1908175"/>
            <wp:effectExtent l="0" t="0" r="8890" b="15875"/>
            <wp:docPr id="1027" name="图片 2" descr="3 拷贝"/>
            <wp:cNvGraphicFramePr/>
            <a:graphic xmlns:a="http://schemas.openxmlformats.org/drawingml/2006/main">
              <a:graphicData uri="http://schemas.openxmlformats.org/drawingml/2006/picture">
                <pic:pic xmlns:pic="http://schemas.openxmlformats.org/drawingml/2006/picture">
                  <pic:nvPicPr>
                    <pic:cNvPr id="1027" name="图片 2" descr="3 拷贝"/>
                    <pic:cNvPicPr/>
                  </pic:nvPicPr>
                  <pic:blipFill>
                    <a:blip r:embed="rId5" cstate="print"/>
                    <a:srcRect/>
                    <a:stretch>
                      <a:fillRect/>
                    </a:stretch>
                  </pic:blipFill>
                  <pic:spPr>
                    <a:xfrm>
                      <a:off x="0" y="0"/>
                      <a:ext cx="3439160" cy="1908175"/>
                    </a:xfrm>
                    <a:prstGeom prst="rect">
                      <a:avLst/>
                    </a:prstGeom>
                    <a:ln>
                      <a:noFill/>
                    </a:ln>
                  </pic:spPr>
                </pic:pic>
              </a:graphicData>
            </a:graphic>
          </wp:inline>
        </w:drawing>
      </w:r>
    </w:p>
    <w:p w14:paraId="7980A60E">
      <w:pPr>
        <w:keepNext w:val="0"/>
        <w:keepLines w:val="0"/>
        <w:pageBreakBefore w:val="0"/>
        <w:kinsoku/>
        <w:wordWrap/>
        <w:overflowPunct/>
        <w:topLinePunct w:val="0"/>
        <w:bidi w:val="0"/>
        <w:snapToGrid/>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项目拟建地点</w:t>
      </w:r>
    </w:p>
    <w:p w14:paraId="5A5EBE1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规模：本项目新建门头沟区环卫停车场、生活垃圾转运站，同时配套建设融雪剂搅拌车间、维修车间等配套工程，以及室外道路、绿化、管线、照明等室外工程。项目包含各类停车车位283个，生活垃圾转运规模300吨/天，融雪剂池容800立方，配套污水处理系统处理能力30吨/天，空间换风除臭系统处理能力90000立方/小时。</w:t>
      </w:r>
    </w:p>
    <w:p w14:paraId="6A49DC0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建设性质：新建。</w:t>
      </w:r>
    </w:p>
    <w:p w14:paraId="6D83BEC1">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项目运行时间：365天/年。</w:t>
      </w:r>
    </w:p>
    <w:p w14:paraId="4A3E372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生活垃圾转运系统运行时间：8h/天×365天/年。</w:t>
      </w:r>
    </w:p>
    <w:p w14:paraId="0CAF9D0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污水处理系统运行时间：24h/天×365天/年。</w:t>
      </w:r>
    </w:p>
    <w:p w14:paraId="09F63787">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车间换风除臭系统运行时间：24h/天×365天/年。</w:t>
      </w:r>
    </w:p>
    <w:p w14:paraId="3FC3EF90">
      <w:pPr>
        <w:keepNext w:val="0"/>
        <w:keepLines w:val="0"/>
        <w:pageBreakBefore w:val="0"/>
        <w:kinsoku/>
        <w:wordWrap/>
        <w:overflowPunct/>
        <w:topLinePunct w:val="0"/>
        <w:bidi w:val="0"/>
        <w:snapToGrid/>
        <w:spacing w:line="360" w:lineRule="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二、市政接入条件</w:t>
      </w:r>
    </w:p>
    <w:p w14:paraId="552AE662">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供水：从本项目西侧西辛房路引入一路DN200的自来水管；从南侧黑一路引入DN200给水管一路，在场区内成环路，主要供给本工程生产、生活用水及消防水池补水。</w:t>
      </w:r>
    </w:p>
    <w:p w14:paraId="1E85F8E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生产废水主要为垃圾运输过程中产生的渗沥液或垃圾自带水及车辆喷淋水、压缩机和地坑内部冲洗水，生产废水进入厂区污水处理系统处理后厂区回用，不外排，污泥及浓液运送至鲁家山焚烧厂处置。本项目生活污水经化粪池处理后，进入厂区东侧拟建市政污水管道。室外雨水经雨水口汇集到雨水管道，最终排入厂区东侧北后街拟建DN600 ~ DN1000市政雨水管道。</w:t>
      </w:r>
    </w:p>
    <w:p w14:paraId="29C3EC5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供电：本项目由中门寺街开闭站经市政路引来两路10kV电源，至本园区内变电所。</w:t>
      </w:r>
    </w:p>
    <w:p w14:paraId="38B293B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交通：</w:t>
      </w:r>
      <w:r>
        <w:rPr>
          <w:rFonts w:hint="eastAsia" w:ascii="宋体" w:hAnsi="宋体" w:eastAsia="宋体" w:cs="宋体"/>
          <w:sz w:val="24"/>
          <w:szCs w:val="24"/>
          <w:highlight w:val="none"/>
        </w:rPr>
        <w:t>本项目在建筑周围布置环形车道，按照项目的功能要求，在三条城市道路上均设有出入口，满足不同功能的出入需求，人车分流。垃圾转运站位于场地东南侧，垃圾收集车辆由北后街出入口进入厂区，过地磅后通过引桥进入转运站二层卸料大厅卸料，卸料后西辛房路出入口进入外部市政道路。垃圾转运车于北后街入口进入转运站一层转运大厅，完成装车工作后，自北后街入口出口进入外部市政道路，前往鲁家山方向。院区内各车辆流线互不干扰，各行其路。院区内道路拐弯半径为9000mm,洞口高度大于4200mm，坡道曲线坡度为1:10，直线坡度为1：8.3。</w:t>
      </w:r>
    </w:p>
    <w:p w14:paraId="6DBD5822">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2465705" cy="1746250"/>
            <wp:effectExtent l="0" t="0" r="10795" b="6350"/>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6" cstate="print"/>
                    <a:srcRect/>
                    <a:stretch>
                      <a:fillRect/>
                    </a:stretch>
                  </pic:blipFill>
                  <pic:spPr>
                    <a:xfrm>
                      <a:off x="0" y="0"/>
                      <a:ext cx="2465705" cy="1746250"/>
                    </a:xfrm>
                    <a:prstGeom prst="rect">
                      <a:avLst/>
                    </a:prstGeom>
                    <a:ln>
                      <a:noFill/>
                    </a:ln>
                  </pic:spPr>
                </pic:pic>
              </a:graphicData>
            </a:graphic>
          </wp:inline>
        </w:drawing>
      </w:r>
      <w:r>
        <w:rPr>
          <w:rFonts w:hint="eastAsia" w:ascii="宋体" w:hAnsi="宋体" w:eastAsia="宋体" w:cs="宋体"/>
          <w:sz w:val="24"/>
          <w:szCs w:val="24"/>
          <w:highlight w:val="none"/>
        </w:rPr>
        <w:drawing>
          <wp:inline distT="0" distB="0" distL="0" distR="0">
            <wp:extent cx="2430145" cy="1751965"/>
            <wp:effectExtent l="0" t="0" r="8255" b="635"/>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7" cstate="print"/>
                    <a:srcRect/>
                    <a:stretch>
                      <a:fillRect/>
                    </a:stretch>
                  </pic:blipFill>
                  <pic:spPr>
                    <a:xfrm>
                      <a:off x="0" y="0"/>
                      <a:ext cx="2430145" cy="1751965"/>
                    </a:xfrm>
                    <a:prstGeom prst="rect">
                      <a:avLst/>
                    </a:prstGeom>
                    <a:ln>
                      <a:noFill/>
                    </a:ln>
                  </pic:spPr>
                </pic:pic>
              </a:graphicData>
            </a:graphic>
          </wp:inline>
        </w:drawing>
      </w:r>
    </w:p>
    <w:p w14:paraId="4F0C89DD">
      <w:pPr>
        <w:keepNext w:val="0"/>
        <w:keepLines w:val="0"/>
        <w:pageBreakBefore w:val="0"/>
        <w:kinsoku/>
        <w:wordWrap/>
        <w:overflowPunct/>
        <w:topLinePunct w:val="0"/>
        <w:bidi w:val="0"/>
        <w:snapToGrid/>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场外交通组织图                      场内交通组织图</w:t>
      </w:r>
    </w:p>
    <w:p w14:paraId="12281215">
      <w:pPr>
        <w:keepNext w:val="0"/>
        <w:keepLines w:val="0"/>
        <w:pageBreakBefore w:val="0"/>
        <w:kinsoku/>
        <w:wordWrap/>
        <w:overflowPunct/>
        <w:topLinePunct w:val="0"/>
        <w:bidi w:val="0"/>
        <w:snapToGrid/>
        <w:spacing w:line="360" w:lineRule="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三、场地环境条件</w:t>
      </w:r>
    </w:p>
    <w:p w14:paraId="18193DC0">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地震基本烈度：8度，设防地震加速度值0.20g。设计地震分组第二组。</w:t>
      </w:r>
    </w:p>
    <w:p w14:paraId="7BC2B62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地区属于寒冷地区，平均气温11.7℃。</w:t>
      </w:r>
    </w:p>
    <w:p w14:paraId="7A16A01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平均降水量：约600毫米。</w:t>
      </w:r>
    </w:p>
    <w:p w14:paraId="74FFDAE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全年日照时数：2470小时。</w:t>
      </w:r>
    </w:p>
    <w:p w14:paraId="71728BF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主导风向：9月至次年5月以西北风为多，其他月份以东南风为主。</w:t>
      </w:r>
    </w:p>
    <w:p w14:paraId="636984A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室外温度：-25～42℃。</w:t>
      </w:r>
    </w:p>
    <w:p w14:paraId="7FF1879D">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室外湿度：＜85%。</w:t>
      </w:r>
    </w:p>
    <w:p w14:paraId="58A6D4A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海拔：142.75米。</w:t>
      </w:r>
    </w:p>
    <w:p w14:paraId="1DA7483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室内温度：转运站水处理膜车间设暖风机（保证冬季气温＞10℃），洗车间和洗车设备间设暖风机（保证冬季气温＞5℃）。其余建筑空间采用市政热力供暖，由于市政热力短期内无法接通，故在其余建筑空间布置的设备需考虑0℃以下气温的影响。</w:t>
      </w:r>
    </w:p>
    <w:p w14:paraId="15B7D161">
      <w:pPr>
        <w:pStyle w:val="9"/>
        <w:keepNext w:val="0"/>
        <w:keepLines w:val="0"/>
        <w:pageBreakBefore w:val="0"/>
        <w:kinsoku/>
        <w:wordWrap/>
        <w:overflowPunct/>
        <w:topLinePunct w:val="0"/>
        <w:bidi w:val="0"/>
        <w:snapToGrid/>
        <w:spacing w:line="360" w:lineRule="auto"/>
        <w:ind w:right="-586"/>
        <w:rPr>
          <w:rFonts w:hint="eastAsia" w:ascii="宋体" w:hAnsi="宋体" w:eastAsia="宋体" w:cs="宋体"/>
          <w:sz w:val="24"/>
          <w:szCs w:val="24"/>
          <w:highlight w:val="none"/>
        </w:rPr>
      </w:pPr>
      <w:bookmarkStart w:id="7" w:name="_Toc255822711"/>
      <w:r>
        <w:rPr>
          <w:rFonts w:hint="eastAsia" w:ascii="宋体" w:hAnsi="宋体" w:eastAsia="宋体" w:cs="宋体"/>
          <w:sz w:val="24"/>
          <w:szCs w:val="24"/>
          <w:highlight w:val="none"/>
        </w:rPr>
        <w:t>四、技术标准、规范及基本技术要求</w:t>
      </w:r>
      <w:bookmarkEnd w:id="7"/>
    </w:p>
    <w:p w14:paraId="330668B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（1）《市容环卫工程项目规范》（GB 55013-2021）</w:t>
      </w:r>
    </w:p>
    <w:p w14:paraId="00ACBC9F">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（2）《综合能耗计算通则》（GB/T2589-2020）</w:t>
      </w:r>
    </w:p>
    <w:p w14:paraId="5D53D45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（3）《生活垃圾处理处置工程项目规范》（GB 55012-2021）</w:t>
      </w:r>
    </w:p>
    <w:p w14:paraId="59E4731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（4）《生活垃圾转运站技术规范》CJJ/T47-2016</w:t>
      </w:r>
    </w:p>
    <w:p w14:paraId="2CD56CF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（5）《生活垃圾转运站运行维护技术规程》CJJ109-2023</w:t>
      </w:r>
    </w:p>
    <w:p w14:paraId="7E697110">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（6）《生活垃圾转运站运行管理规范》DB11/T271-2014</w:t>
      </w:r>
    </w:p>
    <w:p w14:paraId="429C861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（7）《生活垃圾转运站压缩机》（CJ/T338-2010）</w:t>
      </w:r>
    </w:p>
    <w:p w14:paraId="344F736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（8）《汽车、挂车及汽车列车外廓尺寸、轴荷及质量限值》（GB1589-2016）</w:t>
      </w:r>
    </w:p>
    <w:p w14:paraId="04A68F5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（9）《生活垃圾渗沥液处理技术标准》CJJ/T150-2023 </w:t>
      </w:r>
    </w:p>
    <w:p w14:paraId="636E95D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（10）《城市污水再生利用城市杂用水水质》GB/T18920-2020</w:t>
      </w:r>
    </w:p>
    <w:p w14:paraId="6E04ABB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（11）《污水排入城镇下水道水质标准》（GB/T 31962-2015）</w:t>
      </w:r>
    </w:p>
    <w:p w14:paraId="3940951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（12）《环境空气质量标准》（GB 3095-2012）</w:t>
      </w:r>
    </w:p>
    <w:p w14:paraId="7242A412">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（13）《恶臭污染物排放标准》（GB14554-1993）</w:t>
      </w:r>
    </w:p>
    <w:p w14:paraId="09DEB2FF">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（14）《大气污染物综合排放标准》（GB 16297－1996）</w:t>
      </w:r>
    </w:p>
    <w:p w14:paraId="3F0CEAE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（15）《城镇环境卫生设施除臭技术标准》（CJJ 274-2018）</w:t>
      </w:r>
    </w:p>
    <w:p w14:paraId="4A37F06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（16）《声环境质量标准》（GB3096-2008）</w:t>
      </w:r>
    </w:p>
    <w:p w14:paraId="40AC7DB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（17）《工业企业厂界环境噪声排放标准》（GB12348-2008）</w:t>
      </w:r>
    </w:p>
    <w:p w14:paraId="64CD3E9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（18）其它国家及地方现行有关规范、规程、规定。</w:t>
      </w:r>
    </w:p>
    <w:p w14:paraId="41CF669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以上规范及标准适用于本系统详细设计、制造、采购、供货、安装、调试、试运行、性能保证、验收、技术服务、工程保修期内的缺陷修复和保修等工作的技术要求；</w:t>
      </w:r>
    </w:p>
    <w:p w14:paraId="190AC93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规范是最低限度的技术要求，并未对一切技术细节做出规定，也未充分引述有关标准和规范条文，投标人应保证提供符合国家标准和本标书要求的合格产品及其相应的服务；</w:t>
      </w:r>
    </w:p>
    <w:p w14:paraId="55D3254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采用的各种标准均应是最新的有效版本。当本技术协议提出的规范和标准与投标人所执行的规范和标准发生矛盾时，则按较高的规范和标准执行。</w:t>
      </w:r>
    </w:p>
    <w:p w14:paraId="4E03D896">
      <w:pPr>
        <w:pStyle w:val="9"/>
        <w:keepNext w:val="0"/>
        <w:keepLines w:val="0"/>
        <w:pageBreakBefore w:val="0"/>
        <w:kinsoku/>
        <w:wordWrap/>
        <w:overflowPunct/>
        <w:topLinePunct w:val="0"/>
        <w:bidi w:val="0"/>
        <w:snapToGrid/>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五、施工分界</w:t>
      </w:r>
    </w:p>
    <w:p w14:paraId="3F9D43C2">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（1）基础、预埋、开孔、井等相关分界</w:t>
      </w:r>
    </w:p>
    <w:p w14:paraId="312CEA4F">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基础、预埋件（螺栓）、预埋管、预埋套管、电缆沟、穿线井、等由设备供货方提出条件需求图，由土建单位供货及施工；特殊预埋件构件由设备供货方提供，土建单位负责安装施工；设备供货方需进行现场指导及安装后复核确认。</w:t>
      </w:r>
    </w:p>
    <w:p w14:paraId="0B899F86">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管道支架、墙洞开孔的预留和封堵、埋地管道的开挖和回填、排水井、混凝土管沟等土建工程由设备供货方提资，土建单位负责施工。提资以外的开孔、封堵、支墩支架、埋地管线等由设备供货方负责。</w:t>
      </w:r>
    </w:p>
    <w:p w14:paraId="05FC85AC">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（2）给、排水相关分界</w:t>
      </w:r>
    </w:p>
    <w:p w14:paraId="40DFE0CB">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设备相关给水由设备供货方提出条件需求图，土建单位负责敷设给水管道至指定位置，并预留阀门接口。</w:t>
      </w:r>
    </w:p>
    <w:p w14:paraId="79E4077C">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设备相关排水由设备供货方提出条件需求图，土建单位负责敷设污水管（沟）至指定位置，设备排水由设备供货方接至污水管（沟）。</w:t>
      </w:r>
    </w:p>
    <w:p w14:paraId="6DD3B0DA">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（3）电气相关分界</w:t>
      </w:r>
    </w:p>
    <w:p w14:paraId="0373719E">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强电：以各工艺设备配电柜的进线开关为界，开关及以下（含电缆、管道、管架、桥架、吊架、支架）由设备供货方负责，以上（含电缆、管道、管架、桥架、吊架、支架）为土建合同范围。建筑物的照明、防雷、接地、等电位属于土建合同范围。</w:t>
      </w:r>
    </w:p>
    <w:p w14:paraId="256C282C">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接地：接地系统（工作接地，保护接地等）以接地预埋连接件为界，界面以上接地连接线、电缆支架接地以及各设备接地由设备供货方负责；其余内容（包括接地预埋连接板、利用构筑物自然金属体的接地装置以及构筑物防雷保护装置）属土建标的合同范围。</w:t>
      </w:r>
    </w:p>
    <w:p w14:paraId="61FB8034">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弱电：中央控制室至末端工艺设备的弱电工作（包括但不限于管路、线槽、线缆等材料设备的采购安装调试工作）由设备供货单位实施，其他所有弱电系统均由土建单位供货并实施（包括但不限于综合布线系统、视频安防系统、门禁对讲系统、设备网系统、入侵报警系统、停车场管理系统等弱电系统的材料设备采购安装调试工作）。</w:t>
      </w:r>
    </w:p>
    <w:p w14:paraId="66823F6E">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（4）监控设备分界</w:t>
      </w:r>
    </w:p>
    <w:p w14:paraId="060A4E97">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中设备投标方提供“集中监控指挥控制系统”中要求的视频监控设备，进行车间内设备运行状态监控；不包含厂区安保及其他监控（由土建方施工），但这部分监控可以接入中控和监控系统或者调度管理系统显示。</w:t>
      </w:r>
    </w:p>
    <w:p w14:paraId="6ED6A67A">
      <w:pPr>
        <w:keepNext w:val="0"/>
        <w:keepLines w:val="0"/>
        <w:pageBreakBefore w:val="0"/>
        <w:kinsoku/>
        <w:wordWrap/>
        <w:overflowPunct/>
        <w:topLinePunct w:val="0"/>
        <w:bidi w:val="0"/>
        <w:snapToGrid/>
        <w:spacing w:line="360" w:lineRule="auto"/>
        <w:outlineLvl w:val="1"/>
        <w:rPr>
          <w:rFonts w:hint="eastAsia" w:ascii="宋体" w:hAnsi="宋体" w:eastAsia="宋体" w:cs="宋体"/>
          <w:b/>
          <w:bCs/>
          <w:color w:val="000000"/>
          <w:sz w:val="24"/>
          <w:szCs w:val="24"/>
          <w:highlight w:val="none"/>
        </w:rPr>
      </w:pPr>
      <w:bookmarkStart w:id="8" w:name="_Toc255822720"/>
      <w:bookmarkStart w:id="9" w:name="_Toc255822707"/>
      <w:r>
        <w:rPr>
          <w:rFonts w:hint="eastAsia" w:ascii="宋体" w:hAnsi="宋体" w:eastAsia="宋体" w:cs="宋体"/>
          <w:b/>
          <w:bCs/>
          <w:color w:val="000000"/>
          <w:sz w:val="24"/>
          <w:szCs w:val="24"/>
          <w:highlight w:val="none"/>
        </w:rPr>
        <w:t>六、招标货物一览表</w:t>
      </w:r>
      <w:bookmarkEnd w:id="8"/>
    </w:p>
    <w:p w14:paraId="4DAEE737">
      <w:pPr>
        <w:keepNext w:val="0"/>
        <w:keepLines w:val="0"/>
        <w:pageBreakBefore w:val="0"/>
        <w:kinsoku/>
        <w:wordWrap/>
        <w:overflowPunct/>
        <w:topLinePunct w:val="0"/>
        <w:autoSpaceDE w:val="0"/>
        <w:autoSpaceDN w:val="0"/>
        <w:bidi w:val="0"/>
        <w:adjustRightInd w:val="0"/>
        <w:snapToGrid/>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招标内容要求：提供系统的、完整的转运站设备及其相应的配套设备、部件等。</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673"/>
        <w:gridCol w:w="3943"/>
        <w:gridCol w:w="1149"/>
      </w:tblGrid>
      <w:tr w14:paraId="448F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4" w:type="pct"/>
          </w:tcPr>
          <w:p w14:paraId="7FD153F1">
            <w:pPr>
              <w:pStyle w:val="12"/>
              <w:keepNext w:val="0"/>
              <w:keepLines w:val="0"/>
              <w:pageBreakBefore w:val="0"/>
              <w:widowControl w:val="0"/>
              <w:tabs>
                <w:tab w:val="left" w:pos="9180"/>
                <w:tab w:val="left" w:pos="9360"/>
              </w:tabs>
              <w:kinsoku/>
              <w:wordWrap/>
              <w:overflowPunct/>
              <w:topLinePunct w:val="0"/>
              <w:bidi w:val="0"/>
              <w:snapToGrid/>
              <w:spacing w:line="360" w:lineRule="auto"/>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68" w:type="pct"/>
          </w:tcPr>
          <w:p w14:paraId="6430A18A">
            <w:pPr>
              <w:pStyle w:val="12"/>
              <w:keepNext w:val="0"/>
              <w:keepLines w:val="0"/>
              <w:pageBreakBefore w:val="0"/>
              <w:widowControl w:val="0"/>
              <w:tabs>
                <w:tab w:val="left" w:pos="9180"/>
                <w:tab w:val="left" w:pos="9360"/>
              </w:tabs>
              <w:kinsoku/>
              <w:wordWrap/>
              <w:overflowPunct/>
              <w:topLinePunct w:val="0"/>
              <w:bidi w:val="0"/>
              <w:snapToGrid/>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设备名称</w:t>
            </w:r>
          </w:p>
        </w:tc>
        <w:tc>
          <w:tcPr>
            <w:tcW w:w="2313" w:type="pct"/>
          </w:tcPr>
          <w:p w14:paraId="4D887048">
            <w:pPr>
              <w:pStyle w:val="12"/>
              <w:keepNext w:val="0"/>
              <w:keepLines w:val="0"/>
              <w:pageBreakBefore w:val="0"/>
              <w:widowControl w:val="0"/>
              <w:tabs>
                <w:tab w:val="left" w:pos="9180"/>
                <w:tab w:val="left" w:pos="9360"/>
              </w:tabs>
              <w:kinsoku/>
              <w:wordWrap/>
              <w:overflowPunct/>
              <w:topLinePunct w:val="0"/>
              <w:bidi w:val="0"/>
              <w:snapToGrid/>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技术要求简要(单台/套)</w:t>
            </w:r>
          </w:p>
        </w:tc>
        <w:tc>
          <w:tcPr>
            <w:tcW w:w="674" w:type="pct"/>
          </w:tcPr>
          <w:p w14:paraId="4A19A5CE">
            <w:pPr>
              <w:pStyle w:val="12"/>
              <w:keepNext w:val="0"/>
              <w:keepLines w:val="0"/>
              <w:pageBreakBefore w:val="0"/>
              <w:widowControl w:val="0"/>
              <w:tabs>
                <w:tab w:val="left" w:pos="9180"/>
                <w:tab w:val="left" w:pos="9360"/>
              </w:tabs>
              <w:kinsoku/>
              <w:wordWrap/>
              <w:overflowPunct/>
              <w:topLinePunct w:val="0"/>
              <w:bidi w:val="0"/>
              <w:snapToGrid/>
              <w:spacing w:line="360" w:lineRule="auto"/>
              <w:ind w:left="-288" w:leftChars="-137" w:right="-315" w:rightChars="-150"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数量</w:t>
            </w:r>
          </w:p>
        </w:tc>
      </w:tr>
      <w:tr w14:paraId="0346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4" w:type="pct"/>
          </w:tcPr>
          <w:p w14:paraId="0F5EE6C7">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rPr>
            </w:pPr>
          </w:p>
        </w:tc>
        <w:tc>
          <w:tcPr>
            <w:tcW w:w="4555" w:type="pct"/>
            <w:gridSpan w:val="3"/>
          </w:tcPr>
          <w:p w14:paraId="137D88AD">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综合生产及停车用房洗车设备</w:t>
            </w:r>
          </w:p>
        </w:tc>
      </w:tr>
      <w:tr w14:paraId="65D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4" w:type="pct"/>
          </w:tcPr>
          <w:p w14:paraId="370187AF">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568" w:type="pct"/>
          </w:tcPr>
          <w:p w14:paraId="5DFAD43A">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洗车设备</w:t>
            </w:r>
          </w:p>
        </w:tc>
        <w:tc>
          <w:tcPr>
            <w:tcW w:w="2313" w:type="pct"/>
          </w:tcPr>
          <w:p w14:paraId="3DB2CDA0">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清洗停放的其他环卫用车</w:t>
            </w:r>
          </w:p>
        </w:tc>
        <w:tc>
          <w:tcPr>
            <w:tcW w:w="674" w:type="pct"/>
          </w:tcPr>
          <w:p w14:paraId="5C7BE70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5套</w:t>
            </w:r>
          </w:p>
        </w:tc>
      </w:tr>
      <w:bookmarkEnd w:id="9"/>
    </w:tbl>
    <w:p w14:paraId="5424E9EE">
      <w:pPr>
        <w:pStyle w:val="9"/>
        <w:keepNext w:val="0"/>
        <w:keepLines w:val="0"/>
        <w:pageBreakBefore w:val="0"/>
        <w:kinsoku/>
        <w:wordWrap/>
        <w:overflowPunct/>
        <w:topLinePunct w:val="0"/>
        <w:bidi w:val="0"/>
        <w:snapToGrid/>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七、设备采购通用要求</w:t>
      </w:r>
    </w:p>
    <w:p w14:paraId="7706E8B5">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需根据文件要求提供整套的设备系统及配套服务（包含设计、设备供货、安装、调试及试运行以及为保证该系统能够长期、安全地正常运转，并达到“九、主要技术参数和性能要求”中要求的技术参数所必须的设备、附件、技术文件、专用工具、随机及调试用备品备件、技术服务和技术培训等）。投标方必须对供货的设备系统的全套设备完整性和满足技术性能要求的能力负全部责任。</w:t>
      </w:r>
    </w:p>
    <w:p w14:paraId="73EDC41C">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应标设备技术及制造水平应为国内同行业成熟产品，属中、上水准。设备系统及其各配件的型号规格应严格按照国家有关标准和规范，采用先进的模型设计、合理的结构布置，通过完善的质量控制和保证体系，使生产出来的设备能可靠稳定地运行，并且必须具备有高效、节能、环保、防火、防腐、防爆和使用寿命长等特点，需注意垃圾臭气对设备的腐蚀。本项目设备或系统的质保期均需大于1年。</w:t>
      </w:r>
    </w:p>
    <w:p w14:paraId="2C394151">
      <w:pPr>
        <w:keepNext w:val="0"/>
        <w:keepLines w:val="0"/>
        <w:pageBreakBefore w:val="0"/>
        <w:tabs>
          <w:tab w:val="left" w:pos="0"/>
        </w:tabs>
        <w:kinsoku/>
        <w:wordWrap/>
        <w:overflowPunct/>
        <w:topLinePunct w:val="0"/>
        <w:bidi w:val="0"/>
        <w:snapToGrid/>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设备关键部件寿命担保表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331"/>
        <w:gridCol w:w="2331"/>
        <w:gridCol w:w="1973"/>
        <w:gridCol w:w="1811"/>
      </w:tblGrid>
      <w:tr w14:paraId="2E4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6" w:hRule="atLeast"/>
          <w:jc w:val="center"/>
        </w:trPr>
        <w:tc>
          <w:tcPr>
            <w:tcW w:w="1380" w:type="pct"/>
          </w:tcPr>
          <w:p w14:paraId="270D5CB3">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80" w:type="pct"/>
            <w:vAlign w:val="center"/>
          </w:tcPr>
          <w:p w14:paraId="7177F686">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部分/部件</w:t>
            </w:r>
          </w:p>
        </w:tc>
        <w:tc>
          <w:tcPr>
            <w:tcW w:w="1168" w:type="pct"/>
            <w:vAlign w:val="center"/>
          </w:tcPr>
          <w:p w14:paraId="5486329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目标时间</w:t>
            </w:r>
          </w:p>
        </w:tc>
        <w:tc>
          <w:tcPr>
            <w:tcW w:w="1072" w:type="pct"/>
            <w:vAlign w:val="center"/>
          </w:tcPr>
          <w:p w14:paraId="1EB52E6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最大期限</w:t>
            </w:r>
          </w:p>
        </w:tc>
      </w:tr>
      <w:tr w14:paraId="22FB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58675D78">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80" w:type="pct"/>
            <w:vAlign w:val="center"/>
          </w:tcPr>
          <w:p w14:paraId="44F4469B">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168" w:type="pct"/>
            <w:vAlign w:val="center"/>
          </w:tcPr>
          <w:p w14:paraId="7C04822B">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072" w:type="pct"/>
            <w:vAlign w:val="center"/>
          </w:tcPr>
          <w:p w14:paraId="71E75C5C">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0018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4B8C1F07">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p>
        </w:tc>
        <w:tc>
          <w:tcPr>
            <w:tcW w:w="1380" w:type="pct"/>
            <w:vAlign w:val="center"/>
          </w:tcPr>
          <w:p w14:paraId="1F393BF1">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507F5DE9">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072" w:type="pct"/>
            <w:vAlign w:val="center"/>
          </w:tcPr>
          <w:p w14:paraId="153C0579">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515E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07EB20E7">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1380" w:type="pct"/>
            <w:vAlign w:val="center"/>
          </w:tcPr>
          <w:p w14:paraId="3CB8FD09">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62852D20">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072" w:type="pct"/>
            <w:vAlign w:val="center"/>
          </w:tcPr>
          <w:p w14:paraId="3CCA59C6">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1DB6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380" w:type="pct"/>
          </w:tcPr>
          <w:p w14:paraId="22B15EDE">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1380" w:type="pct"/>
            <w:vAlign w:val="center"/>
          </w:tcPr>
          <w:p w14:paraId="69262C02">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1168" w:type="pct"/>
            <w:vAlign w:val="center"/>
          </w:tcPr>
          <w:p w14:paraId="7DEB46DB">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072" w:type="pct"/>
            <w:vAlign w:val="center"/>
          </w:tcPr>
          <w:p w14:paraId="332FFA7E">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bl>
    <w:p w14:paraId="7DBE6921">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（3）如果所供系统投入运行三个月内未能达到业主的设计条件要求，中标方应负责重新更换或更换或改造本系统设备，并承担由此引起的相关费用。</w:t>
      </w:r>
    </w:p>
    <w:p w14:paraId="024A45B2">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（4）甲方下达供货指令之日起3个月内完成供货并安装。</w:t>
      </w:r>
    </w:p>
    <w:p w14:paraId="78AC6E7A">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（5）在签订合同之后，招标方有权提出因规范标准和规程发生变化而产生的一些补充要求，具体项目由买投标双方共同商定。当主机参数发生变化时而补充的变化要求，设备、材料均不加价。</w:t>
      </w:r>
    </w:p>
    <w:p w14:paraId="50EE6D28">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（6）调试期间的药剂由投标方提供。</w:t>
      </w:r>
    </w:p>
    <w:p w14:paraId="41EA8599">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（7）投标方在投标时需提供初步布置图。</w:t>
      </w:r>
    </w:p>
    <w:p w14:paraId="2F941D8A">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（8）管道等用水部位需考虑伴热保温等防冻措施。</w:t>
      </w:r>
    </w:p>
    <w:p w14:paraId="7D89C438">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（9）在投标书中应详细说明运行过程中的各种消耗，如水、电、燃料、化学药剂、活性炭等。</w:t>
      </w:r>
    </w:p>
    <w:p w14:paraId="49177E62">
      <w:pPr>
        <w:keepNext w:val="0"/>
        <w:keepLines w:val="0"/>
        <w:pageBreakBefore w:val="0"/>
        <w:tabs>
          <w:tab w:val="left" w:pos="0"/>
        </w:tabs>
        <w:kinsoku/>
        <w:wordWrap/>
        <w:overflowPunct/>
        <w:topLinePunct w:val="0"/>
        <w:bidi w:val="0"/>
        <w:snapToGrid/>
        <w:spacing w:line="360" w:lineRule="auto"/>
        <w:ind w:firstLine="42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消耗清单表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71"/>
        <w:gridCol w:w="2552"/>
        <w:gridCol w:w="1984"/>
        <w:gridCol w:w="1985"/>
      </w:tblGrid>
      <w:tr w14:paraId="2BC1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6" w:hRule="atLeast"/>
          <w:jc w:val="center"/>
        </w:trPr>
        <w:tc>
          <w:tcPr>
            <w:tcW w:w="1271" w:type="dxa"/>
            <w:vAlign w:val="center"/>
          </w:tcPr>
          <w:p w14:paraId="421DDA7A">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52" w:type="dxa"/>
            <w:vAlign w:val="center"/>
          </w:tcPr>
          <w:p w14:paraId="1C9A110D">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品种</w:t>
            </w:r>
          </w:p>
        </w:tc>
        <w:tc>
          <w:tcPr>
            <w:tcW w:w="1984" w:type="dxa"/>
            <w:vAlign w:val="center"/>
          </w:tcPr>
          <w:p w14:paraId="2DB71578">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单日消耗量</w:t>
            </w:r>
          </w:p>
        </w:tc>
        <w:tc>
          <w:tcPr>
            <w:tcW w:w="1985" w:type="dxa"/>
            <w:vAlign w:val="center"/>
          </w:tcPr>
          <w:p w14:paraId="47F30D9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7日消耗量</w:t>
            </w:r>
          </w:p>
        </w:tc>
      </w:tr>
      <w:tr w14:paraId="7490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5B753930">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52" w:type="dxa"/>
            <w:vAlign w:val="center"/>
          </w:tcPr>
          <w:p w14:paraId="1DD07229">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02A960BE">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284F8F7C">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65FA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459C16E8">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p>
        </w:tc>
        <w:tc>
          <w:tcPr>
            <w:tcW w:w="2552" w:type="dxa"/>
            <w:vAlign w:val="center"/>
          </w:tcPr>
          <w:p w14:paraId="733535D3">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50E4EE9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350B5CDE">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57B9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27D16B02">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p>
        </w:tc>
        <w:tc>
          <w:tcPr>
            <w:tcW w:w="2552" w:type="dxa"/>
            <w:vAlign w:val="center"/>
          </w:tcPr>
          <w:p w14:paraId="441C5732">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712473D1">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6757ACC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7A04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17A893A8">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p>
        </w:tc>
        <w:tc>
          <w:tcPr>
            <w:tcW w:w="2552" w:type="dxa"/>
            <w:vAlign w:val="center"/>
          </w:tcPr>
          <w:p w14:paraId="595373BC">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4B72B6DC">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1E9B66E8">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0172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1FC32A4F">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2552" w:type="dxa"/>
            <w:vAlign w:val="center"/>
          </w:tcPr>
          <w:p w14:paraId="2483BDEB">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76948DF3">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3FAAE125">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r w14:paraId="3D67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1271" w:type="dxa"/>
            <w:vAlign w:val="center"/>
          </w:tcPr>
          <w:p w14:paraId="5E41A61B">
            <w:pPr>
              <w:keepNext w:val="0"/>
              <w:keepLines w:val="0"/>
              <w:pageBreakBefore w:val="0"/>
              <w:kinsoku/>
              <w:wordWrap/>
              <w:overflowPunct/>
              <w:topLinePunct w:val="0"/>
              <w:bidi w:val="0"/>
              <w:snapToGrid/>
              <w:spacing w:line="360" w:lineRule="auto"/>
              <w:jc w:val="center"/>
              <w:rPr>
                <w:rFonts w:hint="eastAsia" w:ascii="宋体" w:hAnsi="宋体" w:eastAsia="宋体" w:cs="宋体"/>
                <w:snapToGrid w:val="0"/>
                <w:kern w:val="0"/>
                <w:sz w:val="24"/>
                <w:szCs w:val="24"/>
                <w:highlight w:val="none"/>
              </w:rPr>
            </w:pPr>
          </w:p>
        </w:tc>
        <w:tc>
          <w:tcPr>
            <w:tcW w:w="2552" w:type="dxa"/>
            <w:vAlign w:val="center"/>
          </w:tcPr>
          <w:p w14:paraId="6EEE1A9E">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4" w:type="dxa"/>
            <w:vAlign w:val="center"/>
          </w:tcPr>
          <w:p w14:paraId="282694C4">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c>
          <w:tcPr>
            <w:tcW w:w="1985" w:type="dxa"/>
            <w:vAlign w:val="center"/>
          </w:tcPr>
          <w:p w14:paraId="215976CA">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highlight w:val="none"/>
              </w:rPr>
            </w:pPr>
          </w:p>
        </w:tc>
      </w:tr>
    </w:tbl>
    <w:p w14:paraId="05606E49">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（10）列出投标设备或系统五年运行期内需更换的材料等。对于易损件，应指明其正常使用寿命，并按照一年备用量报单价计入总价。</w:t>
      </w:r>
    </w:p>
    <w:p w14:paraId="19F5B759">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（11）投标方所供之设备必须符合国内常规机械设备相关行业标准要求，适用GB标准、JC标准、QB标准。</w:t>
      </w:r>
    </w:p>
    <w:p w14:paraId="1E22C337">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（12）投标方需根据设计图纸的空间和布局进行设备设计和制造，如发现图纸与招标资料不符之处，应及时通知招标方予以确认，重大问题欲对图纸进行修改时，应征得招标方和设计方的书面同意方可进行。</w:t>
      </w:r>
    </w:p>
    <w:p w14:paraId="367C4A99">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（13）投标方在供货过程中，应严格按照招标文件所要求的技术参数制造。制造前要与招标方和业主进行技术接口及设计联络。</w:t>
      </w:r>
    </w:p>
    <w:p w14:paraId="25E590E1">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（14）电气及自动化控制要求：</w:t>
      </w:r>
    </w:p>
    <w:p w14:paraId="69FACD1B">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招标方根据投标方需求提供动力电源和网线至投标设备系统的PLC柜进线端，并负责接通。PLC柜之与各用电设备、仪表间的连接、供货及安装，由投标方负责。</w:t>
      </w:r>
    </w:p>
    <w:p w14:paraId="6929A949">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所有设备须采用机旁控制和中控室控制两种，其中机旁控制优先。</w:t>
      </w:r>
    </w:p>
    <w:p w14:paraId="259AEF8C">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控制、信号电缆采用屏蔽电缆。所有动力电缆必须为五芯电缆，适当考虑阻燃要求，电缆留＞5米余量，供检测机构检测，检测费用由投标方提供。电缆品牌应取得招标方的认可。</w:t>
      </w:r>
    </w:p>
    <w:p w14:paraId="4A423139">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PLC柜预留：1个备用电源+1个380V检修电源+1个220V电源插座+1个24V检修照明电源。</w:t>
      </w:r>
    </w:p>
    <w:p w14:paraId="64ABA116">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低压电器元件选用国内一线品牌。</w:t>
      </w:r>
    </w:p>
    <w:p w14:paraId="7CEA9856">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（15）标志</w:t>
      </w:r>
    </w:p>
    <w:p w14:paraId="13AF979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设备应在明显部位上固定铭牌，铭牌型式尺寸符合GB/T13306,内容包括：</w:t>
      </w:r>
    </w:p>
    <w:p w14:paraId="76A26D23">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产品名称、型号、规格；</w:t>
      </w:r>
    </w:p>
    <w:p w14:paraId="438E63C9">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主要技术规格；</w:t>
      </w:r>
    </w:p>
    <w:p w14:paraId="26AFF7CB">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出厂编号；</w:t>
      </w:r>
    </w:p>
    <w:p w14:paraId="1331B670">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制造厂名称；</w:t>
      </w:r>
    </w:p>
    <w:p w14:paraId="3C829A33">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出厂日期。</w:t>
      </w:r>
    </w:p>
    <w:p w14:paraId="1EC2B4EB">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（16）包装</w:t>
      </w:r>
    </w:p>
    <w:p w14:paraId="3B732F7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设备包装应符合GB/T13384的规定，并附合格证、产品说明书、总图、安装基础图及易损件清单等技术文件（4套）。</w:t>
      </w:r>
    </w:p>
    <w:p w14:paraId="05BD161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包装箱外应标明：</w:t>
      </w:r>
    </w:p>
    <w:p w14:paraId="582C62EB">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产品名称、型号、规格；</w:t>
      </w:r>
    </w:p>
    <w:p w14:paraId="7840C8F7">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制造厂厂名、厂址；</w:t>
      </w:r>
    </w:p>
    <w:p w14:paraId="6FCC4D8A">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出厂编号、箱号、产品标准号；</w:t>
      </w:r>
    </w:p>
    <w:p w14:paraId="09BABDDB">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体积；</w:t>
      </w:r>
    </w:p>
    <w:p w14:paraId="2CA87BAF">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净重、毛重；</w:t>
      </w:r>
    </w:p>
    <w:p w14:paraId="2E2D736A">
      <w:pPr>
        <w:keepNext w:val="0"/>
        <w:keepLines w:val="0"/>
        <w:pageBreakBefore w:val="0"/>
        <w:kinsoku/>
        <w:wordWrap/>
        <w:overflowPunct/>
        <w:topLinePunct w:val="0"/>
        <w:bidi w:val="0"/>
        <w:snapToGrid/>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到站(港)及收货单位。</w:t>
      </w:r>
    </w:p>
    <w:p w14:paraId="36F7C6AA">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（17）</w:t>
      </w:r>
      <w:r>
        <w:rPr>
          <w:rFonts w:hint="eastAsia" w:ascii="宋体" w:hAnsi="宋体" w:eastAsia="宋体" w:cs="宋体"/>
          <w:color w:val="000000"/>
          <w:sz w:val="24"/>
          <w:szCs w:val="24"/>
          <w:highlight w:val="none"/>
        </w:rPr>
        <w:t>供货设备所有润滑点需含有满足一次加油量的润滑油（或油脂）；</w:t>
      </w:r>
      <w:r>
        <w:rPr>
          <w:rFonts w:hint="eastAsia" w:ascii="宋体" w:hAnsi="宋体" w:eastAsia="宋体" w:cs="宋体"/>
          <w:sz w:val="24"/>
          <w:szCs w:val="24"/>
          <w:highlight w:val="none"/>
          <w:lang w:val="zh-CN"/>
        </w:rPr>
        <w:t>需要润滑的部件应有一定的安全裕量，以便在偶然的润滑系统故障或设备维修周期拖延的情况下也应能无损害运行，拖延时间最少为维修期的5%。</w:t>
      </w:r>
      <w:r>
        <w:rPr>
          <w:rFonts w:hint="eastAsia" w:ascii="宋体" w:hAnsi="宋体" w:eastAsia="宋体" w:cs="宋体"/>
          <w:color w:val="000000"/>
          <w:sz w:val="24"/>
          <w:szCs w:val="24"/>
          <w:highlight w:val="none"/>
        </w:rPr>
        <w:t>投标人应列出所需润滑剂特性，提供设备润滑表，包括：润滑剂的名称及成份、润滑剂的使用位置和期限、类型及制造商、耗量。</w:t>
      </w:r>
    </w:p>
    <w:p w14:paraId="364E2070">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（18）标准化和可替换性</w:t>
      </w:r>
    </w:p>
    <w:p w14:paraId="502840FD">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易磨损部件应是易接近和易拆除的，任何时候可以就磨损进行可能的调整。</w:t>
      </w:r>
    </w:p>
    <w:p w14:paraId="2976B9B6">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在任何可能地方，相关部件应是可替换的。</w:t>
      </w:r>
    </w:p>
    <w:p w14:paraId="77737958">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功能类似的所有设备应是相同型式和同一制造商，以减少要求的备品储存量，并且保持所建装置和设备的统一性。</w:t>
      </w:r>
    </w:p>
    <w:p w14:paraId="5AA712E2">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合理性的限制不能增加招标人的支付费用。</w:t>
      </w:r>
    </w:p>
    <w:p w14:paraId="0AD19A88">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投标人应负责对按“技术规格书”所要求的技术规范要求、服务、工艺流程和设备材料实行质量控制。</w:t>
      </w:r>
    </w:p>
    <w:p w14:paraId="0BD03B54">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（19）投标方应于中标后5工作日内与招标方设备技术交接联系人进行技术交接，投标方需提供包括但不限于以下资料：</w:t>
      </w:r>
    </w:p>
    <w:p w14:paraId="1DEE0629">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型号规格、性能参数。</w:t>
      </w:r>
    </w:p>
    <w:p w14:paraId="1CDB3594">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配套附件的主要技术参数。</w:t>
      </w:r>
    </w:p>
    <w:p w14:paraId="04F467D1">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配套电机型号、功率。</w:t>
      </w:r>
    </w:p>
    <w:p w14:paraId="6FB1552B">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相应的用水、用气或电控要求。</w:t>
      </w:r>
    </w:p>
    <w:p w14:paraId="7713ED56">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图纸：包括外形尺寸、基础布置图与预留孔或预埋件等要求、基础分项荷载与总荷载，设备检修要求技术参数。</w:t>
      </w:r>
    </w:p>
    <w:p w14:paraId="4D82ADB3">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电气自控要求及技术说明。</w:t>
      </w:r>
    </w:p>
    <w:p w14:paraId="22AEEEB7">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不可拆最大件重量。</w:t>
      </w:r>
    </w:p>
    <w:p w14:paraId="76356C16">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（20）与投标设备或系统相关的建筑、结构、给排水、暖通、电气等五个专业设备提资，由投标方提出设计要求，并在中标后5个工作日内向设计院提资。</w:t>
      </w:r>
    </w:p>
    <w:p w14:paraId="14B1715C">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（21）与投标设备或系统相关的钢平台、钢梯及支撑支架由投标方统一设计、供货安装，并在中标后5个工作日内向设计院提资，建设单位按照设备要求，提供混凝土基础及预埋件。</w:t>
      </w:r>
    </w:p>
    <w:p w14:paraId="5030883F">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（22）随机资料的提供：投标方交货时随机提供设备总图（包括设备剖面图、安装图、基础图）、安装说明书、操作使用说明书、设备备品备件明细表、润滑油一览表、电气原理图、接线图及说明书等5套；</w:t>
      </w:r>
    </w:p>
    <w:p w14:paraId="315A7D18">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（23）投标方需提供设备运行1年内易损部件。</w:t>
      </w:r>
    </w:p>
    <w:p w14:paraId="2AE596BB">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（24）投标方需提供设备生产制造全过程的质量控制计划。</w:t>
      </w:r>
    </w:p>
    <w:p w14:paraId="63F4BF10">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（25）在合同货物制造过程中如投标方认为需要更合理地变更，必须提前得到招标方及设计院的书面（邮件）认可，而任何变更均不得以降低合同任意技术条款要求为代价，也不得变相调价。</w:t>
      </w:r>
    </w:p>
    <w:p w14:paraId="643E7AB6">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（26）投标方须承诺其供货设备按照甲方要求进行涂装，中标后与甲方沟通具体涂装样式。</w:t>
      </w:r>
    </w:p>
    <w:p w14:paraId="6E9D2775">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（27）投标方所供货的设备或设备系统中选用的电机、风机和水泵等需满足国家一级能效要求。</w:t>
      </w:r>
    </w:p>
    <w:p w14:paraId="5B52E683">
      <w:pPr>
        <w:keepNext w:val="0"/>
        <w:keepLines w:val="0"/>
        <w:pageBreakBefore w:val="0"/>
        <w:kinsoku/>
        <w:wordWrap/>
        <w:overflowPunct/>
        <w:topLinePunct w:val="0"/>
        <w:autoSpaceDE w:val="0"/>
        <w:autoSpaceDN w:val="0"/>
        <w:bidi w:val="0"/>
        <w:adjustRightInd w:val="0"/>
        <w:snapToGrid/>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特别说明：</w:t>
      </w:r>
      <w:r>
        <w:rPr>
          <w:rFonts w:hint="eastAsia" w:ascii="宋体" w:hAnsi="宋体" w:eastAsia="宋体" w:cs="宋体"/>
          <w:sz w:val="24"/>
          <w:szCs w:val="24"/>
          <w:highlight w:val="none"/>
          <w:lang w:val="zh-CN"/>
        </w:rPr>
        <w:t>本节所提及的要求和供货范围都是最低限度要求，并未对一切技术细节做出规定，投标方必需保证所供设备符合本技术协议和行业标准的功能齐全的优质全新产品及相应服务。投标方在投标技术文件中应对设备进行详细的技术描述，对招标条件的技术要求逐条响应，并详细填写技术规格偏离表。</w:t>
      </w:r>
    </w:p>
    <w:p w14:paraId="3CB5C298">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firstLine="482" w:firstLineChars="200"/>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压缩设备作业噪声不大于70db，厂界噪声满足《工业企业厂界环境噪声排放标准》GB12348-2008)中的2类标准</w:t>
      </w:r>
    </w:p>
    <w:p w14:paraId="229B6761">
      <w:pPr>
        <w:keepNext w:val="0"/>
        <w:keepLines w:val="0"/>
        <w:pageBreakBefore w:val="0"/>
        <w:kinsoku/>
        <w:wordWrap/>
        <w:overflowPunct/>
        <w:topLinePunct w:val="0"/>
        <w:autoSpaceDE w:val="0"/>
        <w:autoSpaceDN w:val="0"/>
        <w:bidi w:val="0"/>
        <w:adjustRightInd w:val="0"/>
        <w:snapToGrid/>
        <w:spacing w:line="360" w:lineRule="auto"/>
        <w:ind w:firstLine="420"/>
        <w:rPr>
          <w:rFonts w:hint="eastAsia" w:ascii="宋体" w:hAnsi="宋体" w:eastAsia="宋体" w:cs="宋体"/>
          <w:sz w:val="24"/>
          <w:szCs w:val="24"/>
          <w:highlight w:val="none"/>
          <w:lang w:val="zh-CN"/>
        </w:rPr>
      </w:pPr>
      <w:bookmarkStart w:id="10" w:name="_GoBack"/>
      <w:bookmarkEnd w:id="10"/>
    </w:p>
    <w:p w14:paraId="639B9783">
      <w:pPr>
        <w:pStyle w:val="9"/>
        <w:keepNext w:val="0"/>
        <w:keepLines w:val="0"/>
        <w:pageBreakBefore w:val="0"/>
        <w:kinsoku/>
        <w:wordWrap/>
        <w:overflowPunct/>
        <w:topLinePunct w:val="0"/>
        <w:bidi w:val="0"/>
        <w:snapToGrid/>
        <w:spacing w:line="360" w:lineRule="auto"/>
        <w:ind w:right="-586"/>
        <w:rPr>
          <w:rFonts w:hint="eastAsia" w:ascii="宋体" w:hAnsi="宋体" w:eastAsia="宋体" w:cs="宋体"/>
          <w:sz w:val="24"/>
          <w:szCs w:val="24"/>
          <w:highlight w:val="none"/>
        </w:rPr>
      </w:pPr>
      <w:r>
        <w:rPr>
          <w:rFonts w:hint="eastAsia" w:ascii="宋体" w:hAnsi="宋体" w:eastAsia="宋体" w:cs="宋体"/>
          <w:sz w:val="24"/>
          <w:szCs w:val="24"/>
          <w:highlight w:val="none"/>
        </w:rPr>
        <w:t>八、设计资料提交</w:t>
      </w:r>
    </w:p>
    <w:p w14:paraId="328665A6">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方应向招标方提供各阶段所必须地、完整的、准确的各种技术文件，主要包括：流程图、原理图、控制图、参数计算、设计图纸以及制造、安装、调试、维修所要求的各种技术资料、图纸、手册、说明及标准规范等。并应提供下列资料：</w:t>
      </w:r>
    </w:p>
    <w:p w14:paraId="23646DA9">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相应区域的工艺流程图、过程控制图及其相应的书面说明，设备初始图纸，给出主要尺寸、单线图、系统图、包括平面和剖面的布置图、流程图。</w:t>
      </w:r>
    </w:p>
    <w:p w14:paraId="656A65D3">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投标方所提供的机械、电气和自控设备的性能简介</w:t>
      </w:r>
    </w:p>
    <w:p w14:paraId="2FFB0000">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初步布置图</w:t>
      </w:r>
    </w:p>
    <w:p w14:paraId="21C81C3C">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投标方供货的设备表</w:t>
      </w:r>
    </w:p>
    <w:p w14:paraId="45D66D6D">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备品备件清单和专用工具清单</w:t>
      </w:r>
    </w:p>
    <w:p w14:paraId="400625BF">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投标方使用的规范和标准表</w:t>
      </w:r>
    </w:p>
    <w:p w14:paraId="07558B2F">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在招标书中所要求的完整的技术规格和数据，招标方鼓励投标方在招标方要求之外，增加有特殊性能的技术数据和资料。</w:t>
      </w:r>
    </w:p>
    <w:p w14:paraId="4E188D79">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仪表清单和PID流程图</w:t>
      </w:r>
    </w:p>
    <w:p w14:paraId="39F1DFD4">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对招标方提供的方案、设备或仪器的性能说明所作变更的建议、投标方应作全面的解释。</w:t>
      </w:r>
    </w:p>
    <w:p w14:paraId="5BC6F043">
      <w:pPr>
        <w:pStyle w:val="13"/>
        <w:keepNext w:val="0"/>
        <w:keepLines w:val="0"/>
        <w:pageBreakBefore w:val="0"/>
        <w:numPr>
          <w:ilvl w:val="0"/>
          <w:numId w:val="1"/>
        </w:numPr>
        <w:kinsoku/>
        <w:wordWrap/>
        <w:overflowPunct/>
        <w:topLinePunct w:val="0"/>
        <w:bidi w:val="0"/>
        <w:snapToGrid/>
        <w:spacing w:line="360" w:lineRule="auto"/>
        <w:ind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有关设备制造和操作的主要资料。</w:t>
      </w:r>
    </w:p>
    <w:p w14:paraId="56DB29E4">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投标方提供的所有图纸、文件和资料的格式（不论纸载版本还是电子版本）应按照招标方要求的格式提供。</w:t>
      </w:r>
    </w:p>
    <w:p w14:paraId="430EA954">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中标后5个工作日内，投标方负责提供与供货设备相应区域工艺设计、土建及水电等要求，以满足招标方土建、电气、自动化、给排水、采暖通风、动力等设计要求。招标方根据各投标方提供的设计要求，负责最终的工艺设计及土建、电气、自动化、给排水、采暖通风、动力等设计。</w:t>
      </w:r>
    </w:p>
    <w:p w14:paraId="1D3DF674">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（4）设备的总重量，以及在发运、安装和维修的过程中需要处理的部件最大重量和尺寸。</w:t>
      </w:r>
    </w:p>
    <w:p w14:paraId="16CD0CAB">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（5）设备资料图需提供5套，并提供电子版（U盘），电子版单独放在标识清楚的档案袋中。</w:t>
      </w:r>
    </w:p>
    <w:p w14:paraId="581E1B02">
      <w:pPr>
        <w:pStyle w:val="3"/>
        <w:keepNext w:val="0"/>
        <w:keepLines w:val="0"/>
        <w:pageBreakBefore w:val="0"/>
        <w:kinsoku/>
        <w:wordWrap/>
        <w:overflowPunct/>
        <w:topLinePunct w:val="0"/>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本项目附图纸，仅供参考</w:t>
      </w:r>
    </w:p>
    <w:p w14:paraId="20434ACA">
      <w:pPr>
        <w:pStyle w:val="3"/>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p>
    <w:p w14:paraId="6220E8C8">
      <w:pPr>
        <w:pStyle w:val="9"/>
        <w:keepNext w:val="0"/>
        <w:keepLines w:val="0"/>
        <w:pageBreakBefore w:val="0"/>
        <w:numPr>
          <w:ilvl w:val="0"/>
          <w:numId w:val="3"/>
        </w:numPr>
        <w:tabs>
          <w:tab w:val="left" w:pos="220"/>
          <w:tab w:val="clear" w:pos="9180"/>
          <w:tab w:val="clear" w:pos="9360"/>
        </w:tabs>
        <w:kinsoku/>
        <w:wordWrap/>
        <w:overflowPunct/>
        <w:topLinePunct w:val="0"/>
        <w:bidi w:val="0"/>
        <w:snapToGrid/>
        <w:spacing w:line="360" w:lineRule="auto"/>
        <w:ind w:right="105" w:rightChars="50"/>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主要技术参和性能要求</w:t>
      </w:r>
    </w:p>
    <w:p w14:paraId="1247E86A">
      <w:pPr>
        <w:pStyle w:val="12"/>
        <w:keepNext w:val="0"/>
        <w:keepLines w:val="0"/>
        <w:pageBreakBefore w:val="0"/>
        <w:kinsoku/>
        <w:wordWrap/>
        <w:overflowPunct/>
        <w:topLinePunct w:val="0"/>
        <w:bidi w:val="0"/>
        <w:snapToGrid/>
        <w:spacing w:line="360" w:lineRule="auto"/>
        <w:ind w:firstLine="456"/>
        <w:rPr>
          <w:rFonts w:hint="eastAsia" w:ascii="宋体" w:hAnsi="宋体" w:eastAsia="宋体" w:cs="宋体"/>
          <w:spacing w:val="-6"/>
          <w:sz w:val="24"/>
          <w:szCs w:val="24"/>
        </w:rPr>
      </w:pPr>
      <w:r>
        <w:rPr>
          <w:rFonts w:hint="eastAsia" w:ascii="宋体" w:hAnsi="宋体" w:eastAsia="宋体" w:cs="宋体"/>
          <w:spacing w:val="-6"/>
          <w:sz w:val="24"/>
          <w:szCs w:val="24"/>
        </w:rPr>
        <w:t>由刷洗系统、电控系统、水供给系统、洗涤剂供给系统等组成。</w:t>
      </w:r>
    </w:p>
    <w:p w14:paraId="2A00DD50">
      <w:pPr>
        <w:keepNext w:val="0"/>
        <w:keepLines w:val="0"/>
        <w:pageBreakBefore w:val="0"/>
        <w:kinsoku/>
        <w:wordWrap/>
        <w:overflowPunct/>
        <w:topLinePunct w:val="0"/>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（1）用途</w:t>
      </w:r>
    </w:p>
    <w:p w14:paraId="027D29BC">
      <w:pPr>
        <w:pStyle w:val="12"/>
        <w:keepNext w:val="0"/>
        <w:keepLines w:val="0"/>
        <w:pageBreakBefore w:val="0"/>
        <w:kinsoku/>
        <w:wordWrap/>
        <w:overflowPunct/>
        <w:topLinePunct w:val="0"/>
        <w:bidi w:val="0"/>
        <w:snapToGrid/>
        <w:spacing w:line="360" w:lineRule="auto"/>
        <w:ind w:firstLine="456"/>
        <w:rPr>
          <w:rFonts w:hint="eastAsia" w:ascii="宋体" w:hAnsi="宋体" w:eastAsia="宋体" w:cs="宋体"/>
          <w:spacing w:val="-6"/>
          <w:sz w:val="24"/>
          <w:szCs w:val="24"/>
          <w:highlight w:val="none"/>
        </w:rPr>
      </w:pPr>
      <w:r>
        <w:rPr>
          <w:rFonts w:hint="eastAsia" w:ascii="宋体" w:hAnsi="宋体" w:eastAsia="宋体" w:cs="宋体"/>
          <w:spacing w:val="-6"/>
          <w:sz w:val="24"/>
          <w:szCs w:val="24"/>
        </w:rPr>
        <w:t>用于综合生产及停车用房停放的其他环卫车辆的清洗，设置5台位于综合生产及停车用房一层。通过水、清洗剂或清洗刷的作用自动清洗车辆的车头、两侧及车</w:t>
      </w:r>
      <w:r>
        <w:rPr>
          <w:rFonts w:hint="eastAsia" w:ascii="宋体" w:hAnsi="宋体" w:eastAsia="宋体" w:cs="宋体"/>
          <w:spacing w:val="-6"/>
          <w:sz w:val="24"/>
          <w:szCs w:val="24"/>
          <w:highlight w:val="none"/>
        </w:rPr>
        <w:t xml:space="preserve">顶。 </w:t>
      </w:r>
    </w:p>
    <w:p w14:paraId="5FB8ADCF">
      <w:pPr>
        <w:pStyle w:val="12"/>
        <w:keepNext w:val="0"/>
        <w:keepLines w:val="0"/>
        <w:pageBreakBefore w:val="0"/>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需要清洗车辆尺寸：最大长度9000mm、最大宽度2500mm、最大高度3500mm。</w:t>
      </w:r>
    </w:p>
    <w:p w14:paraId="40F030E9">
      <w:pPr>
        <w:keepNext w:val="0"/>
        <w:keepLines w:val="0"/>
        <w:pageBreakBefore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（2）技术参数及性能要求</w:t>
      </w:r>
    </w:p>
    <w:p w14:paraId="7B12E8DD">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a、具有自动与手动控制功能并能选择是否使用清洗剂清洗的功能；</w:t>
      </w:r>
    </w:p>
    <w:p w14:paraId="0A803FF9">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b、具有故障自检测系统；</w:t>
      </w:r>
    </w:p>
    <w:p w14:paraId="1F59E54F">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c、采用专用洗车刷毛，应具有较高自动洗的洗净度，不伤车；</w:t>
      </w:r>
    </w:p>
    <w:p w14:paraId="337D5E1A">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f、清洗结构：顶、侧部清洗装置； </w:t>
      </w:r>
    </w:p>
    <w:p w14:paraId="2FA38B32">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g、操作方式：自动控制、手动控制；</w:t>
      </w:r>
    </w:p>
    <w:p w14:paraId="478A2747">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i、设备功率：≤30KW；</w:t>
      </w:r>
    </w:p>
    <w:p w14:paraId="3A051678">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j、耗水量：≤200L/辆；</w:t>
      </w:r>
    </w:p>
    <w:p w14:paraId="16B36A20">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k、安装尺寸：≤长10000×宽4200×高5300</w:t>
      </w:r>
    </w:p>
    <w:p w14:paraId="38DF775F">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l、控制系统：可编程控制系统。</w:t>
      </w:r>
    </w:p>
    <w:p w14:paraId="4BF3CB5F">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m、具备风干、水路防冻功能。</w:t>
      </w:r>
    </w:p>
    <w:p w14:paraId="506A9833">
      <w:pPr>
        <w:keepNext w:val="0"/>
        <w:keepLines w:val="0"/>
        <w:pageBreakBefore w:val="0"/>
        <w:kinsoku/>
        <w:wordWrap/>
        <w:overflowPunct/>
        <w:topLinePunct w:val="0"/>
        <w:bidi w:val="0"/>
        <w:snapToGrid/>
        <w:spacing w:line="360" w:lineRule="auto"/>
        <w:ind w:firstLine="360" w:firstLineChars="15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）压缩设备作业噪声不大于70db，厂界噪声满足《工业企业厂界环境噪声排放标准》GB12348-2008)中的2类标准</w:t>
      </w:r>
    </w:p>
    <w:p w14:paraId="1E2234AB">
      <w:pPr>
        <w:keepNext w:val="0"/>
        <w:keepLines w:val="0"/>
        <w:pageBreakBefore w:val="0"/>
        <w:widowControl w:val="0"/>
        <w:kinsoku/>
        <w:wordWrap/>
        <w:overflowPunct/>
        <w:topLinePunct w:val="0"/>
        <w:bidi w:val="0"/>
        <w:snapToGrid/>
        <w:spacing w:line="360" w:lineRule="auto"/>
        <w:ind w:left="0" w:leftChars="0" w:right="0" w:rightChars="0" w:firstLine="474" w:firstLineChars="200"/>
        <w:textAlignment w:val="auto"/>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lang w:val="en-US" w:eastAsia="zh-CN"/>
        </w:rPr>
        <w:t>十</w:t>
      </w:r>
      <w:r>
        <w:rPr>
          <w:rFonts w:hint="eastAsia" w:ascii="宋体" w:hAnsi="宋体" w:eastAsia="宋体" w:cs="宋体"/>
          <w:b/>
          <w:bCs/>
          <w:spacing w:val="-2"/>
          <w:sz w:val="24"/>
          <w:szCs w:val="24"/>
          <w:highlight w:val="none"/>
        </w:rPr>
        <w:t>、商务要求</w:t>
      </w:r>
    </w:p>
    <w:p w14:paraId="02DCC908">
      <w:pPr>
        <w:keepNext w:val="0"/>
        <w:keepLines w:val="0"/>
        <w:pageBreakBefore w:val="0"/>
        <w:widowControl w:val="0"/>
        <w:kinsoku/>
        <w:wordWrap/>
        <w:overflowPunct/>
        <w:topLinePunct w:val="0"/>
        <w:bidi w:val="0"/>
        <w:snapToGrid/>
        <w:spacing w:line="360" w:lineRule="auto"/>
        <w:ind w:left="0" w:leftChars="0" w:right="0" w:rightChars="0"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1.交付的时间和地点</w:t>
      </w:r>
    </w:p>
    <w:p w14:paraId="61BC1FFC">
      <w:pPr>
        <w:keepNext w:val="0"/>
        <w:keepLines w:val="0"/>
        <w:pageBreakBefore w:val="0"/>
        <w:widowControl w:val="0"/>
        <w:kinsoku/>
        <w:wordWrap/>
        <w:overflowPunct/>
        <w:topLinePunct w:val="0"/>
        <w:bidi w:val="0"/>
        <w:snapToGrid/>
        <w:spacing w:line="360" w:lineRule="auto"/>
        <w:ind w:left="0" w:leftChars="0" w:right="0" w:rightChars="0" w:firstLine="472" w:firstLineChars="20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项目地点：采购人指定地点</w:t>
      </w:r>
    </w:p>
    <w:p w14:paraId="1560678F">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需</w:t>
      </w:r>
      <w:r>
        <w:rPr>
          <w:rFonts w:hint="eastAsia" w:ascii="宋体" w:hAnsi="宋体" w:eastAsia="宋体" w:cs="宋体"/>
          <w:spacing w:val="1"/>
          <w:sz w:val="24"/>
          <w:szCs w:val="24"/>
          <w:highlight w:val="none"/>
        </w:rPr>
        <w:t>在供</w:t>
      </w:r>
      <w:r>
        <w:rPr>
          <w:rFonts w:hint="eastAsia" w:ascii="宋体" w:hAnsi="宋体" w:eastAsia="宋体" w:cs="宋体"/>
          <w:spacing w:val="-2"/>
          <w:sz w:val="24"/>
          <w:szCs w:val="24"/>
          <w:highlight w:val="none"/>
        </w:rPr>
        <w:t>货、安装完毕提交使用前，由采购人委托的监理单位按规定检查、验收等相关环节（针</w:t>
      </w:r>
      <w:r>
        <w:rPr>
          <w:rFonts w:hint="eastAsia" w:ascii="宋体" w:hAnsi="宋体" w:eastAsia="宋体" w:cs="宋体"/>
          <w:spacing w:val="-1"/>
          <w:sz w:val="24"/>
          <w:szCs w:val="24"/>
          <w:highlight w:val="none"/>
        </w:rPr>
        <w:t>对此项备注提供相应承诺）。</w:t>
      </w:r>
    </w:p>
    <w:p w14:paraId="04678DA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包装和运输（如适用，须满足《关于印发〈商品包装政府采购</w:t>
      </w:r>
      <w:r>
        <w:rPr>
          <w:rFonts w:hint="eastAsia" w:ascii="宋体" w:hAnsi="宋体" w:eastAsia="宋体" w:cs="宋体"/>
          <w:spacing w:val="-2"/>
          <w:sz w:val="24"/>
          <w:szCs w:val="24"/>
          <w:highlight w:val="none"/>
        </w:rPr>
        <w:t>需求标准（试行）〉、〈快递包装政府采购需求标准（试行）〉的通知》（财</w:t>
      </w:r>
      <w:r>
        <w:rPr>
          <w:rFonts w:hint="eastAsia" w:ascii="宋体" w:hAnsi="宋体" w:eastAsia="宋体" w:cs="宋体"/>
          <w:spacing w:val="-3"/>
          <w:sz w:val="24"/>
          <w:szCs w:val="24"/>
          <w:highlight w:val="none"/>
        </w:rPr>
        <w:t>办库﹝2020﹞123号</w:t>
      </w:r>
      <w:r>
        <w:rPr>
          <w:rFonts w:hint="eastAsia" w:ascii="宋体" w:hAnsi="宋体" w:eastAsia="宋体" w:cs="宋体"/>
          <w:sz w:val="24"/>
          <w:szCs w:val="24"/>
          <w:highlight w:val="none"/>
        </w:rPr>
        <w:t>））</w:t>
      </w:r>
    </w:p>
    <w:p w14:paraId="6ACE63E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供应商承诺交付的全部标的物,均应采用本行业通用的方式进行包</w:t>
      </w:r>
      <w:r>
        <w:rPr>
          <w:rFonts w:hint="eastAsia" w:ascii="宋体" w:hAnsi="宋体" w:eastAsia="宋体" w:cs="宋体"/>
          <w:spacing w:val="-4"/>
          <w:sz w:val="24"/>
          <w:szCs w:val="24"/>
          <w:highlight w:val="none"/>
        </w:rPr>
        <w:t>装，没有通用方式</w:t>
      </w:r>
      <w:r>
        <w:rPr>
          <w:rFonts w:hint="eastAsia" w:ascii="宋体" w:hAnsi="宋体" w:eastAsia="宋体" w:cs="宋体"/>
          <w:spacing w:val="-2"/>
          <w:sz w:val="24"/>
          <w:szCs w:val="24"/>
          <w:highlight w:val="none"/>
        </w:rPr>
        <w:t>的，应当采取足以保护标的物的包装方式，且该包装应符合国家有关包装的法律、法规的规定。如有必要，包装应适用于远距离运输、防潮、防震、防锈和防粗暴装卸，确保</w:t>
      </w:r>
      <w:r>
        <w:rPr>
          <w:rFonts w:hint="eastAsia" w:ascii="宋体" w:hAnsi="宋体" w:eastAsia="宋体" w:cs="宋体"/>
          <w:spacing w:val="-1"/>
          <w:sz w:val="24"/>
          <w:szCs w:val="24"/>
          <w:highlight w:val="none"/>
        </w:rPr>
        <w:t>标的物安全无损地运抵现场。</w:t>
      </w:r>
    </w:p>
    <w:p w14:paraId="15BFA9B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由于包装不善所引起的标的物锈蚀、损坏和损失等一切风险均由</w:t>
      </w:r>
      <w:r>
        <w:rPr>
          <w:rFonts w:hint="eastAsia" w:ascii="宋体" w:hAnsi="宋体" w:eastAsia="宋体" w:cs="宋体"/>
          <w:spacing w:val="-2"/>
          <w:sz w:val="24"/>
          <w:szCs w:val="24"/>
          <w:highlight w:val="none"/>
        </w:rPr>
        <w:t>供应商承担。</w:t>
      </w:r>
    </w:p>
    <w:p w14:paraId="17BA9A46">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售后服务（质保期</w:t>
      </w:r>
      <w:r>
        <w:rPr>
          <w:rFonts w:hint="eastAsia" w:ascii="宋体" w:hAnsi="宋体" w:eastAsia="宋体" w:cs="宋体"/>
          <w:spacing w:val="-11"/>
          <w:sz w:val="24"/>
          <w:szCs w:val="24"/>
          <w:highlight w:val="none"/>
        </w:rPr>
        <w:t>）</w:t>
      </w:r>
    </w:p>
    <w:p w14:paraId="2A6B37D9">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（1）售后服务响应时间：承诺在质保期内投标人须提供每周7天×24小</w:t>
      </w:r>
      <w:r>
        <w:rPr>
          <w:rFonts w:hint="eastAsia" w:ascii="宋体" w:hAnsi="宋体" w:eastAsia="宋体" w:cs="宋体"/>
          <w:sz w:val="24"/>
          <w:szCs w:val="24"/>
          <w:highlight w:val="none"/>
        </w:rPr>
        <w:t>时的电话</w:t>
      </w:r>
      <w:r>
        <w:rPr>
          <w:rFonts w:hint="eastAsia" w:ascii="宋体" w:hAnsi="宋体" w:eastAsia="宋体" w:cs="宋体"/>
          <w:spacing w:val="-3"/>
          <w:sz w:val="24"/>
          <w:szCs w:val="24"/>
          <w:highlight w:val="none"/>
        </w:rPr>
        <w:t>响应，报修后4小时内到达现场，一般故障24小时内解决，重大故障48小时内</w:t>
      </w:r>
      <w:r>
        <w:rPr>
          <w:rFonts w:hint="eastAsia" w:ascii="宋体" w:hAnsi="宋体" w:eastAsia="宋体" w:cs="宋体"/>
          <w:spacing w:val="-4"/>
          <w:sz w:val="24"/>
          <w:szCs w:val="24"/>
          <w:highlight w:val="none"/>
        </w:rPr>
        <w:t>解决，</w:t>
      </w:r>
      <w:r>
        <w:rPr>
          <w:rFonts w:hint="eastAsia" w:ascii="宋体" w:hAnsi="宋体" w:eastAsia="宋体" w:cs="宋体"/>
          <w:spacing w:val="-2"/>
          <w:sz w:val="24"/>
          <w:szCs w:val="24"/>
          <w:highlight w:val="none"/>
        </w:rPr>
        <w:t>如不能按期解决需提供同款功能代用设备；质保期内每隔三个月对所投设备进行维护保</w:t>
      </w:r>
      <w:r>
        <w:rPr>
          <w:rFonts w:hint="eastAsia" w:ascii="宋体" w:hAnsi="宋体" w:eastAsia="宋体" w:cs="宋体"/>
          <w:spacing w:val="-6"/>
          <w:sz w:val="24"/>
          <w:szCs w:val="24"/>
          <w:highlight w:val="none"/>
        </w:rPr>
        <w:t>养。</w:t>
      </w:r>
    </w:p>
    <w:p w14:paraId="16DAF96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（2）质保期内实行“三包”服务，如出现质量问题，生产厂家负责修复、更换或</w:t>
      </w:r>
      <w:r>
        <w:rPr>
          <w:rFonts w:hint="eastAsia" w:ascii="宋体" w:hAnsi="宋体" w:eastAsia="宋体" w:cs="宋体"/>
          <w:spacing w:val="-2"/>
          <w:sz w:val="24"/>
          <w:szCs w:val="24"/>
          <w:highlight w:val="none"/>
        </w:rPr>
        <w:t>退货，并承担由此发生的一切费用；质保期外：质保期外免费（交通费等）上门维修，</w:t>
      </w:r>
      <w:r>
        <w:rPr>
          <w:rFonts w:hint="eastAsia" w:ascii="宋体" w:hAnsi="宋体" w:eastAsia="宋体" w:cs="宋体"/>
          <w:spacing w:val="-1"/>
          <w:sz w:val="24"/>
          <w:szCs w:val="24"/>
          <w:highlight w:val="none"/>
        </w:rPr>
        <w:t>免收维修费。提供以上承诺。</w:t>
      </w:r>
    </w:p>
    <w:p w14:paraId="6FF8642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（3）提供三个月免费更换、不少于</w:t>
      </w:r>
      <w:r>
        <w:rPr>
          <w:rFonts w:hint="eastAsia" w:ascii="宋体" w:hAnsi="宋体" w:eastAsia="宋体" w:cs="宋体"/>
          <w:spacing w:val="-1"/>
          <w:sz w:val="24"/>
          <w:szCs w:val="24"/>
          <w:highlight w:val="none"/>
          <w:lang w:val="en-US" w:eastAsia="zh-CN"/>
        </w:rPr>
        <w:t>一</w:t>
      </w:r>
      <w:r>
        <w:rPr>
          <w:rFonts w:hint="eastAsia" w:ascii="宋体" w:hAnsi="宋体" w:eastAsia="宋体" w:cs="宋体"/>
          <w:spacing w:val="-1"/>
          <w:sz w:val="24"/>
          <w:szCs w:val="24"/>
          <w:highlight w:val="none"/>
        </w:rPr>
        <w:t>年质保（提供承诺函）。</w:t>
      </w:r>
    </w:p>
    <w:p w14:paraId="31B6211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（4）承诺按备品备件（含易损件）成本价长期供应备品备件（含易损件）。</w:t>
      </w:r>
    </w:p>
    <w:p w14:paraId="6A005E8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p>
    <w:p w14:paraId="37EFD88D">
      <w:pPr>
        <w:keepNext w:val="0"/>
        <w:keepLines w:val="0"/>
        <w:pageBreakBefore w:val="0"/>
        <w:widowControl w:val="0"/>
        <w:numPr>
          <w:ilvl w:val="0"/>
          <w:numId w:val="0"/>
        </w:numPr>
        <w:kinsoku/>
        <w:wordWrap/>
        <w:overflowPunct/>
        <w:topLinePunct w:val="0"/>
        <w:bidi w:val="0"/>
        <w:snapToGrid/>
        <w:spacing w:line="360" w:lineRule="auto"/>
        <w:ind w:leftChars="0" w:right="0" w:rightChars="0"/>
        <w:textAlignment w:val="auto"/>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十一、货物清单</w:t>
      </w:r>
    </w:p>
    <w:tbl>
      <w:tblPr>
        <w:tblStyle w:val="6"/>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1955"/>
        <w:gridCol w:w="985"/>
        <w:gridCol w:w="995"/>
        <w:gridCol w:w="1936"/>
        <w:gridCol w:w="1674"/>
      </w:tblGrid>
      <w:tr w14:paraId="7D21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8540" w:type="dxa"/>
            <w:gridSpan w:val="6"/>
            <w:tcBorders>
              <w:top w:val="nil"/>
              <w:left w:val="nil"/>
              <w:bottom w:val="nil"/>
              <w:right w:val="nil"/>
            </w:tcBorders>
            <w:shd w:val="clear" w:color="auto" w:fill="auto"/>
            <w:noWrap/>
            <w:vAlign w:val="center"/>
          </w:tcPr>
          <w:p w14:paraId="34A34BB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洗车设备及充电桩设备</w:t>
            </w:r>
          </w:p>
        </w:tc>
      </w:tr>
      <w:tr w14:paraId="3355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5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30F29F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3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772D95">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5CAF50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2F0B61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工程量</w:t>
            </w:r>
          </w:p>
        </w:tc>
        <w:tc>
          <w:tcPr>
            <w:tcW w:w="179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E32BB2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166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DD7D0A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合价（万元）</w:t>
            </w:r>
          </w:p>
        </w:tc>
      </w:tr>
      <w:tr w14:paraId="422E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5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4E0B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EDA">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4B1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470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9D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7C6EF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p>
        </w:tc>
      </w:tr>
    </w:tbl>
    <w:p w14:paraId="3E6EA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17A2"/>
    <w:multiLevelType w:val="singleLevel"/>
    <w:tmpl w:val="EF7B17A2"/>
    <w:lvl w:ilvl="0" w:tentative="0">
      <w:start w:val="28"/>
      <w:numFmt w:val="decimal"/>
      <w:suff w:val="nothing"/>
      <w:lvlText w:val="（%1）"/>
      <w:lvlJc w:val="left"/>
    </w:lvl>
  </w:abstractNum>
  <w:abstractNum w:abstractNumId="1">
    <w:nsid w:val="00000015"/>
    <w:multiLevelType w:val="multilevel"/>
    <w:tmpl w:val="0000001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000018"/>
    <w:multiLevelType w:val="multilevel"/>
    <w:tmpl w:val="0000001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457BB"/>
    <w:rsid w:val="40DC61A0"/>
    <w:rsid w:val="42F67ADC"/>
    <w:rsid w:val="5E97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cucd-2"/>
    <w:next w:val="10"/>
    <w:qFormat/>
    <w:uiPriority w:val="0"/>
    <w:pPr>
      <w:tabs>
        <w:tab w:val="left" w:pos="9180"/>
        <w:tab w:val="left" w:pos="9360"/>
      </w:tabs>
      <w:spacing w:line="360" w:lineRule="exact"/>
      <w:ind w:right="-512" w:rightChars="-244"/>
      <w:jc w:val="both"/>
      <w:outlineLvl w:val="1"/>
    </w:pPr>
    <w:rPr>
      <w:rFonts w:ascii="宋体" w:hAnsi="宋体" w:eastAsia="宋体" w:cs="宋体"/>
      <w:b/>
      <w:kern w:val="2"/>
      <w:sz w:val="24"/>
      <w:szCs w:val="24"/>
      <w:lang w:val="zh-CN" w:eastAsia="zh-CN" w:bidi="ar-SA"/>
    </w:rPr>
  </w:style>
  <w:style w:type="paragraph" w:customStyle="1" w:styleId="10">
    <w:name w:val="cucd-3"/>
    <w:next w:val="11"/>
    <w:qFormat/>
    <w:uiPriority w:val="0"/>
    <w:pPr>
      <w:tabs>
        <w:tab w:val="left" w:pos="9180"/>
        <w:tab w:val="left" w:pos="9360"/>
      </w:tabs>
      <w:spacing w:line="360" w:lineRule="auto"/>
      <w:ind w:right="-512" w:rightChars="-244"/>
      <w:outlineLvl w:val="2"/>
    </w:pPr>
    <w:rPr>
      <w:rFonts w:ascii="楷体" w:hAnsi="楷体" w:eastAsia="楷体" w:cs="宋体"/>
      <w:b/>
      <w:color w:val="000000"/>
      <w:kern w:val="2"/>
      <w:sz w:val="24"/>
      <w:szCs w:val="24"/>
      <w:lang w:val="en-US" w:eastAsia="zh-CN" w:bidi="ar-SA"/>
    </w:rPr>
  </w:style>
  <w:style w:type="paragraph" w:customStyle="1" w:styleId="11">
    <w:name w:val="cucd-4"/>
    <w:next w:val="12"/>
    <w:qFormat/>
    <w:uiPriority w:val="0"/>
    <w:pPr>
      <w:tabs>
        <w:tab w:val="left" w:pos="1680"/>
        <w:tab w:val="left" w:pos="9180"/>
        <w:tab w:val="left" w:pos="9360"/>
      </w:tabs>
      <w:spacing w:line="360" w:lineRule="auto"/>
      <w:ind w:left="479" w:right="-512" w:rightChars="-244" w:hanging="479" w:hangingChars="199"/>
      <w:outlineLvl w:val="3"/>
    </w:pPr>
    <w:rPr>
      <w:rFonts w:ascii="宋体" w:hAnsi="宋体" w:eastAsia="宋体" w:cs="宋体"/>
      <w:b/>
      <w:bCs/>
      <w:color w:val="000000"/>
      <w:kern w:val="2"/>
      <w:sz w:val="24"/>
      <w:szCs w:val="24"/>
      <w:lang w:val="en-US" w:eastAsia="zh-CN" w:bidi="ar-SA"/>
    </w:rPr>
  </w:style>
  <w:style w:type="paragraph" w:customStyle="1" w:styleId="12">
    <w:name w:val="cucd-0"/>
    <w:qFormat/>
    <w:uiPriority w:val="0"/>
    <w:pPr>
      <w:spacing w:line="360" w:lineRule="auto"/>
      <w:ind w:firstLine="480" w:firstLineChars="200"/>
    </w:pPr>
    <w:rPr>
      <w:rFonts w:ascii="宋体" w:hAnsi="宋体" w:eastAsia="宋体" w:cs="宋体"/>
      <w:kern w:val="2"/>
      <w:sz w:val="24"/>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6737</Words>
  <Characters>7159</Characters>
  <Lines>0</Lines>
  <Paragraphs>0</Paragraphs>
  <TotalTime>0</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2025-01-17T07:30:00Z</dcterms:created>
  <dc:creator>tingc</dc:creator>
  <cp:lastModifiedBy>WPS_1693193111</cp:lastModifiedBy>
  <dcterms:modified xsi:type="dcterms:W3CDTF">2025-04-08T07:55:59Z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eyJoZGlkIjoiNDA3NTcyYjA1NDgxNGEyYzYxNGZjOGRkNDkwNDQ2MjkiLCJ1c2VySWQiOiIxNTI0NzUwODYzIn0=</vt:lpwstr>
  </property>
  <property fmtid="{D5CDD505-2E9C-101B-9397-08002B2CF9AE}" pid="4" name="ICV">
    <vt:lpwstr>F5688F50B7214872BC87CFC09049E55E_12</vt:lpwstr>
  </property>
</Properties>
</file>